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eastAsia="方正小标宋简体"/>
          <w:sz w:val="44"/>
          <w:szCs w:val="44"/>
        </w:rPr>
      </w:pPr>
      <w:bookmarkStart w:id="0" w:name="_GoBack"/>
      <w:r>
        <w:rPr>
          <w:rFonts w:hint="eastAsia" w:eastAsia="方正小标宋简体"/>
          <w:sz w:val="44"/>
          <w:szCs w:val="44"/>
          <w:lang w:eastAsia="zh-CN"/>
        </w:rPr>
        <w:t>安化</w:t>
      </w:r>
      <w:r>
        <w:rPr>
          <w:rFonts w:hint="eastAsia" w:eastAsia="方正小标宋简体"/>
          <w:sz w:val="44"/>
          <w:szCs w:val="44"/>
        </w:rPr>
        <w:t>县重大行政决策</w:t>
      </w:r>
      <w:r>
        <w:rPr>
          <w:rFonts w:hint="eastAsia" w:eastAsia="方正小标宋简体"/>
          <w:color w:val="auto"/>
          <w:sz w:val="44"/>
          <w:szCs w:val="44"/>
          <w:lang w:eastAsia="zh-CN"/>
        </w:rPr>
        <w:t>事项</w:t>
      </w:r>
      <w:r>
        <w:rPr>
          <w:rFonts w:hint="eastAsia" w:eastAsia="方正小标宋简体"/>
          <w:sz w:val="44"/>
          <w:szCs w:val="44"/>
        </w:rPr>
        <w:t>目录管理办法</w:t>
      </w:r>
    </w:p>
    <w:p>
      <w:pPr>
        <w:spacing w:line="594" w:lineRule="exact"/>
        <w:jc w:val="center"/>
        <w:rPr>
          <w:rFonts w:hint="eastAsia" w:eastAsia="方正小标宋简体"/>
          <w:sz w:val="44"/>
          <w:szCs w:val="44"/>
          <w:lang w:val="en-US" w:eastAsia="zh-CN"/>
        </w:rPr>
      </w:pPr>
      <w:r>
        <w:rPr>
          <w:rFonts w:hint="eastAsia" w:eastAsia="方正小标宋简体"/>
          <w:sz w:val="44"/>
          <w:szCs w:val="44"/>
          <w:lang w:val="en-US" w:eastAsia="zh-CN"/>
        </w:rPr>
        <w:t>（征求意见稿）</w:t>
      </w:r>
    </w:p>
    <w:bookmarkEnd w:id="0"/>
    <w:p>
      <w:pPr>
        <w:spacing w:line="594" w:lineRule="exact"/>
        <w:ind w:firstLine="640" w:firstLineChars="200"/>
        <w:rPr>
          <w:rFonts w:eastAsia="仿宋_GB2312"/>
          <w:sz w:val="32"/>
          <w:szCs w:val="32"/>
        </w:rPr>
      </w:pPr>
    </w:p>
    <w:p>
      <w:pPr>
        <w:spacing w:line="594" w:lineRule="exact"/>
        <w:ind w:firstLine="640" w:firstLineChars="200"/>
        <w:rPr>
          <w:rFonts w:hint="eastAsia" w:ascii="Times New Roman" w:hAnsi="Times New Roman" w:eastAsia="仿宋_GB2312" w:cs="Times New Roman"/>
          <w:sz w:val="32"/>
          <w:szCs w:val="32"/>
        </w:rPr>
      </w:pPr>
      <w:r>
        <w:rPr>
          <w:rFonts w:hint="eastAsia" w:hAnsi="黑体" w:eastAsia="黑体"/>
          <w:sz w:val="32"/>
          <w:szCs w:val="32"/>
        </w:rPr>
        <w:t>第一条　</w:t>
      </w:r>
      <w:r>
        <w:rPr>
          <w:rFonts w:hint="eastAsia" w:eastAsia="仿宋_GB2312"/>
          <w:sz w:val="32"/>
          <w:szCs w:val="32"/>
        </w:rPr>
        <w:t>为规范</w:t>
      </w:r>
      <w:r>
        <w:rPr>
          <w:rFonts w:hint="eastAsia" w:eastAsia="仿宋_GB2312"/>
          <w:sz w:val="32"/>
          <w:szCs w:val="32"/>
          <w:lang w:eastAsia="zh-CN"/>
        </w:rPr>
        <w:t>重大行政决策事项目录制定程序</w:t>
      </w:r>
      <w:r>
        <w:rPr>
          <w:rFonts w:hint="eastAsia" w:eastAsia="仿宋_GB2312"/>
          <w:sz w:val="32"/>
          <w:szCs w:val="32"/>
        </w:rPr>
        <w:t>，</w:t>
      </w:r>
      <w:r>
        <w:rPr>
          <w:rFonts w:hint="eastAsia" w:eastAsia="仿宋_GB2312"/>
          <w:sz w:val="32"/>
          <w:szCs w:val="32"/>
          <w:lang w:eastAsia="zh-CN"/>
        </w:rPr>
        <w:t>加强重大行政决策事项目录管理，提高决策质量和效率，明确决策责任，</w:t>
      </w:r>
      <w:r>
        <w:rPr>
          <w:rFonts w:hint="eastAsia" w:ascii="Times New Roman" w:hAnsi="Times New Roman" w:eastAsia="仿宋_GB2312" w:cs="Times New Roman"/>
          <w:sz w:val="32"/>
          <w:szCs w:val="32"/>
        </w:rPr>
        <w:t>根据《重大行政决策程序暂行条例》(国务院令第713号)《湖南省行政程序规定》(省政府令第222号)</w:t>
      </w:r>
      <w:r>
        <w:rPr>
          <w:rFonts w:hint="eastAsia" w:ascii="Times New Roman" w:hAnsi="Times New Roman" w:eastAsia="仿宋_GB2312" w:cs="Times New Roman"/>
          <w:sz w:val="32"/>
          <w:szCs w:val="32"/>
          <w:lang w:eastAsia="zh-CN"/>
        </w:rPr>
        <w:t>《湖南省重大行政决策事项目录管理办法》（湘政办发</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33号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等有关规定，结合我县实际，制定本办法。</w:t>
      </w:r>
    </w:p>
    <w:p>
      <w:pPr>
        <w:spacing w:line="594" w:lineRule="exact"/>
        <w:ind w:firstLine="640" w:firstLineChars="200"/>
        <w:rPr>
          <w:rFonts w:hint="eastAsia" w:ascii="Times New Roman" w:hAnsi="Times New Roman" w:eastAsia="仿宋_GB2312" w:cs="Times New Roman"/>
          <w:sz w:val="32"/>
          <w:szCs w:val="32"/>
        </w:rPr>
      </w:pPr>
      <w:r>
        <w:rPr>
          <w:rFonts w:hint="eastAsia" w:hAnsi="黑体" w:eastAsia="黑体"/>
          <w:sz w:val="32"/>
          <w:szCs w:val="32"/>
        </w:rPr>
        <w:t>第二条</w:t>
      </w:r>
      <w:r>
        <w:rPr>
          <w:rFonts w:hint="eastAsia" w:eastAsia="仿宋_GB2312"/>
          <w:sz w:val="32"/>
          <w:szCs w:val="32"/>
        </w:rPr>
        <w:t>　</w:t>
      </w:r>
      <w:r>
        <w:rPr>
          <w:rFonts w:hint="eastAsia" w:ascii="Times New Roman" w:hAnsi="Times New Roman" w:eastAsia="仿宋_GB2312" w:cs="Times New Roman"/>
          <w:sz w:val="32"/>
          <w:szCs w:val="32"/>
        </w:rPr>
        <w:t>县人民政府重大行政决策事项目录的编制、调整及其管理，适用本办法。</w:t>
      </w:r>
    </w:p>
    <w:p>
      <w:pPr>
        <w:spacing w:line="59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黑体" w:eastAsia="黑体" w:cs="Times New Roman"/>
          <w:sz w:val="32"/>
          <w:szCs w:val="32"/>
          <w:lang w:eastAsia="zh-CN"/>
        </w:rPr>
        <w:t>第三条</w:t>
      </w:r>
      <w:r>
        <w:rPr>
          <w:rFonts w:hint="eastAsia" w:ascii="Times New Roman" w:hAnsi="黑体"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本办法所称重大行政决策事项目录，是指县人民政府按照职责权限编制的年度重大行政决策事项目录清单。</w:t>
      </w:r>
    </w:p>
    <w:p>
      <w:pPr>
        <w:spacing w:line="59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黑体" w:eastAsia="黑体" w:cs="Times New Roman"/>
          <w:sz w:val="32"/>
          <w:szCs w:val="32"/>
          <w:lang w:val="en-US" w:eastAsia="zh-CN"/>
        </w:rPr>
        <w:t xml:space="preserve">第四条 </w:t>
      </w:r>
      <w:r>
        <w:rPr>
          <w:rFonts w:hint="eastAsia" w:eastAsia="仿宋_GB2312"/>
          <w:sz w:val="32"/>
          <w:szCs w:val="32"/>
          <w:lang w:val="en-US" w:eastAsia="zh-CN"/>
        </w:rPr>
        <w:t xml:space="preserve"> </w:t>
      </w:r>
      <w:r>
        <w:rPr>
          <w:rFonts w:hint="eastAsia" w:ascii="Times New Roman" w:hAnsi="Times New Roman" w:eastAsia="仿宋_GB2312" w:cs="Times New Roman"/>
          <w:sz w:val="32"/>
          <w:szCs w:val="32"/>
          <w:lang w:val="en-US" w:eastAsia="zh-CN"/>
        </w:rPr>
        <w:t>重大行政决策事项目录管理必须坚持党的全面领导，遵循依法、科学、民主、公开、高效的原则。</w:t>
      </w:r>
    </w:p>
    <w:p>
      <w:pPr>
        <w:spacing w:line="594"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黑体" w:eastAsia="黑体" w:cs="Times New Roman"/>
          <w:sz w:val="32"/>
          <w:szCs w:val="32"/>
          <w:lang w:val="en-US" w:eastAsia="zh-CN"/>
        </w:rPr>
        <w:t xml:space="preserve">第五条 </w:t>
      </w:r>
      <w:r>
        <w:rPr>
          <w:rFonts w:hint="eastAsia" w:eastAsia="仿宋_GB2312"/>
          <w:sz w:val="32"/>
          <w:szCs w:val="32"/>
          <w:lang w:val="en-US" w:eastAsia="zh-CN"/>
        </w:rPr>
        <w:t xml:space="preserve"> </w:t>
      </w:r>
      <w:r>
        <w:rPr>
          <w:rFonts w:hint="eastAsia" w:ascii="Times New Roman" w:hAnsi="Times New Roman" w:eastAsia="仿宋_GB2312" w:cs="Times New Roman"/>
          <w:sz w:val="32"/>
          <w:szCs w:val="32"/>
          <w:lang w:val="en-US" w:eastAsia="zh-CN"/>
        </w:rPr>
        <w:t>县人民政府实行重大行政决策事项目录管理制度。凡是列入重大行政决策事项目录的决策事项，应当按照国家、省、市、县规定重大行政决策程序实施。</w:t>
      </w:r>
    </w:p>
    <w:p>
      <w:pPr>
        <w:spacing w:line="594" w:lineRule="exact"/>
        <w:ind w:firstLine="640" w:firstLineChars="200"/>
        <w:rPr>
          <w:rFonts w:hint="eastAsia" w:ascii="Times New Roman" w:hAnsi="Times New Roman" w:eastAsia="仿宋_GB2312" w:cs="Times New Roman"/>
          <w:sz w:val="32"/>
          <w:szCs w:val="32"/>
          <w:lang w:eastAsia="zh-CN"/>
        </w:rPr>
      </w:pPr>
      <w:r>
        <w:rPr>
          <w:rFonts w:hint="eastAsia" w:hAnsi="黑体" w:eastAsia="黑体"/>
          <w:sz w:val="32"/>
          <w:szCs w:val="32"/>
        </w:rPr>
        <w:t>第</w:t>
      </w:r>
      <w:r>
        <w:rPr>
          <w:rFonts w:hint="eastAsia" w:hAnsi="黑体" w:eastAsia="黑体"/>
          <w:sz w:val="32"/>
          <w:szCs w:val="32"/>
          <w:lang w:eastAsia="zh-CN"/>
        </w:rPr>
        <w:t>六</w:t>
      </w:r>
      <w:r>
        <w:rPr>
          <w:rFonts w:hint="eastAsia" w:hAnsi="黑体" w:eastAsia="黑体"/>
          <w:sz w:val="32"/>
          <w:szCs w:val="32"/>
        </w:rPr>
        <w:t>条　</w:t>
      </w:r>
      <w:r>
        <w:rPr>
          <w:rFonts w:hint="eastAsia" w:ascii="Times New Roman" w:hAnsi="Times New Roman" w:eastAsia="仿宋_GB2312" w:cs="Times New Roman"/>
          <w:sz w:val="32"/>
          <w:szCs w:val="32"/>
          <w:lang w:eastAsia="zh-CN"/>
        </w:rPr>
        <w:t>县人民政府办公室、司法行政部门承办本级人民政府重大行政决策事项目录编制工作，指导本级人民政府所属部门、乡镇人民政府做好重大行政决策事项目录编制工作。</w:t>
      </w:r>
    </w:p>
    <w:p>
      <w:pPr>
        <w:spacing w:line="59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相关部门按照各自职责配合做好县级人民政府重大行政决策事项目录的编制工作。</w:t>
      </w:r>
    </w:p>
    <w:p>
      <w:pPr>
        <w:spacing w:line="594" w:lineRule="exact"/>
        <w:ind w:firstLine="640" w:firstLineChars="200"/>
        <w:rPr>
          <w:rFonts w:hint="eastAsia" w:ascii="Times New Roman" w:hAnsi="Times New Roman" w:eastAsia="仿宋_GB2312" w:cs="Times New Roman"/>
          <w:sz w:val="32"/>
          <w:szCs w:val="32"/>
          <w:lang w:eastAsia="zh-CN"/>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Times New Roman" w:hAnsi="Times New Roman" w:eastAsia="仿宋_GB2312" w:cs="Times New Roman"/>
          <w:sz w:val="32"/>
          <w:szCs w:val="32"/>
          <w:lang w:eastAsia="zh-CN"/>
        </w:rPr>
        <w:t>重大行政决策事项目录的具体范围，按照《重大行 政决策程序暂行条例》《湖南省行政程序规定》和</w:t>
      </w:r>
      <w:r>
        <w:rPr>
          <w:rFonts w:hint="eastAsia" w:ascii="Times New Roman" w:hAnsi="Times New Roman" w:eastAsia="仿宋_GB2312" w:cs="Times New Roman"/>
          <w:sz w:val="32"/>
          <w:szCs w:val="32"/>
          <w:lang w:val="en-US" w:eastAsia="zh-CN"/>
        </w:rPr>
        <w:t>《益阳市人民政府重大行政决策程序规则》</w:t>
      </w:r>
      <w:r>
        <w:rPr>
          <w:rFonts w:hint="eastAsia" w:ascii="Times New Roman" w:hAnsi="Times New Roman" w:eastAsia="仿宋_GB2312" w:cs="Times New Roman"/>
          <w:sz w:val="32"/>
          <w:szCs w:val="32"/>
          <w:lang w:eastAsia="zh-CN"/>
        </w:rPr>
        <w:t>规定的范围确定。</w:t>
      </w:r>
    </w:p>
    <w:p>
      <w:pPr>
        <w:spacing w:line="59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县人民政府对属于其职权范围内的事项，应当自行决策，不予纳入上一级人民政府重大行政决策事项目录。</w:t>
      </w:r>
    </w:p>
    <w:p>
      <w:pPr>
        <w:spacing w:line="59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政府所属部门对属于其职权范围内的事项，应当自行决策，不予纳入本级人民政府重大行政决策事项目录。</w:t>
      </w:r>
    </w:p>
    <w:p>
      <w:pPr>
        <w:numPr>
          <w:ilvl w:val="0"/>
          <w:numId w:val="1"/>
        </w:numPr>
        <w:spacing w:line="594" w:lineRule="exact"/>
        <w:ind w:left="-10" w:leftChars="0" w:firstLine="640" w:firstLineChars="0"/>
        <w:rPr>
          <w:rFonts w:hint="eastAsia" w:ascii="仿宋_GB2312" w:hAnsi="仿宋_GB2312" w:eastAsia="仿宋_GB2312" w:cs="仿宋_GB2312"/>
          <w:sz w:val="32"/>
          <w:szCs w:val="32"/>
          <w:lang w:val="en-US" w:eastAsia="zh-CN"/>
        </w:rPr>
      </w:pPr>
      <w:r>
        <w:rPr>
          <w:rFonts w:hint="eastAsia"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重大行政决策事项目录应当包括下列内容：</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决策事项名称；</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eastAsia" w:eastAsia="仿宋_GB2312"/>
          <w:sz w:val="32"/>
          <w:szCs w:val="32"/>
        </w:rPr>
      </w:pPr>
      <w:r>
        <w:rPr>
          <w:rFonts w:hint="eastAsia" w:eastAsia="仿宋_GB2312"/>
          <w:sz w:val="32"/>
          <w:szCs w:val="32"/>
          <w:lang w:eastAsia="zh-CN"/>
        </w:rPr>
        <w:t>决策承办单位；</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eastAsia" w:eastAsia="仿宋_GB2312"/>
          <w:sz w:val="32"/>
          <w:szCs w:val="32"/>
        </w:rPr>
      </w:pPr>
      <w:r>
        <w:rPr>
          <w:rFonts w:hint="eastAsia" w:eastAsia="仿宋_GB2312"/>
          <w:sz w:val="32"/>
          <w:szCs w:val="32"/>
          <w:lang w:eastAsia="zh-CN"/>
        </w:rPr>
        <w:t>决策时间安排；</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eastAsia" w:eastAsia="仿宋_GB2312"/>
          <w:sz w:val="32"/>
          <w:szCs w:val="32"/>
        </w:rPr>
      </w:pPr>
      <w:r>
        <w:rPr>
          <w:rFonts w:hint="eastAsia" w:eastAsia="仿宋_GB2312"/>
          <w:sz w:val="32"/>
          <w:szCs w:val="32"/>
          <w:lang w:eastAsia="zh-CN"/>
        </w:rPr>
        <w:t>其他需要包括的内容。</w:t>
      </w:r>
      <w:r>
        <w:rPr>
          <w:rFonts w:hint="eastAsia" w:eastAsia="仿宋_GB2312"/>
          <w:sz w:val="32"/>
          <w:szCs w:val="32"/>
        </w:rPr>
        <w:t>　</w:t>
      </w:r>
    </w:p>
    <w:p>
      <w:pPr>
        <w:spacing w:line="594" w:lineRule="exact"/>
        <w:ind w:firstLine="640" w:firstLineChars="200"/>
        <w:rPr>
          <w:rFonts w:hint="eastAsia" w:eastAsia="仿宋_GB2312"/>
          <w:sz w:val="32"/>
          <w:szCs w:val="32"/>
          <w:lang w:eastAsia="zh-CN"/>
        </w:rPr>
      </w:pPr>
      <w:r>
        <w:rPr>
          <w:rFonts w:hint="eastAsia" w:hAnsi="黑体" w:eastAsia="黑体"/>
          <w:sz w:val="32"/>
          <w:szCs w:val="32"/>
        </w:rPr>
        <w:t>第</w:t>
      </w:r>
      <w:r>
        <w:rPr>
          <w:rFonts w:hint="eastAsia" w:hAnsi="黑体" w:eastAsia="黑体"/>
          <w:sz w:val="32"/>
          <w:szCs w:val="32"/>
          <w:lang w:eastAsia="zh-CN"/>
        </w:rPr>
        <w:t>九</w:t>
      </w:r>
      <w:r>
        <w:rPr>
          <w:rFonts w:hint="eastAsia" w:hAnsi="黑体" w:eastAsia="黑体"/>
          <w:sz w:val="32"/>
          <w:szCs w:val="32"/>
        </w:rPr>
        <w:t>条</w:t>
      </w:r>
      <w:r>
        <w:rPr>
          <w:rFonts w:hint="eastAsia" w:eastAsia="仿宋_GB2312"/>
          <w:sz w:val="32"/>
          <w:szCs w:val="32"/>
        </w:rPr>
        <w:t>　</w:t>
      </w:r>
      <w:r>
        <w:rPr>
          <w:rFonts w:hint="eastAsia" w:eastAsia="仿宋_GB2312"/>
          <w:sz w:val="32"/>
          <w:szCs w:val="32"/>
          <w:lang w:eastAsia="zh-CN"/>
        </w:rPr>
        <w:t>县人民政府应当在每年第一季度组织编制本级政府年度重大行政决策事项目录。遇有重大突发事件等特殊情形影响重大行政决策事项目录制定的，可以适当延期。</w:t>
      </w:r>
    </w:p>
    <w:p>
      <w:pPr>
        <w:spacing w:line="594" w:lineRule="exact"/>
        <w:ind w:firstLine="640" w:firstLineChars="200"/>
        <w:rPr>
          <w:rFonts w:hint="eastAsia" w:ascii="仿宋_GB2312" w:hAnsi="仿宋_GB2312" w:eastAsia="仿宋_GB2312" w:cs="仿宋_GB2312"/>
          <w:sz w:val="32"/>
          <w:szCs w:val="32"/>
        </w:rPr>
      </w:pPr>
      <w:r>
        <w:rPr>
          <w:rFonts w:hint="eastAsia" w:hAnsi="黑体" w:eastAsia="黑体"/>
          <w:sz w:val="32"/>
          <w:szCs w:val="32"/>
        </w:rPr>
        <w:t>第</w:t>
      </w:r>
      <w:r>
        <w:rPr>
          <w:rFonts w:hint="eastAsia" w:hAnsi="黑体" w:eastAsia="黑体"/>
          <w:sz w:val="32"/>
          <w:szCs w:val="32"/>
          <w:lang w:eastAsia="zh-CN"/>
        </w:rPr>
        <w:t>十</w:t>
      </w:r>
      <w:r>
        <w:rPr>
          <w:rFonts w:hint="eastAsia" w:hAnsi="黑体" w:eastAsia="黑体"/>
          <w:sz w:val="32"/>
          <w:szCs w:val="32"/>
        </w:rPr>
        <w:t>条</w:t>
      </w:r>
      <w:r>
        <w:rPr>
          <w:rFonts w:hint="eastAsia"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重大行政决策事项目录是县人民政府及其部门年度总体工作的重要组成部分，应当与年度工作同步编制、同步推进、同步检查。</w:t>
      </w:r>
      <w:r>
        <w:rPr>
          <w:rFonts w:hint="eastAsia" w:ascii="仿宋_GB2312" w:hAnsi="仿宋_GB2312" w:eastAsia="仿宋_GB2312" w:cs="仿宋_GB2312"/>
          <w:sz w:val="32"/>
          <w:szCs w:val="32"/>
        </w:rPr>
        <w:t>　</w:t>
      </w:r>
    </w:p>
    <w:p>
      <w:pPr>
        <w:spacing w:line="594" w:lineRule="exact"/>
        <w:ind w:firstLine="640" w:firstLineChars="200"/>
        <w:rPr>
          <w:rFonts w:hint="eastAsia" w:ascii="仿宋_GB2312" w:hAnsi="仿宋_GB2312" w:eastAsia="仿宋_GB2312" w:cs="仿宋_GB2312"/>
          <w:sz w:val="32"/>
          <w:szCs w:val="32"/>
          <w:lang w:eastAsia="zh-CN"/>
        </w:rPr>
      </w:pPr>
      <w:r>
        <w:rPr>
          <w:rFonts w:hint="eastAsia" w:hAnsi="黑体" w:eastAsia="黑体"/>
          <w:sz w:val="32"/>
          <w:szCs w:val="32"/>
        </w:rPr>
        <w:t>第</w:t>
      </w:r>
      <w:r>
        <w:rPr>
          <w:rFonts w:hint="eastAsia" w:hAnsi="黑体" w:eastAsia="黑体"/>
          <w:sz w:val="32"/>
          <w:szCs w:val="32"/>
          <w:lang w:eastAsia="zh-CN"/>
        </w:rPr>
        <w:t>十一</w:t>
      </w:r>
      <w:r>
        <w:rPr>
          <w:rFonts w:hint="eastAsia" w:hAnsi="黑体" w:eastAsia="黑体"/>
          <w:sz w:val="32"/>
          <w:szCs w:val="32"/>
        </w:rPr>
        <w:t>条　</w:t>
      </w:r>
      <w:r>
        <w:rPr>
          <w:rFonts w:hint="eastAsia" w:ascii="仿宋_GB2312" w:hAnsi="仿宋_GB2312" w:eastAsia="仿宋_GB2312" w:cs="仿宋_GB2312"/>
          <w:sz w:val="32"/>
          <w:szCs w:val="32"/>
          <w:lang w:eastAsia="zh-CN"/>
        </w:rPr>
        <w:t>县人民政府办公室和司法行政部门在组织编制重大行政决策事项目录前，应当向本级人民政府所属部门和乡镇人民政府征集决策事项建议，并可以根据需要，向其他国家机关、社会团体、企事业单位和社会公众征集决策事项建议。</w:t>
      </w:r>
    </w:p>
    <w:p>
      <w:pPr>
        <w:keepNext w:val="0"/>
        <w:keepLines w:val="0"/>
        <w:pageBreakBefore w:val="0"/>
        <w:widowControl w:val="0"/>
        <w:kinsoku/>
        <w:wordWrap/>
        <w:overflowPunct/>
        <w:topLinePunct w:val="0"/>
        <w:autoSpaceDE/>
        <w:autoSpaceDN/>
        <w:bidi w:val="0"/>
        <w:adjustRightInd/>
        <w:snapToGrid/>
        <w:spacing w:before="239" w:line="560" w:lineRule="exact"/>
        <w:ind w:right="113" w:firstLine="646"/>
        <w:textAlignment w:val="auto"/>
        <w:rPr>
          <w:rFonts w:hint="eastAsia" w:ascii="Times New Roman" w:hAnsi="Times New Roman" w:eastAsia="仿宋_GB2312" w:cs="Times New Roman"/>
          <w:sz w:val="32"/>
          <w:szCs w:val="32"/>
          <w:lang w:eastAsia="zh-CN"/>
        </w:rPr>
      </w:pPr>
      <w:r>
        <w:rPr>
          <w:rFonts w:hint="eastAsia" w:hAnsi="黑体" w:eastAsia="黑体"/>
          <w:sz w:val="32"/>
          <w:szCs w:val="32"/>
        </w:rPr>
        <w:t>第</w:t>
      </w:r>
      <w:r>
        <w:rPr>
          <w:rFonts w:hint="eastAsia" w:hAnsi="黑体" w:eastAsia="黑体"/>
          <w:sz w:val="32"/>
          <w:szCs w:val="32"/>
          <w:lang w:eastAsia="zh-CN"/>
        </w:rPr>
        <w:t>十二</w:t>
      </w:r>
      <w:r>
        <w:rPr>
          <w:rFonts w:hint="eastAsia" w:hAnsi="黑体" w:eastAsia="黑体"/>
          <w:sz w:val="32"/>
          <w:szCs w:val="32"/>
        </w:rPr>
        <w:t>条　</w:t>
      </w:r>
      <w:r>
        <w:rPr>
          <w:rFonts w:hint="eastAsia" w:ascii="Times New Roman" w:hAnsi="Times New Roman" w:eastAsia="仿宋_GB2312" w:cs="Times New Roman"/>
          <w:sz w:val="32"/>
          <w:szCs w:val="32"/>
          <w:lang w:eastAsia="zh-CN"/>
        </w:rPr>
        <w:t>县人民政府所属部门、乡镇人民政府应当分别对照重大行政决策事项范围，结合年度工作要点和各自管理领域工作，将拟提请本级人民政府、上一级人民政府决策的重大行政决策事项，按照重大行政决策事项征集明确的时限和要求，向本级、上一级人民政府办公室申报。</w:t>
      </w:r>
    </w:p>
    <w:p>
      <w:pPr>
        <w:spacing w:line="59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重大行政决策事项的申报工作应当于每年</w:t>
      </w:r>
      <w:r>
        <w:rPr>
          <w:rFonts w:hint="eastAsia" w:ascii="Times New Roman" w:hAnsi="Times New Roman" w:eastAsia="仿宋_GB2312" w:cs="Times New Roman"/>
          <w:sz w:val="32"/>
          <w:szCs w:val="32"/>
          <w:lang w:val="en-US" w:eastAsia="zh-CN"/>
        </w:rPr>
        <w:t>3月之前完成，并在申报前经本单位的法制机构或法律顾问审查通过。</w:t>
      </w:r>
    </w:p>
    <w:p>
      <w:pPr>
        <w:numPr>
          <w:ilvl w:val="0"/>
          <w:numId w:val="3"/>
        </w:numPr>
        <w:spacing w:line="594" w:lineRule="exact"/>
        <w:ind w:firstLine="640" w:firstLineChars="200"/>
        <w:rPr>
          <w:rFonts w:hint="eastAsia" w:eastAsia="仿宋_GB2312"/>
          <w:sz w:val="32"/>
          <w:szCs w:val="32"/>
          <w:lang w:eastAsia="zh-CN"/>
        </w:rPr>
      </w:pPr>
      <w:r>
        <w:rPr>
          <w:rFonts w:hint="eastAsia" w:eastAsia="仿宋_GB2312"/>
          <w:sz w:val="32"/>
          <w:szCs w:val="32"/>
          <w:lang w:eastAsia="zh-CN"/>
        </w:rPr>
        <w:t>人大代表和政协委员可以通过建议、提案等方式向政府提出重大行政决策事项建议。公民、法人和其他组织可以书面向政府提出重大行政决策事项建议。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政府将收到的重大行政决策事项建议交决策事项的主管部门研究论证，决策事项主管部门不明确的，由政府指定。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ascii="Times New Roman" w:hAnsi="Times New Roman" w:eastAsia="仿宋_GB2312" w:cs="Times New Roman"/>
          <w:sz w:val="32"/>
          <w:szCs w:val="32"/>
          <w:lang w:eastAsia="zh-CN"/>
        </w:rPr>
        <w:t>政府交有关部门对重大行政决策事项建议进行研究论证的， 应当明确完成时限。承担研究论证工作的部门应当对决策事项建  议拟解决的主要问题、建议理由和依据，解决问题的初步方案及  其必要性和可行性等进行研究论证。经研究论证，认为需列入重  大行政决策事项目录的，按照本办法第十二条规定办理；认为无需列入重大行政决策事项目录的，应当做好解释说明工作。</w:t>
      </w:r>
    </w:p>
    <w:p>
      <w:pPr>
        <w:numPr>
          <w:ilvl w:val="0"/>
          <w:numId w:val="3"/>
        </w:numPr>
        <w:spacing w:line="594" w:lineRule="exact"/>
        <w:ind w:left="0" w:leftChars="0" w:firstLine="640" w:firstLineChars="200"/>
        <w:rPr>
          <w:rFonts w:hint="eastAsia" w:eastAsia="仿宋_GB2312"/>
          <w:color w:val="auto"/>
          <w:sz w:val="32"/>
          <w:szCs w:val="32"/>
          <w:lang w:eastAsia="zh-CN"/>
        </w:rPr>
      </w:pPr>
      <w:r>
        <w:rPr>
          <w:rFonts w:hint="eastAsia" w:eastAsia="仿宋_GB2312"/>
          <w:color w:val="auto"/>
          <w:sz w:val="32"/>
          <w:szCs w:val="32"/>
          <w:lang w:eastAsia="zh-CN"/>
        </w:rPr>
        <w:t>县人民政府办公室、司法行政部门对向本级人民政府申报的重大行政决策事项进行审核，并统筹拟订年度重大行政决策事项目录；审核过程中，可以征求其他相关部门的意见。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对属于重大行政决策事项范围，但本级人民政府所属部门、乡镇人民政府未申报的事项，县人民政府办公室可以将其直接列入拟订的年度重大行政决策事项目录。</w:t>
      </w:r>
    </w:p>
    <w:p>
      <w:pPr>
        <w:numPr>
          <w:ilvl w:val="0"/>
          <w:numId w:val="3"/>
        </w:numPr>
        <w:spacing w:line="594" w:lineRule="exact"/>
        <w:ind w:left="0" w:leftChars="0" w:firstLine="640" w:firstLineChars="200"/>
        <w:rPr>
          <w:rFonts w:hint="eastAsia" w:ascii="仿宋_GB2312" w:hAnsi="仿宋_GB2312" w:eastAsia="仿宋_GB2312" w:cs="仿宋_GB2312"/>
          <w:sz w:val="32"/>
          <w:szCs w:val="32"/>
          <w:lang w:val="en-US" w:eastAsia="zh-CN"/>
        </w:rPr>
      </w:pPr>
      <w:r>
        <w:rPr>
          <w:rFonts w:hint="eastAsia"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拟列入年度重大行政决策事项目录中专业性、技术性较强的决策事项，县人民政府办公室和司法行政部门可以组织专家、专业机构对其必要性、可行性、科学性等进行论证。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参加论证的专家</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可以面向社会招标，由中标的咨询机构或者咨询专家对决策事项开展咨询论证，</w:t>
      </w:r>
      <w:r>
        <w:rPr>
          <w:rFonts w:hint="eastAsia" w:ascii="仿宋_GB2312" w:hAnsi="仿宋_GB2312" w:eastAsia="仿宋_GB2312" w:cs="仿宋_GB2312"/>
          <w:color w:val="auto"/>
          <w:sz w:val="32"/>
          <w:szCs w:val="32"/>
          <w:lang w:val="en-US" w:eastAsia="zh-CN"/>
        </w:rPr>
        <w:t>保证其专业性、代表性和中立性。注重选择持不同意见的专家、专业机构，不得选择与决策事项有直接利害关系的专家、专业机构。</w:t>
      </w:r>
    </w:p>
    <w:p>
      <w:pPr>
        <w:numPr>
          <w:ilvl w:val="0"/>
          <w:numId w:val="3"/>
        </w:numPr>
        <w:spacing w:line="594"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人民政府办公室、司法行政部门拟订年度重大行政决策事项目录草案后，应当报决策事项所涉及的政府分管负责人进行审核。政府分管负责人提出修改意见或者增加重大行政决策事项的，县人民政府办公室、司法行政部门应当予以研究。</w:t>
      </w:r>
    </w:p>
    <w:p>
      <w:pPr>
        <w:numPr>
          <w:ilvl w:val="0"/>
          <w:numId w:val="3"/>
        </w:numPr>
        <w:spacing w:line="594"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经政府分管负责人审核后，县人民政府办公室应当按程序将拟订的年度重大行政决策事项目录提交政府常务会议审议。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政府主要负责人提出的重大行政决策事项，由县人民政府办公室直接列入拟订的年度重大行政决策事项目录，按程序提请政府常务会议审议。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重大行政决策事项目录经政府常务会议审议确定后，应当按程序报同级党委同意。</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经同级党委同意的年度重大行政决策事项目录，由县人民政府办公室印发，并在县人民政府门户网站公布，除依法不得公开的重大行政决策事项外，年度重大行政决策事项目录原则上于每年4月30日前向社会公布。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对纳入重大行政决策目录的事项，决策承办单位应当严格按照公众参与、专家论证、风险评估、合法性审查和集体讨论决定等法定程序实施决策；未履行重大行政决策相关程序的，不得提请政府常务会议审议。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 列入重大行政决策事项目录的决策事项，决策承办单位应当按照实施任务和责任要求，制定实施方案、落实实施措施、跟踪实施效果，确保实施质量和进度。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仿宋_GB2312"/>
          <w:sz w:val="32"/>
          <w:szCs w:val="32"/>
        </w:rPr>
      </w:pPr>
      <w:r>
        <w:rPr>
          <w:rFonts w:hint="eastAsia" w:ascii="黑体" w:hAnsi="黑体" w:eastAsia="黑体" w:cs="黑体"/>
          <w:sz w:val="32"/>
          <w:szCs w:val="32"/>
          <w:lang w:eastAsia="zh-CN"/>
        </w:rPr>
        <w:t>第二十一条</w:t>
      </w:r>
      <w:r>
        <w:rPr>
          <w:rFonts w:hint="eastAsia" w:ascii="黑体" w:hAnsi="黑体" w:eastAsia="黑体" w:cs="黑体"/>
          <w:sz w:val="32"/>
          <w:szCs w:val="32"/>
          <w:lang w:val="en-US" w:eastAsia="zh-CN"/>
        </w:rPr>
        <w:t xml:space="preserve">  </w:t>
      </w:r>
      <w:r>
        <w:rPr>
          <w:rFonts w:hint="eastAsia" w:eastAsia="仿宋_GB2312"/>
          <w:sz w:val="32"/>
          <w:szCs w:val="32"/>
        </w:rPr>
        <w:t>决策承办单位应当建立重大行政决策的档案管理制度，将履行决策程序形成的记录、材料及时完整归档，实行决策程序全过程记录。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重大行政决策事项目录实行动态管理。根据政府年度重点工作任务的实际情况，确需对列入目录的决策事项进行调整或者新增决策事项的，经研究论证后报政府分管负责人审核、政府主要负责人审定，并报同级党委主要领导同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公民、法人或者其他组织可以就重大行政决策事项目录的制定工作向相关部门提出意见建议。相关部门应当及时处理意见建议，并将处理情况集中反馈。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县人民政府制定的重大行政决策事项目录，应当在公布之日起15个工作日内报上一级人民政府备案。</w:t>
      </w:r>
    </w:p>
    <w:p>
      <w:pPr>
        <w:spacing w:line="594" w:lineRule="exact"/>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第二十五条  </w:t>
      </w:r>
      <w:r>
        <w:rPr>
          <w:rFonts w:hint="eastAsia" w:ascii="仿宋_GB2312" w:hAnsi="仿宋_GB2312" w:eastAsia="仿宋_GB2312" w:cs="仿宋_GB2312"/>
          <w:color w:val="auto"/>
          <w:sz w:val="32"/>
          <w:szCs w:val="32"/>
          <w:lang w:val="en-US" w:eastAsia="zh-CN"/>
        </w:rPr>
        <w:t>县人民政府所属工作部门、乡镇人民政府执行本办法情况纳入年度绩效考核和法治建设考核。</w:t>
      </w:r>
    </w:p>
    <w:p>
      <w:pPr>
        <w:spacing w:line="594"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第二十六条  </w:t>
      </w:r>
      <w:r>
        <w:rPr>
          <w:rFonts w:hint="eastAsia" w:eastAsia="仿宋_GB2312"/>
          <w:color w:val="auto"/>
          <w:sz w:val="32"/>
          <w:szCs w:val="32"/>
        </w:rPr>
        <w:t>行政机关违反本办法，造成不良社会影响的，由上级主管部门责令改正；拒不改正或造成严重后果的，依照有关规定，对负有直接领导责任的主管人员和其他责任人员予以责任追究；涉嫌犯罪的，移送司法机关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县人民政府所属部门和乡镇人民政府重大行政决策事项目录的编制、调整和管理，参照本办法执行。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本办法自印发之日起施行。</w:t>
      </w:r>
    </w:p>
    <w:p>
      <w:pPr>
        <w:spacing w:line="594" w:lineRule="exact"/>
        <w:rPr>
          <w:rFonts w:hint="eastAsia" w:eastAsia="仿宋_GB2312"/>
          <w:sz w:val="32"/>
          <w:szCs w:val="32"/>
        </w:rPr>
      </w:pPr>
    </w:p>
    <w:p>
      <w:pPr>
        <w:spacing w:line="594" w:lineRule="exact"/>
        <w:rPr>
          <w:rFonts w:hint="eastAsia" w:eastAsia="仿宋_GB2312"/>
          <w:sz w:val="32"/>
          <w:szCs w:val="32"/>
          <w:lang w:eastAsia="zh-CN"/>
        </w:rPr>
      </w:pPr>
      <w:r>
        <w:rPr>
          <w:rFonts w:hint="eastAsia" w:eastAsia="仿宋_GB2312"/>
          <w:sz w:val="32"/>
          <w:szCs w:val="32"/>
        </w:rPr>
        <w:t>附件</w:t>
      </w:r>
      <w:r>
        <w:rPr>
          <w:rFonts w:hint="eastAsia" w:eastAsia="仿宋_GB2312"/>
          <w:sz w:val="32"/>
          <w:szCs w:val="32"/>
          <w:lang w:eastAsia="zh-CN"/>
        </w:rPr>
        <w:t>：</w:t>
      </w:r>
      <w:r>
        <w:rPr>
          <w:rFonts w:hint="eastAsia" w:eastAsia="仿宋_GB2312"/>
          <w:sz w:val="32"/>
          <w:szCs w:val="32"/>
          <w:lang w:val="en-US" w:eastAsia="zh-CN"/>
        </w:rPr>
        <w:t>1.</w:t>
      </w:r>
      <w:r>
        <w:rPr>
          <w:rFonts w:hint="eastAsia" w:eastAsia="仿宋_GB2312"/>
          <w:sz w:val="32"/>
          <w:szCs w:val="32"/>
          <w:lang w:eastAsia="zh-CN"/>
        </w:rPr>
        <w:t>安化县人民政府重大行政决策事项目录</w:t>
      </w:r>
    </w:p>
    <w:p>
      <w:pPr>
        <w:spacing w:line="594" w:lineRule="exact"/>
        <w:ind w:firstLine="960" w:firstLineChars="300"/>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lang w:eastAsia="zh-CN"/>
        </w:rPr>
        <w:t>安化</w:t>
      </w:r>
      <w:r>
        <w:rPr>
          <w:rFonts w:hint="eastAsia" w:eastAsia="仿宋_GB2312"/>
          <w:sz w:val="32"/>
          <w:szCs w:val="32"/>
        </w:rPr>
        <w:t>县人民政府</w:t>
      </w:r>
      <w:r>
        <w:rPr>
          <w:rFonts w:hint="eastAsia" w:eastAsia="仿宋_GB2312"/>
          <w:sz w:val="32"/>
          <w:szCs w:val="32"/>
          <w:lang w:val="en-US" w:eastAsia="zh-CN"/>
        </w:rPr>
        <w:t>2023年度</w:t>
      </w:r>
      <w:r>
        <w:rPr>
          <w:rFonts w:hint="eastAsia" w:eastAsia="仿宋_GB2312"/>
          <w:sz w:val="32"/>
          <w:szCs w:val="32"/>
        </w:rPr>
        <w:t>重大行政决策事项目录</w:t>
      </w:r>
    </w:p>
    <w:p>
      <w:pPr>
        <w:spacing w:line="594" w:lineRule="exact"/>
        <w:rPr>
          <w:rFonts w:hint="eastAsia" w:eastAsia="黑体"/>
          <w:sz w:val="32"/>
          <w:szCs w:val="32"/>
          <w:lang w:val="en-US" w:eastAsia="zh-CN"/>
        </w:rPr>
      </w:pPr>
      <w:r>
        <w:rPr>
          <w:rFonts w:eastAsia="仿宋_GB2312"/>
          <w:sz w:val="32"/>
          <w:szCs w:val="32"/>
        </w:rPr>
        <w:br w:type="page"/>
      </w:r>
      <w:r>
        <w:rPr>
          <w:rFonts w:hint="eastAsia" w:eastAsia="黑体"/>
          <w:sz w:val="32"/>
          <w:szCs w:val="32"/>
        </w:rPr>
        <w:t>附件</w:t>
      </w:r>
      <w:r>
        <w:rPr>
          <w:rFonts w:hint="eastAsia" w:eastAsia="黑体"/>
          <w:sz w:val="32"/>
          <w:szCs w:val="32"/>
          <w:lang w:val="en-US" w:eastAsia="zh-CN"/>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217" w:beforeAutospacing="0" w:after="217" w:afterAutospacing="0" w:line="600" w:lineRule="atLeast"/>
        <w:ind w:left="0" w:right="0"/>
        <w:jc w:val="center"/>
      </w:pPr>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安化县人民政府重大行政决策事项目录</w:t>
      </w:r>
    </w:p>
    <w:tbl>
      <w:tblPr>
        <w:tblStyle w:val="2"/>
        <w:tblW w:w="979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3"/>
        <w:gridCol w:w="1507"/>
        <w:gridCol w:w="5160"/>
        <w:gridCol w:w="2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序号</w:t>
            </w:r>
          </w:p>
        </w:tc>
        <w:tc>
          <w:tcPr>
            <w:tcW w:w="150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类  别</w:t>
            </w:r>
          </w:p>
        </w:tc>
        <w:tc>
          <w:tcPr>
            <w:tcW w:w="5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决  策  事  项</w:t>
            </w:r>
          </w:p>
        </w:tc>
        <w:tc>
          <w:tcPr>
            <w:tcW w:w="23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承办单位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w:t>
            </w:r>
          </w:p>
        </w:tc>
        <w:tc>
          <w:tcPr>
            <w:tcW w:w="150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制定有关公共服务的重大政策措施</w:t>
            </w: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1．教育人事制度改革重大政策调整</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2．招生考试、教育收费政策的重大调整</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3．中小学、幼儿园布局调整与撤并</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4．大班额化解</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5．公立医院改革</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6．计划生育利益导向、计划生育特殊困难家庭扶助和促进计划生育家庭发展机制的建立</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7．推进分级诊疗制度建设</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8．开展爱国卫生运动</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9．基层医疗卫生服务体系三年提升计划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9"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10．制定推进全县加快构建现代公共文化服务体系的重大政策措施</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县文旅广体局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9"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11．制定推动全县文艺创作生产、促进文化旅游产业发展的政策措施</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县文旅广体局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12．制定推动全县体育产业发展促进体育消费的政策措施</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县文旅广体局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13．制定既有住宅增设电梯的政策措施</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县住房保障服务中心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二</w:t>
            </w:r>
          </w:p>
        </w:tc>
        <w:tc>
          <w:tcPr>
            <w:tcW w:w="150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制定有关市场监管的重大政策措施</w:t>
            </w: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14．制定食品、药品、特种设备安全领域的重大政策措施</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15．制定工业产品质量安全领域的重大政策措施</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16．制定商事登记等市场监管领域的重大政策措施</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三</w:t>
            </w:r>
          </w:p>
        </w:tc>
        <w:tc>
          <w:tcPr>
            <w:tcW w:w="150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制定有关社会管理的重大政策措施</w:t>
            </w: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17．拟定或修改国有土地上房屋征收与补偿办法</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县征拆办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18．拟定或修改征地补偿标准</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县征拆办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19．拟定或修改集体土地征收与房屋拆迁补偿安置办法</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县征拆办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20．拟定非农业建设占用基本农田方案</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21．拟定或修改基准地价</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22．城乡最低生活保障标准</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23．农村五保分散供养标准</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24．县城区低收入家庭认定标准</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25．全县最低工资标准</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26．城乡社会保险及其补交保险标准</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县人力资源社会保障局、县医疗保障局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27．城乡劳动者职业培训方案的制定</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四</w:t>
            </w:r>
          </w:p>
        </w:tc>
        <w:tc>
          <w:tcPr>
            <w:tcW w:w="150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制定有关环境保护的重大政策措施</w:t>
            </w: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28．流域、区域污染防治</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市生态环境局安化分局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29．县城区饮用水水源保护</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市生态环境局安化分局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30．主要污染物排放总量控制和减排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市生态环境局安化分局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31．重大环境污染问题和各类污染源的整治</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市生态环境局安化分局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32．国际湿地保护</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53" w:type="dxa"/>
            <w:vMerge w:val="restart"/>
            <w:tcBorders>
              <w:top w:val="nil"/>
              <w:left w:val="single" w:color="auto" w:sz="8" w:space="0"/>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五</w:t>
            </w:r>
          </w:p>
        </w:tc>
        <w:tc>
          <w:tcPr>
            <w:tcW w:w="1507" w:type="dxa"/>
            <w:vMerge w:val="restart"/>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制定经济和社会发展等方面的重要规划</w:t>
            </w: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33．国民经济和社会发展中长期规划、年度计划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34．转型发展规划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35．统筹城乡一体化规划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36．国土空间规划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37．土地利用年度计划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五</w:t>
            </w:r>
          </w:p>
        </w:tc>
        <w:tc>
          <w:tcPr>
            <w:tcW w:w="1507" w:type="dxa"/>
            <w:vMerge w:val="restart"/>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制定经济和社会发展等方面的重要规划</w:t>
            </w: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38．国有建设用地年度供应计划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39．产业发展规划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40．重要区域规划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41．控制性详细规划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42．城市道路交通管理及交通设施建设专项规划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县公安局交通警察大队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43．城市供水设施专项规划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44．城市排水设施专项规划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45．供电设施专项规划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县科工局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46．燃气设施专项规划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47．各类环境保护专项规划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市生态环境局安化分局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48．城市绿化专项规划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县城管执法局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49．公园建设专项规划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县城管执法局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50．保障性住房建设专项规划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县住房保障服务中心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51．城市公共交通发展规划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52．全市综合运输体系规划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53．城市重大建设项目的选址</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FF0000"/>
                <w:sz w:val="24"/>
                <w:szCs w:val="24"/>
              </w:rPr>
            </w:pPr>
            <w:r>
              <w:rPr>
                <w:rFonts w:hint="eastAsia" w:ascii="宋体" w:hAnsi="宋体" w:eastAsia="宋体" w:cs="宋体"/>
                <w:color w:val="auto"/>
                <w:kern w:val="0"/>
                <w:sz w:val="24"/>
                <w:szCs w:val="24"/>
                <w:lang w:val="en-US" w:eastAsia="zh-CN" w:bidi="ar"/>
              </w:rPr>
              <w:t>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54．公共停车场专项规划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FF0000"/>
                <w:sz w:val="24"/>
                <w:szCs w:val="24"/>
              </w:rPr>
            </w:pPr>
            <w:r>
              <w:rPr>
                <w:rFonts w:hint="eastAsia" w:ascii="宋体" w:hAnsi="宋体" w:eastAsia="宋体" w:cs="宋体"/>
                <w:color w:val="auto"/>
                <w:kern w:val="0"/>
                <w:sz w:val="24"/>
                <w:szCs w:val="24"/>
                <w:lang w:val="en-US" w:eastAsia="zh-CN" w:bidi="ar"/>
              </w:rPr>
              <w:t>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55．预拌混凝土、预拌砂浆发展规划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56．教育发展专项规划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57．就业发展专项规划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58．疾病预防控制规划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53" w:type="dxa"/>
            <w:vMerge w:val="restart"/>
            <w:tcBorders>
              <w:top w:val="nil"/>
              <w:left w:val="single" w:color="auto" w:sz="8" w:space="0"/>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五</w:t>
            </w:r>
          </w:p>
        </w:tc>
        <w:tc>
          <w:tcPr>
            <w:tcW w:w="1507" w:type="dxa"/>
            <w:vMerge w:val="restart"/>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制定经济和社会发展等方面的重要规划</w:t>
            </w: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59．防洪专项规划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60．成品油分销体系发展规划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53"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61．其他相关的专项规划</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县直相关部门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六</w:t>
            </w:r>
          </w:p>
        </w:tc>
        <w:tc>
          <w:tcPr>
            <w:tcW w:w="150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财政预决算编制及重大财政资金安排</w:t>
            </w: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62．编制市本级年度预算草案、决算草案、预算调整方案草案</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63．一次性安排超过3000万元的财政资金（或潜在的需由财政承担资金责任的项目）</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64．政府对重大建设项目直接投资1亿元以上的</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七</w:t>
            </w:r>
          </w:p>
        </w:tc>
        <w:tc>
          <w:tcPr>
            <w:tcW w:w="150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国有资产处置</w:t>
            </w: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65．一次性处置2000万元以上的国有企业资产</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66．一次性处置2000万元以上的行政事业单位国有资产</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八</w:t>
            </w:r>
          </w:p>
        </w:tc>
        <w:tc>
          <w:tcPr>
            <w:tcW w:w="150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税费调整、权限内政府定价的重要商品和重要服务价格的核准</w:t>
            </w: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67．城镇土地使用税的调整方案</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县税务局、县财政局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68．</w:t>
            </w:r>
            <w:r>
              <w:rPr>
                <w:rFonts w:hint="eastAsia" w:ascii="宋体" w:hAnsi="宋体" w:eastAsia="宋体" w:cs="宋体"/>
                <w:color w:val="000000"/>
                <w:spacing w:val="-4"/>
                <w:kern w:val="0"/>
                <w:sz w:val="24"/>
                <w:szCs w:val="24"/>
                <w:lang w:val="en-US" w:eastAsia="zh-CN" w:bidi="ar"/>
              </w:rPr>
              <w:t>权限内行政事业性收费（基金）的确定和调整</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69．污水处理费标准</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70．城乡公共管网供应的自来水（城市供水）价格</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71. 县及县级以下城镇管网管道燃气销售价格</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72．城市公共汽（电）车票价、客运出租车运价</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73．具有自然垄断经营和公益性特征的机动车停车设施服务收费标准</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74．保障性住房物业服务收费标准、普通商品住宅前期物业服务收费标准</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75．保障性住房销售价格、租金标准</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76．殡葬基本服务收费标准</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77．生活垃圾处理收费标准</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78．公立医疗机构医疗服务收费</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县医保保障局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九</w:t>
            </w:r>
          </w:p>
        </w:tc>
        <w:tc>
          <w:tcPr>
            <w:tcW w:w="150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制定开发利用、保护重要自然资源和文化资源的重大公共政策措施</w:t>
            </w: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79．各类自然保护区的划定</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县直相关部门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80.制定保护历史文化资源的重大政策措施</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县文旅广体局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十</w:t>
            </w:r>
          </w:p>
        </w:tc>
        <w:tc>
          <w:tcPr>
            <w:tcW w:w="150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行政管理体制改革</w:t>
            </w: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81．制定区域性行政体制改革试点方案</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82．行政审批制度改革方案</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县委编办、县行政审批服务局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83．行政区划调整</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十一</w:t>
            </w:r>
          </w:p>
        </w:tc>
        <w:tc>
          <w:tcPr>
            <w:tcW w:w="150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重大项目</w:t>
            </w: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84．对生态环境和城市功能有重大影响的政府投资项目的审批</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85．能源、水利等重大基础设施项目和重大公益项目的上报核准或核准</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86．石化、化工项目的上报核准或核准</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87．医疗废弃物、危险废物、生活垃圾、污水处理等城建项目的核准</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88．经营性公墓的审批</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十二</w:t>
            </w:r>
          </w:p>
        </w:tc>
        <w:tc>
          <w:tcPr>
            <w:tcW w:w="150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水利</w:t>
            </w: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89．重大水旱灾害防治</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90．病险水库的治理</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91．重大水利工程建设</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十三</w:t>
            </w:r>
          </w:p>
        </w:tc>
        <w:tc>
          <w:tcPr>
            <w:tcW w:w="150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农业</w:t>
            </w: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92．重大动物疫情的防治</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sz w:val="24"/>
                <w:szCs w:val="24"/>
              </w:rPr>
              <w:t>县畜牧水产事务中心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十四</w:t>
            </w:r>
          </w:p>
        </w:tc>
        <w:tc>
          <w:tcPr>
            <w:tcW w:w="150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交通</w:t>
            </w: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93．公路、水路固定资产投资规模的确定</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50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94．城市道路限载限行等交通管制措施（临时管制除外）</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sz w:val="24"/>
                <w:szCs w:val="24"/>
                <w:lang w:eastAsia="zh-CN"/>
              </w:rPr>
              <w:t>县公安局交通警察大队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十五</w:t>
            </w:r>
          </w:p>
        </w:tc>
        <w:tc>
          <w:tcPr>
            <w:tcW w:w="150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城市管理</w:t>
            </w:r>
          </w:p>
        </w:tc>
        <w:tc>
          <w:tcPr>
            <w:tcW w:w="5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95．制定市容环境卫生管理、园林绿化建设维护管理、市政公用设施运行管理等方面的重大政策措施</w:t>
            </w:r>
          </w:p>
        </w:tc>
        <w:tc>
          <w:tcPr>
            <w:tcW w:w="2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县城管执法局</w:t>
            </w:r>
          </w:p>
        </w:tc>
      </w:tr>
    </w:tbl>
    <w:p>
      <w:pPr>
        <w:spacing w:line="594" w:lineRule="exact"/>
        <w:rPr>
          <w:rFonts w:hint="eastAsia" w:eastAsia="黑体"/>
          <w:sz w:val="32"/>
          <w:szCs w:val="32"/>
        </w:rPr>
      </w:pPr>
    </w:p>
    <w:p>
      <w:pPr>
        <w:spacing w:line="594" w:lineRule="exact"/>
        <w:rPr>
          <w:rFonts w:hint="eastAsia" w:eastAsia="黑体"/>
          <w:sz w:val="32"/>
          <w:szCs w:val="32"/>
        </w:rPr>
      </w:pPr>
    </w:p>
    <w:p>
      <w:pPr>
        <w:spacing w:line="594" w:lineRule="exact"/>
        <w:rPr>
          <w:rFonts w:hint="eastAsia" w:eastAsia="黑体"/>
          <w:sz w:val="32"/>
          <w:szCs w:val="32"/>
        </w:rPr>
      </w:pPr>
    </w:p>
    <w:p>
      <w:pPr>
        <w:spacing w:line="594" w:lineRule="exact"/>
        <w:rPr>
          <w:rFonts w:hint="eastAsia" w:eastAsia="黑体"/>
          <w:sz w:val="32"/>
          <w:szCs w:val="32"/>
        </w:rPr>
      </w:pPr>
    </w:p>
    <w:p>
      <w:pPr>
        <w:spacing w:line="594" w:lineRule="exact"/>
        <w:rPr>
          <w:rFonts w:hint="eastAsia" w:eastAsia="黑体"/>
          <w:sz w:val="32"/>
          <w:szCs w:val="32"/>
        </w:rPr>
      </w:pPr>
    </w:p>
    <w:p>
      <w:pPr>
        <w:spacing w:line="594" w:lineRule="exact"/>
        <w:rPr>
          <w:rFonts w:hint="eastAsia" w:eastAsia="黑体"/>
          <w:sz w:val="32"/>
          <w:szCs w:val="32"/>
        </w:rPr>
      </w:pPr>
    </w:p>
    <w:p>
      <w:pPr>
        <w:spacing w:line="594" w:lineRule="exact"/>
        <w:rPr>
          <w:rFonts w:hint="eastAsia" w:eastAsia="黑体"/>
          <w:sz w:val="32"/>
          <w:szCs w:val="32"/>
        </w:rPr>
      </w:pPr>
    </w:p>
    <w:p>
      <w:pPr>
        <w:spacing w:line="594" w:lineRule="exact"/>
        <w:rPr>
          <w:rFonts w:hint="eastAsia" w:eastAsia="黑体"/>
          <w:sz w:val="32"/>
          <w:szCs w:val="32"/>
          <w:lang w:val="en-US" w:eastAsia="zh-CN"/>
        </w:rPr>
      </w:pPr>
      <w:r>
        <w:rPr>
          <w:rFonts w:hint="eastAsia" w:eastAsia="黑体"/>
          <w:sz w:val="32"/>
          <w:szCs w:val="32"/>
        </w:rPr>
        <w:t>附件</w:t>
      </w:r>
      <w:r>
        <w:rPr>
          <w:rFonts w:hint="eastAsia" w:eastAsia="黑体"/>
          <w:sz w:val="32"/>
          <w:szCs w:val="32"/>
          <w:lang w:val="en-US" w:eastAsia="zh-CN"/>
        </w:rPr>
        <w:t>2</w:t>
      </w:r>
    </w:p>
    <w:p>
      <w:pPr>
        <w:spacing w:after="156" w:afterLines="50" w:line="594" w:lineRule="exact"/>
        <w:jc w:val="center"/>
        <w:outlineLvl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安化</w:t>
      </w:r>
      <w:r>
        <w:rPr>
          <w:rFonts w:hint="eastAsia" w:ascii="方正小标宋简体" w:hAnsi="方正小标宋简体" w:eastAsia="方正小标宋简体" w:cs="方正小标宋简体"/>
          <w:sz w:val="44"/>
          <w:szCs w:val="44"/>
        </w:rPr>
        <w:t>县人民政府</w:t>
      </w: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rPr>
        <w:t>重大行政决策事项目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tbl>
      <w:tblPr>
        <w:tblStyle w:val="2"/>
        <w:tblW w:w="85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3710"/>
        <w:gridCol w:w="1695"/>
        <w:gridCol w:w="1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1416" w:type="dxa"/>
            <w:tcBorders>
              <w:top w:val="single" w:color="auto" w:sz="12" w:space="0"/>
            </w:tcBorders>
            <w:noWrap w:val="0"/>
            <w:vAlign w:val="center"/>
          </w:tcPr>
          <w:p>
            <w:pPr>
              <w:spacing w:line="320" w:lineRule="exact"/>
              <w:jc w:val="center"/>
              <w:rPr>
                <w:rFonts w:hint="eastAsia" w:eastAsia="黑体"/>
                <w:sz w:val="24"/>
                <w:lang w:eastAsia="zh-CN"/>
              </w:rPr>
            </w:pPr>
            <w:r>
              <w:rPr>
                <w:rFonts w:hint="eastAsia" w:eastAsia="黑体"/>
                <w:sz w:val="24"/>
                <w:lang w:eastAsia="zh-CN"/>
              </w:rPr>
              <w:t>序号</w:t>
            </w:r>
          </w:p>
        </w:tc>
        <w:tc>
          <w:tcPr>
            <w:tcW w:w="3710" w:type="dxa"/>
            <w:tcBorders>
              <w:top w:val="single" w:color="auto" w:sz="12" w:space="0"/>
            </w:tcBorders>
            <w:noWrap w:val="0"/>
            <w:vAlign w:val="center"/>
          </w:tcPr>
          <w:p>
            <w:pPr>
              <w:spacing w:line="320" w:lineRule="exact"/>
              <w:jc w:val="center"/>
              <w:rPr>
                <w:rFonts w:eastAsia="黑体"/>
                <w:sz w:val="24"/>
              </w:rPr>
            </w:pPr>
            <w:r>
              <w:rPr>
                <w:rFonts w:hint="eastAsia" w:eastAsia="黑体"/>
                <w:sz w:val="24"/>
              </w:rPr>
              <w:t>决策事项</w:t>
            </w:r>
            <w:r>
              <w:rPr>
                <w:rFonts w:hint="eastAsia" w:eastAsia="黑体"/>
                <w:sz w:val="24"/>
                <w:lang w:eastAsia="zh-CN"/>
              </w:rPr>
              <w:t>名称</w:t>
            </w:r>
          </w:p>
        </w:tc>
        <w:tc>
          <w:tcPr>
            <w:tcW w:w="1695" w:type="dxa"/>
            <w:tcBorders>
              <w:top w:val="single" w:color="auto" w:sz="12" w:space="0"/>
            </w:tcBorders>
            <w:noWrap w:val="0"/>
            <w:vAlign w:val="center"/>
          </w:tcPr>
          <w:p>
            <w:pPr>
              <w:spacing w:line="320" w:lineRule="exact"/>
              <w:jc w:val="center"/>
              <w:rPr>
                <w:rFonts w:hint="eastAsia" w:eastAsia="黑体"/>
                <w:sz w:val="24"/>
                <w:lang w:eastAsia="zh-CN"/>
              </w:rPr>
            </w:pPr>
            <w:r>
              <w:rPr>
                <w:rFonts w:hint="eastAsia" w:eastAsia="黑体"/>
                <w:sz w:val="24"/>
              </w:rPr>
              <w:t>承办单位</w:t>
            </w:r>
          </w:p>
        </w:tc>
        <w:tc>
          <w:tcPr>
            <w:tcW w:w="1696" w:type="dxa"/>
            <w:tcBorders>
              <w:top w:val="single" w:color="auto" w:sz="12" w:space="0"/>
            </w:tcBorders>
            <w:noWrap w:val="0"/>
            <w:vAlign w:val="center"/>
          </w:tcPr>
          <w:p>
            <w:pPr>
              <w:spacing w:line="320" w:lineRule="exact"/>
              <w:jc w:val="center"/>
              <w:rPr>
                <w:rFonts w:hint="eastAsia" w:eastAsia="黑体"/>
                <w:sz w:val="24"/>
                <w:lang w:eastAsia="zh-CN"/>
              </w:rPr>
            </w:pPr>
            <w:r>
              <w:rPr>
                <w:rFonts w:hint="eastAsia" w:eastAsia="黑体"/>
                <w:sz w:val="24"/>
                <w:lang w:eastAsia="zh-CN"/>
              </w:rPr>
              <w:t>时间安排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6" w:type="dxa"/>
            <w:noWrap w:val="0"/>
            <w:vAlign w:val="center"/>
          </w:tcPr>
          <w:p>
            <w:pPr>
              <w:spacing w:line="320" w:lineRule="exact"/>
              <w:jc w:val="center"/>
              <w:rPr>
                <w:rFonts w:hint="eastAsia" w:eastAsia="宋体"/>
                <w:sz w:val="24"/>
                <w:lang w:val="en-US" w:eastAsia="zh-CN"/>
              </w:rPr>
            </w:pPr>
            <w:r>
              <w:rPr>
                <w:rFonts w:hint="eastAsia"/>
                <w:sz w:val="24"/>
                <w:lang w:val="en-US" w:eastAsia="zh-CN"/>
              </w:rPr>
              <w:t>1</w:t>
            </w:r>
          </w:p>
        </w:tc>
        <w:tc>
          <w:tcPr>
            <w:tcW w:w="3710" w:type="dxa"/>
            <w:noWrap w:val="0"/>
            <w:vAlign w:val="center"/>
          </w:tcPr>
          <w:p>
            <w:pPr>
              <w:spacing w:line="320" w:lineRule="exact"/>
              <w:jc w:val="center"/>
              <w:rPr>
                <w:sz w:val="24"/>
              </w:rPr>
            </w:pPr>
          </w:p>
        </w:tc>
        <w:tc>
          <w:tcPr>
            <w:tcW w:w="1695" w:type="dxa"/>
            <w:noWrap w:val="0"/>
            <w:vAlign w:val="center"/>
          </w:tcPr>
          <w:p>
            <w:pPr>
              <w:spacing w:line="320" w:lineRule="exact"/>
              <w:jc w:val="center"/>
              <w:rPr>
                <w:rFonts w:hint="eastAsia"/>
                <w:sz w:val="24"/>
              </w:rPr>
            </w:pPr>
          </w:p>
        </w:tc>
        <w:tc>
          <w:tcPr>
            <w:tcW w:w="1696" w:type="dxa"/>
            <w:noWrap w:val="0"/>
            <w:vAlign w:val="center"/>
          </w:tcPr>
          <w:p>
            <w:pPr>
              <w:spacing w:line="3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6" w:type="dxa"/>
            <w:noWrap w:val="0"/>
            <w:vAlign w:val="center"/>
          </w:tcPr>
          <w:p>
            <w:pPr>
              <w:spacing w:line="320" w:lineRule="exact"/>
              <w:jc w:val="center"/>
              <w:rPr>
                <w:rFonts w:hint="eastAsia" w:eastAsia="宋体"/>
                <w:sz w:val="24"/>
                <w:lang w:val="en-US" w:eastAsia="zh-CN"/>
              </w:rPr>
            </w:pPr>
            <w:r>
              <w:rPr>
                <w:rFonts w:hint="eastAsia"/>
                <w:sz w:val="24"/>
                <w:lang w:val="en-US" w:eastAsia="zh-CN"/>
              </w:rPr>
              <w:t>2</w:t>
            </w:r>
          </w:p>
        </w:tc>
        <w:tc>
          <w:tcPr>
            <w:tcW w:w="3710" w:type="dxa"/>
            <w:noWrap w:val="0"/>
            <w:vAlign w:val="center"/>
          </w:tcPr>
          <w:p>
            <w:pPr>
              <w:spacing w:line="320" w:lineRule="exact"/>
              <w:jc w:val="center"/>
              <w:rPr>
                <w:sz w:val="24"/>
              </w:rPr>
            </w:pPr>
          </w:p>
        </w:tc>
        <w:tc>
          <w:tcPr>
            <w:tcW w:w="1695" w:type="dxa"/>
            <w:noWrap w:val="0"/>
            <w:vAlign w:val="center"/>
          </w:tcPr>
          <w:p>
            <w:pPr>
              <w:spacing w:line="320" w:lineRule="exact"/>
              <w:jc w:val="center"/>
              <w:rPr>
                <w:rFonts w:hint="eastAsia"/>
                <w:sz w:val="24"/>
              </w:rPr>
            </w:pPr>
          </w:p>
        </w:tc>
        <w:tc>
          <w:tcPr>
            <w:tcW w:w="1696" w:type="dxa"/>
            <w:noWrap w:val="0"/>
            <w:vAlign w:val="center"/>
          </w:tcPr>
          <w:p>
            <w:pPr>
              <w:spacing w:line="3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6" w:type="dxa"/>
            <w:noWrap w:val="0"/>
            <w:vAlign w:val="center"/>
          </w:tcPr>
          <w:p>
            <w:pPr>
              <w:spacing w:line="320" w:lineRule="exact"/>
              <w:jc w:val="center"/>
              <w:rPr>
                <w:rFonts w:hint="eastAsia" w:eastAsia="宋体"/>
                <w:sz w:val="24"/>
                <w:lang w:val="en-US" w:eastAsia="zh-CN"/>
              </w:rPr>
            </w:pPr>
            <w:r>
              <w:rPr>
                <w:rFonts w:hint="eastAsia"/>
                <w:sz w:val="24"/>
                <w:lang w:val="en-US" w:eastAsia="zh-CN"/>
              </w:rPr>
              <w:t>3</w:t>
            </w:r>
          </w:p>
        </w:tc>
        <w:tc>
          <w:tcPr>
            <w:tcW w:w="3710" w:type="dxa"/>
            <w:noWrap w:val="0"/>
            <w:vAlign w:val="center"/>
          </w:tcPr>
          <w:p>
            <w:pPr>
              <w:spacing w:line="320" w:lineRule="exact"/>
              <w:jc w:val="center"/>
              <w:rPr>
                <w:sz w:val="24"/>
              </w:rPr>
            </w:pPr>
          </w:p>
        </w:tc>
        <w:tc>
          <w:tcPr>
            <w:tcW w:w="1695" w:type="dxa"/>
            <w:noWrap w:val="0"/>
            <w:vAlign w:val="center"/>
          </w:tcPr>
          <w:p>
            <w:pPr>
              <w:spacing w:line="320" w:lineRule="exact"/>
              <w:jc w:val="center"/>
              <w:rPr>
                <w:rFonts w:hint="eastAsia"/>
                <w:sz w:val="24"/>
              </w:rPr>
            </w:pPr>
          </w:p>
        </w:tc>
        <w:tc>
          <w:tcPr>
            <w:tcW w:w="1696" w:type="dxa"/>
            <w:noWrap w:val="0"/>
            <w:vAlign w:val="center"/>
          </w:tcPr>
          <w:p>
            <w:pPr>
              <w:spacing w:line="3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6" w:type="dxa"/>
            <w:noWrap w:val="0"/>
            <w:vAlign w:val="center"/>
          </w:tcPr>
          <w:p>
            <w:pPr>
              <w:spacing w:line="320" w:lineRule="exact"/>
              <w:jc w:val="center"/>
              <w:rPr>
                <w:sz w:val="24"/>
              </w:rPr>
            </w:pPr>
          </w:p>
        </w:tc>
        <w:tc>
          <w:tcPr>
            <w:tcW w:w="3710" w:type="dxa"/>
            <w:noWrap w:val="0"/>
            <w:vAlign w:val="center"/>
          </w:tcPr>
          <w:p>
            <w:pPr>
              <w:spacing w:line="320" w:lineRule="exact"/>
              <w:jc w:val="center"/>
              <w:rPr>
                <w:sz w:val="24"/>
              </w:rPr>
            </w:pPr>
          </w:p>
        </w:tc>
        <w:tc>
          <w:tcPr>
            <w:tcW w:w="1695" w:type="dxa"/>
            <w:noWrap w:val="0"/>
            <w:vAlign w:val="center"/>
          </w:tcPr>
          <w:p>
            <w:pPr>
              <w:spacing w:line="320" w:lineRule="exact"/>
              <w:jc w:val="center"/>
              <w:rPr>
                <w:rFonts w:hint="eastAsia"/>
                <w:sz w:val="24"/>
              </w:rPr>
            </w:pPr>
          </w:p>
        </w:tc>
        <w:tc>
          <w:tcPr>
            <w:tcW w:w="1696" w:type="dxa"/>
            <w:noWrap w:val="0"/>
            <w:vAlign w:val="center"/>
          </w:tcPr>
          <w:p>
            <w:pPr>
              <w:spacing w:line="3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6" w:type="dxa"/>
            <w:noWrap w:val="0"/>
            <w:vAlign w:val="center"/>
          </w:tcPr>
          <w:p>
            <w:pPr>
              <w:spacing w:line="320" w:lineRule="exact"/>
              <w:jc w:val="center"/>
              <w:rPr>
                <w:sz w:val="24"/>
              </w:rPr>
            </w:pPr>
          </w:p>
        </w:tc>
        <w:tc>
          <w:tcPr>
            <w:tcW w:w="3710" w:type="dxa"/>
            <w:noWrap w:val="0"/>
            <w:vAlign w:val="center"/>
          </w:tcPr>
          <w:p>
            <w:pPr>
              <w:spacing w:line="320" w:lineRule="exact"/>
              <w:jc w:val="center"/>
              <w:rPr>
                <w:sz w:val="24"/>
              </w:rPr>
            </w:pPr>
          </w:p>
        </w:tc>
        <w:tc>
          <w:tcPr>
            <w:tcW w:w="1695" w:type="dxa"/>
            <w:noWrap w:val="0"/>
            <w:vAlign w:val="center"/>
          </w:tcPr>
          <w:p>
            <w:pPr>
              <w:spacing w:line="320" w:lineRule="exact"/>
              <w:jc w:val="center"/>
              <w:rPr>
                <w:rFonts w:hint="eastAsia"/>
                <w:sz w:val="24"/>
              </w:rPr>
            </w:pPr>
          </w:p>
        </w:tc>
        <w:tc>
          <w:tcPr>
            <w:tcW w:w="1696" w:type="dxa"/>
            <w:noWrap w:val="0"/>
            <w:vAlign w:val="center"/>
          </w:tcPr>
          <w:p>
            <w:pPr>
              <w:spacing w:line="3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6" w:type="dxa"/>
            <w:noWrap w:val="0"/>
            <w:vAlign w:val="center"/>
          </w:tcPr>
          <w:p>
            <w:pPr>
              <w:spacing w:line="320" w:lineRule="exact"/>
              <w:jc w:val="center"/>
              <w:rPr>
                <w:sz w:val="24"/>
              </w:rPr>
            </w:pPr>
          </w:p>
        </w:tc>
        <w:tc>
          <w:tcPr>
            <w:tcW w:w="3710" w:type="dxa"/>
            <w:noWrap w:val="0"/>
            <w:vAlign w:val="center"/>
          </w:tcPr>
          <w:p>
            <w:pPr>
              <w:spacing w:line="320" w:lineRule="exact"/>
              <w:jc w:val="center"/>
              <w:rPr>
                <w:sz w:val="24"/>
              </w:rPr>
            </w:pPr>
          </w:p>
        </w:tc>
        <w:tc>
          <w:tcPr>
            <w:tcW w:w="1695" w:type="dxa"/>
            <w:noWrap w:val="0"/>
            <w:vAlign w:val="center"/>
          </w:tcPr>
          <w:p>
            <w:pPr>
              <w:spacing w:line="320" w:lineRule="exact"/>
              <w:jc w:val="center"/>
              <w:rPr>
                <w:rFonts w:hint="eastAsia"/>
                <w:sz w:val="24"/>
              </w:rPr>
            </w:pPr>
          </w:p>
        </w:tc>
        <w:tc>
          <w:tcPr>
            <w:tcW w:w="1696" w:type="dxa"/>
            <w:noWrap w:val="0"/>
            <w:vAlign w:val="center"/>
          </w:tcPr>
          <w:p>
            <w:pPr>
              <w:spacing w:line="3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6" w:type="dxa"/>
            <w:noWrap w:val="0"/>
            <w:vAlign w:val="center"/>
          </w:tcPr>
          <w:p>
            <w:pPr>
              <w:spacing w:line="320" w:lineRule="exact"/>
              <w:jc w:val="center"/>
              <w:rPr>
                <w:sz w:val="24"/>
              </w:rPr>
            </w:pPr>
          </w:p>
        </w:tc>
        <w:tc>
          <w:tcPr>
            <w:tcW w:w="3710" w:type="dxa"/>
            <w:noWrap w:val="0"/>
            <w:vAlign w:val="center"/>
          </w:tcPr>
          <w:p>
            <w:pPr>
              <w:spacing w:line="320" w:lineRule="exact"/>
              <w:jc w:val="center"/>
              <w:rPr>
                <w:sz w:val="24"/>
              </w:rPr>
            </w:pPr>
          </w:p>
        </w:tc>
        <w:tc>
          <w:tcPr>
            <w:tcW w:w="1695" w:type="dxa"/>
            <w:noWrap w:val="0"/>
            <w:vAlign w:val="center"/>
          </w:tcPr>
          <w:p>
            <w:pPr>
              <w:spacing w:line="320" w:lineRule="exact"/>
              <w:jc w:val="center"/>
              <w:rPr>
                <w:rFonts w:hint="eastAsia"/>
                <w:sz w:val="24"/>
              </w:rPr>
            </w:pPr>
          </w:p>
        </w:tc>
        <w:tc>
          <w:tcPr>
            <w:tcW w:w="1696" w:type="dxa"/>
            <w:noWrap w:val="0"/>
            <w:vAlign w:val="center"/>
          </w:tcPr>
          <w:p>
            <w:pPr>
              <w:spacing w:line="3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6" w:type="dxa"/>
            <w:noWrap w:val="0"/>
            <w:vAlign w:val="center"/>
          </w:tcPr>
          <w:p>
            <w:pPr>
              <w:spacing w:line="320" w:lineRule="exact"/>
              <w:jc w:val="center"/>
              <w:rPr>
                <w:sz w:val="24"/>
              </w:rPr>
            </w:pPr>
          </w:p>
        </w:tc>
        <w:tc>
          <w:tcPr>
            <w:tcW w:w="3710" w:type="dxa"/>
            <w:noWrap w:val="0"/>
            <w:vAlign w:val="center"/>
          </w:tcPr>
          <w:p>
            <w:pPr>
              <w:spacing w:line="320" w:lineRule="exact"/>
              <w:jc w:val="center"/>
              <w:rPr>
                <w:sz w:val="24"/>
              </w:rPr>
            </w:pPr>
          </w:p>
        </w:tc>
        <w:tc>
          <w:tcPr>
            <w:tcW w:w="1695" w:type="dxa"/>
            <w:noWrap w:val="0"/>
            <w:vAlign w:val="center"/>
          </w:tcPr>
          <w:p>
            <w:pPr>
              <w:spacing w:line="320" w:lineRule="exact"/>
              <w:jc w:val="center"/>
              <w:rPr>
                <w:rFonts w:hint="eastAsia"/>
                <w:sz w:val="24"/>
              </w:rPr>
            </w:pPr>
          </w:p>
        </w:tc>
        <w:tc>
          <w:tcPr>
            <w:tcW w:w="1696" w:type="dxa"/>
            <w:noWrap w:val="0"/>
            <w:vAlign w:val="center"/>
          </w:tcPr>
          <w:p>
            <w:pPr>
              <w:spacing w:line="3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6" w:type="dxa"/>
            <w:noWrap w:val="0"/>
            <w:vAlign w:val="center"/>
          </w:tcPr>
          <w:p>
            <w:pPr>
              <w:spacing w:line="320" w:lineRule="exact"/>
              <w:jc w:val="center"/>
              <w:rPr>
                <w:sz w:val="24"/>
              </w:rPr>
            </w:pPr>
          </w:p>
        </w:tc>
        <w:tc>
          <w:tcPr>
            <w:tcW w:w="3710" w:type="dxa"/>
            <w:noWrap w:val="0"/>
            <w:vAlign w:val="center"/>
          </w:tcPr>
          <w:p>
            <w:pPr>
              <w:spacing w:line="320" w:lineRule="exact"/>
              <w:jc w:val="center"/>
              <w:rPr>
                <w:sz w:val="24"/>
              </w:rPr>
            </w:pPr>
          </w:p>
        </w:tc>
        <w:tc>
          <w:tcPr>
            <w:tcW w:w="1695" w:type="dxa"/>
            <w:noWrap w:val="0"/>
            <w:vAlign w:val="center"/>
          </w:tcPr>
          <w:p>
            <w:pPr>
              <w:spacing w:line="320" w:lineRule="exact"/>
              <w:jc w:val="center"/>
              <w:rPr>
                <w:rFonts w:hint="eastAsia"/>
                <w:sz w:val="24"/>
              </w:rPr>
            </w:pPr>
          </w:p>
        </w:tc>
        <w:tc>
          <w:tcPr>
            <w:tcW w:w="1696" w:type="dxa"/>
            <w:noWrap w:val="0"/>
            <w:vAlign w:val="center"/>
          </w:tcPr>
          <w:p>
            <w:pPr>
              <w:spacing w:line="3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6" w:type="dxa"/>
            <w:noWrap w:val="0"/>
            <w:vAlign w:val="center"/>
          </w:tcPr>
          <w:p>
            <w:pPr>
              <w:spacing w:line="320" w:lineRule="exact"/>
              <w:jc w:val="center"/>
              <w:rPr>
                <w:sz w:val="24"/>
              </w:rPr>
            </w:pPr>
          </w:p>
        </w:tc>
        <w:tc>
          <w:tcPr>
            <w:tcW w:w="3710" w:type="dxa"/>
            <w:noWrap w:val="0"/>
            <w:vAlign w:val="center"/>
          </w:tcPr>
          <w:p>
            <w:pPr>
              <w:spacing w:line="320" w:lineRule="exact"/>
              <w:jc w:val="center"/>
              <w:rPr>
                <w:sz w:val="24"/>
              </w:rPr>
            </w:pPr>
          </w:p>
        </w:tc>
        <w:tc>
          <w:tcPr>
            <w:tcW w:w="1695" w:type="dxa"/>
            <w:noWrap w:val="0"/>
            <w:vAlign w:val="center"/>
          </w:tcPr>
          <w:p>
            <w:pPr>
              <w:spacing w:line="320" w:lineRule="exact"/>
              <w:jc w:val="center"/>
              <w:rPr>
                <w:rFonts w:hint="eastAsia"/>
                <w:sz w:val="24"/>
              </w:rPr>
            </w:pPr>
          </w:p>
        </w:tc>
        <w:tc>
          <w:tcPr>
            <w:tcW w:w="1696" w:type="dxa"/>
            <w:noWrap w:val="0"/>
            <w:vAlign w:val="center"/>
          </w:tcPr>
          <w:p>
            <w:pPr>
              <w:spacing w:line="3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6" w:type="dxa"/>
            <w:noWrap w:val="0"/>
            <w:vAlign w:val="center"/>
          </w:tcPr>
          <w:p>
            <w:pPr>
              <w:spacing w:line="320" w:lineRule="exact"/>
              <w:jc w:val="center"/>
              <w:rPr>
                <w:sz w:val="24"/>
              </w:rPr>
            </w:pPr>
          </w:p>
        </w:tc>
        <w:tc>
          <w:tcPr>
            <w:tcW w:w="3710" w:type="dxa"/>
            <w:noWrap w:val="0"/>
            <w:vAlign w:val="center"/>
          </w:tcPr>
          <w:p>
            <w:pPr>
              <w:spacing w:line="320" w:lineRule="exact"/>
              <w:jc w:val="center"/>
              <w:rPr>
                <w:sz w:val="24"/>
              </w:rPr>
            </w:pPr>
          </w:p>
        </w:tc>
        <w:tc>
          <w:tcPr>
            <w:tcW w:w="1695" w:type="dxa"/>
            <w:noWrap w:val="0"/>
            <w:vAlign w:val="center"/>
          </w:tcPr>
          <w:p>
            <w:pPr>
              <w:spacing w:line="320" w:lineRule="exact"/>
              <w:jc w:val="center"/>
              <w:rPr>
                <w:rFonts w:hint="eastAsia"/>
                <w:sz w:val="24"/>
              </w:rPr>
            </w:pPr>
          </w:p>
        </w:tc>
        <w:tc>
          <w:tcPr>
            <w:tcW w:w="1696" w:type="dxa"/>
            <w:noWrap w:val="0"/>
            <w:vAlign w:val="center"/>
          </w:tcPr>
          <w:p>
            <w:pPr>
              <w:spacing w:line="3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6" w:type="dxa"/>
            <w:noWrap w:val="0"/>
            <w:vAlign w:val="center"/>
          </w:tcPr>
          <w:p>
            <w:pPr>
              <w:spacing w:line="320" w:lineRule="exact"/>
              <w:jc w:val="center"/>
              <w:rPr>
                <w:sz w:val="24"/>
              </w:rPr>
            </w:pPr>
          </w:p>
        </w:tc>
        <w:tc>
          <w:tcPr>
            <w:tcW w:w="3710" w:type="dxa"/>
            <w:noWrap w:val="0"/>
            <w:vAlign w:val="center"/>
          </w:tcPr>
          <w:p>
            <w:pPr>
              <w:spacing w:line="320" w:lineRule="exact"/>
              <w:jc w:val="center"/>
              <w:rPr>
                <w:sz w:val="24"/>
              </w:rPr>
            </w:pPr>
          </w:p>
        </w:tc>
        <w:tc>
          <w:tcPr>
            <w:tcW w:w="1695" w:type="dxa"/>
            <w:noWrap w:val="0"/>
            <w:vAlign w:val="center"/>
          </w:tcPr>
          <w:p>
            <w:pPr>
              <w:spacing w:line="320" w:lineRule="exact"/>
              <w:jc w:val="center"/>
              <w:rPr>
                <w:rFonts w:hint="eastAsia"/>
                <w:sz w:val="24"/>
              </w:rPr>
            </w:pPr>
          </w:p>
        </w:tc>
        <w:tc>
          <w:tcPr>
            <w:tcW w:w="1696" w:type="dxa"/>
            <w:noWrap w:val="0"/>
            <w:vAlign w:val="center"/>
          </w:tcPr>
          <w:p>
            <w:pPr>
              <w:spacing w:line="3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6" w:type="dxa"/>
            <w:noWrap w:val="0"/>
            <w:vAlign w:val="center"/>
          </w:tcPr>
          <w:p>
            <w:pPr>
              <w:spacing w:line="320" w:lineRule="exact"/>
              <w:jc w:val="center"/>
              <w:rPr>
                <w:sz w:val="24"/>
              </w:rPr>
            </w:pPr>
          </w:p>
        </w:tc>
        <w:tc>
          <w:tcPr>
            <w:tcW w:w="3710" w:type="dxa"/>
            <w:noWrap w:val="0"/>
            <w:vAlign w:val="center"/>
          </w:tcPr>
          <w:p>
            <w:pPr>
              <w:spacing w:line="320" w:lineRule="exact"/>
              <w:jc w:val="center"/>
              <w:rPr>
                <w:sz w:val="24"/>
              </w:rPr>
            </w:pPr>
          </w:p>
        </w:tc>
        <w:tc>
          <w:tcPr>
            <w:tcW w:w="1695" w:type="dxa"/>
            <w:noWrap w:val="0"/>
            <w:vAlign w:val="center"/>
          </w:tcPr>
          <w:p>
            <w:pPr>
              <w:spacing w:line="320" w:lineRule="exact"/>
              <w:jc w:val="center"/>
              <w:rPr>
                <w:rFonts w:hint="eastAsia"/>
                <w:sz w:val="24"/>
              </w:rPr>
            </w:pPr>
          </w:p>
        </w:tc>
        <w:tc>
          <w:tcPr>
            <w:tcW w:w="1696" w:type="dxa"/>
            <w:noWrap w:val="0"/>
            <w:vAlign w:val="center"/>
          </w:tcPr>
          <w:p>
            <w:pPr>
              <w:spacing w:line="3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6" w:type="dxa"/>
            <w:noWrap w:val="0"/>
            <w:vAlign w:val="center"/>
          </w:tcPr>
          <w:p>
            <w:pPr>
              <w:spacing w:line="320" w:lineRule="exact"/>
              <w:jc w:val="center"/>
              <w:rPr>
                <w:sz w:val="24"/>
              </w:rPr>
            </w:pPr>
          </w:p>
        </w:tc>
        <w:tc>
          <w:tcPr>
            <w:tcW w:w="3710" w:type="dxa"/>
            <w:noWrap w:val="0"/>
            <w:vAlign w:val="center"/>
          </w:tcPr>
          <w:p>
            <w:pPr>
              <w:spacing w:line="320" w:lineRule="exact"/>
              <w:jc w:val="center"/>
              <w:rPr>
                <w:sz w:val="24"/>
              </w:rPr>
            </w:pPr>
          </w:p>
        </w:tc>
        <w:tc>
          <w:tcPr>
            <w:tcW w:w="1695" w:type="dxa"/>
            <w:noWrap w:val="0"/>
            <w:vAlign w:val="center"/>
          </w:tcPr>
          <w:p>
            <w:pPr>
              <w:spacing w:line="320" w:lineRule="exact"/>
              <w:jc w:val="center"/>
              <w:rPr>
                <w:rFonts w:hint="eastAsia"/>
                <w:sz w:val="24"/>
              </w:rPr>
            </w:pPr>
          </w:p>
        </w:tc>
        <w:tc>
          <w:tcPr>
            <w:tcW w:w="1696" w:type="dxa"/>
            <w:noWrap w:val="0"/>
            <w:vAlign w:val="center"/>
          </w:tcPr>
          <w:p>
            <w:pPr>
              <w:spacing w:line="3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6" w:type="dxa"/>
            <w:noWrap w:val="0"/>
            <w:vAlign w:val="center"/>
          </w:tcPr>
          <w:p>
            <w:pPr>
              <w:spacing w:line="320" w:lineRule="exact"/>
              <w:jc w:val="center"/>
              <w:rPr>
                <w:sz w:val="24"/>
              </w:rPr>
            </w:pPr>
          </w:p>
        </w:tc>
        <w:tc>
          <w:tcPr>
            <w:tcW w:w="3710" w:type="dxa"/>
            <w:noWrap w:val="0"/>
            <w:vAlign w:val="center"/>
          </w:tcPr>
          <w:p>
            <w:pPr>
              <w:spacing w:line="320" w:lineRule="exact"/>
              <w:jc w:val="center"/>
              <w:rPr>
                <w:sz w:val="24"/>
              </w:rPr>
            </w:pPr>
          </w:p>
        </w:tc>
        <w:tc>
          <w:tcPr>
            <w:tcW w:w="1695" w:type="dxa"/>
            <w:noWrap w:val="0"/>
            <w:vAlign w:val="center"/>
          </w:tcPr>
          <w:p>
            <w:pPr>
              <w:spacing w:line="320" w:lineRule="exact"/>
              <w:jc w:val="center"/>
              <w:rPr>
                <w:rFonts w:hint="eastAsia"/>
                <w:sz w:val="24"/>
              </w:rPr>
            </w:pPr>
          </w:p>
        </w:tc>
        <w:tc>
          <w:tcPr>
            <w:tcW w:w="1696" w:type="dxa"/>
            <w:noWrap w:val="0"/>
            <w:vAlign w:val="center"/>
          </w:tcPr>
          <w:p>
            <w:pPr>
              <w:spacing w:line="3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6" w:type="dxa"/>
            <w:noWrap w:val="0"/>
            <w:vAlign w:val="center"/>
          </w:tcPr>
          <w:p>
            <w:pPr>
              <w:spacing w:line="320" w:lineRule="exact"/>
              <w:jc w:val="center"/>
              <w:rPr>
                <w:sz w:val="24"/>
              </w:rPr>
            </w:pPr>
          </w:p>
        </w:tc>
        <w:tc>
          <w:tcPr>
            <w:tcW w:w="3710" w:type="dxa"/>
            <w:noWrap w:val="0"/>
            <w:vAlign w:val="center"/>
          </w:tcPr>
          <w:p>
            <w:pPr>
              <w:spacing w:line="320" w:lineRule="exact"/>
              <w:jc w:val="center"/>
              <w:rPr>
                <w:sz w:val="24"/>
              </w:rPr>
            </w:pPr>
          </w:p>
        </w:tc>
        <w:tc>
          <w:tcPr>
            <w:tcW w:w="1695" w:type="dxa"/>
            <w:noWrap w:val="0"/>
            <w:vAlign w:val="center"/>
          </w:tcPr>
          <w:p>
            <w:pPr>
              <w:spacing w:line="320" w:lineRule="exact"/>
              <w:jc w:val="center"/>
              <w:rPr>
                <w:rFonts w:hint="eastAsia"/>
                <w:sz w:val="24"/>
              </w:rPr>
            </w:pPr>
          </w:p>
        </w:tc>
        <w:tc>
          <w:tcPr>
            <w:tcW w:w="1696" w:type="dxa"/>
            <w:noWrap w:val="0"/>
            <w:vAlign w:val="center"/>
          </w:tcPr>
          <w:p>
            <w:pPr>
              <w:spacing w:line="3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6" w:type="dxa"/>
            <w:noWrap w:val="0"/>
            <w:vAlign w:val="center"/>
          </w:tcPr>
          <w:p>
            <w:pPr>
              <w:spacing w:line="320" w:lineRule="exact"/>
              <w:jc w:val="center"/>
              <w:rPr>
                <w:sz w:val="24"/>
              </w:rPr>
            </w:pPr>
          </w:p>
        </w:tc>
        <w:tc>
          <w:tcPr>
            <w:tcW w:w="3710" w:type="dxa"/>
            <w:noWrap w:val="0"/>
            <w:vAlign w:val="center"/>
          </w:tcPr>
          <w:p>
            <w:pPr>
              <w:spacing w:line="320" w:lineRule="exact"/>
              <w:jc w:val="center"/>
              <w:rPr>
                <w:sz w:val="24"/>
              </w:rPr>
            </w:pPr>
          </w:p>
        </w:tc>
        <w:tc>
          <w:tcPr>
            <w:tcW w:w="1695" w:type="dxa"/>
            <w:noWrap w:val="0"/>
            <w:vAlign w:val="center"/>
          </w:tcPr>
          <w:p>
            <w:pPr>
              <w:spacing w:line="320" w:lineRule="exact"/>
              <w:jc w:val="center"/>
              <w:rPr>
                <w:rFonts w:hint="eastAsia"/>
                <w:sz w:val="24"/>
              </w:rPr>
            </w:pPr>
          </w:p>
        </w:tc>
        <w:tc>
          <w:tcPr>
            <w:tcW w:w="1696" w:type="dxa"/>
            <w:noWrap w:val="0"/>
            <w:vAlign w:val="center"/>
          </w:tcPr>
          <w:p>
            <w:pPr>
              <w:spacing w:line="320" w:lineRule="exact"/>
              <w:jc w:val="center"/>
              <w:rPr>
                <w:rFonts w:hint="eastAsia"/>
                <w:sz w:val="24"/>
              </w:rPr>
            </w:pPr>
          </w:p>
        </w:tc>
      </w:tr>
    </w:tbl>
    <w:p>
      <w:pPr>
        <w:spacing w:line="594" w:lineRule="exact"/>
        <w:jc w:val="center"/>
        <w:outlineLvl w:val="2"/>
        <w:rPr>
          <w:rFonts w:hint="eastAsia" w:eastAsia="方正小标宋简体"/>
          <w:bCs/>
          <w:sz w:val="44"/>
          <w:szCs w:val="44"/>
        </w:rPr>
      </w:pPr>
    </w:p>
    <w:p>
      <w:pPr>
        <w:spacing w:line="594" w:lineRule="exact"/>
        <w:jc w:val="center"/>
        <w:outlineLvl w:val="2"/>
        <w:rPr>
          <w:rFonts w:hint="eastAsia" w:eastAsia="方正小标宋简体"/>
          <w:bCs/>
          <w:sz w:val="44"/>
          <w:szCs w:val="4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BE4A9"/>
    <w:multiLevelType w:val="singleLevel"/>
    <w:tmpl w:val="3B5BE4A9"/>
    <w:lvl w:ilvl="0" w:tentative="0">
      <w:start w:val="1"/>
      <w:numFmt w:val="chineseCounting"/>
      <w:suff w:val="nothing"/>
      <w:lvlText w:val="（%1）"/>
      <w:lvlJc w:val="left"/>
      <w:rPr>
        <w:rFonts w:hint="eastAsia"/>
      </w:rPr>
    </w:lvl>
  </w:abstractNum>
  <w:abstractNum w:abstractNumId="1">
    <w:nsid w:val="3F84F402"/>
    <w:multiLevelType w:val="singleLevel"/>
    <w:tmpl w:val="3F84F402"/>
    <w:lvl w:ilvl="0" w:tentative="0">
      <w:start w:val="13"/>
      <w:numFmt w:val="chineseCounting"/>
      <w:suff w:val="nothing"/>
      <w:lvlText w:val="第%1条　"/>
      <w:lvlJc w:val="left"/>
      <w:rPr>
        <w:rFonts w:hint="eastAsia" w:ascii="黑体" w:hAnsi="黑体" w:eastAsia="黑体" w:cs="黑体"/>
        <w:sz w:val="32"/>
        <w:szCs w:val="32"/>
      </w:rPr>
    </w:lvl>
  </w:abstractNum>
  <w:abstractNum w:abstractNumId="2">
    <w:nsid w:val="62A4D91B"/>
    <w:multiLevelType w:val="singleLevel"/>
    <w:tmpl w:val="62A4D91B"/>
    <w:lvl w:ilvl="0" w:tentative="0">
      <w:start w:val="8"/>
      <w:numFmt w:val="chineseCounting"/>
      <w:suff w:val="space"/>
      <w:lvlText w:val="第%1条"/>
      <w:lvlJc w:val="left"/>
      <w:pPr>
        <w:ind w:left="-10"/>
      </w:pPr>
      <w:rPr>
        <w:rFonts w:hint="eastAsia" w:ascii="黑体" w:hAnsi="黑体" w:eastAsia="黑体" w:cs="黑体"/>
        <w:sz w:val="32"/>
        <w:szCs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1180C"/>
    <w:rsid w:val="7A111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2023-03-03T07:35:00Z</dcterms:created>
  <dc:creator>Administrator</dc:creator>
  <cp:lastModifiedBy>Administrator</cp:lastModifiedBy>
  <dcterms:modified xsi:type="dcterms:W3CDTF">2023-03-03T07:35:53Z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