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val="en-US" w:eastAsia="zh-CN"/>
        </w:rPr>
        <w:t>平口镇中心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平口镇中心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平口镇中心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平口镇中心</w:t>
      </w:r>
      <w:r>
        <w:rPr>
          <w:rFonts w:hint="eastAsia" w:ascii="Arial" w:hAnsi="Arial"/>
          <w:color w:val="333333"/>
          <w:sz w:val="30"/>
          <w:szCs w:val="30"/>
        </w:rPr>
        <w:t>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万元，主要是经费拨款减少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13.40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60.32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13.69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万元，主要是基本支出减少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5.7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87.41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13.40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60.32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13.69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5.7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5.31</w:t>
      </w:r>
      <w:r>
        <w:rPr>
          <w:rFonts w:hint="eastAsia" w:ascii="Arial" w:hAnsi="Arial"/>
          <w:color w:val="333333"/>
          <w:sz w:val="30"/>
          <w:szCs w:val="30"/>
        </w:rPr>
        <w:t>万元）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在职在编人员减少所以工资福利支出减少</w:t>
      </w:r>
      <w:r>
        <w:rPr>
          <w:rFonts w:hint="eastAsia" w:ascii="Arial" w:hAnsi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年年底，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本单位</w:t>
      </w:r>
      <w:r>
        <w:rPr>
          <w:rFonts w:hint="eastAsia" w:ascii="Arial" w:hAnsi="Arial"/>
          <w:color w:val="333333"/>
          <w:sz w:val="30"/>
          <w:szCs w:val="30"/>
        </w:rPr>
        <w:t>共有车辆</w:t>
      </w: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辆，为救护车。单位价值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宋体"/>
          <w:color w:val="333333"/>
          <w:kern w:val="0"/>
          <w:sz w:val="30"/>
          <w:szCs w:val="30"/>
          <w:lang w:val="en-US" w:eastAsia="zh-CN"/>
        </w:rPr>
        <w:t>87.41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宋体"/>
          <w:color w:val="333333"/>
          <w:kern w:val="0"/>
          <w:sz w:val="30"/>
          <w:szCs w:val="30"/>
          <w:lang w:val="en-US" w:eastAsia="zh-CN"/>
        </w:rPr>
        <w:t>87.41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000000"/>
    <w:rsid w:val="04D76E87"/>
    <w:rsid w:val="09AA736C"/>
    <w:rsid w:val="145F12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2906</Words>
  <Characters>3165</Characters>
  <Lines>0</Lines>
  <Paragraphs>0</Paragraphs>
  <TotalTime>0</TotalTime>
  <ScaleCrop>false</ScaleCrop>
  <LinksUpToDate>false</LinksUpToDate>
  <CharactersWithSpaces>3233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2023-10-09T08:10:00Z</dcterms:created>
  <dc:creator>lenovo</dc:creator>
  <cp:lastModifiedBy>Administrator</cp:lastModifiedBy>
  <cp:lastPrinted>2022-05-25T00:43:00Z</cp:lastPrinted>
  <dcterms:modified xsi:type="dcterms:W3CDTF">2023-10-10T12:27:48Z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