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安化县仙溪镇中心卫生院2022年部门预算说明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安化县仙溪镇中心卫生院2022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安化县仙溪镇中心卫生院2022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default" w:ascii="Arial" w:hAnsi="Arial" w:cs="Arial"/>
          <w:color w:val="333333"/>
          <w:sz w:val="30"/>
          <w:szCs w:val="30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  <w:lang w:eastAsia="zh-CN"/>
        </w:rPr>
        <w:t>为人民身体健康提供医疗与护理保健服务。医疗与护理、保健与健康教育。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是门诊部、内儿科、外科、妇产科、中医理疗科、口腔科、医技科、药剂科、公卫办、行政后勤科、医务科。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安化县仙溪镇中心卫生院部门只有本级，没有其他预算单位，因此本部门预算仅含本级预算。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16.24万元，卫生健康支出73.15万元，住房保障支出15.75万元。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幅7.03%，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105.14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16.24万元；卫生健康支出73.15万元；住房保障支出15.75万元。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幅7.03%，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7.95万元（工资福利支出较去年减少7.95万元）在职在编人员基本工资、津补贴、养老保险是固定预算没有增加，住房公积金是差额预算本年度有所减少。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105.14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105.14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9F922E0"/>
    <w:rsid w:val="1A756B85"/>
    <w:rsid w:val="1DD82CB2"/>
    <w:rsid w:val="1E3638DD"/>
    <w:rsid w:val="1EF103FC"/>
    <w:rsid w:val="238E6D3A"/>
    <w:rsid w:val="2BC85162"/>
    <w:rsid w:val="2D575CAE"/>
    <w:rsid w:val="2D580BC3"/>
    <w:rsid w:val="31314F34"/>
    <w:rsid w:val="318442C1"/>
    <w:rsid w:val="31CC3D6B"/>
    <w:rsid w:val="3357612F"/>
    <w:rsid w:val="343C24D6"/>
    <w:rsid w:val="36E67177"/>
    <w:rsid w:val="36F81C1E"/>
    <w:rsid w:val="398C516F"/>
    <w:rsid w:val="3D8E5BB2"/>
    <w:rsid w:val="3FE73728"/>
    <w:rsid w:val="453408E8"/>
    <w:rsid w:val="473E4357"/>
    <w:rsid w:val="47AA2DE0"/>
    <w:rsid w:val="4D6D6B33"/>
    <w:rsid w:val="4DD747C1"/>
    <w:rsid w:val="4E4946FF"/>
    <w:rsid w:val="50951751"/>
    <w:rsid w:val="50A4365C"/>
    <w:rsid w:val="54010786"/>
    <w:rsid w:val="54F42DC3"/>
    <w:rsid w:val="57686BA7"/>
    <w:rsid w:val="5F783CDC"/>
    <w:rsid w:val="61F2020B"/>
    <w:rsid w:val="631014CE"/>
    <w:rsid w:val="64AB52C5"/>
    <w:rsid w:val="65BB5828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21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2023-10-10T11:39:46Z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A5E3367FF7B54EED99526975C0A19174</vt:lpwstr>
  </property>
</Properties>
</file>