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安化县江南镇中心学校2022年部门预算说明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安化县江南镇中心学校2022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安化县江南镇中心学校2022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</w:rPr>
        <w:t>分别是办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46.97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46.97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教育支出1996.77 万元，社会保障和就业支出366.37 万元，卫生健康支出164.36 万元，住房保障支出223.95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46.97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41.97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2746.45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46.97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增幅1.74%，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经费拨款增加46.97万元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教育支出1996.77 万元，社会保障和就业支出366.37 万元，卫生健康支出164.36 万元，住房保障支出223.95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46.97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增幅1.74%，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41.97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15.78 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减少0.82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减少4.94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444.93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258.00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,政府采购工程预算90.50万元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96.43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2751.45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2746.45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31557CB"/>
    <w:rsid w:val="1E3638DD"/>
    <w:rsid w:val="201B0C75"/>
    <w:rsid w:val="23313284"/>
    <w:rsid w:val="24762AC5"/>
    <w:rsid w:val="24B74D25"/>
    <w:rsid w:val="2BC85162"/>
    <w:rsid w:val="2D575CAE"/>
    <w:rsid w:val="2F725125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7FB596D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2935</Characters>
  <Lines>18</Lines>
  <Paragraphs>5</Paragraphs>
  <TotalTime>0</TotalTime>
  <ScaleCrop>false</ScaleCrop>
  <LinksUpToDate>false</LinksUpToDate>
  <CharactersWithSpaces>3024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2023-10-11T08:30:20Z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