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82" w:rsidRDefault="00FD3E1B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2024年安化县文化旅游市场综合执法大队</w:t>
      </w:r>
    </w:p>
    <w:p w:rsidR="00C71082" w:rsidRDefault="00FD3E1B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部门预算公开</w:t>
      </w:r>
    </w:p>
    <w:p w:rsidR="00C71082" w:rsidRDefault="00FD3E1B">
      <w:pPr>
        <w:widowControl/>
        <w:spacing w:line="600" w:lineRule="exact"/>
        <w:jc w:val="center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目</w:t>
      </w:r>
      <w:r>
        <w:rPr>
          <w:rFonts w:eastAsia="黑体"/>
          <w:bCs/>
          <w:kern w:val="0"/>
        </w:rPr>
        <w:t xml:space="preserve"> </w:t>
      </w:r>
      <w:r>
        <w:rPr>
          <w:rFonts w:eastAsia="黑体"/>
          <w:bCs/>
          <w:kern w:val="0"/>
        </w:rPr>
        <w:t>录</w:t>
      </w:r>
    </w:p>
    <w:p w:rsidR="00C71082" w:rsidRPr="001807DF" w:rsidRDefault="00FD3E1B" w:rsidP="00433011">
      <w:pPr>
        <w:widowControl/>
        <w:numPr>
          <w:ilvl w:val="0"/>
          <w:numId w:val="1"/>
        </w:numPr>
        <w:spacing w:line="600" w:lineRule="exact"/>
        <w:ind w:firstLineChars="200" w:firstLine="634"/>
        <w:jc w:val="center"/>
        <w:rPr>
          <w:b/>
          <w:kern w:val="0"/>
        </w:rPr>
      </w:pPr>
      <w:r w:rsidRPr="001807DF">
        <w:rPr>
          <w:rFonts w:hint="eastAsia"/>
          <w:b/>
          <w:kern w:val="0"/>
        </w:rPr>
        <w:t>2024年安化县文化旅游市场综合行政执法大队</w:t>
      </w:r>
      <w:r w:rsidRPr="001807DF">
        <w:rPr>
          <w:b/>
          <w:kern w:val="0"/>
        </w:rPr>
        <w:t>部门预算说明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部门基本概况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部门预算单位构成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kern w:val="0"/>
          <w:sz w:val="28"/>
          <w:szCs w:val="28"/>
        </w:rPr>
        <w:t>部门收支总体情况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一般公共预算拨款支出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政府性基金预算支出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其他重要事项的情况说明</w:t>
      </w:r>
    </w:p>
    <w:p w:rsidR="00C71082" w:rsidRDefault="00FD3E1B">
      <w:pPr>
        <w:widowControl/>
        <w:numPr>
          <w:ilvl w:val="0"/>
          <w:numId w:val="2"/>
        </w:numPr>
        <w:spacing w:line="600" w:lineRule="exact"/>
        <w:rPr>
          <w:rFonts w:eastAsia="黑体"/>
          <w:bCs/>
          <w:kern w:val="0"/>
          <w:sz w:val="28"/>
          <w:szCs w:val="28"/>
        </w:rPr>
      </w:pPr>
      <w:r>
        <w:rPr>
          <w:rFonts w:eastAsia="黑体"/>
          <w:bCs/>
          <w:sz w:val="28"/>
          <w:szCs w:val="28"/>
        </w:rPr>
        <w:t>名词解释</w:t>
      </w:r>
    </w:p>
    <w:p w:rsidR="00C71082" w:rsidRDefault="00FD3E1B" w:rsidP="00433011">
      <w:pPr>
        <w:widowControl/>
        <w:spacing w:line="600" w:lineRule="exact"/>
        <w:ind w:firstLineChars="200" w:firstLine="634"/>
        <w:jc w:val="center"/>
        <w:rPr>
          <w:b/>
          <w:bCs/>
          <w:kern w:val="0"/>
        </w:rPr>
      </w:pPr>
      <w:r>
        <w:rPr>
          <w:b/>
          <w:bCs/>
          <w:kern w:val="0"/>
        </w:rPr>
        <w:t xml:space="preserve">第二部分 </w:t>
      </w:r>
      <w:r>
        <w:rPr>
          <w:rFonts w:hint="eastAsia"/>
          <w:b/>
          <w:bCs/>
          <w:kern w:val="0"/>
        </w:rPr>
        <w:t>2024</w:t>
      </w:r>
      <w:r>
        <w:rPr>
          <w:b/>
          <w:bCs/>
          <w:kern w:val="0"/>
        </w:rPr>
        <w:t>年部门预算</w:t>
      </w:r>
      <w:r>
        <w:rPr>
          <w:rFonts w:hint="eastAsia"/>
          <w:b/>
          <w:bCs/>
          <w:kern w:val="0"/>
        </w:rPr>
        <w:t>公开的</w:t>
      </w:r>
      <w:r>
        <w:rPr>
          <w:b/>
          <w:bCs/>
          <w:kern w:val="0"/>
        </w:rPr>
        <w:t>表</w:t>
      </w:r>
      <w:r>
        <w:rPr>
          <w:rFonts w:hint="eastAsia"/>
          <w:b/>
          <w:bCs/>
          <w:kern w:val="0"/>
        </w:rPr>
        <w:t>格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收支总表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收入总表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支出总表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支出预算分类汇总表（按政府预算经济分类）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支出预算分类汇总表（按部门预算经济分类）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财政拨款收支总表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一般公共预算基本支出表——人员经费（工资福利支出）（按政府预算经济分类）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一般公共预算基本支出表——人员经费（工资福利支出）（按部门预算经济分类）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一般公共预算基本支出表——人员经费（对个人和家庭的补助）（按政府预算经济分类）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一般公共预算基本支出表——人员经费（对个人和家庭的补助）（按部门预算经济分类）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一般公共预算基本支出表——公用经费（商品和服务支出）（按政府预算经济分类）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一般公共预算基本支出表——公用经费（商品和服务支出）（按部门预算经济分类）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一般公共预算“三公”经费支出表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政府性基金预算支出分类汇总表（按政府预算经济分类）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政府性基金预算支出分类汇总表（按部门预算经济分类）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国有资本经营预算支出表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财政专户管理资金预算支出表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专项资金预算汇总表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项目支出绩效目标表</w:t>
      </w:r>
    </w:p>
    <w:p w:rsidR="00C71082" w:rsidRDefault="00FD3E1B">
      <w:pPr>
        <w:widowControl/>
        <w:numPr>
          <w:ilvl w:val="0"/>
          <w:numId w:val="3"/>
        </w:numPr>
        <w:spacing w:line="600" w:lineRule="exact"/>
        <w:rPr>
          <w:bCs/>
          <w:kern w:val="0"/>
        </w:rPr>
      </w:pPr>
      <w:r>
        <w:rPr>
          <w:rFonts w:eastAsia="黑体" w:hint="eastAsia"/>
          <w:sz w:val="28"/>
          <w:szCs w:val="28"/>
        </w:rPr>
        <w:t>整体支出绩效目标表</w:t>
      </w:r>
    </w:p>
    <w:p w:rsidR="00C71082" w:rsidRDefault="00FD3E1B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br w:type="page"/>
      </w: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 w:hint="eastAsia"/>
          <w:bCs/>
          <w:kern w:val="0"/>
          <w:sz w:val="36"/>
          <w:szCs w:val="36"/>
        </w:rPr>
        <w:t>2024</w:t>
      </w:r>
      <w:r>
        <w:rPr>
          <w:rFonts w:eastAsia="方正小标宋_GBK" w:hint="eastAsia"/>
          <w:bCs/>
          <w:kern w:val="0"/>
          <w:sz w:val="36"/>
          <w:szCs w:val="36"/>
        </w:rPr>
        <w:t>年安化县文化旅游市场综合行政执法大队</w:t>
      </w:r>
      <w:r>
        <w:rPr>
          <w:rFonts w:eastAsia="方正小标宋_GBK"/>
          <w:bCs/>
          <w:kern w:val="0"/>
          <w:sz w:val="36"/>
          <w:szCs w:val="36"/>
        </w:rPr>
        <w:t>部门预算说明</w:t>
      </w:r>
    </w:p>
    <w:p w:rsidR="00C71082" w:rsidRDefault="00FD3E1B" w:rsidP="004772F5">
      <w:pPr>
        <w:widowControl/>
        <w:spacing w:line="600" w:lineRule="exact"/>
        <w:ind w:firstLineChars="196" w:firstLine="619"/>
        <w:jc w:val="left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一、部门基本概况</w:t>
      </w:r>
    </w:p>
    <w:p w:rsidR="00C71082" w:rsidRDefault="00FD3E1B" w:rsidP="00433011">
      <w:pPr>
        <w:spacing w:line="620" w:lineRule="exact"/>
        <w:ind w:firstLineChars="200" w:firstLine="634"/>
        <w:rPr>
          <w:rFonts w:eastAsia="楷体_GB2312"/>
          <w:bCs/>
        </w:rPr>
      </w:pPr>
      <w:r>
        <w:rPr>
          <w:rFonts w:eastAsia="楷体_GB2312"/>
          <w:b/>
        </w:rPr>
        <w:t>（一）职能职责。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仿宋_GB2312" w:hint="eastAsia"/>
          <w:color w:val="000000"/>
          <w:kern w:val="0"/>
        </w:rPr>
        <w:t>1</w:t>
      </w:r>
      <w:r>
        <w:rPr>
          <w:rFonts w:ascii="宋体" w:hAnsi="宋体" w:cs="仿宋_GB2312" w:hint="eastAsia"/>
          <w:color w:val="000000"/>
          <w:kern w:val="0"/>
        </w:rPr>
        <w:t>、</w:t>
      </w:r>
      <w:r>
        <w:rPr>
          <w:rFonts w:ascii="宋体" w:hAnsi="宋体" w:cs="宋体" w:hint="eastAsia"/>
          <w:color w:val="000000"/>
          <w:kern w:val="0"/>
        </w:rPr>
        <w:t>宣传、贯彻文化、旅游、广电、体育市场管理的法律法规。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仿宋_GB2312" w:hint="eastAsia"/>
          <w:color w:val="000000"/>
          <w:kern w:val="0"/>
        </w:rPr>
        <w:t>2</w:t>
      </w:r>
      <w:r>
        <w:rPr>
          <w:rFonts w:ascii="宋体" w:hAnsi="宋体" w:cs="仿宋_GB2312" w:hint="eastAsia"/>
          <w:color w:val="000000"/>
          <w:kern w:val="0"/>
        </w:rPr>
        <w:t>、依法对文化、旅游、广电、体育经营单位及其经</w:t>
      </w:r>
      <w:r>
        <w:rPr>
          <w:rFonts w:ascii="宋体" w:hAnsi="宋体" w:cs="仿宋_GB2312" w:hint="eastAsia"/>
          <w:color w:val="000000"/>
          <w:kern w:val="0"/>
        </w:rPr>
        <w:t xml:space="preserve"> </w:t>
      </w:r>
      <w:r>
        <w:rPr>
          <w:rFonts w:ascii="宋体" w:hAnsi="宋体" w:cs="仿宋_GB2312" w:hint="eastAsia"/>
          <w:color w:val="000000"/>
          <w:kern w:val="0"/>
        </w:rPr>
        <w:t>营活动进行监督和检查，依法管理和维护全县文化、旅游、广</w:t>
      </w:r>
      <w:r>
        <w:rPr>
          <w:rFonts w:ascii="宋体" w:hAnsi="宋体" w:cs="宋体" w:hint="eastAsia"/>
          <w:color w:val="000000"/>
          <w:kern w:val="0"/>
        </w:rPr>
        <w:t>电、体育市场秩序。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仿宋_GB2312"/>
          <w:color w:val="000000"/>
          <w:kern w:val="0"/>
        </w:rPr>
      </w:pPr>
      <w:r>
        <w:rPr>
          <w:rFonts w:ascii="宋体" w:hAnsi="宋体" w:cs="仿宋_GB2312" w:hint="eastAsia"/>
          <w:color w:val="000000"/>
          <w:kern w:val="0"/>
        </w:rPr>
        <w:t>3</w:t>
      </w:r>
      <w:r>
        <w:rPr>
          <w:rFonts w:ascii="宋体" w:hAnsi="宋体" w:cs="仿宋_GB2312" w:hint="eastAsia"/>
          <w:color w:val="000000"/>
          <w:kern w:val="0"/>
        </w:rPr>
        <w:t>、依法管理演出市场、新闻出版市场，依法</w:t>
      </w:r>
      <w:r>
        <w:rPr>
          <w:rFonts w:ascii="宋体" w:hAnsi="宋体" w:cs="仿宋_GB2312" w:hint="eastAsia"/>
          <w:color w:val="000000"/>
          <w:kern w:val="0"/>
        </w:rPr>
        <w:t xml:space="preserve"> </w:t>
      </w:r>
      <w:r>
        <w:rPr>
          <w:rFonts w:ascii="宋体" w:hAnsi="宋体" w:cs="仿宋_GB2312" w:hint="eastAsia"/>
          <w:color w:val="000000"/>
          <w:kern w:val="0"/>
        </w:rPr>
        <w:t>清理、整顿全县演出、版权市场，适时开展有关“扫黄打非”</w:t>
      </w:r>
      <w:r>
        <w:rPr>
          <w:rFonts w:ascii="宋体" w:hAnsi="宋体" w:cs="仿宋_GB2312" w:hint="eastAsia"/>
          <w:color w:val="000000"/>
          <w:kern w:val="0"/>
        </w:rPr>
        <w:t xml:space="preserve"> </w:t>
      </w:r>
      <w:r>
        <w:rPr>
          <w:rFonts w:ascii="宋体" w:hAnsi="宋体" w:cs="仿宋_GB2312" w:hint="eastAsia"/>
          <w:color w:val="000000"/>
          <w:kern w:val="0"/>
        </w:rPr>
        <w:t>工作。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4</w:t>
      </w:r>
      <w:r>
        <w:rPr>
          <w:rFonts w:ascii="宋体" w:hAnsi="宋体" w:cs="宋体" w:hint="eastAsia"/>
          <w:color w:val="000000"/>
          <w:kern w:val="0"/>
        </w:rPr>
        <w:t>、依法管理全县文物、音像制品、娱乐和互联网市场，保护合法经营，制止和查处文化、旅游、广电、体育经营中的违</w:t>
      </w:r>
      <w:r>
        <w:rPr>
          <w:rFonts w:ascii="宋体" w:hAnsi="宋体" w:cs="宋体" w:hint="eastAsia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法行为。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5</w:t>
      </w:r>
      <w:r>
        <w:rPr>
          <w:rFonts w:ascii="宋体" w:hAnsi="宋体" w:cs="宋体" w:hint="eastAsia"/>
          <w:color w:val="000000"/>
          <w:kern w:val="0"/>
        </w:rPr>
        <w:t>、依法对全县广播电视工作进行行政监管，查处违法违</w:t>
      </w:r>
      <w:r>
        <w:rPr>
          <w:rFonts w:ascii="宋体" w:hAnsi="宋体" w:cs="宋体" w:hint="eastAsia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规行为，打击破坏广播电视信号及其设施的行为，维护广播电</w:t>
      </w:r>
      <w:r>
        <w:rPr>
          <w:rFonts w:ascii="宋体" w:hAnsi="宋体" w:cs="宋体" w:hint="eastAsia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视正常工作秩序。</w:t>
      </w:r>
    </w:p>
    <w:p w:rsidR="00C71082" w:rsidRDefault="00FD3E1B">
      <w:pPr>
        <w:spacing w:line="620" w:lineRule="exact"/>
        <w:ind w:firstLineChars="200" w:firstLine="632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6</w:t>
      </w:r>
      <w:r>
        <w:rPr>
          <w:rFonts w:ascii="宋体" w:hAnsi="宋体" w:cs="宋体" w:hint="eastAsia"/>
          <w:color w:val="000000"/>
          <w:kern w:val="0"/>
        </w:rPr>
        <w:t>、负责组织协调全县文化、旅游、广电、体育</w:t>
      </w:r>
      <w:r>
        <w:rPr>
          <w:rFonts w:ascii="宋体" w:hAnsi="宋体" w:cs="宋体" w:hint="eastAsia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市场统一集中执法，承担全县文化市场综合执法工作。</w:t>
      </w:r>
    </w:p>
    <w:p w:rsidR="00C71082" w:rsidRDefault="00FD3E1B" w:rsidP="00433011">
      <w:pPr>
        <w:widowControl/>
        <w:spacing w:line="600" w:lineRule="exact"/>
        <w:ind w:firstLineChars="196" w:firstLine="622"/>
        <w:jc w:val="left"/>
        <w:rPr>
          <w:rFonts w:eastAsia="楷体_GB2312"/>
          <w:bCs/>
        </w:rPr>
      </w:pPr>
      <w:r>
        <w:rPr>
          <w:rFonts w:eastAsia="楷体_GB2312"/>
          <w:b/>
        </w:rPr>
        <w:t>（二）机构设置。</w:t>
      </w:r>
    </w:p>
    <w:p w:rsidR="00C71082" w:rsidRDefault="00FD3E1B">
      <w:pPr>
        <w:spacing w:line="620" w:lineRule="exact"/>
        <w:ind w:firstLineChars="100" w:firstLine="316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lastRenderedPageBreak/>
        <w:t>内设</w:t>
      </w:r>
      <w:r>
        <w:rPr>
          <w:rFonts w:ascii="宋体" w:eastAsia="宋体" w:hAnsi="宋体" w:cs="宋体" w:hint="eastAsia"/>
          <w:color w:val="000000"/>
          <w:kern w:val="0"/>
        </w:rPr>
        <w:t>股室分别是</w:t>
      </w:r>
      <w:r>
        <w:rPr>
          <w:rFonts w:ascii="宋体" w:hAnsi="宋体" w:cs="宋体" w:hint="eastAsia"/>
          <w:color w:val="000000"/>
          <w:kern w:val="0"/>
        </w:rPr>
        <w:t>：办公室、财务室、文化广电体育办案组、新闻出版旅游文物办案组。</w:t>
      </w:r>
    </w:p>
    <w:p w:rsidR="00C71082" w:rsidRDefault="00FD3E1B">
      <w:pPr>
        <w:spacing w:line="620" w:lineRule="exact"/>
        <w:ind w:firstLineChars="200" w:firstLine="632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1.</w:t>
      </w:r>
      <w:r>
        <w:rPr>
          <w:rFonts w:ascii="宋体" w:hAnsi="宋体" w:cs="宋体" w:hint="eastAsia"/>
          <w:color w:val="000000"/>
          <w:kern w:val="0"/>
        </w:rPr>
        <w:t>办公室。负责组织、管理、协调队内日常工作，负责绩效考核、后勤管理、督查督办、文秘、机要、保密、档案（含各案卷编号、登记造册及保管）、考勤、对外联络、党建等工作，完成上级交代的其他工作任务。</w:t>
      </w:r>
    </w:p>
    <w:p w:rsidR="00C71082" w:rsidRDefault="00FD3E1B">
      <w:pPr>
        <w:spacing w:line="620" w:lineRule="exact"/>
        <w:ind w:firstLineChars="200" w:firstLine="632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2.</w:t>
      </w:r>
      <w:r>
        <w:rPr>
          <w:rFonts w:ascii="宋体" w:hAnsi="宋体" w:cs="宋体" w:hint="eastAsia"/>
          <w:color w:val="000000"/>
          <w:kern w:val="0"/>
        </w:rPr>
        <w:t>财务室。负责财务、内部审计、资产管理、人事管理、工会工作。按上级要求组织实施单位财务制度，对报销单据进行审核，每月按时报送财务报表。负责处理工会、女工日常事务工作，组织全队干职工开展健康向上的文化体育活动，丰富干职工生活。</w:t>
      </w:r>
    </w:p>
    <w:p w:rsidR="00C71082" w:rsidRDefault="00FD3E1B">
      <w:pPr>
        <w:spacing w:line="620" w:lineRule="exact"/>
        <w:ind w:firstLineChars="200" w:firstLine="632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3.</w:t>
      </w:r>
      <w:r>
        <w:rPr>
          <w:rFonts w:ascii="宋体" w:hAnsi="宋体" w:cs="宋体" w:hint="eastAsia"/>
          <w:color w:val="000000"/>
          <w:kern w:val="0"/>
        </w:rPr>
        <w:t>文化广电体育办案组。宣传、贯彻文化、广电、体育市场管理的法律法规；依法管理和维护全县文化、广电、体育市场秩序，对文化、广电、体育经营单位及经营活动进行监督和检查；制止和查处文化、广电、体育经营活动中的违法行为，负责经办案件卷宗归档前的保管。配合法制安全股完成文化经营单位的疫情防控和安全生产工作，完成上级交办的其他工作任务。</w:t>
      </w:r>
    </w:p>
    <w:p w:rsidR="00C71082" w:rsidRDefault="00FD3E1B">
      <w:pPr>
        <w:spacing w:line="620" w:lineRule="exact"/>
        <w:ind w:firstLineChars="200" w:firstLine="632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4.</w:t>
      </w:r>
      <w:r>
        <w:rPr>
          <w:rFonts w:ascii="宋体" w:hAnsi="宋体" w:cs="宋体" w:hint="eastAsia"/>
          <w:color w:val="000000"/>
          <w:kern w:val="0"/>
        </w:rPr>
        <w:t>新闻出版旅游文物办案组。根据《新闻出版（版权）行政执法委托书》的规定，负责组织开展新闻出版市场管理的法律法规宣传教育活动，负责对县域内音像制品经营活动以及印刷企业、书报刊经营场所等进行监督检查并查处违法违规行为。负责“扫</w:t>
      </w:r>
      <w:r>
        <w:rPr>
          <w:rFonts w:ascii="宋体" w:hAnsi="宋体" w:cs="宋体" w:hint="eastAsia"/>
          <w:color w:val="000000"/>
          <w:kern w:val="0"/>
        </w:rPr>
        <w:lastRenderedPageBreak/>
        <w:t>黄打非”专项整治工作。宣传、贯彻旅游市场管理的法律法规；依法管理全县旅游、文物市场，保护合法经营；制止和查处旅游经营活动中的违法行为以及文物管理中的违法行为，负责经办案件卷宗归档前的保管。配合法制安全股完成新闻出版经营单位的安全生产工作，完成上级交办的其他工作任务。</w:t>
      </w:r>
    </w:p>
    <w:p w:rsidR="00C71082" w:rsidRDefault="00FD3E1B" w:rsidP="004772F5">
      <w:pPr>
        <w:widowControl/>
        <w:spacing w:line="600" w:lineRule="exact"/>
        <w:ind w:firstLineChars="196" w:firstLine="619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>二、部门预算单位构成</w:t>
      </w:r>
    </w:p>
    <w:p w:rsidR="00C71082" w:rsidRDefault="00FD3E1B" w:rsidP="004772F5">
      <w:pPr>
        <w:widowControl/>
        <w:spacing w:line="600" w:lineRule="exact"/>
        <w:ind w:firstLineChars="196" w:firstLine="619"/>
      </w:pPr>
      <w:r>
        <w:rPr>
          <w:rFonts w:hint="eastAsia"/>
          <w:color w:val="000000"/>
        </w:rPr>
        <w:t>安化县文化市场综合行政执法大队</w:t>
      </w:r>
      <w:r>
        <w:t>部门只有本级，没有其他预算单位，因此本部门预算仅含本级预算。</w:t>
      </w:r>
    </w:p>
    <w:p w:rsidR="00C71082" w:rsidRDefault="00FD3E1B" w:rsidP="004772F5">
      <w:pPr>
        <w:widowControl/>
        <w:spacing w:line="600" w:lineRule="exact"/>
        <w:ind w:firstLineChars="196" w:firstLine="619"/>
        <w:jc w:val="left"/>
        <w:rPr>
          <w:rFonts w:eastAsia="黑体"/>
          <w:bCs/>
          <w:kern w:val="0"/>
        </w:rPr>
      </w:pPr>
      <w:r>
        <w:rPr>
          <w:rFonts w:eastAsia="黑体"/>
          <w:bCs/>
          <w:kern w:val="0"/>
        </w:rPr>
        <w:t>三、部门收支总体情况</w:t>
      </w:r>
    </w:p>
    <w:p w:rsidR="00C71082" w:rsidRDefault="00FD3E1B" w:rsidP="00433011">
      <w:pPr>
        <w:widowControl/>
        <w:spacing w:line="600" w:lineRule="exact"/>
        <w:ind w:firstLineChars="196" w:firstLine="622"/>
        <w:rPr>
          <w:b/>
        </w:rPr>
      </w:pPr>
      <w:r>
        <w:rPr>
          <w:rFonts w:eastAsia="楷体_GB2312"/>
          <w:b/>
        </w:rPr>
        <w:t>（一）收入预算：</w:t>
      </w:r>
      <w:r>
        <w:t>包括一般公共预算、政府性基金、国有资本经营预算等财政拨款收入，以及经营收入、事业收入等单位资金。</w:t>
      </w:r>
      <w:r>
        <w:rPr>
          <w:rFonts w:hint="eastAsia"/>
        </w:rPr>
        <w:t>2024</w:t>
      </w:r>
      <w:r>
        <w:t>年本部门收入预算</w:t>
      </w:r>
      <w:r>
        <w:rPr>
          <w:rFonts w:hint="eastAsia"/>
        </w:rPr>
        <w:t>1</w:t>
      </w:r>
      <w:r w:rsidRPr="001807DF">
        <w:rPr>
          <w:rFonts w:hint="eastAsia"/>
        </w:rPr>
        <w:t>88.86</w:t>
      </w:r>
      <w:r>
        <w:t>万元，其中，一般公共预算拨款</w:t>
      </w:r>
      <w:r>
        <w:rPr>
          <w:rFonts w:hint="eastAsia"/>
        </w:rPr>
        <w:t>1</w:t>
      </w:r>
      <w:r w:rsidRPr="001807DF">
        <w:rPr>
          <w:rFonts w:hint="eastAsia"/>
        </w:rPr>
        <w:t>88.86</w:t>
      </w:r>
      <w:r>
        <w:t>万元，政府性基金预算拨款</w:t>
      </w:r>
      <w:r>
        <w:rPr>
          <w:rFonts w:hint="eastAsia"/>
        </w:rPr>
        <w:t>0</w:t>
      </w:r>
      <w:r>
        <w:t>万元，国有资本经营预算拨款</w:t>
      </w:r>
      <w:r>
        <w:rPr>
          <w:rFonts w:hint="eastAsia"/>
        </w:rPr>
        <w:t>0</w:t>
      </w:r>
      <w:r>
        <w:t>万元，纳入专户管理的非税收入</w:t>
      </w:r>
      <w:r>
        <w:rPr>
          <w:rFonts w:hint="eastAsia"/>
        </w:rPr>
        <w:t>0</w:t>
      </w:r>
      <w:r>
        <w:t>万元。</w:t>
      </w:r>
      <w:r>
        <w:rPr>
          <w:b/>
        </w:rPr>
        <w:t>收入较去年增加</w:t>
      </w:r>
      <w:r>
        <w:rPr>
          <w:rFonts w:hint="eastAsia"/>
          <w:b/>
        </w:rPr>
        <w:t>15</w:t>
      </w:r>
      <w:r w:rsidRPr="00433011">
        <w:rPr>
          <w:rFonts w:hint="eastAsia"/>
          <w:b/>
        </w:rPr>
        <w:t>.04</w:t>
      </w:r>
      <w:r>
        <w:rPr>
          <w:b/>
        </w:rPr>
        <w:t>万元，主要是拨款增加。</w:t>
      </w:r>
    </w:p>
    <w:p w:rsidR="00C71082" w:rsidRDefault="00FD3E1B" w:rsidP="00433011">
      <w:pPr>
        <w:widowControl/>
        <w:spacing w:line="600" w:lineRule="exact"/>
        <w:ind w:firstLineChars="196" w:firstLine="622"/>
        <w:jc w:val="left"/>
        <w:rPr>
          <w:b/>
        </w:rPr>
      </w:pPr>
      <w:r>
        <w:rPr>
          <w:rFonts w:eastAsia="楷体_GB2312"/>
          <w:b/>
        </w:rPr>
        <w:t>（二）支出预算：</w:t>
      </w:r>
      <w:r>
        <w:rPr>
          <w:rFonts w:hint="eastAsia"/>
        </w:rPr>
        <w:t>2024</w:t>
      </w:r>
      <w:r>
        <w:t>年本部门支出预算</w:t>
      </w:r>
      <w:r>
        <w:rPr>
          <w:rFonts w:hint="eastAsia"/>
        </w:rPr>
        <w:t>1</w:t>
      </w:r>
      <w:r w:rsidRPr="001807DF">
        <w:rPr>
          <w:rFonts w:hint="eastAsia"/>
        </w:rPr>
        <w:t>88.86</w:t>
      </w:r>
      <w:r>
        <w:t>万元，其中，一般公共服务</w:t>
      </w:r>
      <w:r>
        <w:rPr>
          <w:rFonts w:hint="eastAsia"/>
        </w:rPr>
        <w:t>20</w:t>
      </w:r>
      <w:r w:rsidRPr="001807DF">
        <w:rPr>
          <w:rFonts w:hint="eastAsia"/>
        </w:rPr>
        <w:t>.27</w:t>
      </w:r>
      <w:r>
        <w:t>万元，</w:t>
      </w:r>
      <w:r>
        <w:rPr>
          <w:rFonts w:hint="eastAsia"/>
        </w:rPr>
        <w:t>文化旅游体育与传媒支出</w:t>
      </w:r>
      <w:r w:rsidRPr="001807DF">
        <w:rPr>
          <w:rFonts w:hint="eastAsia"/>
        </w:rPr>
        <w:t>124.30</w:t>
      </w:r>
      <w:r>
        <w:t>万元，</w:t>
      </w:r>
      <w:r w:rsidRPr="001807DF">
        <w:rPr>
          <w:rFonts w:hint="eastAsia"/>
        </w:rPr>
        <w:t>社</w:t>
      </w:r>
      <w:r>
        <w:rPr>
          <w:rFonts w:hint="eastAsia"/>
        </w:rPr>
        <w:t>会保障和</w:t>
      </w:r>
      <w:r w:rsidRPr="001807DF">
        <w:rPr>
          <w:rFonts w:hint="eastAsia"/>
        </w:rPr>
        <w:t>就业支</w:t>
      </w:r>
      <w:r>
        <w:rPr>
          <w:rFonts w:hint="eastAsia"/>
        </w:rPr>
        <w:t>出</w:t>
      </w:r>
      <w:r w:rsidRPr="001807DF">
        <w:rPr>
          <w:rFonts w:hint="eastAsia"/>
        </w:rPr>
        <w:t>21.10</w:t>
      </w:r>
      <w:r>
        <w:t>万元，</w:t>
      </w:r>
      <w:r w:rsidRPr="001807DF">
        <w:rPr>
          <w:rFonts w:hint="eastAsia"/>
        </w:rPr>
        <w:t>卫生健康支</w:t>
      </w:r>
      <w:r>
        <w:rPr>
          <w:rFonts w:hint="eastAsia"/>
        </w:rPr>
        <w:t>出</w:t>
      </w:r>
      <w:r w:rsidRPr="001807DF">
        <w:rPr>
          <w:rFonts w:hint="eastAsia"/>
        </w:rPr>
        <w:t>8.39</w:t>
      </w:r>
      <w:r>
        <w:t>万元，</w:t>
      </w:r>
      <w:r>
        <w:rPr>
          <w:rFonts w:hint="eastAsia"/>
        </w:rPr>
        <w:t>住房保障支出</w:t>
      </w:r>
      <w:r w:rsidRPr="001807DF">
        <w:rPr>
          <w:rFonts w:hint="eastAsia"/>
        </w:rPr>
        <w:t>14.80</w:t>
      </w:r>
      <w:r>
        <w:t>万元。</w:t>
      </w:r>
      <w:r>
        <w:rPr>
          <w:b/>
        </w:rPr>
        <w:t>支出较去年增加</w:t>
      </w:r>
      <w:r>
        <w:rPr>
          <w:rFonts w:hint="eastAsia"/>
          <w:b/>
        </w:rPr>
        <w:t>1</w:t>
      </w:r>
      <w:r>
        <w:rPr>
          <w:rFonts w:ascii="宋体" w:eastAsia="宋体" w:hAnsi="宋体" w:cs="宋体" w:hint="eastAsia"/>
          <w:b/>
        </w:rPr>
        <w:t>5.04</w:t>
      </w:r>
      <w:r>
        <w:rPr>
          <w:b/>
        </w:rPr>
        <w:t>万元，主要是拨款增加。</w:t>
      </w:r>
    </w:p>
    <w:p w:rsidR="00C71082" w:rsidRDefault="00FD3E1B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四、一般公共预算拨款支出</w:t>
      </w:r>
    </w:p>
    <w:p w:rsidR="00C71082" w:rsidRPr="001807DF" w:rsidRDefault="00FD3E1B">
      <w:pPr>
        <w:widowControl/>
        <w:spacing w:line="600" w:lineRule="exact"/>
        <w:ind w:firstLine="660"/>
        <w:jc w:val="left"/>
      </w:pPr>
      <w:r>
        <w:rPr>
          <w:rFonts w:hint="eastAsia"/>
        </w:rPr>
        <w:lastRenderedPageBreak/>
        <w:t>2024</w:t>
      </w:r>
      <w:r>
        <w:t>年本部门一般公共预算拨款支出预算</w:t>
      </w:r>
      <w:r>
        <w:rPr>
          <w:rFonts w:hint="eastAsia"/>
        </w:rPr>
        <w:t>1</w:t>
      </w:r>
      <w:r w:rsidRPr="001807DF">
        <w:rPr>
          <w:rFonts w:hint="eastAsia"/>
        </w:rPr>
        <w:t>88.86</w:t>
      </w:r>
      <w:r>
        <w:t>万元，其中，一般公共服务支出</w:t>
      </w:r>
      <w:r>
        <w:rPr>
          <w:rFonts w:hint="eastAsia"/>
        </w:rPr>
        <w:t>20</w:t>
      </w:r>
      <w:r w:rsidRPr="001807DF">
        <w:rPr>
          <w:rFonts w:hint="eastAsia"/>
        </w:rPr>
        <w:t>.27</w:t>
      </w:r>
      <w:r>
        <w:t>万元，占</w:t>
      </w:r>
      <w:r>
        <w:rPr>
          <w:rFonts w:hint="eastAsia"/>
        </w:rPr>
        <w:t>10</w:t>
      </w:r>
      <w:r w:rsidRPr="001807DF">
        <w:rPr>
          <w:rFonts w:hint="eastAsia"/>
        </w:rPr>
        <w:t>.7</w:t>
      </w:r>
      <w:r>
        <w:t>%；</w:t>
      </w:r>
      <w:r>
        <w:rPr>
          <w:rFonts w:hint="eastAsia"/>
        </w:rPr>
        <w:t>文化旅游体育与传媒支出</w:t>
      </w:r>
      <w:r w:rsidRPr="001807DF">
        <w:rPr>
          <w:rFonts w:hint="eastAsia"/>
        </w:rPr>
        <w:t>124.30</w:t>
      </w:r>
      <w:r>
        <w:t>万元，</w:t>
      </w:r>
      <w:r w:rsidRPr="001807DF">
        <w:rPr>
          <w:rFonts w:hint="eastAsia"/>
        </w:rPr>
        <w:t>占66%</w:t>
      </w:r>
      <w:r>
        <w:t>；</w:t>
      </w:r>
      <w:r w:rsidRPr="001807DF">
        <w:rPr>
          <w:rFonts w:hint="eastAsia"/>
        </w:rPr>
        <w:t>社</w:t>
      </w:r>
      <w:r>
        <w:rPr>
          <w:rFonts w:hint="eastAsia"/>
        </w:rPr>
        <w:t>会保障和</w:t>
      </w:r>
      <w:r w:rsidRPr="001807DF">
        <w:rPr>
          <w:rFonts w:hint="eastAsia"/>
        </w:rPr>
        <w:t>就业支</w:t>
      </w:r>
      <w:r>
        <w:rPr>
          <w:rFonts w:hint="eastAsia"/>
        </w:rPr>
        <w:t>出</w:t>
      </w:r>
      <w:r w:rsidRPr="001807DF">
        <w:rPr>
          <w:rFonts w:hint="eastAsia"/>
        </w:rPr>
        <w:t>21.10</w:t>
      </w:r>
      <w:r>
        <w:t>万元，占</w:t>
      </w:r>
      <w:r>
        <w:rPr>
          <w:rFonts w:hint="eastAsia"/>
        </w:rPr>
        <w:t>11</w:t>
      </w:r>
      <w:r w:rsidRPr="001807DF">
        <w:rPr>
          <w:rFonts w:hint="eastAsia"/>
        </w:rPr>
        <w:t>.1%；卫生健康支</w:t>
      </w:r>
      <w:r>
        <w:rPr>
          <w:rFonts w:hint="eastAsia"/>
        </w:rPr>
        <w:t>出</w:t>
      </w:r>
      <w:r w:rsidRPr="001807DF">
        <w:rPr>
          <w:rFonts w:hint="eastAsia"/>
        </w:rPr>
        <w:t>8.39</w:t>
      </w:r>
      <w:r>
        <w:t>万元，占</w:t>
      </w:r>
      <w:r>
        <w:rPr>
          <w:rFonts w:hint="eastAsia"/>
        </w:rPr>
        <w:t>4</w:t>
      </w:r>
      <w:r w:rsidRPr="001807DF">
        <w:rPr>
          <w:rFonts w:hint="eastAsia"/>
        </w:rPr>
        <w:t>.4%</w:t>
      </w:r>
      <w:r>
        <w:t>；</w:t>
      </w:r>
      <w:r>
        <w:rPr>
          <w:rFonts w:hint="eastAsia"/>
        </w:rPr>
        <w:t>住房保障支出</w:t>
      </w:r>
      <w:r w:rsidRPr="001807DF">
        <w:rPr>
          <w:rFonts w:hint="eastAsia"/>
        </w:rPr>
        <w:t>14.80</w:t>
      </w:r>
      <w:r>
        <w:t>万元，占</w:t>
      </w:r>
      <w:r w:rsidRPr="001807DF">
        <w:rPr>
          <w:rFonts w:hint="eastAsia"/>
        </w:rPr>
        <w:t>7.8</w:t>
      </w:r>
      <w:r w:rsidR="001807DF" w:rsidRPr="001807DF">
        <w:rPr>
          <w:rFonts w:hint="eastAsia"/>
        </w:rPr>
        <w:t>%</w:t>
      </w:r>
      <w:r>
        <w:t>。具体安排情况如下：</w:t>
      </w:r>
    </w:p>
    <w:p w:rsidR="00C71082" w:rsidRDefault="00FD3E1B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楷体_GB2312"/>
          <w:b/>
        </w:rPr>
        <w:t>（一）基本支出：</w:t>
      </w:r>
      <w:r>
        <w:rPr>
          <w:rFonts w:hint="eastAsia"/>
        </w:rPr>
        <w:t>2024</w:t>
      </w:r>
      <w:r>
        <w:t>年本部门基本支出预算数</w:t>
      </w:r>
      <w:r>
        <w:rPr>
          <w:rFonts w:hint="eastAsia"/>
        </w:rPr>
        <w:t>1</w:t>
      </w:r>
      <w:r>
        <w:rPr>
          <w:rFonts w:ascii="宋体" w:eastAsia="宋体" w:hAnsi="宋体" w:cs="宋体" w:hint="eastAsia"/>
        </w:rPr>
        <w:t>88.86</w:t>
      </w:r>
      <w: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 w:rsidR="00C71082" w:rsidRDefault="00FD3E1B">
      <w:pPr>
        <w:widowControl/>
        <w:spacing w:line="600" w:lineRule="exact"/>
        <w:ind w:firstLine="660"/>
        <w:jc w:val="left"/>
      </w:pPr>
      <w:r>
        <w:rPr>
          <w:rFonts w:eastAsia="楷体_GB2312"/>
          <w:b/>
        </w:rPr>
        <w:t>（二）项目支出：</w:t>
      </w:r>
      <w:r>
        <w:rPr>
          <w:rFonts w:hint="eastAsia"/>
        </w:rPr>
        <w:t>2024</w:t>
      </w:r>
      <w:r>
        <w:t>年本部门项目支出预算</w:t>
      </w:r>
      <w:r>
        <w:rPr>
          <w:rFonts w:hint="eastAsia"/>
        </w:rPr>
        <w:t>0</w:t>
      </w:r>
      <w:r>
        <w:t>万元，主要是部门为完成特定行政工作任务或事业发展目标而发生的支出，包括有关事业发展专项、专项业务费、基本建设支出等，其中：支出</w:t>
      </w:r>
      <w:r>
        <w:rPr>
          <w:rFonts w:hint="eastAsia"/>
        </w:rPr>
        <w:t>0</w:t>
      </w:r>
      <w:r>
        <w:t>万元。</w:t>
      </w:r>
    </w:p>
    <w:p w:rsidR="00C71082" w:rsidRDefault="00FD3E1B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五、政府性基金预算支出</w:t>
      </w:r>
    </w:p>
    <w:p w:rsidR="00C71082" w:rsidRDefault="00FD3E1B">
      <w:pPr>
        <w:widowControl/>
        <w:spacing w:line="600" w:lineRule="exact"/>
        <w:ind w:firstLine="660"/>
        <w:jc w:val="left"/>
      </w:pPr>
      <w:r>
        <w:rPr>
          <w:rFonts w:hint="eastAsia"/>
        </w:rPr>
        <w:t>2024</w:t>
      </w:r>
      <w:r>
        <w:t>年本部门无政府性基金安排的支出。</w:t>
      </w:r>
    </w:p>
    <w:p w:rsidR="00C71082" w:rsidRDefault="00FD3E1B">
      <w:pPr>
        <w:widowControl/>
        <w:spacing w:line="600" w:lineRule="exact"/>
        <w:ind w:firstLine="660"/>
        <w:jc w:val="left"/>
        <w:rPr>
          <w:rFonts w:eastAsia="黑体"/>
        </w:rPr>
      </w:pPr>
      <w:r>
        <w:rPr>
          <w:rFonts w:eastAsia="黑体"/>
        </w:rPr>
        <w:t>六、其他重要事项的情况说明</w:t>
      </w:r>
    </w:p>
    <w:p w:rsidR="00C71082" w:rsidRDefault="00FD3E1B">
      <w:pPr>
        <w:widowControl/>
        <w:spacing w:line="600" w:lineRule="exact"/>
        <w:ind w:firstLine="660"/>
        <w:jc w:val="left"/>
      </w:pPr>
      <w:r>
        <w:rPr>
          <w:rFonts w:eastAsia="楷体_GB2312"/>
          <w:b/>
        </w:rPr>
        <w:t>（一）机关运行经费：</w:t>
      </w:r>
      <w:r>
        <w:rPr>
          <w:rFonts w:hint="eastAsia"/>
        </w:rPr>
        <w:t>2024</w:t>
      </w:r>
      <w:r>
        <w:t>年本部门机关本级</w:t>
      </w:r>
      <w:r>
        <w:rPr>
          <w:rFonts w:hint="eastAsia"/>
        </w:rPr>
        <w:t>1</w:t>
      </w:r>
      <w:r>
        <w:t>家行政事业单位的机关运行经费</w:t>
      </w:r>
      <w:r>
        <w:rPr>
          <w:rFonts w:hint="eastAsia"/>
        </w:rPr>
        <w:t>11.2</w:t>
      </w:r>
      <w:r>
        <w:t>万元，比上年预算</w:t>
      </w:r>
      <w:r>
        <w:rPr>
          <w:rFonts w:hint="eastAsia"/>
        </w:rPr>
        <w:t>增加0.02</w:t>
      </w:r>
      <w:r>
        <w:t>万元，</w:t>
      </w:r>
      <w:r>
        <w:rPr>
          <w:rFonts w:hint="eastAsia"/>
        </w:rPr>
        <w:t>上升0.18</w:t>
      </w:r>
      <w:r>
        <w:t>%，主要是</w:t>
      </w:r>
      <w:r>
        <w:rPr>
          <w:rFonts w:hint="eastAsia"/>
        </w:rPr>
        <w:t>预算增加</w:t>
      </w:r>
      <w:bookmarkStart w:id="0" w:name="_GoBack"/>
      <w:bookmarkEnd w:id="0"/>
      <w:r>
        <w:t>。</w:t>
      </w:r>
    </w:p>
    <w:p w:rsidR="00C71082" w:rsidRDefault="00FD3E1B">
      <w:pPr>
        <w:widowControl/>
        <w:spacing w:line="600" w:lineRule="exact"/>
        <w:ind w:firstLine="660"/>
      </w:pPr>
      <w:r>
        <w:rPr>
          <w:rFonts w:eastAsia="楷体_GB2312"/>
          <w:b/>
        </w:rPr>
        <w:t>（二）</w:t>
      </w:r>
      <w:r>
        <w:rPr>
          <w:rFonts w:eastAsia="楷体_GB2312"/>
          <w:b/>
        </w:rPr>
        <w:t>“</w:t>
      </w:r>
      <w:r>
        <w:rPr>
          <w:rFonts w:eastAsia="楷体_GB2312"/>
          <w:b/>
        </w:rPr>
        <w:t>三公</w:t>
      </w:r>
      <w:r>
        <w:rPr>
          <w:rFonts w:eastAsia="楷体_GB2312"/>
          <w:b/>
        </w:rPr>
        <w:t>”</w:t>
      </w:r>
      <w:r>
        <w:rPr>
          <w:rFonts w:eastAsia="楷体_GB2312"/>
          <w:b/>
        </w:rPr>
        <w:t>经费预算：</w:t>
      </w:r>
      <w:r>
        <w:rPr>
          <w:rFonts w:hint="eastAsia"/>
        </w:rPr>
        <w:t>2024</w:t>
      </w:r>
      <w:r>
        <w:t>年本部门机关本级</w:t>
      </w:r>
      <w:r>
        <w:rPr>
          <w:rFonts w:hint="eastAsia"/>
        </w:rPr>
        <w:t>1</w:t>
      </w:r>
      <w:r>
        <w:t>家行政事业单位</w:t>
      </w:r>
      <w:r>
        <w:t>“</w:t>
      </w:r>
      <w:r>
        <w:t>三公</w:t>
      </w:r>
      <w:r>
        <w:t>”</w:t>
      </w:r>
      <w:r>
        <w:t>经费预算数为</w:t>
      </w:r>
      <w:r>
        <w:rPr>
          <w:rFonts w:hint="eastAsia"/>
        </w:rPr>
        <w:t>0</w:t>
      </w:r>
      <w:r>
        <w:t>万元，其中，公务接待费</w:t>
      </w:r>
      <w:r>
        <w:rPr>
          <w:rFonts w:hint="eastAsia"/>
        </w:rPr>
        <w:t>0</w:t>
      </w:r>
      <w:r>
        <w:t>万元，</w:t>
      </w:r>
      <w:r>
        <w:lastRenderedPageBreak/>
        <w:t>公务用车购置及运行费</w:t>
      </w:r>
      <w:r>
        <w:rPr>
          <w:rFonts w:hint="eastAsia"/>
        </w:rPr>
        <w:t>0</w:t>
      </w:r>
      <w:r>
        <w:t>万元（其中，公务用车购置费</w:t>
      </w:r>
      <w:r>
        <w:rPr>
          <w:rFonts w:hint="eastAsia"/>
        </w:rPr>
        <w:t>0</w:t>
      </w:r>
      <w:r>
        <w:t>万元，公务用车运行费</w:t>
      </w:r>
      <w:r>
        <w:rPr>
          <w:rFonts w:hint="eastAsia"/>
        </w:rPr>
        <w:t>0</w:t>
      </w:r>
      <w:r>
        <w:t>万元），因公出国（境）费</w:t>
      </w:r>
      <w:r>
        <w:rPr>
          <w:rFonts w:hint="eastAsia"/>
        </w:rPr>
        <w:t>0</w:t>
      </w:r>
      <w:r>
        <w:t>万元。</w:t>
      </w:r>
      <w:r>
        <w:rPr>
          <w:rFonts w:hint="eastAsia"/>
        </w:rPr>
        <w:t>2024</w:t>
      </w:r>
      <w:r>
        <w:t>年</w:t>
      </w:r>
      <w:r>
        <w:t>“</w:t>
      </w:r>
      <w:r>
        <w:t>三公</w:t>
      </w:r>
      <w:r>
        <w:t>”</w:t>
      </w:r>
      <w:r>
        <w:t>经费预算较202</w:t>
      </w:r>
      <w:r>
        <w:rPr>
          <w:rFonts w:hint="eastAsia"/>
        </w:rPr>
        <w:t>3</w:t>
      </w:r>
      <w:r>
        <w:t>年减少</w:t>
      </w:r>
      <w:r>
        <w:rPr>
          <w:rFonts w:hint="eastAsia"/>
        </w:rPr>
        <w:t>0</w:t>
      </w:r>
      <w:r>
        <w:t>万元，主要是</w:t>
      </w:r>
      <w:r>
        <w:t>“</w:t>
      </w:r>
      <w:r>
        <w:t>三公</w:t>
      </w:r>
      <w:r>
        <w:t>”</w:t>
      </w:r>
      <w:r>
        <w:t>经费</w:t>
      </w:r>
      <w:r>
        <w:rPr>
          <w:rFonts w:ascii="宋体" w:eastAsia="宋体" w:hAnsi="宋体" w:cs="宋体"/>
        </w:rPr>
        <w:t>统一预算在局机关</w:t>
      </w:r>
      <w:r>
        <w:t>。</w:t>
      </w:r>
    </w:p>
    <w:p w:rsidR="00C71082" w:rsidRDefault="00FD3E1B">
      <w:pPr>
        <w:widowControl/>
        <w:spacing w:line="600" w:lineRule="exact"/>
        <w:ind w:firstLine="660"/>
        <w:rPr>
          <w:kern w:val="0"/>
        </w:rPr>
      </w:pPr>
      <w:r>
        <w:rPr>
          <w:rFonts w:eastAsia="楷体_GB2312"/>
          <w:b/>
        </w:rPr>
        <w:t>（三）一般性支出情况：</w:t>
      </w:r>
      <w:r>
        <w:rPr>
          <w:rFonts w:hint="eastAsia"/>
          <w:kern w:val="0"/>
        </w:rPr>
        <w:t>2024</w:t>
      </w:r>
      <w:r>
        <w:rPr>
          <w:kern w:val="0"/>
        </w:rPr>
        <w:t>年本部门会议费预算</w:t>
      </w:r>
      <w:r>
        <w:rPr>
          <w:rFonts w:hint="eastAsia"/>
        </w:rPr>
        <w:t>0</w:t>
      </w:r>
      <w:r>
        <w:rPr>
          <w:kern w:val="0"/>
        </w:rPr>
        <w:t>万元，拟召开</w:t>
      </w:r>
      <w:r>
        <w:rPr>
          <w:rFonts w:hint="eastAsia"/>
        </w:rPr>
        <w:t>0</w:t>
      </w:r>
      <w:r>
        <w:rPr>
          <w:kern w:val="0"/>
        </w:rPr>
        <w:t>会议，人数</w:t>
      </w:r>
      <w:r>
        <w:rPr>
          <w:rFonts w:hint="eastAsia"/>
        </w:rPr>
        <w:t>0</w:t>
      </w:r>
      <w:r>
        <w:rPr>
          <w:kern w:val="0"/>
        </w:rPr>
        <w:t>人，内容为无；培训费预算</w:t>
      </w:r>
      <w:r>
        <w:rPr>
          <w:rFonts w:hint="eastAsia"/>
        </w:rPr>
        <w:t>0</w:t>
      </w:r>
      <w:r>
        <w:rPr>
          <w:kern w:val="0"/>
        </w:rPr>
        <w:t>万元，拟开展</w:t>
      </w:r>
      <w:r>
        <w:rPr>
          <w:rFonts w:hint="eastAsia"/>
        </w:rPr>
        <w:t>0</w:t>
      </w:r>
      <w:r>
        <w:rPr>
          <w:kern w:val="0"/>
        </w:rPr>
        <w:t>培训，人数</w:t>
      </w:r>
      <w:r>
        <w:rPr>
          <w:rFonts w:hint="eastAsia"/>
        </w:rPr>
        <w:t>0</w:t>
      </w:r>
      <w:r>
        <w:rPr>
          <w:kern w:val="0"/>
        </w:rPr>
        <w:t>人，内容为无；拟举办</w:t>
      </w:r>
      <w:r>
        <w:rPr>
          <w:rFonts w:hint="eastAsia"/>
        </w:rPr>
        <w:t>0</w:t>
      </w:r>
      <w:r>
        <w:rPr>
          <w:kern w:val="0"/>
        </w:rPr>
        <w:t>等节庆、晚会、论坛、赛事活动，经费预算</w:t>
      </w:r>
      <w:r>
        <w:rPr>
          <w:rFonts w:hint="eastAsia"/>
          <w:kern w:val="0"/>
        </w:rPr>
        <w:t>0</w:t>
      </w:r>
      <w:r>
        <w:rPr>
          <w:kern w:val="0"/>
        </w:rPr>
        <w:t>万元。</w:t>
      </w:r>
    </w:p>
    <w:p w:rsidR="00C71082" w:rsidRDefault="00FD3E1B">
      <w:pPr>
        <w:widowControl/>
        <w:spacing w:line="600" w:lineRule="exact"/>
        <w:ind w:firstLine="660"/>
      </w:pPr>
      <w:r>
        <w:rPr>
          <w:rFonts w:eastAsia="楷体_GB2312"/>
          <w:b/>
        </w:rPr>
        <w:t>（四）政府采购情况：</w:t>
      </w:r>
      <w:r>
        <w:rPr>
          <w:rFonts w:hint="eastAsia"/>
        </w:rPr>
        <w:t>2024</w:t>
      </w:r>
      <w:r>
        <w:t>年本部门政府采购预算总额</w:t>
      </w:r>
      <w:r>
        <w:rPr>
          <w:rFonts w:ascii="宋体" w:eastAsia="宋体" w:hAnsi="宋体" w:cs="宋体" w:hint="eastAsia"/>
        </w:rPr>
        <w:t>9</w:t>
      </w:r>
      <w:r>
        <w:t>万元，其中，货物类采购预算</w:t>
      </w:r>
      <w:r>
        <w:rPr>
          <w:rFonts w:hint="eastAsia"/>
        </w:rPr>
        <w:t>5</w:t>
      </w:r>
      <w:r>
        <w:t>万元；工程类采购预算</w:t>
      </w:r>
      <w:r>
        <w:rPr>
          <w:rFonts w:hint="eastAsia"/>
        </w:rPr>
        <w:t>0</w:t>
      </w:r>
      <w:r>
        <w:t>万元；服务类采购预算</w:t>
      </w:r>
      <w:r>
        <w:rPr>
          <w:rFonts w:hint="eastAsia"/>
        </w:rPr>
        <w:t>4</w:t>
      </w:r>
      <w:r>
        <w:t>万元。</w:t>
      </w:r>
    </w:p>
    <w:p w:rsidR="00C71082" w:rsidRDefault="00FD3E1B">
      <w:pPr>
        <w:widowControl/>
        <w:spacing w:line="600" w:lineRule="exact"/>
        <w:ind w:firstLine="660"/>
        <w:jc w:val="left"/>
        <w:rPr>
          <w:bCs/>
          <w:kern w:val="0"/>
        </w:rPr>
      </w:pPr>
      <w:r>
        <w:rPr>
          <w:rFonts w:eastAsia="楷体_GB2312"/>
          <w:b/>
        </w:rPr>
        <w:t>（五）国有资产占用使用及新增资产配置情况：</w:t>
      </w:r>
      <w:r>
        <w:t>截至202</w:t>
      </w:r>
      <w:r>
        <w:rPr>
          <w:rFonts w:hint="eastAsia"/>
        </w:rPr>
        <w:t>3</w:t>
      </w:r>
      <w:r>
        <w:t>年12月底，本部门</w:t>
      </w:r>
      <w:r>
        <w:rPr>
          <w:bCs/>
          <w:kern w:val="0"/>
        </w:rPr>
        <w:t>共有公务用车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辆，其中，机要通信用车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辆，应急保障用车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辆，执法执勤用车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辆，特种专业技术用车  辆，其他按照规定配备的公务用车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辆；单位价值50万元以上通用设备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台，单位价值100万元以上专用设备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台。</w:t>
      </w:r>
      <w:r>
        <w:rPr>
          <w:rFonts w:hint="eastAsia"/>
          <w:bCs/>
          <w:kern w:val="0"/>
        </w:rPr>
        <w:t>2024</w:t>
      </w:r>
      <w:r>
        <w:rPr>
          <w:bCs/>
          <w:kern w:val="0"/>
        </w:rPr>
        <w:t>年拟新增配置公务用车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辆，其中，机要通信用车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辆，应急保障用车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辆，执法执勤用车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辆，特种专业技术用车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辆，其他按照规定配备的公务用车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辆；新增配备单位价值50万元以上通用设备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台，单位价值100万元以上专用设备</w:t>
      </w:r>
      <w:r>
        <w:rPr>
          <w:rFonts w:hint="eastAsia"/>
          <w:bCs/>
          <w:kern w:val="0"/>
        </w:rPr>
        <w:t>0</w:t>
      </w:r>
      <w:r>
        <w:rPr>
          <w:bCs/>
          <w:kern w:val="0"/>
        </w:rPr>
        <w:t>台。</w:t>
      </w:r>
    </w:p>
    <w:p w:rsidR="00C71082" w:rsidRDefault="00FD3E1B">
      <w:pPr>
        <w:widowControl/>
        <w:spacing w:line="600" w:lineRule="exact"/>
        <w:ind w:firstLine="660"/>
        <w:jc w:val="left"/>
        <w:rPr>
          <w:bCs/>
          <w:kern w:val="0"/>
        </w:rPr>
      </w:pPr>
      <w:r>
        <w:rPr>
          <w:rFonts w:eastAsia="楷体_GB2312"/>
          <w:b/>
          <w:bCs/>
          <w:kern w:val="0"/>
        </w:rPr>
        <w:lastRenderedPageBreak/>
        <w:t>（六）预算绩效目标说明：</w:t>
      </w:r>
      <w:r>
        <w:rPr>
          <w:bCs/>
          <w:kern w:val="0"/>
        </w:rPr>
        <w:t>本部门所有支出实行绩效目标管理。纳入</w:t>
      </w:r>
      <w:r>
        <w:rPr>
          <w:rFonts w:hint="eastAsia"/>
          <w:bCs/>
          <w:kern w:val="0"/>
        </w:rPr>
        <w:t>2024</w:t>
      </w:r>
      <w:r>
        <w:rPr>
          <w:bCs/>
          <w:kern w:val="0"/>
        </w:rPr>
        <w:t>年部门整体支出绩效目标的金额为</w:t>
      </w:r>
      <w:r w:rsidRPr="001807DF">
        <w:rPr>
          <w:rFonts w:hint="eastAsia"/>
          <w:bCs/>
          <w:kern w:val="0"/>
        </w:rPr>
        <w:t>188.86</w:t>
      </w:r>
      <w:r>
        <w:rPr>
          <w:bCs/>
          <w:kern w:val="0"/>
        </w:rPr>
        <w:t>万元，其中，基本支出</w:t>
      </w:r>
      <w:r w:rsidRPr="001807DF">
        <w:rPr>
          <w:rFonts w:hint="eastAsia"/>
          <w:bCs/>
          <w:kern w:val="0"/>
        </w:rPr>
        <w:t>188.86</w:t>
      </w:r>
      <w:r>
        <w:rPr>
          <w:bCs/>
          <w:kern w:val="0"/>
        </w:rPr>
        <w:t>万元，项目支出</w:t>
      </w:r>
      <w:r w:rsidRPr="001807DF">
        <w:rPr>
          <w:rFonts w:hint="eastAsia"/>
          <w:bCs/>
          <w:kern w:val="0"/>
        </w:rPr>
        <w:t>0</w:t>
      </w:r>
      <w:r>
        <w:rPr>
          <w:bCs/>
          <w:kern w:val="0"/>
        </w:rPr>
        <w:t>万元，具体绩效目标详见报表。</w:t>
      </w:r>
    </w:p>
    <w:p w:rsidR="00C71082" w:rsidRDefault="00FD3E1B">
      <w:pPr>
        <w:widowControl/>
        <w:spacing w:line="600" w:lineRule="exact"/>
        <w:ind w:firstLine="660"/>
        <w:rPr>
          <w:rFonts w:eastAsia="黑体"/>
        </w:rPr>
      </w:pPr>
      <w:r>
        <w:rPr>
          <w:rFonts w:eastAsia="黑体"/>
        </w:rPr>
        <w:t>七、名词解释</w:t>
      </w:r>
    </w:p>
    <w:p w:rsidR="00C71082" w:rsidRDefault="00FD3E1B">
      <w:pPr>
        <w:widowControl/>
        <w:spacing w:line="600" w:lineRule="exact"/>
        <w:ind w:firstLine="660"/>
      </w:pPr>
      <w: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C71082" w:rsidRDefault="00FD3E1B">
      <w:pPr>
        <w:widowControl/>
        <w:spacing w:line="600" w:lineRule="exact"/>
        <w:ind w:firstLine="660"/>
      </w:pPr>
      <w:r>
        <w:t>2、</w:t>
      </w:r>
      <w:r>
        <w:t>“</w:t>
      </w:r>
      <w:r>
        <w:t>三公</w:t>
      </w:r>
      <w:r>
        <w:t>”</w:t>
      </w:r>
      <w:r>
        <w:t>经费：纳入省（市/县）财政预算管理的</w:t>
      </w:r>
      <w:r>
        <w:t>“</w:t>
      </w:r>
      <w:r>
        <w:t>三公</w:t>
      </w:r>
      <w:r>
        <w:t>“</w:t>
      </w:r>
      <w: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772F5" w:rsidRDefault="004772F5">
      <w:pPr>
        <w:widowControl/>
        <w:spacing w:line="600" w:lineRule="exact"/>
        <w:ind w:firstLine="660"/>
      </w:pPr>
    </w:p>
    <w:p w:rsidR="004772F5" w:rsidRDefault="004772F5">
      <w:pPr>
        <w:widowControl/>
        <w:spacing w:line="600" w:lineRule="exact"/>
        <w:ind w:firstLine="660"/>
      </w:pPr>
    </w:p>
    <w:p w:rsidR="004772F5" w:rsidRDefault="004772F5">
      <w:pPr>
        <w:widowControl/>
        <w:spacing w:line="600" w:lineRule="exact"/>
        <w:ind w:firstLine="660"/>
      </w:pPr>
    </w:p>
    <w:p w:rsidR="004772F5" w:rsidRPr="004772F5" w:rsidRDefault="004772F5">
      <w:pPr>
        <w:widowControl/>
        <w:spacing w:line="600" w:lineRule="exact"/>
        <w:ind w:firstLine="660"/>
      </w:pPr>
    </w:p>
    <w:p w:rsidR="00C71082" w:rsidRDefault="00FD3E1B">
      <w:pPr>
        <w:widowControl/>
        <w:numPr>
          <w:ilvl w:val="0"/>
          <w:numId w:val="4"/>
        </w:numPr>
        <w:spacing w:line="600" w:lineRule="exact"/>
        <w:ind w:firstLineChars="200" w:firstLine="712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 w:hint="eastAsia"/>
          <w:bCs/>
          <w:kern w:val="0"/>
          <w:sz w:val="36"/>
          <w:szCs w:val="36"/>
        </w:rPr>
        <w:lastRenderedPageBreak/>
        <w:t>2024</w:t>
      </w:r>
      <w:r>
        <w:rPr>
          <w:rFonts w:eastAsia="方正小标宋_GBK"/>
          <w:bCs/>
          <w:kern w:val="0"/>
          <w:sz w:val="36"/>
          <w:szCs w:val="36"/>
        </w:rPr>
        <w:t>年部门预算</w:t>
      </w:r>
      <w:r>
        <w:rPr>
          <w:rFonts w:eastAsia="方正小标宋_GBK" w:hint="eastAsia"/>
          <w:bCs/>
          <w:kern w:val="0"/>
          <w:sz w:val="36"/>
          <w:szCs w:val="36"/>
        </w:rPr>
        <w:t>公开的</w:t>
      </w:r>
      <w:r>
        <w:rPr>
          <w:rFonts w:eastAsia="方正小标宋_GBK"/>
          <w:bCs/>
          <w:kern w:val="0"/>
          <w:sz w:val="36"/>
          <w:szCs w:val="36"/>
        </w:rPr>
        <w:t>表</w:t>
      </w:r>
      <w:r>
        <w:rPr>
          <w:rFonts w:eastAsia="方正小标宋_GBK" w:hint="eastAsia"/>
          <w:bCs/>
          <w:kern w:val="0"/>
          <w:sz w:val="36"/>
          <w:szCs w:val="36"/>
        </w:rPr>
        <w:t>格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收支总表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收入总表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支出总表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支出预算分类汇总表（按政府预算经济分类）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支出预算分类汇总表（按部门预算经济分类）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财政拨款收支总表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一般公共预算基本支出表——人员经费（工资福利支出）（按政府预算经济分类）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一般公共预算基本支出表——人员经费（工资福利支出）（按部门预算经济分类）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一般公共预算基本支出表——人员经费（对个人和家庭的补助）（按政府预算经济分类）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一般公共预算基本支出表——人员经费（对个人和家庭的补助）（按部门预算经济分类）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一般公共预算基本支出表——公用经费（商品和服务支出）（按政府预算经济分类）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一般公共预算基本支出表——公用经费（商品和服务支出）（按部门预算经济分类）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一般公共预算“三公”经费支出表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政府性基金预算支出分类汇总表（按政府预算经济分类）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政府性基金预算支出分类汇总表（按部门预算经济分类）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国有资本经营预算支出表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财政专户管理资金预算支出表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专项资金预算汇总表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项目支出绩效目标表</w:t>
      </w:r>
    </w:p>
    <w:p w:rsidR="00C71082" w:rsidRDefault="00FD3E1B">
      <w:pPr>
        <w:widowControl/>
        <w:numPr>
          <w:ilvl w:val="0"/>
          <w:numId w:val="5"/>
        </w:numPr>
        <w:spacing w:line="600" w:lineRule="exact"/>
        <w:rPr>
          <w:bCs/>
          <w:kern w:val="0"/>
          <w:sz w:val="28"/>
          <w:szCs w:val="28"/>
        </w:rPr>
      </w:pPr>
      <w:r>
        <w:rPr>
          <w:rFonts w:eastAsia="黑体" w:hint="eastAsia"/>
          <w:sz w:val="28"/>
          <w:szCs w:val="28"/>
        </w:rPr>
        <w:t>整体支出绩效目标表</w:t>
      </w:r>
    </w:p>
    <w:p w:rsidR="00C71082" w:rsidRDefault="00FD3E1B">
      <w:pPr>
        <w:widowControl/>
        <w:spacing w:line="600" w:lineRule="exact"/>
        <w:rPr>
          <w:bCs/>
          <w:kern w:val="0"/>
        </w:rPr>
      </w:pPr>
      <w:r>
        <w:rPr>
          <w:bCs/>
          <w:kern w:val="0"/>
        </w:rPr>
        <w:t>注：以上部门预算报表中，空表表示本部门无相关收支情况。</w:t>
      </w: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widowControl/>
        <w:spacing w:line="560" w:lineRule="exact"/>
        <w:rPr>
          <w:rFonts w:hAnsi="宋体" w:cs="宋体"/>
          <w:color w:val="333333"/>
          <w:kern w:val="0"/>
        </w:rPr>
      </w:pPr>
    </w:p>
    <w:p w:rsidR="00C71082" w:rsidRDefault="00C71082">
      <w:pPr>
        <w:rPr>
          <w:snapToGrid w:val="0"/>
          <w:color w:val="333333"/>
          <w:kern w:val="0"/>
          <w:sz w:val="28"/>
          <w:szCs w:val="28"/>
        </w:rPr>
      </w:pPr>
    </w:p>
    <w:sectPr w:rsidR="00C71082" w:rsidSect="00C71082">
      <w:footerReference w:type="even" r:id="rId9"/>
      <w:footerReference w:type="default" r:id="rId10"/>
      <w:pgSz w:w="11906" w:h="16838"/>
      <w:pgMar w:top="2098" w:right="1474" w:bottom="1985" w:left="1588" w:header="851" w:footer="1474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742" w:rsidRDefault="00DB3742" w:rsidP="00C71082">
      <w:r>
        <w:separator/>
      </w:r>
    </w:p>
  </w:endnote>
  <w:endnote w:type="continuationSeparator" w:id="1">
    <w:p w:rsidR="00DB3742" w:rsidRDefault="00DB3742" w:rsidP="00C7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BF646B2-604E-4281-AFF5-6ED5099C3C0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60B21C1F-F8A5-4574-B0FD-A975C6B55AC5}"/>
    <w:embedBold r:id="rId3" w:subsetted="1" w:fontKey="{FD7023E6-1160-46BA-86B2-7C0EC99A24A8}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  <w:embedRegular r:id="rId4" w:subsetted="1" w:fontKey="{5F212B61-65B0-4FDE-A0E0-53F6AA96908F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5" w:subsetted="1" w:fontKey="{5D90A7AB-FC6B-4496-9A7D-14AF01FB229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082" w:rsidRDefault="00EB3D43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 w:rsidR="00FD3E1B">
      <w:rPr>
        <w:rStyle w:val="a6"/>
      </w:rPr>
      <w:instrText xml:space="preserve">PAGE  </w:instrText>
    </w:r>
    <w:r>
      <w:fldChar w:fldCharType="end"/>
    </w:r>
  </w:p>
  <w:p w:rsidR="00C71082" w:rsidRDefault="00C7108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082" w:rsidRDefault="00EB3D43">
    <w:pPr>
      <w:pStyle w:val="a4"/>
      <w:framePr w:wrap="around" w:vAnchor="text" w:hAnchor="margin" w:xAlign="outside" w:y="1"/>
      <w:rPr>
        <w:rStyle w:val="a6"/>
        <w:sz w:val="28"/>
        <w:szCs w:val="28"/>
      </w:rPr>
    </w:pPr>
    <w:r>
      <w:rPr>
        <w:sz w:val="28"/>
        <w:szCs w:val="28"/>
      </w:rPr>
      <w:fldChar w:fldCharType="begin"/>
    </w:r>
    <w:r w:rsidR="00FD3E1B"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433011">
      <w:rPr>
        <w:rStyle w:val="a6"/>
        <w:noProof/>
        <w:sz w:val="28"/>
        <w:szCs w:val="28"/>
      </w:rPr>
      <w:t>- 8 -</w:t>
    </w:r>
    <w:r>
      <w:rPr>
        <w:sz w:val="28"/>
        <w:szCs w:val="28"/>
      </w:rPr>
      <w:fldChar w:fldCharType="end"/>
    </w:r>
  </w:p>
  <w:p w:rsidR="00C71082" w:rsidRDefault="00C7108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742" w:rsidRDefault="00DB3742" w:rsidP="00C71082">
      <w:r>
        <w:separator/>
      </w:r>
    </w:p>
  </w:footnote>
  <w:footnote w:type="continuationSeparator" w:id="1">
    <w:p w:rsidR="00DB3742" w:rsidRDefault="00DB3742" w:rsidP="00C71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A31D83"/>
    <w:multiLevelType w:val="singleLevel"/>
    <w:tmpl w:val="98A31D83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abstractNum w:abstractNumId="1">
    <w:nsid w:val="BBCCDB54"/>
    <w:multiLevelType w:val="singleLevel"/>
    <w:tmpl w:val="BBCCDB54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BDB556BD"/>
    <w:multiLevelType w:val="singleLevel"/>
    <w:tmpl w:val="BDB556BD"/>
    <w:lvl w:ilvl="0">
      <w:start w:val="1"/>
      <w:numFmt w:val="chineseCounting"/>
      <w:suff w:val="space"/>
      <w:lvlText w:val="第%1部分"/>
      <w:lvlJc w:val="left"/>
      <w:rPr>
        <w:rFonts w:hint="eastAsia"/>
        <w:sz w:val="32"/>
        <w:szCs w:val="32"/>
      </w:rPr>
    </w:lvl>
  </w:abstractNum>
  <w:abstractNum w:abstractNumId="3">
    <w:nsid w:val="17E8E575"/>
    <w:multiLevelType w:val="singleLevel"/>
    <w:tmpl w:val="17E8E575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abstractNum w:abstractNumId="4">
    <w:nsid w:val="21BABDDA"/>
    <w:multiLevelType w:val="singleLevel"/>
    <w:tmpl w:val="21BABDDA"/>
    <w:lvl w:ilvl="0">
      <w:start w:val="1"/>
      <w:numFmt w:val="chineseCounting"/>
      <w:suff w:val="nothing"/>
      <w:lvlText w:val="%1、"/>
      <w:lvlJc w:val="left"/>
      <w:pPr>
        <w:ind w:left="630" w:firstLine="0"/>
      </w:pPr>
      <w:rPr>
        <w:rFonts w:ascii="黑体" w:eastAsia="黑体" w:hAnsi="黑体" w:cs="黑体" w:hint="eastAsia"/>
        <w:sz w:val="32"/>
        <w:szCs w:val="32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JhNmQzMjYzZDE5MTUyZGEyYTllZDM2ZDNjMTI5NzcifQ=="/>
  </w:docVars>
  <w:rsids>
    <w:rsidRoot w:val="00172A27"/>
    <w:rsid w:val="00055F69"/>
    <w:rsid w:val="00076DC7"/>
    <w:rsid w:val="000D2F51"/>
    <w:rsid w:val="00172A27"/>
    <w:rsid w:val="001807DF"/>
    <w:rsid w:val="00274035"/>
    <w:rsid w:val="00300319"/>
    <w:rsid w:val="00310213"/>
    <w:rsid w:val="00433011"/>
    <w:rsid w:val="004772F5"/>
    <w:rsid w:val="005625D5"/>
    <w:rsid w:val="005823FF"/>
    <w:rsid w:val="005E3179"/>
    <w:rsid w:val="00604458"/>
    <w:rsid w:val="006214E3"/>
    <w:rsid w:val="006505DD"/>
    <w:rsid w:val="0067162F"/>
    <w:rsid w:val="00726D90"/>
    <w:rsid w:val="009700D7"/>
    <w:rsid w:val="009964B9"/>
    <w:rsid w:val="009D130E"/>
    <w:rsid w:val="00AA29D3"/>
    <w:rsid w:val="00B671E7"/>
    <w:rsid w:val="00C50681"/>
    <w:rsid w:val="00C6464E"/>
    <w:rsid w:val="00C71082"/>
    <w:rsid w:val="00C72CCE"/>
    <w:rsid w:val="00D23303"/>
    <w:rsid w:val="00DA3EF8"/>
    <w:rsid w:val="00DB3742"/>
    <w:rsid w:val="00DC2598"/>
    <w:rsid w:val="00DF35B7"/>
    <w:rsid w:val="00E52D97"/>
    <w:rsid w:val="00E74D5C"/>
    <w:rsid w:val="00E93217"/>
    <w:rsid w:val="00EA3B33"/>
    <w:rsid w:val="00EB3D43"/>
    <w:rsid w:val="00F240A0"/>
    <w:rsid w:val="00FC7766"/>
    <w:rsid w:val="00FD3E1B"/>
    <w:rsid w:val="02FF4F89"/>
    <w:rsid w:val="08E13F2C"/>
    <w:rsid w:val="22772D02"/>
    <w:rsid w:val="2AFC25CD"/>
    <w:rsid w:val="31FB240B"/>
    <w:rsid w:val="381C0324"/>
    <w:rsid w:val="43E83631"/>
    <w:rsid w:val="4B0B3EE2"/>
    <w:rsid w:val="4D823474"/>
    <w:rsid w:val="4F507CEC"/>
    <w:rsid w:val="514A0BCD"/>
    <w:rsid w:val="562D0C2F"/>
    <w:rsid w:val="589024AB"/>
    <w:rsid w:val="66253078"/>
    <w:rsid w:val="7ADE03F0"/>
    <w:rsid w:val="7F250F93"/>
    <w:rsid w:val="7FBE3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082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71082"/>
    <w:pPr>
      <w:ind w:leftChars="2500" w:left="100"/>
    </w:pPr>
  </w:style>
  <w:style w:type="paragraph" w:styleId="a4">
    <w:name w:val="footer"/>
    <w:basedOn w:val="a"/>
    <w:qFormat/>
    <w:rsid w:val="00C71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C71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C71082"/>
  </w:style>
  <w:style w:type="paragraph" w:customStyle="1" w:styleId="Char1">
    <w:name w:val="Char1"/>
    <w:basedOn w:val="a"/>
    <w:qFormat/>
    <w:rsid w:val="00C71082"/>
    <w:pPr>
      <w:widowControl/>
      <w:tabs>
        <w:tab w:val="right" w:pos="8494"/>
      </w:tabs>
      <w:spacing w:after="160" w:line="240" w:lineRule="exact"/>
      <w:jc w:val="left"/>
    </w:pPr>
    <w:rPr>
      <w:rFonts w:ascii="Times New Roman" w:eastAsia="宋体"/>
      <w:sz w:val="21"/>
      <w:szCs w:val="20"/>
    </w:rPr>
  </w:style>
  <w:style w:type="character" w:customStyle="1" w:styleId="Char">
    <w:name w:val="页眉 Char"/>
    <w:basedOn w:val="a0"/>
    <w:link w:val="a5"/>
    <w:qFormat/>
    <w:rsid w:val="00C71082"/>
    <w:rPr>
      <w:rFonts w:ascii="仿宋_GB2312" w:eastAsia="仿宋_GB2312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C710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3CF52EF-DC8B-43F7-9624-1577C407B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594</Words>
  <Characters>3386</Characters>
  <Application>Microsoft Office Word</Application>
  <DocSecurity>0</DocSecurity>
  <Lines>28</Lines>
  <Paragraphs>7</Paragraphs>
  <ScaleCrop>false</ScaleCrop>
  <Company>微软中国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安财库〔2016〕295号</dc:title>
  <dc:creator>微软用户</dc:creator>
  <cp:lastModifiedBy>Windows User</cp:lastModifiedBy>
  <cp:revision>8</cp:revision>
  <cp:lastPrinted>2024-01-29T01:28:00Z</cp:lastPrinted>
  <dcterms:created xsi:type="dcterms:W3CDTF">2024-04-15T02:37:00Z</dcterms:created>
  <dcterms:modified xsi:type="dcterms:W3CDTF">2024-04-16T01:35:00Z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7CAEDA2500214531B401153E3D7E0888_13</vt:lpwstr>
  </property>
</Properties>
</file>