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pPr>
        <w:spacing w:line="594" w:lineRule="exact"/>
        <w:jc w:val="left"/>
        <w:rPr>
          <w:kern w:val="0"/>
          <w:szCs w:val="32"/>
        </w:rPr>
      </w:pPr>
    </w:p>
    <w:p>
      <w:pPr>
        <w:spacing w:line="594" w:lineRule="exact"/>
        <w:jc w:val="left"/>
        <w:rPr>
          <w:rFonts w:eastAsia="黑体"/>
          <w:kern w:val="0"/>
          <w:szCs w:val="32"/>
        </w:rPr>
      </w:pPr>
      <w:r>
        <w:rPr>
          <w:kern w:val="0"/>
          <w:szCs w:val="32"/>
        </w:rPr>
        <w:t xml:space="preserve">   </w:t>
      </w:r>
      <w:r>
        <w:rPr>
          <w:rFonts w:eastAsia="黑体"/>
          <w:bCs/>
          <w:kern w:val="0"/>
          <w:szCs w:val="32"/>
        </w:rPr>
        <w:t xml:space="preserve"> 一、部门概况</w:t>
      </w:r>
    </w:p>
    <w:p>
      <w:pPr>
        <w:spacing w:line="594" w:lineRule="exact"/>
        <w:ind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（一）部门基本情况（包括部门的在职人员情况、机构设置、主要职能及重点工作计划等）。</w:t>
      </w:r>
    </w:p>
    <w:p>
      <w:pPr>
        <w:spacing w:line="594" w:lineRule="exact"/>
        <w:ind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根据编委核定，我中心编制30人，全部为全额事业编，内设处室6个，没有所属事业单位，全部纳入2022年部门决算编制范围。内设股室分别是综合股、计划财务股、组织人事股、规划项目股、市场开发股、行业服务股。年末实有在职人员28人。</w:t>
      </w:r>
    </w:p>
    <w:p>
      <w:pPr>
        <w:spacing w:line="594" w:lineRule="exact"/>
        <w:ind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部门职责</w:t>
      </w:r>
      <w:r>
        <w:rPr>
          <w:rFonts w:hint="eastAsia" w:ascii="Times New Roman" w:hAnsi="Times New Roman" w:cs="Times New Roman"/>
          <w:kern w:val="2"/>
          <w:sz w:val="32"/>
          <w:szCs w:val="24"/>
          <w:lang w:val="en-US" w:eastAsia="zh-CN" w:bidi="ar-SA"/>
        </w:rPr>
        <w:t>：</w:t>
      </w:r>
    </w:p>
    <w:p>
      <w:pPr>
        <w:spacing w:line="52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贯彻执行国家有关茶旅产业的方针、政策和法律、法规、规章，推进全县茶业、旅游业发展体制和机制创新。</w:t>
      </w:r>
    </w:p>
    <w:p>
      <w:pPr>
        <w:spacing w:line="52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负责编制全县茶旅产业发展规划，研究产业发展政策，经审批同意后组织实施。负责全县茶旅产业发展的指导、协调和服务工作，促进全县茶旅产业的有序健康发展。制定行业规范，编制行业标准，指导、协调全县茶旅基础建设项目的实施。</w:t>
      </w:r>
    </w:p>
    <w:p>
      <w:pPr>
        <w:spacing w:line="52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负责管理全县茶旅公共品牌，包括注册、变更、保护、续展、使用和转让等事务，制订和修订名称、商标、徽记管理制度、并监督执行；负责监督各授权使用单位的产品质量；组织制订品牌发展规划和品牌宣传推广规范，并对各授权使用单位进行审核；组织对品牌建设等相关重要问题的研究；组织对涉及品牌商标侵权的维权活动。</w:t>
      </w:r>
    </w:p>
    <w:p>
      <w:pPr>
        <w:spacing w:line="52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负责全县茶旅产业的对外交流与合作，全县茶旅项目的招商引资，茶旅产业形象的宣传活动和全县重大茶旅节庆活动的组织实施。</w:t>
      </w:r>
    </w:p>
    <w:p>
      <w:pPr>
        <w:spacing w:line="52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提供茶旅产业技术、信息服务，开展专业技术知识培训，对专业技术推广机构和群众性、专业性组织进行工作指导。</w:t>
      </w:r>
    </w:p>
    <w:p>
      <w:pPr>
        <w:spacing w:line="52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指导茶叶生产、加工与销售，规范全县茶叶种植、开发、市场流通等行为，引导创新产品的研发。</w:t>
      </w:r>
    </w:p>
    <w:p>
      <w:pPr>
        <w:keepNext/>
        <w:keepLines/>
        <w:spacing w:line="60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配合做好旅游项目的前置审批，负责旅游线路的设计及推广，指导全县生态旅游、乡村旅游、红色旅游发展和等级景区创建工作，引导企业开发旅游产品。</w:t>
      </w:r>
    </w:p>
    <w:p>
      <w:pPr>
        <w:keepNext/>
        <w:keepLines/>
        <w:spacing w:line="600" w:lineRule="exact"/>
        <w:ind w:firstLine="64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zh-CN" w:eastAsia="zh-CN" w:bidi="ar-SA"/>
        </w:rPr>
        <w:t>配合相关部门做好茶旅产业发展突发事件的应急处置工作。</w:t>
      </w:r>
    </w:p>
    <w:p>
      <w:pPr>
        <w:spacing w:line="520" w:lineRule="exact"/>
        <w:ind w:firstLine="640"/>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完成县委、县政府交办的其他任务。</w:t>
      </w:r>
    </w:p>
    <w:p>
      <w:pPr>
        <w:numPr>
          <w:ilvl w:val="0"/>
          <w:numId w:val="1"/>
        </w:numPr>
        <w:spacing w:line="594" w:lineRule="exact"/>
        <w:ind w:firstLine="640" w:firstLineChars="200"/>
        <w:rPr>
          <w:kern w:val="0"/>
          <w:szCs w:val="32"/>
        </w:rPr>
      </w:pPr>
      <w:r>
        <w:rPr>
          <w:kern w:val="0"/>
          <w:szCs w:val="32"/>
        </w:rPr>
        <w:t>部门整体支出规模、使用方向和主要内容、涉及范围等。</w:t>
      </w:r>
    </w:p>
    <w:p>
      <w:pPr>
        <w:pStyle w:val="5"/>
        <w:numPr>
          <w:ilvl w:val="0"/>
          <w:numId w:val="0"/>
        </w:numPr>
        <w:rPr>
          <w:rFonts w:hint="default" w:eastAsia="仿宋_GB2312"/>
          <w:lang w:val="en-US" w:eastAsia="zh-CN"/>
        </w:rPr>
      </w:pPr>
      <w:r>
        <w:rPr>
          <w:rFonts w:hint="eastAsia"/>
          <w:lang w:val="en-US" w:eastAsia="zh-CN"/>
        </w:rPr>
        <w:t xml:space="preserve">    2022年我单位支出5363.29万元，基本支出413.06万元，其中人员经费332.48万元，用于人员工资发放及社会保障缴纳等；一般商品服务支出76.61万元，主要用于日常办公开支；对个人和家庭的补助3.97万元。项目支出4950.23万元，主要用于茶旅产业项目，比如：茶马古道景区第一批收购款、茶乡花海、百花寨、安茶三馆一厅、第五届黑茶文化节、湘台茶香会等。</w:t>
      </w:r>
    </w:p>
    <w:p>
      <w:pPr>
        <w:numPr>
          <w:ilvl w:val="0"/>
          <w:numId w:val="1"/>
        </w:numPr>
        <w:spacing w:line="594" w:lineRule="exact"/>
        <w:ind w:firstLine="640" w:firstLineChars="200"/>
        <w:rPr>
          <w:kern w:val="0"/>
          <w:szCs w:val="32"/>
        </w:rPr>
      </w:pPr>
      <w:r>
        <w:rPr>
          <w:kern w:val="0"/>
          <w:szCs w:val="32"/>
        </w:rPr>
        <w:t>绩效目标设立情况，主要包括部门中长期绩效目标和年度绩效目标。</w:t>
      </w:r>
    </w:p>
    <w:p>
      <w:pPr>
        <w:pStyle w:val="5"/>
        <w:numPr>
          <w:ilvl w:val="0"/>
          <w:numId w:val="0"/>
        </w:numPr>
        <w:ind w:firstLine="640"/>
        <w:rPr>
          <w:rFonts w:hint="default"/>
          <w:lang w:val="en-US" w:eastAsia="zh-CN"/>
        </w:rPr>
      </w:pPr>
      <w:r>
        <w:rPr>
          <w:rFonts w:hint="eastAsia"/>
          <w:lang w:val="en-US" w:eastAsia="zh-CN"/>
        </w:rPr>
        <w:t>本年度绩效目标：茶园面积36万亩，涉茶类从业人员近40万人，茶叶加工量8.6万吨，综合产值238亿元，实现税收1.5亿元，获评中国十三五茶产业发展十强县，全国“三茶统筹”新型县。</w:t>
      </w:r>
    </w:p>
    <w:p>
      <w:pPr>
        <w:ind w:firstLine="640"/>
        <w:rPr>
          <w:rFonts w:hint="default"/>
          <w:lang w:val="en-US" w:eastAsia="zh-CN"/>
        </w:rPr>
      </w:pPr>
      <w:r>
        <w:rPr>
          <w:rFonts w:hint="eastAsia"/>
          <w:lang w:val="en-US" w:eastAsia="zh-CN"/>
        </w:rPr>
        <w:t>长期绩效目标：到2025年，安化茶园面积稳定在36万亩以上，茶叶产量达到15万吨，茶业综合产值达到300亿元；其中黑茶产量达到14.3万吨，黑茶产值达到285亿元，年税收达5亿元。着力实现国内黑茶产业产值第一位，远景期千亿元湘茶产业“三分天下”的发展目标。全县茶产业带动40万人就业，新增就业岗位15万个，其中茶园类4万人，茶企、茶店、茶馆类6万个，其他相关部门5万个。安化茶产业成为安化县经济的主要支柱之一。</w:t>
      </w:r>
    </w:p>
    <w:p>
      <w:pPr>
        <w:spacing w:line="594" w:lineRule="exact"/>
        <w:ind w:firstLine="640" w:firstLineChars="200"/>
        <w:rPr>
          <w:kern w:val="0"/>
          <w:szCs w:val="32"/>
        </w:rPr>
      </w:pPr>
      <w:r>
        <w:rPr>
          <w:rFonts w:eastAsia="黑体"/>
          <w:bCs/>
          <w:kern w:val="0"/>
          <w:szCs w:val="32"/>
        </w:rPr>
        <w:t>二、部门整体支出管理及使用情况分析</w:t>
      </w:r>
    </w:p>
    <w:p>
      <w:pPr>
        <w:spacing w:line="594" w:lineRule="exact"/>
        <w:ind w:firstLine="640" w:firstLineChars="200"/>
        <w:rPr>
          <w:rFonts w:eastAsia="楷体_GB2312"/>
          <w:kern w:val="0"/>
          <w:szCs w:val="32"/>
        </w:rPr>
      </w:pPr>
      <w:r>
        <w:rPr>
          <w:rFonts w:eastAsia="楷体_GB2312"/>
          <w:kern w:val="0"/>
          <w:szCs w:val="32"/>
        </w:rPr>
        <w:t>（一）基本支出</w:t>
      </w:r>
    </w:p>
    <w:p>
      <w:pPr>
        <w:spacing w:line="594" w:lineRule="exact"/>
        <w:ind w:firstLine="640" w:firstLineChars="200"/>
        <w:rPr>
          <w:rFonts w:hint="default" w:eastAsia="仿宋_GB2312"/>
          <w:kern w:val="0"/>
          <w:szCs w:val="32"/>
          <w:lang w:val="en-US" w:eastAsia="zh-CN"/>
        </w:rPr>
      </w:pPr>
      <w:r>
        <w:rPr>
          <w:rFonts w:hint="eastAsia"/>
          <w:kern w:val="0"/>
          <w:szCs w:val="32"/>
          <w:lang w:val="en-US" w:eastAsia="zh-CN"/>
        </w:rPr>
        <w:t>基本支出413.06万元主要用于工资福利支出和商品服务支出。其中工资福利支出332.48万元，占80.49%，用于人员工资级社会保障缴纳等；商品服务支出76.61万元，占18.54%，主要用于日常办公开支，其中包含公务接待费用11.7万元。本着厉行节约的原则，严格控制了开支，比上年减少0.08%。</w:t>
      </w:r>
    </w:p>
    <w:p>
      <w:pPr>
        <w:tabs>
          <w:tab w:val="left" w:pos="3396"/>
        </w:tabs>
        <w:spacing w:line="594" w:lineRule="exact"/>
        <w:ind w:firstLine="640" w:firstLineChars="200"/>
        <w:rPr>
          <w:rFonts w:eastAsia="楷体_GB2312"/>
          <w:kern w:val="0"/>
          <w:szCs w:val="32"/>
        </w:rPr>
      </w:pPr>
      <w:r>
        <w:rPr>
          <w:rFonts w:eastAsia="楷体_GB2312"/>
          <w:kern w:val="0"/>
          <w:szCs w:val="32"/>
        </w:rPr>
        <w:t>（二）项目支出</w:t>
      </w:r>
      <w:r>
        <w:rPr>
          <w:rFonts w:eastAsia="楷体_GB2312"/>
          <w:kern w:val="0"/>
          <w:szCs w:val="32"/>
        </w:rPr>
        <w:tab/>
      </w:r>
    </w:p>
    <w:p>
      <w:pPr>
        <w:spacing w:line="594" w:lineRule="exact"/>
        <w:ind w:firstLine="640" w:firstLineChars="200"/>
        <w:rPr>
          <w:kern w:val="0"/>
          <w:szCs w:val="32"/>
        </w:rPr>
      </w:pPr>
      <w:r>
        <w:rPr>
          <w:kern w:val="0"/>
          <w:szCs w:val="32"/>
        </w:rPr>
        <w:t>1. 项目资金（包括财政资金、自筹资金等）安排落实、总投入等情况分析。</w:t>
      </w:r>
    </w:p>
    <w:p>
      <w:pPr>
        <w:spacing w:line="594" w:lineRule="exact"/>
        <w:ind w:firstLine="640" w:firstLineChars="200"/>
        <w:rPr>
          <w:rFonts w:hint="default" w:eastAsia="仿宋_GB2312"/>
          <w:kern w:val="0"/>
          <w:szCs w:val="32"/>
          <w:lang w:val="en-US" w:eastAsia="zh-CN"/>
        </w:rPr>
      </w:pPr>
      <w:r>
        <w:rPr>
          <w:rFonts w:hint="eastAsia"/>
          <w:kern w:val="0"/>
          <w:szCs w:val="32"/>
          <w:lang w:val="en-US" w:eastAsia="zh-CN"/>
        </w:rPr>
        <w:t>单位项目开支4950.23万元，用于茶旅产业项目。</w:t>
      </w:r>
    </w:p>
    <w:p>
      <w:pPr>
        <w:numPr>
          <w:ilvl w:val="0"/>
          <w:numId w:val="2"/>
        </w:numPr>
        <w:spacing w:line="594" w:lineRule="exact"/>
        <w:ind w:firstLine="640" w:firstLineChars="200"/>
        <w:rPr>
          <w:kern w:val="0"/>
          <w:szCs w:val="32"/>
        </w:rPr>
      </w:pPr>
      <w:r>
        <w:rPr>
          <w:kern w:val="0"/>
          <w:szCs w:val="32"/>
        </w:rPr>
        <w:t>项目资金（主要指财政资金）实际使用情况分析。</w:t>
      </w:r>
    </w:p>
    <w:p>
      <w:pPr>
        <w:spacing w:line="594" w:lineRule="exact"/>
        <w:ind w:firstLine="640" w:firstLineChars="200"/>
        <w:rPr>
          <w:kern w:val="0"/>
          <w:szCs w:val="32"/>
        </w:rPr>
      </w:pPr>
      <w:r>
        <w:rPr>
          <w:rFonts w:hint="eastAsia"/>
          <w:kern w:val="0"/>
          <w:szCs w:val="32"/>
          <w:lang w:val="en-US" w:eastAsia="zh-CN"/>
        </w:rPr>
        <w:t>单位项目开支4950.23万元，用于茶旅产业项目。包括茶马古道景区第一笔收购款2033.58万元；茶乡花海、百花寨、安茶三馆一厅项目资金866万元；涉农资金500万元；院士工作站50万元；茶旅文康发展专项资金691.53万元；黑茶文化节、湘台茶香会486.67万元；其他资金322.45万元。</w:t>
      </w:r>
    </w:p>
    <w:p>
      <w:pPr>
        <w:spacing w:line="594" w:lineRule="exact"/>
        <w:ind w:firstLine="640" w:firstLineChars="200"/>
        <w:rPr>
          <w:kern w:val="0"/>
          <w:szCs w:val="32"/>
        </w:rPr>
      </w:pPr>
      <w:r>
        <w:rPr>
          <w:kern w:val="0"/>
          <w:szCs w:val="32"/>
        </w:rPr>
        <w:t>3. 项目资金管理情况分析，主要包括管理制度、办法的制订及执行情况。</w:t>
      </w:r>
    </w:p>
    <w:p>
      <w:pPr>
        <w:spacing w:line="594" w:lineRule="exact"/>
        <w:ind w:firstLine="640" w:firstLineChars="200"/>
        <w:rPr>
          <w:rFonts w:hint="default" w:eastAsia="仿宋_GB2312"/>
          <w:kern w:val="0"/>
          <w:szCs w:val="32"/>
          <w:lang w:val="en-US" w:eastAsia="zh-CN"/>
        </w:rPr>
      </w:pPr>
      <w:r>
        <w:rPr>
          <w:rFonts w:hint="eastAsia"/>
          <w:kern w:val="0"/>
          <w:szCs w:val="32"/>
          <w:lang w:val="en-US" w:eastAsia="zh-CN"/>
        </w:rPr>
        <w:t>各项资金本着专款专用的原则，严格执行项目资金批准的使用计划和项目批复内容，不擅自调项、扩项、缩项，不拆借、挪用、挤占。资金拨付动向按不同专项资金的要求严格执行。同时对每笔专项资金的支付，严格执行财务制度，落实专项资金审核程序。</w:t>
      </w:r>
    </w:p>
    <w:p>
      <w:pPr>
        <w:spacing w:line="594" w:lineRule="exact"/>
        <w:ind w:firstLine="640" w:firstLineChars="200"/>
        <w:rPr>
          <w:rFonts w:eastAsia="黑体"/>
          <w:bCs/>
          <w:kern w:val="0"/>
          <w:szCs w:val="32"/>
        </w:rPr>
      </w:pPr>
      <w:r>
        <w:rPr>
          <w:rFonts w:eastAsia="黑体"/>
          <w:bCs/>
          <w:kern w:val="0"/>
          <w:szCs w:val="32"/>
        </w:rPr>
        <w:t>三、项目组织实施情况分析</w:t>
      </w:r>
    </w:p>
    <w:p>
      <w:pPr>
        <w:spacing w:line="594" w:lineRule="exact"/>
        <w:ind w:firstLine="640" w:firstLineChars="200"/>
        <w:rPr>
          <w:kern w:val="0"/>
          <w:szCs w:val="32"/>
        </w:rPr>
      </w:pPr>
      <w:r>
        <w:rPr>
          <w:kern w:val="0"/>
          <w:szCs w:val="32"/>
        </w:rPr>
        <w:t>（一）项目组织情况分析，主要包括项目招投标、调整、竣工验收等情况。</w:t>
      </w:r>
    </w:p>
    <w:p>
      <w:pPr>
        <w:spacing w:line="594" w:lineRule="exact"/>
        <w:ind w:firstLine="640" w:firstLineChars="200"/>
        <w:rPr>
          <w:rFonts w:hint="default" w:eastAsia="仿宋_GB2312"/>
          <w:kern w:val="0"/>
          <w:szCs w:val="32"/>
          <w:lang w:val="en-US" w:eastAsia="zh-CN"/>
        </w:rPr>
      </w:pPr>
      <w:r>
        <w:rPr>
          <w:rFonts w:hint="eastAsia"/>
          <w:kern w:val="0"/>
          <w:szCs w:val="32"/>
          <w:lang w:val="en-US" w:eastAsia="zh-CN"/>
        </w:rPr>
        <w:t>各项专项资金都安排责任人，按专项资金的用途专款专用。对超过资金配比的项目要求项目负责人进行项目招投标；对项目资金有调整的及时和领导及财政部门取得联系，积极办理整理手续；分管领导组织项目股、行业股、市场股及时对完成的项目进行验收，及时拨付项目资金。</w:t>
      </w:r>
    </w:p>
    <w:p>
      <w:pPr>
        <w:numPr>
          <w:ilvl w:val="0"/>
          <w:numId w:val="3"/>
        </w:numPr>
        <w:spacing w:line="594" w:lineRule="exact"/>
        <w:ind w:firstLine="640" w:firstLineChars="200"/>
        <w:rPr>
          <w:kern w:val="0"/>
          <w:szCs w:val="32"/>
        </w:rPr>
      </w:pPr>
      <w:r>
        <w:rPr>
          <w:kern w:val="0"/>
          <w:szCs w:val="32"/>
        </w:rPr>
        <w:t>项目管理情况分析，主要包括项目管理制度建设、日常检查监督管理等情况。</w:t>
      </w:r>
    </w:p>
    <w:p>
      <w:pPr>
        <w:numPr>
          <w:ilvl w:val="0"/>
          <w:numId w:val="0"/>
        </w:numPr>
        <w:spacing w:line="594" w:lineRule="exact"/>
        <w:rPr>
          <w:rFonts w:hint="default" w:eastAsia="仿宋_GB2312"/>
          <w:kern w:val="0"/>
          <w:szCs w:val="32"/>
          <w:lang w:val="en-US" w:eastAsia="zh-CN"/>
        </w:rPr>
      </w:pPr>
      <w:r>
        <w:rPr>
          <w:rFonts w:hint="eastAsia"/>
          <w:kern w:val="0"/>
          <w:szCs w:val="32"/>
          <w:lang w:val="en-US" w:eastAsia="zh-CN"/>
        </w:rPr>
        <w:t xml:space="preserve">    在使用专项资金时，严格执行专项资金使用制度和财务制度，同时对各项专项资金的使用流程进行监督，定时查看财务报表检查专项资金使用情况，及时和领导汇报专项资金使用情况。</w:t>
      </w:r>
    </w:p>
    <w:p>
      <w:pPr>
        <w:numPr>
          <w:ilvl w:val="0"/>
          <w:numId w:val="4"/>
        </w:numPr>
        <w:spacing w:line="594" w:lineRule="exact"/>
        <w:ind w:firstLine="640" w:firstLineChars="200"/>
        <w:rPr>
          <w:rFonts w:eastAsia="黑体"/>
          <w:bCs/>
          <w:kern w:val="0"/>
          <w:szCs w:val="32"/>
        </w:rPr>
      </w:pPr>
      <w:r>
        <w:rPr>
          <w:rFonts w:eastAsia="黑体"/>
          <w:bCs/>
          <w:kern w:val="0"/>
          <w:szCs w:val="32"/>
        </w:rPr>
        <w:t>部门整体支出绩效情况分析</w:t>
      </w:r>
    </w:p>
    <w:p>
      <w:pPr>
        <w:pStyle w:val="2"/>
        <w:numPr>
          <w:ilvl w:val="0"/>
          <w:numId w:val="0"/>
        </w:numPr>
        <w:ind w:firstLine="640" w:firstLineChars="200"/>
        <w:rPr>
          <w:rFonts w:hint="default" w:eastAsia="仿宋_GB2312"/>
          <w:lang w:val="en-US" w:eastAsia="zh-CN"/>
        </w:rPr>
      </w:pPr>
      <w:r>
        <w:rPr>
          <w:rFonts w:hint="eastAsia" w:ascii="仿宋_GB2312" w:hAnsi="仿宋_GB2312" w:eastAsia="仿宋_GB2312" w:cs="Times New Roman"/>
          <w:color w:val="000000"/>
          <w:kern w:val="2"/>
          <w:sz w:val="32"/>
          <w:szCs w:val="32"/>
          <w:lang w:val="en-US" w:eastAsia="zh-CN" w:bidi="ar-SA"/>
        </w:rPr>
        <w:t>经济型、效率性、效益型和可持续性分析：</w:t>
      </w:r>
    </w:p>
    <w:p>
      <w:pPr>
        <w:numPr>
          <w:ilvl w:val="0"/>
          <w:numId w:val="5"/>
        </w:numPr>
        <w:autoSpaceDE w:val="0"/>
        <w:spacing w:line="580" w:lineRule="exact"/>
        <w:ind w:firstLine="640"/>
        <w:textAlignment w:val="baseline"/>
        <w:rPr>
          <w:rFonts w:ascii="仿宋_GB2312" w:hAnsi="仿宋_GB2312"/>
          <w:color w:val="000000"/>
          <w:sz w:val="32"/>
          <w:szCs w:val="32"/>
        </w:rPr>
      </w:pPr>
      <w:r>
        <w:rPr>
          <w:rFonts w:ascii="楷体_GB2312" w:hAnsi="楷体_GB2312"/>
          <w:color w:val="000000"/>
          <w:sz w:val="32"/>
          <w:szCs w:val="32"/>
        </w:rPr>
        <w:t>统筹协调有新提升。</w:t>
      </w:r>
      <w:r>
        <w:rPr>
          <w:rFonts w:ascii="仿宋_GB2312" w:hAnsi="仿宋_GB2312"/>
          <w:color w:val="000000"/>
          <w:sz w:val="32"/>
          <w:szCs w:val="32"/>
        </w:rPr>
        <w:t>成立茶旅产业链工作领导小组，由县委书记挂帅全面统筹协调；成立安化黑茶集团公司，为茶产业提供资金支持达2.7亿元；成立安化黑茶品鉴中心，对近200个产品作品鉴，甄选优品93个；出台《安化黑茶品鉴实施方案》《安化黑茶毛茶实物标准样制作方案》《安化黑茶价格体系和指数分析方案》等文件，有力指导行业发展；</w:t>
      </w:r>
      <w:r>
        <w:rPr>
          <w:rFonts w:ascii="仿宋_GB2312" w:hAnsi="仿宋_GB2312"/>
          <w:sz w:val="32"/>
          <w:szCs w:val="32"/>
        </w:rPr>
        <w:t>21家标准化毛茶厂陆续投产，</w:t>
      </w:r>
      <w:r>
        <w:rPr>
          <w:rFonts w:ascii="仿宋_GB2312" w:hAnsi="仿宋_GB2312"/>
          <w:color w:val="000000"/>
          <w:sz w:val="32"/>
          <w:szCs w:val="32"/>
        </w:rPr>
        <w:t>高马二溪、亦神芙蓉、千秋界、老茶斗等4家茶企在湖南股权交易所挂牌。</w:t>
      </w:r>
    </w:p>
    <w:p>
      <w:pPr>
        <w:numPr>
          <w:ilvl w:val="0"/>
          <w:numId w:val="5"/>
        </w:numPr>
        <w:autoSpaceDE w:val="0"/>
        <w:spacing w:line="580" w:lineRule="exact"/>
        <w:ind w:firstLine="640"/>
        <w:textAlignment w:val="baseline"/>
        <w:rPr>
          <w:rFonts w:ascii="仿宋_GB2312" w:cs="黑体"/>
          <w:color w:val="000000"/>
          <w:sz w:val="32"/>
          <w:szCs w:val="32"/>
        </w:rPr>
      </w:pPr>
      <w:r>
        <w:rPr>
          <w:rFonts w:ascii="楷体_GB2312" w:hAnsi="楷体_GB2312"/>
          <w:color w:val="000000"/>
          <w:sz w:val="32"/>
          <w:szCs w:val="32"/>
        </w:rPr>
        <w:t>质量监管有新成效。</w:t>
      </w:r>
      <w:r>
        <w:rPr>
          <w:rFonts w:ascii="仿宋_GB2312" w:hAnsi="仿宋_GB2312"/>
          <w:color w:val="000000"/>
          <w:sz w:val="32"/>
          <w:szCs w:val="32"/>
        </w:rPr>
        <w:t>建设安化黑茶质量检验检测中心，2022年共完成砖茶检验样品130 批次，监督抽检合格率100%；成立安化县质量基础设施“一站式”服务试点，为茶企、茶农</w:t>
      </w:r>
      <w:r>
        <w:rPr>
          <w:rFonts w:ascii="仿宋_GB2312" w:hAnsi="仿宋_GB2312"/>
          <w:sz w:val="32"/>
          <w:szCs w:val="32"/>
        </w:rPr>
        <w:t>提供成品检验、规范包装等8项质量基础服务，全年累计服务企业1600余次；</w:t>
      </w:r>
      <w:r>
        <w:rPr>
          <w:rFonts w:ascii="仿宋_GB2312" w:hAnsi="仿宋_GB2312" w:cs="黑体"/>
          <w:color w:val="000000"/>
          <w:sz w:val="32"/>
          <w:szCs w:val="32"/>
        </w:rPr>
        <w:t>组建专业队伍积极应对职业打假人团队对安化黑茶发起的氟超标恶意诉讼，效果显著。</w:t>
      </w:r>
    </w:p>
    <w:p>
      <w:pPr>
        <w:autoSpaceDE w:val="0"/>
        <w:spacing w:line="580" w:lineRule="exact"/>
        <w:ind w:firstLine="640" w:firstLineChars="200"/>
        <w:textAlignment w:val="baseline"/>
        <w:rPr>
          <w:rFonts w:ascii="仿宋_GB2312" w:hAnsi="仿宋_GB2312"/>
          <w:sz w:val="32"/>
          <w:szCs w:val="32"/>
        </w:rPr>
      </w:pPr>
      <w:r>
        <w:rPr>
          <w:rFonts w:ascii="楷体_GB2312" w:hAnsi="楷体_GB2312"/>
          <w:color w:val="000000"/>
          <w:sz w:val="32"/>
          <w:szCs w:val="32"/>
        </w:rPr>
        <w:t>（三）品牌建设有新进展。</w:t>
      </w:r>
      <w:r>
        <w:rPr>
          <w:rFonts w:ascii="仿宋_GB2312" w:hAnsi="仿宋_GB2312"/>
          <w:color w:val="000000"/>
          <w:sz w:val="32"/>
          <w:szCs w:val="32"/>
        </w:rPr>
        <w:t>连续十四年入选中国茶业百强县，获评茶业助力乡村振兴示范县域，千两茶、茯砖茶制作技艺被列入联合国非物质文化遗产代表作名录，“安化黑茶馆”“安化黑茶文化艺术馆”对外开放，安化黑茶文化旅游度假区创建成功。</w:t>
      </w:r>
      <w:r>
        <w:rPr>
          <w:rFonts w:ascii="仿宋_GB2312" w:hAnsi="仿宋_GB2312"/>
          <w:sz w:val="32"/>
          <w:szCs w:val="32"/>
        </w:rPr>
        <w:t>褒家冲茶场成功创建省级现代农业特色产业园，成功闯入黑茶产业国家级中小工业企业集群决赛。安化黑茶入选全国商标品牌建设优秀案例，2022年中国茶叶区域公用品牌价值达43.85亿元，安化黑茶在2022中国区域农业产业品牌影响力指数“TOP100”排名第43位。</w:t>
      </w:r>
      <w:r>
        <w:rPr>
          <w:rFonts w:ascii="仿宋_GB2312" w:hAnsi="仿宋_GB2312" w:cs="华文中宋"/>
          <w:bCs/>
          <w:color w:val="000000"/>
          <w:sz w:val="32"/>
          <w:szCs w:val="32"/>
        </w:rPr>
        <w:t>与华声在线合作推出的安化黑茶公共文化IP体系及“安化黑茶无可TEA代”广告语，以全国领先的新理念、新设计、新体系助推安化黑茶产业发展。</w:t>
      </w:r>
    </w:p>
    <w:p>
      <w:pPr>
        <w:autoSpaceDE w:val="0"/>
        <w:spacing w:line="580" w:lineRule="exact"/>
        <w:ind w:firstLine="640" w:firstLineChars="200"/>
        <w:jc w:val="left"/>
        <w:rPr>
          <w:rFonts w:ascii="仿宋_GB2312" w:hAnsi="仿宋_GB2312"/>
          <w:color w:val="000000"/>
          <w:sz w:val="32"/>
          <w:szCs w:val="32"/>
        </w:rPr>
      </w:pPr>
      <w:r>
        <w:rPr>
          <w:rFonts w:ascii="楷体_GB2312" w:hAnsi="楷体_GB2312"/>
          <w:sz w:val="32"/>
          <w:szCs w:val="32"/>
        </w:rPr>
        <w:t>（四）科技创新有新突破。</w:t>
      </w:r>
      <w:r>
        <w:rPr>
          <w:rFonts w:ascii="仿宋_GB2312" w:hAnsi="仿宋_GB2312"/>
          <w:sz w:val="32"/>
          <w:szCs w:val="32"/>
        </w:rPr>
        <w:t>发挥刘仲华院士专家工作站作用有序开展科研项目，实现了黑茶加工技术领域的创新，累计研发14款新产品和5款新设备，申请15项专利。在院士工作站的引领下，全县茶企创新产品层出不穷，如易泡科技智慧茶饮机、</w:t>
      </w:r>
      <w:r>
        <w:rPr>
          <w:rFonts w:ascii="仿宋_GB2312" w:hAnsi="仿宋_GB2312"/>
          <w:color w:val="191919"/>
          <w:sz w:val="32"/>
          <w:szCs w:val="32"/>
          <w:shd w:val="clear" w:color="auto" w:fill="FFFFFF"/>
        </w:rPr>
        <w:t>钰华源安化黑茶餐饮茶、白沙溪茶厂奶茶包、碧丹溪千两散茶、茶尔马司督茶局和阿贵安化黑茶奶茶等，</w:t>
      </w:r>
      <w:r>
        <w:rPr>
          <w:rFonts w:ascii="仿宋_GB2312" w:hAnsi="仿宋_GB2312"/>
          <w:sz w:val="32"/>
          <w:szCs w:val="32"/>
        </w:rPr>
        <w:t>茶叶高新技术企业达24家，占高新技术企业的50%。</w:t>
      </w:r>
      <w:r>
        <w:rPr>
          <w:rFonts w:ascii="仿宋_GB2312" w:hAnsi="仿宋_GB2312"/>
          <w:color w:val="000000"/>
          <w:sz w:val="32"/>
          <w:szCs w:val="32"/>
        </w:rPr>
        <w:t>持续推进五彩湘茶产业集群茶树良种繁育基地建设项目，召开了云台大叶种质资源保护与利用研讨会，完成了全县茶园基地普查及动态更新。安化黑茶相关实验材料随神舟十五号载人飞船奔赴太空。</w:t>
      </w:r>
    </w:p>
    <w:p>
      <w:pPr>
        <w:autoSpaceDE w:val="0"/>
        <w:spacing w:line="580" w:lineRule="exact"/>
        <w:ind w:firstLine="640" w:firstLineChars="200"/>
      </w:pPr>
      <w:r>
        <w:rPr>
          <w:rFonts w:ascii="楷体_GB2312" w:hAnsi="楷体_GB2312"/>
          <w:sz w:val="32"/>
          <w:szCs w:val="32"/>
        </w:rPr>
        <w:t>（五）营销活动有新气象。</w:t>
      </w:r>
      <w:r>
        <w:rPr>
          <w:rFonts w:ascii="仿宋_GB2312" w:hAnsi="仿宋_GB2312"/>
          <w:sz w:val="32"/>
          <w:szCs w:val="32"/>
        </w:rPr>
        <w:t>高质量举办安化黑茶产业发展大会、</w:t>
      </w:r>
      <w:r>
        <w:rPr>
          <w:rFonts w:ascii="仿宋_GB2312" w:hAnsi="仿宋_GB2312"/>
          <w:color w:val="000000"/>
          <w:sz w:val="32"/>
          <w:szCs w:val="32"/>
        </w:rPr>
        <w:t>安化黑茶高质量发展新闻发布会、</w:t>
      </w:r>
      <w:r>
        <w:rPr>
          <w:rFonts w:ascii="仿宋_GB2312" w:hAnsi="仿宋_GB2312"/>
          <w:sz w:val="32"/>
          <w:szCs w:val="32"/>
        </w:rPr>
        <w:t>湘台茶香会、“天下黑茶 神韵安化”直播大事件，相关工作得到省委市委主要领导高度评价和重要批示。组织企业抱团出击，参加湖南茶业博览会等多场重大茶事茶文化活动，安化黑茶入选人民大会堂，向外界充分展示了安化茶旅文体康深度融合、产城发展新面貌。</w:t>
      </w:r>
    </w:p>
    <w:p>
      <w:pPr>
        <w:spacing w:line="594" w:lineRule="exact"/>
        <w:ind w:firstLine="640" w:firstLineChars="200"/>
        <w:rPr>
          <w:kern w:val="0"/>
          <w:szCs w:val="32"/>
        </w:rPr>
      </w:pPr>
      <w:r>
        <w:rPr>
          <w:rFonts w:eastAsia="黑体"/>
          <w:bCs/>
          <w:kern w:val="0"/>
          <w:szCs w:val="32"/>
        </w:rPr>
        <w:t>五、绩效评价工作开展情况</w:t>
      </w:r>
    </w:p>
    <w:p>
      <w:pPr>
        <w:spacing w:line="594" w:lineRule="exact"/>
        <w:ind w:firstLine="640" w:firstLineChars="200"/>
        <w:rPr>
          <w:kern w:val="0"/>
          <w:szCs w:val="32"/>
        </w:rPr>
      </w:pPr>
      <w:r>
        <w:rPr>
          <w:kern w:val="0"/>
          <w:szCs w:val="32"/>
        </w:rPr>
        <w:t>（一）绩效评价目的。</w:t>
      </w:r>
    </w:p>
    <w:p>
      <w:pPr>
        <w:spacing w:line="594" w:lineRule="exact"/>
        <w:ind w:firstLine="640" w:firstLineChars="200"/>
        <w:rPr>
          <w:rFonts w:hint="eastAsia"/>
          <w:kern w:val="0"/>
          <w:szCs w:val="32"/>
          <w:lang w:val="en-US" w:eastAsia="zh-CN"/>
        </w:rPr>
      </w:pPr>
      <w:r>
        <w:rPr>
          <w:rFonts w:hint="eastAsia"/>
          <w:kern w:val="0"/>
          <w:szCs w:val="32"/>
          <w:lang w:val="en-US" w:eastAsia="zh-CN"/>
        </w:rPr>
        <w:t>一是合规、公平使用茶旅产业专项资金，确保资金用在“刀刃”上，提高茶旅产业专项资金使用效益，确保财政资金不但拨得快，更要投得准、管得住、用得好、效益高。</w:t>
      </w:r>
    </w:p>
    <w:p>
      <w:pPr>
        <w:pStyle w:val="5"/>
        <w:ind w:left="0" w:leftChars="0" w:firstLine="640" w:firstLineChars="0"/>
        <w:rPr>
          <w:rFonts w:hint="eastAsia"/>
          <w:kern w:val="0"/>
          <w:szCs w:val="32"/>
          <w:lang w:val="en-US" w:eastAsia="zh-CN"/>
        </w:rPr>
      </w:pPr>
      <w:r>
        <w:rPr>
          <w:rFonts w:hint="eastAsia"/>
          <w:kern w:val="0"/>
          <w:szCs w:val="32"/>
          <w:lang w:val="en-US" w:eastAsia="zh-CN"/>
        </w:rPr>
        <w:t>二是通过绩效评价使预算单位树立绩效意识、成本意识和责任意识，提高财政专项资金的使用效益和管理水平。</w:t>
      </w:r>
    </w:p>
    <w:p>
      <w:pPr>
        <w:ind w:firstLine="640"/>
        <w:rPr>
          <w:rFonts w:hint="default"/>
          <w:lang w:val="en-US" w:eastAsia="zh-CN"/>
        </w:rPr>
      </w:pPr>
      <w:r>
        <w:rPr>
          <w:rFonts w:hint="eastAsia"/>
          <w:lang w:val="en-US" w:eastAsia="zh-CN"/>
        </w:rPr>
        <w:t>三是全面了解茶旅产业资金覆盖项目的进展、资金使用、执行情况以及取得的成绩和综合效果，有利于预算单位总结经验、发现问题、加强管理、保证财政资金使用管理的规范性、安全性和有效性。</w:t>
      </w:r>
    </w:p>
    <w:p>
      <w:pPr>
        <w:numPr>
          <w:ilvl w:val="0"/>
          <w:numId w:val="6"/>
        </w:numPr>
        <w:spacing w:line="594" w:lineRule="exact"/>
        <w:ind w:firstLine="640" w:firstLineChars="200"/>
        <w:rPr>
          <w:kern w:val="0"/>
          <w:szCs w:val="32"/>
        </w:rPr>
      </w:pPr>
      <w:r>
        <w:rPr>
          <w:kern w:val="0"/>
          <w:szCs w:val="32"/>
        </w:rPr>
        <w:t>绩效评价工作过程，主要包括前期准备、组织实施和分析评价以及自评结果等内容。</w:t>
      </w:r>
    </w:p>
    <w:p>
      <w:pPr>
        <w:pStyle w:val="5"/>
        <w:ind w:left="0" w:leftChars="0" w:firstLine="640" w:firstLineChars="200"/>
        <w:rPr>
          <w:rFonts w:hint="default"/>
          <w:lang w:val="en-US" w:eastAsia="zh-CN"/>
        </w:rPr>
      </w:pPr>
      <w:r>
        <w:rPr>
          <w:rFonts w:hint="eastAsia"/>
          <w:lang w:val="en-US" w:eastAsia="zh-CN"/>
        </w:rPr>
        <w:t>我单位成立了绩效评价工作小组负责本单位绩效自评工作的组织领导和具体实施，明确了工作职责和分工，制定了切实可行的评价方案。根据各企业股室的情况汇报和提交的工作计划、工作总结等资料，评价小组现场进行巡察和核实，根据确定的评价指标、评价标准和评价方法统一打分，形成自评结论。</w:t>
      </w:r>
    </w:p>
    <w:p>
      <w:pPr>
        <w:pStyle w:val="5"/>
        <w:ind w:left="0" w:leftChars="0" w:firstLine="640" w:firstLineChars="200"/>
        <w:rPr>
          <w:rFonts w:hint="default"/>
          <w:lang w:val="en-US" w:eastAsia="zh-CN"/>
        </w:rPr>
      </w:pPr>
      <w:r>
        <w:rPr>
          <w:rFonts w:hint="eastAsia"/>
          <w:lang w:val="en-US" w:eastAsia="zh-CN"/>
        </w:rPr>
        <w:t>此次绩效自评得分为97.5分，等级为“优”。单位资金拨付及时，为保障茶旅企业发展生产起到了积极作用，产生较好的效果。</w:t>
      </w:r>
    </w:p>
    <w:p>
      <w:pPr>
        <w:spacing w:line="594" w:lineRule="exact"/>
        <w:ind w:firstLine="640" w:firstLineChars="200"/>
        <w:rPr>
          <w:rFonts w:eastAsia="黑体"/>
          <w:bCs/>
          <w:kern w:val="0"/>
          <w:szCs w:val="32"/>
        </w:rPr>
      </w:pPr>
      <w:r>
        <w:rPr>
          <w:rFonts w:eastAsia="黑体"/>
          <w:bCs/>
          <w:kern w:val="0"/>
          <w:szCs w:val="32"/>
        </w:rPr>
        <w:t>六、存在的主要问题</w:t>
      </w:r>
    </w:p>
    <w:p>
      <w:pPr>
        <w:spacing w:line="594" w:lineRule="exact"/>
        <w:ind w:firstLine="640" w:firstLineChars="200"/>
        <w:rPr>
          <w:rFonts w:hint="eastAsia"/>
          <w:kern w:val="0"/>
          <w:szCs w:val="32"/>
          <w:lang w:val="en-US" w:eastAsia="zh-CN"/>
        </w:rPr>
      </w:pPr>
      <w:r>
        <w:rPr>
          <w:rFonts w:hint="eastAsia"/>
          <w:kern w:val="0"/>
          <w:szCs w:val="32"/>
          <w:lang w:val="en-US" w:eastAsia="zh-CN"/>
        </w:rPr>
        <w:t>1、资金渠道和支付多元化，容易突破预算。从部门预算资金来源渠道看，既有预算内外收入，又有上级部门的拨入资金；从资金支付方式渠道看，既有直接支付又有授权支付。由于资金来源渠道和支付方式的多元化，使单位容易突破预算。</w:t>
      </w:r>
    </w:p>
    <w:p>
      <w:pPr>
        <w:spacing w:line="594" w:lineRule="exact"/>
        <w:ind w:firstLine="640" w:firstLineChars="200"/>
        <w:rPr>
          <w:rFonts w:hint="eastAsia"/>
          <w:kern w:val="0"/>
          <w:szCs w:val="32"/>
          <w:lang w:val="en-US" w:eastAsia="zh-CN"/>
        </w:rPr>
      </w:pPr>
      <w:r>
        <w:rPr>
          <w:rFonts w:hint="eastAsia"/>
          <w:kern w:val="0"/>
          <w:szCs w:val="32"/>
          <w:lang w:val="en-US" w:eastAsia="zh-CN"/>
        </w:rPr>
        <w:t>2、对单位整体支出的考核监督机制尚未建立。</w:t>
      </w:r>
    </w:p>
    <w:p>
      <w:pPr>
        <w:pStyle w:val="5"/>
        <w:ind w:left="0" w:leftChars="0" w:firstLine="0" w:firstLineChars="0"/>
        <w:rPr>
          <w:rFonts w:hint="default"/>
          <w:lang w:val="en-US" w:eastAsia="zh-CN"/>
        </w:rPr>
      </w:pPr>
      <w:r>
        <w:rPr>
          <w:rFonts w:hint="eastAsia"/>
          <w:lang w:val="en-US" w:eastAsia="zh-CN"/>
        </w:rPr>
        <w:t xml:space="preserve">    3、在资金使用方面的掌控力还需进一步加强，更好的完成厉行节约的目标。</w:t>
      </w:r>
    </w:p>
    <w:p>
      <w:pPr>
        <w:spacing w:line="594" w:lineRule="exact"/>
        <w:ind w:firstLine="640" w:firstLineChars="200"/>
        <w:rPr>
          <w:rFonts w:eastAsia="黑体"/>
          <w:bCs/>
          <w:kern w:val="0"/>
          <w:szCs w:val="32"/>
        </w:rPr>
      </w:pPr>
      <w:r>
        <w:rPr>
          <w:rFonts w:eastAsia="黑体"/>
          <w:bCs/>
          <w:kern w:val="0"/>
          <w:szCs w:val="32"/>
        </w:rPr>
        <w:t>七、改进措施和有关建议</w:t>
      </w:r>
    </w:p>
    <w:p>
      <w:pPr>
        <w:spacing w:line="600" w:lineRule="exact"/>
        <w:ind w:firstLine="640"/>
        <w:jc w:val="both"/>
        <w:rPr>
          <w:rFonts w:hint="default"/>
          <w:kern w:val="0"/>
          <w:szCs w:val="32"/>
          <w:lang w:val="en-US" w:eastAsia="zh-CN"/>
        </w:rPr>
      </w:pPr>
      <w:r>
        <w:rPr>
          <w:rFonts w:hint="eastAsia"/>
          <w:kern w:val="0"/>
          <w:szCs w:val="32"/>
          <w:lang w:val="en-US" w:eastAsia="zh-CN"/>
        </w:rPr>
        <w:t>1、加强组织领导，完善工作机制，坚持以服务为宗旨，全面提高服务质量，切实为广大茶农、茶企、茶人提供服务。</w:t>
      </w:r>
    </w:p>
    <w:p>
      <w:pPr>
        <w:spacing w:line="600" w:lineRule="exact"/>
        <w:ind w:firstLine="640"/>
        <w:jc w:val="both"/>
        <w:rPr>
          <w:rFonts w:hint="eastAsia"/>
          <w:kern w:val="0"/>
          <w:szCs w:val="32"/>
          <w:lang w:val="en-US" w:eastAsia="zh-CN"/>
        </w:rPr>
      </w:pPr>
      <w:r>
        <w:rPr>
          <w:rFonts w:hint="eastAsia"/>
          <w:kern w:val="0"/>
          <w:szCs w:val="32"/>
          <w:lang w:val="en-US" w:eastAsia="zh-CN"/>
        </w:rPr>
        <w:t>2、进一步增强单位预算约束意识，强化综合财政预算管理。单位必须严格遵行无预算不支出的原则。硬化预算约束，加大预算监督力度。</w:t>
      </w:r>
    </w:p>
    <w:p>
      <w:pPr>
        <w:spacing w:line="600" w:lineRule="exact"/>
        <w:ind w:firstLine="640"/>
        <w:jc w:val="both"/>
        <w:rPr>
          <w:rFonts w:hint="default"/>
          <w:kern w:val="0"/>
          <w:szCs w:val="32"/>
          <w:lang w:val="en-US" w:eastAsia="zh-CN"/>
        </w:rPr>
      </w:pPr>
      <w:r>
        <w:rPr>
          <w:rFonts w:hint="eastAsia"/>
          <w:kern w:val="0"/>
          <w:szCs w:val="32"/>
          <w:lang w:val="en-US" w:eastAsia="zh-CN"/>
        </w:rPr>
        <w:t>3、落实经费责任，强化资金管理，提高专项资金专款专用意识，规范使用，确保资金安全有效。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B5EEB"/>
    <w:multiLevelType w:val="singleLevel"/>
    <w:tmpl w:val="908B5EEB"/>
    <w:lvl w:ilvl="0" w:tentative="0">
      <w:start w:val="2"/>
      <w:numFmt w:val="chineseCounting"/>
      <w:suff w:val="nothing"/>
      <w:lvlText w:val="（%1）"/>
      <w:lvlJc w:val="left"/>
      <w:rPr>
        <w:rFonts w:hint="eastAsia"/>
      </w:rPr>
    </w:lvl>
  </w:abstractNum>
  <w:abstractNum w:abstractNumId="1">
    <w:nsid w:val="ED03F1AB"/>
    <w:multiLevelType w:val="singleLevel"/>
    <w:tmpl w:val="ED03F1AB"/>
    <w:lvl w:ilvl="0" w:tentative="0">
      <w:start w:val="4"/>
      <w:numFmt w:val="chineseCounting"/>
      <w:suff w:val="nothing"/>
      <w:lvlText w:val="%1、"/>
      <w:lvlJc w:val="left"/>
      <w:rPr>
        <w:rFonts w:hint="eastAsia"/>
      </w:rPr>
    </w:lvl>
  </w:abstractNum>
  <w:abstractNum w:abstractNumId="2">
    <w:nsid w:val="0F2F0422"/>
    <w:multiLevelType w:val="singleLevel"/>
    <w:tmpl w:val="0F2F0422"/>
    <w:lvl w:ilvl="0" w:tentative="0">
      <w:start w:val="2"/>
      <w:numFmt w:val="chineseCounting"/>
      <w:suff w:val="nothing"/>
      <w:lvlText w:val="（%1）"/>
      <w:lvlJc w:val="left"/>
      <w:rPr>
        <w:rFonts w:hint="eastAsia"/>
      </w:rPr>
    </w:lvl>
  </w:abstractNum>
  <w:abstractNum w:abstractNumId="3">
    <w:nsid w:val="110ED390"/>
    <w:multiLevelType w:val="singleLevel"/>
    <w:tmpl w:val="110ED390"/>
    <w:lvl w:ilvl="0" w:tentative="0">
      <w:start w:val="2"/>
      <w:numFmt w:val="decimal"/>
      <w:suff w:val="space"/>
      <w:lvlText w:val="%1."/>
      <w:lvlJc w:val="left"/>
    </w:lvl>
  </w:abstractNum>
  <w:abstractNum w:abstractNumId="4">
    <w:nsid w:val="14BA8EA8"/>
    <w:multiLevelType w:val="singleLevel"/>
    <w:tmpl w:val="14BA8EA8"/>
    <w:lvl w:ilvl="0" w:tentative="0">
      <w:start w:val="2"/>
      <w:numFmt w:val="chineseCounting"/>
      <w:suff w:val="nothing"/>
      <w:lvlText w:val="（%1）"/>
      <w:lvlJc w:val="left"/>
      <w:rPr>
        <w:rFonts w:hint="eastAsia"/>
      </w:rPr>
    </w:lvl>
  </w:abstractNum>
  <w:abstractNum w:abstractNumId="5">
    <w:nsid w:val="1F8F707D"/>
    <w:multiLevelType w:val="multilevel"/>
    <w:tmpl w:val="1F8F707D"/>
    <w:lvl w:ilvl="0" w:tentative="0">
      <w:start w:val="1"/>
      <w:numFmt w:val="chineseCounting"/>
      <w:suff w:val="nothing"/>
      <w:lvlText w:val="（%1）"/>
      <w:lvlJc w:val="left"/>
      <w:pPr>
        <w:ind w:left="200" w:firstLine="0"/>
      </w:pPr>
      <w:rPr>
        <w:rFonts w:hint="default" w:ascii="楷体_GB2312" w:hAnsi="楷体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Dg2OTZhZDdhZDM4NTg4NzI5OGU5Zjg3MGE0ZTIifQ=="/>
  </w:docVars>
  <w:rsids>
    <w:rsidRoot w:val="1BB35376"/>
    <w:rsid w:val="1BB3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customStyle="1" w:styleId="5">
    <w:name w:val="BodyText1I2"/>
    <w:basedOn w:val="6"/>
    <w:next w:val="1"/>
    <w:qFormat/>
    <w:uiPriority w:val="0"/>
    <w:pPr>
      <w:tabs>
        <w:tab w:val="left" w:pos="449"/>
      </w:tabs>
      <w:ind w:firstLine="420"/>
    </w:pPr>
  </w:style>
  <w:style w:type="paragraph" w:customStyle="1" w:styleId="6">
    <w:name w:val="BodyTextIndent"/>
    <w:basedOn w:val="1"/>
    <w:qFormat/>
    <w:uiPriority w:val="0"/>
    <w:pPr>
      <w:spacing w:after="120"/>
      <w:ind w:left="200" w:leftChars="200"/>
      <w:textAlignment w:val="baselin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2024-07-25T06:45:00Z</dcterms:created>
  <dc:creator>norton</dc:creator>
  <cp:lastModifiedBy>超人。</cp:lastModifiedBy>
  <dcterms:modified xsi:type="dcterms:W3CDTF">2024-07-25T06:46:28Z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B930878D7040406C94459E7CEA5D56BA_11</vt:lpwstr>
  </property>
</Properties>
</file>