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68472">
      <w:pPr>
        <w:rPr>
          <w:rFonts w:hint="eastAsia" w:ascii="黑体" w:hAnsi="黑体" w:eastAsia="黑体" w:cs="仿宋"/>
          <w:sz w:val="32"/>
          <w:szCs w:val="32"/>
          <w:lang w:val="en-US" w:eastAsia="zh-CN"/>
        </w:rPr>
      </w:pPr>
      <w:r>
        <w:rPr>
          <w:rFonts w:hint="eastAsia" w:ascii="黑体" w:hAnsi="黑体" w:eastAsia="黑体" w:cs="仿宋"/>
          <w:sz w:val="32"/>
          <w:szCs w:val="32"/>
          <w:lang w:eastAsia="zh-CN"/>
        </w:rPr>
        <w:t>附件</w:t>
      </w:r>
      <w:r>
        <w:rPr>
          <w:rFonts w:hint="eastAsia" w:ascii="黑体" w:hAnsi="黑体" w:eastAsia="黑体" w:cs="仿宋"/>
          <w:sz w:val="32"/>
          <w:szCs w:val="32"/>
          <w:lang w:val="en-US" w:eastAsia="zh-CN"/>
        </w:rPr>
        <w:t>4</w:t>
      </w:r>
    </w:p>
    <w:p w14:paraId="1D066B8B">
      <w:pPr>
        <w:rPr>
          <w:rFonts w:hint="eastAsia" w:ascii="黑体" w:hAnsi="黑体" w:eastAsia="黑体" w:cs="仿宋"/>
          <w:sz w:val="32"/>
          <w:szCs w:val="32"/>
          <w:lang w:val="en-US" w:eastAsia="zh-CN"/>
        </w:rPr>
      </w:pPr>
    </w:p>
    <w:p w14:paraId="57BB3764">
      <w:pPr>
        <w:rPr>
          <w:rFonts w:hint="eastAsia" w:ascii="黑体" w:hAnsi="黑体" w:eastAsia="黑体" w:cs="仿宋"/>
          <w:sz w:val="32"/>
          <w:szCs w:val="32"/>
          <w:lang w:val="en-US" w:eastAsia="zh-CN"/>
        </w:rPr>
      </w:pPr>
    </w:p>
    <w:p w14:paraId="1F62AAFF">
      <w:pPr>
        <w:rPr>
          <w:rFonts w:hint="eastAsia" w:ascii="黑体" w:hAnsi="黑体" w:eastAsia="黑体" w:cs="仿宋"/>
          <w:sz w:val="32"/>
          <w:szCs w:val="32"/>
          <w:lang w:val="en-US" w:eastAsia="zh-CN"/>
        </w:rPr>
      </w:pPr>
    </w:p>
    <w:p w14:paraId="7347A9DD">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2023年度</w:t>
      </w:r>
      <w:bookmarkStart w:id="0" w:name="_GoBack"/>
      <w:r>
        <w:rPr>
          <w:rFonts w:hint="eastAsia" w:ascii="微软雅黑" w:hAnsi="微软雅黑" w:eastAsia="微软雅黑" w:cs="微软雅黑"/>
          <w:sz w:val="52"/>
          <w:szCs w:val="52"/>
          <w:lang w:val="en-US" w:eastAsia="zh-CN"/>
        </w:rPr>
        <w:t>中共安化县委组织部</w:t>
      </w:r>
      <w:bookmarkEnd w:id="0"/>
    </w:p>
    <w:p w14:paraId="1BB9B55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14:paraId="259CC34B">
      <w:pPr>
        <w:widowControl/>
        <w:ind w:firstLine="361" w:firstLineChars="100"/>
        <w:rPr>
          <w:rFonts w:ascii="楷体" w:hAnsi="楷体" w:eastAsia="楷体" w:cs="楷体"/>
          <w:b/>
          <w:bCs/>
          <w:kern w:val="0"/>
          <w:sz w:val="36"/>
          <w:szCs w:val="36"/>
        </w:rPr>
      </w:pPr>
    </w:p>
    <w:p w14:paraId="40A63115"/>
    <w:p w14:paraId="23DC1C5C">
      <w:pPr>
        <w:rPr>
          <w:rFonts w:ascii="楷体" w:hAnsi="楷体" w:eastAsia="楷体" w:cs="楷体"/>
          <w:b/>
          <w:bCs/>
          <w:kern w:val="0"/>
          <w:sz w:val="36"/>
          <w:szCs w:val="36"/>
        </w:rPr>
      </w:pPr>
    </w:p>
    <w:p w14:paraId="1FCF5A19">
      <w:pPr>
        <w:rPr>
          <w:rFonts w:ascii="楷体" w:hAnsi="楷体" w:eastAsia="楷体" w:cs="楷体"/>
          <w:b/>
          <w:bCs/>
          <w:kern w:val="0"/>
          <w:sz w:val="36"/>
          <w:szCs w:val="36"/>
        </w:rPr>
      </w:pPr>
    </w:p>
    <w:p w14:paraId="4BA370F2">
      <w:pPr>
        <w:rPr>
          <w:rFonts w:ascii="楷体" w:hAnsi="楷体" w:eastAsia="楷体" w:cs="楷体"/>
          <w:b/>
          <w:bCs/>
          <w:kern w:val="0"/>
          <w:sz w:val="36"/>
          <w:szCs w:val="36"/>
        </w:rPr>
      </w:pPr>
    </w:p>
    <w:p w14:paraId="23F8E7A8">
      <w:pPr>
        <w:rPr>
          <w:rFonts w:ascii="楷体" w:hAnsi="楷体" w:eastAsia="楷体" w:cs="楷体"/>
          <w:b/>
          <w:bCs/>
          <w:kern w:val="0"/>
          <w:sz w:val="36"/>
          <w:szCs w:val="36"/>
        </w:rPr>
      </w:pPr>
    </w:p>
    <w:p w14:paraId="3427B930">
      <w:pPr>
        <w:pStyle w:val="5"/>
      </w:pPr>
    </w:p>
    <w:p w14:paraId="311F1E4D">
      <w:pPr>
        <w:widowControl/>
        <w:ind w:firstLine="361" w:firstLineChars="100"/>
        <w:rPr>
          <w:rFonts w:hint="eastAsia" w:ascii="楷体" w:hAnsi="楷体" w:eastAsia="楷体" w:cs="楷体"/>
          <w:b/>
          <w:bCs/>
          <w:kern w:val="0"/>
          <w:sz w:val="36"/>
          <w:szCs w:val="36"/>
        </w:rPr>
      </w:pPr>
    </w:p>
    <w:p w14:paraId="7D7DCF73">
      <w:pPr>
        <w:widowControl/>
        <w:ind w:firstLine="2520" w:firstLineChars="700"/>
        <w:jc w:val="both"/>
        <w:rPr>
          <w:rFonts w:hint="eastAsia" w:ascii="黑体" w:hAnsi="黑体" w:eastAsia="黑体" w:cs="黑体"/>
          <w:b w:val="0"/>
          <w:bCs w:val="0"/>
          <w:kern w:val="0"/>
          <w:sz w:val="48"/>
          <w:szCs w:val="48"/>
          <w:u w:val="single"/>
        </w:rPr>
      </w:pPr>
      <w:r>
        <w:rPr>
          <w:rFonts w:hint="eastAsia" w:ascii="黑体" w:hAnsi="黑体" w:eastAsia="黑体" w:cs="黑体"/>
          <w:b w:val="0"/>
          <w:bCs w:val="0"/>
          <w:kern w:val="0"/>
          <w:sz w:val="36"/>
          <w:szCs w:val="36"/>
        </w:rPr>
        <w:t>中共安化县委组织部</w:t>
      </w:r>
    </w:p>
    <w:p w14:paraId="70454183">
      <w:pPr>
        <w:widowControl/>
        <w:rPr>
          <w:rFonts w:hint="eastAsia" w:ascii="黑体" w:hAnsi="黑体" w:eastAsia="黑体" w:cs="黑体"/>
          <w:b w:val="0"/>
          <w:bCs w:val="0"/>
          <w:kern w:val="0"/>
          <w:sz w:val="48"/>
          <w:szCs w:val="48"/>
          <w:u w:val="single"/>
        </w:rPr>
      </w:pPr>
    </w:p>
    <w:p w14:paraId="364D5A88">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06</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19</w:t>
      </w:r>
      <w:r>
        <w:rPr>
          <w:rFonts w:hint="eastAsia" w:ascii="黑体" w:hAnsi="黑体" w:eastAsia="黑体" w:cs="黑体"/>
          <w:b w:val="0"/>
          <w:bCs w:val="0"/>
          <w:kern w:val="0"/>
          <w:sz w:val="36"/>
          <w:szCs w:val="36"/>
        </w:rPr>
        <w:t xml:space="preserve"> 日</w:t>
      </w:r>
    </w:p>
    <w:p w14:paraId="7186672E">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r>
        <w:rPr>
          <w:rFonts w:hint="eastAsia" w:ascii="黑体" w:hAnsi="黑体" w:eastAsia="黑体" w:cs="仿宋"/>
          <w:kern w:val="0"/>
          <w:sz w:val="32"/>
          <w:szCs w:val="32"/>
        </w:rPr>
        <w:br w:type="page"/>
      </w:r>
    </w:p>
    <w:p w14:paraId="3C6BC7E8">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eastAsia="zh-CN"/>
        </w:rPr>
      </w:pPr>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年度中共安化县委组织部</w:t>
      </w:r>
    </w:p>
    <w:p w14:paraId="25A9E63E">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rPr>
        <w:t>整体支出绩效自评报告</w:t>
      </w:r>
    </w:p>
    <w:p w14:paraId="206A688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一、部门(单位)基本情况</w:t>
      </w:r>
    </w:p>
    <w:p w14:paraId="20C11F4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(一)2023年度重点工作</w:t>
      </w:r>
    </w:p>
    <w:p w14:paraId="04CBDB1E">
      <w:pPr>
        <w:pStyle w:val="6"/>
        <w:shd w:val="clear" w:color="auto" w:fill="FFFFFF"/>
        <w:spacing w:before="0" w:beforeAutospacing="0" w:after="0" w:afterAutospacing="0" w:line="594" w:lineRule="exact"/>
        <w:ind w:firstLine="640" w:firstLineChars="200"/>
        <w:jc w:val="both"/>
        <w:rPr>
          <w:rFonts w:hint="eastAsia" w:ascii="仿宋" w:hAnsi="仿宋" w:eastAsia="仿宋" w:cs="仿宋"/>
          <w:b w:val="0"/>
          <w:bCs w:val="0"/>
          <w:i w:val="0"/>
          <w:iCs w:val="0"/>
          <w:caps w:val="0"/>
          <w:color w:val="3D3D3D"/>
          <w:spacing w:val="0"/>
          <w:sz w:val="32"/>
          <w:szCs w:val="32"/>
          <w:shd w:val="clear" w:color="auto" w:fill="FFFFFF"/>
          <w:lang w:val="en-US" w:eastAsia="zh-CN"/>
        </w:rPr>
      </w:pPr>
      <w:r>
        <w:rPr>
          <w:rFonts w:hint="eastAsia" w:ascii="仿宋" w:hAnsi="仿宋" w:eastAsia="仿宋" w:cs="仿宋"/>
          <w:b w:val="0"/>
          <w:bCs w:val="0"/>
          <w:i w:val="0"/>
          <w:iCs w:val="0"/>
          <w:caps w:val="0"/>
          <w:color w:val="3D3D3D"/>
          <w:spacing w:val="0"/>
          <w:sz w:val="32"/>
          <w:szCs w:val="32"/>
          <w:shd w:val="clear" w:color="auto" w:fill="FFFFFF"/>
          <w:lang w:val="en-US" w:eastAsia="zh-CN"/>
        </w:rPr>
        <w:t>严格执行党的干部路线、方针、政策，负责全县干部队伍建设的宏观管理，拟订或参与拟订组织、干部、人事工作的政策、规定、制度。负责全县党的建设制度改革工作的规划研究、部署和组织实施。负责干部队伍建设的规划和指导工作。执行公务员管理政策和法律法规。负责干部监督工作，对党政领导干部选拔任用工作进行监督。负责制定全县干部教育工作规划，协调、指导全县干部教育培训工作。负责全县干部信息、人事档案、干部统计工作，负责全县组织系统信息网络建设。负责全县人才工作和人才队伍建设，研究拟订人才工作有关政策，协调落实专项重点人才工作。研究指导党组织建设工作。研究指导党员队伍建设工作。负责全县非公有制经济组织和社会组织党的建设工作。承担县委基层党建工作领导小组日常工作。负责组织工作的综合协调、督促检查和调查研究。负责全县老干部服务管理工作。负责全县的绩效考评工作。完成县委交办的其他任务。</w:t>
      </w:r>
    </w:p>
    <w:p w14:paraId="0AB67CC8">
      <w:pPr>
        <w:pStyle w:val="6"/>
        <w:shd w:val="clear" w:color="auto" w:fill="FFFFFF"/>
        <w:spacing w:before="0" w:beforeAutospacing="0" w:after="0" w:afterAutospacing="0" w:line="594" w:lineRule="exact"/>
        <w:ind w:firstLine="640" w:firstLineChars="200"/>
        <w:jc w:val="both"/>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(二)部门整体支出规模、使用方向、主要内容和涉及范围</w:t>
      </w:r>
    </w:p>
    <w:p w14:paraId="03817F08">
      <w:pPr>
        <w:pStyle w:val="6"/>
        <w:shd w:val="clear" w:color="auto" w:fill="FFFFFF"/>
        <w:spacing w:before="0" w:beforeAutospacing="0" w:after="0" w:afterAutospacing="0" w:line="594" w:lineRule="exact"/>
        <w:ind w:firstLine="640" w:firstLineChars="200"/>
        <w:jc w:val="both"/>
        <w:rPr>
          <w:rFonts w:hint="eastAsia" w:ascii="仿宋" w:hAnsi="仿宋" w:eastAsia="仿宋" w:cs="仿宋"/>
          <w:b w:val="0"/>
          <w:bCs w:val="0"/>
          <w:i w:val="0"/>
          <w:iCs w:val="0"/>
          <w:caps w:val="0"/>
          <w:color w:val="3D3D3D"/>
          <w:spacing w:val="0"/>
          <w:sz w:val="32"/>
          <w:szCs w:val="32"/>
          <w:shd w:val="clear" w:color="auto" w:fill="FFFFFF"/>
        </w:rPr>
      </w:pPr>
      <w:r>
        <w:rPr>
          <w:rFonts w:hint="eastAsia" w:ascii="仿宋" w:hAnsi="仿宋" w:eastAsia="仿宋" w:cs="仿宋"/>
          <w:b w:val="0"/>
          <w:bCs w:val="0"/>
          <w:i w:val="0"/>
          <w:iCs w:val="0"/>
          <w:caps w:val="0"/>
          <w:color w:val="3D3D3D"/>
          <w:spacing w:val="0"/>
          <w:sz w:val="32"/>
          <w:szCs w:val="32"/>
          <w:shd w:val="clear" w:color="auto" w:fill="FFFFFF"/>
          <w:lang w:val="en-US" w:eastAsia="zh-CN"/>
        </w:rPr>
        <w:t>2023年度整体支出总额1966.11万元，其中财政拨款收入1966.11万元，占总收入的100%。主要内容和涉及范围：人员经费包括基本工资、津贴补贴、奖金、其他社会保障缴费、退休费生活补助、住房公积金等；日常公用经费包括办公费、差旅费、培训费、公务接待费、劳务费、工会经费、福利费、公务用车运行维护费、其他交通费用、其他商品和服务支出等；项目支出主要包括其他对个人和家庭的补助支出、办公费、印刷费、邮电费、差旅费、维修（护）费、会议费、培训费、公务接待费、劳务费、委托业务费、公务用车运行维护费、其他交通费、其他商品和服务支出、办公设备购置。涉及人员经费、保障基本运转、开展各项专项业务工作、精准扶贫、党建所发生的全部支出。</w:t>
      </w:r>
    </w:p>
    <w:p w14:paraId="680679A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14:paraId="75D3A8C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(一)基本支出情况</w:t>
      </w:r>
    </w:p>
    <w:p w14:paraId="33DBFE1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基本支出1008.63万元，是为保障各部门正常运转、完成日常工作任务而发生的各项支出，主要包括工资福利支出705.8万元，商品和服务支出194.13万元，对个人和家庭支出103.6万元,资本性支出5.1。</w:t>
      </w:r>
    </w:p>
    <w:p w14:paraId="5F0BD811">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“三公”经费支出情况：2023年“三公”经费完成12.73万元，比上年减少3.04万元。</w:t>
      </w:r>
    </w:p>
    <w:p w14:paraId="0203E22F">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w:t>
      </w:r>
      <w:r>
        <w:rPr>
          <w:rFonts w:hint="eastAsia" w:ascii="Times New Roman" w:hAnsi="Times New Roman" w:eastAsia="仿宋_GB2312"/>
          <w:sz w:val="32"/>
          <w:szCs w:val="32"/>
        </w:rPr>
        <w:t>完成</w:t>
      </w:r>
      <w:r>
        <w:rPr>
          <w:rFonts w:hint="eastAsia" w:ascii="Times New Roman" w:hAnsi="Times New Roman" w:eastAsia="仿宋_GB2312"/>
          <w:sz w:val="32"/>
          <w:szCs w:val="32"/>
          <w:lang w:eastAsia="zh-CN"/>
        </w:rPr>
        <w:t>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与上年数相比无变化，主要是本年与上年都没有</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eastAsia="zh-CN"/>
        </w:rPr>
        <w:t>安排，也没有发生实际支出。</w:t>
      </w:r>
    </w:p>
    <w:p w14:paraId="7F3075E5">
      <w:pPr>
        <w:pStyle w:val="11"/>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98.14</w:t>
      </w:r>
      <w:r>
        <w:rPr>
          <w:rFonts w:hint="eastAsia" w:ascii="Times New Roman" w:hAnsi="Times New Roman" w:eastAsia="仿宋_GB2312"/>
          <w:sz w:val="32"/>
          <w:szCs w:val="32"/>
        </w:rPr>
        <w:t>%，决算数小于预算数的主要原因是按照中央、省委、省政府要求，厉行节约，继续严控“三公”经费。</w:t>
      </w:r>
    </w:p>
    <w:p w14:paraId="03291A36">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w:t>
      </w:r>
      <w:r>
        <w:rPr>
          <w:rFonts w:hint="eastAsia" w:ascii="Times New Roman" w:hAnsi="Times New Roman" w:eastAsia="仿宋_GB2312"/>
          <w:sz w:val="32"/>
          <w:szCs w:val="32"/>
        </w:rPr>
        <w:t>完成</w:t>
      </w:r>
      <w:r>
        <w:rPr>
          <w:rFonts w:hint="eastAsia" w:ascii="Times New Roman" w:hAnsi="Times New Roman" w:eastAsia="仿宋_GB2312"/>
          <w:sz w:val="32"/>
          <w:szCs w:val="32"/>
          <w:lang w:eastAsia="zh-CN"/>
        </w:rPr>
        <w:t>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决算与预算数一致，主要是本年没有</w:t>
      </w:r>
      <w:r>
        <w:rPr>
          <w:rFonts w:hint="eastAsia" w:ascii="Times New Roman" w:hAnsi="Times New Roman" w:eastAsia="仿宋_GB2312"/>
          <w:sz w:val="32"/>
          <w:szCs w:val="32"/>
        </w:rPr>
        <w:t>公务用车购置</w:t>
      </w:r>
      <w:r>
        <w:rPr>
          <w:rFonts w:hint="eastAsia" w:ascii="Times New Roman" w:hAnsi="Times New Roman" w:eastAsia="仿宋_GB2312"/>
          <w:sz w:val="32"/>
          <w:szCs w:val="32"/>
          <w:lang w:eastAsia="zh-CN"/>
        </w:rPr>
        <w:t>安排，也没有发生实际支出。与上年相比无变化，主要是本年与上年都没有</w:t>
      </w:r>
      <w:r>
        <w:rPr>
          <w:rFonts w:hint="eastAsia" w:ascii="Times New Roman" w:hAnsi="Times New Roman" w:eastAsia="仿宋_GB2312"/>
          <w:sz w:val="32"/>
          <w:szCs w:val="32"/>
        </w:rPr>
        <w:t>公务用车购置</w:t>
      </w:r>
      <w:r>
        <w:rPr>
          <w:rFonts w:hint="eastAsia" w:ascii="Times New Roman" w:hAnsi="Times New Roman" w:eastAsia="仿宋_GB2312"/>
          <w:sz w:val="32"/>
          <w:szCs w:val="32"/>
          <w:lang w:eastAsia="zh-CN"/>
        </w:rPr>
        <w:t>安排，也没有发生实际支出。</w:t>
      </w:r>
    </w:p>
    <w:p w14:paraId="77B2C14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w:t>
      </w:r>
      <w:r>
        <w:rPr>
          <w:rFonts w:hint="eastAsia" w:ascii="Times New Roman" w:hAnsi="Times New Roman" w:eastAsia="仿宋_GB2312"/>
          <w:sz w:val="32"/>
          <w:szCs w:val="32"/>
        </w:rPr>
        <w:t>完成</w:t>
      </w:r>
      <w:r>
        <w:rPr>
          <w:rFonts w:hint="eastAsia" w:ascii="Times New Roman" w:hAnsi="Times New Roman" w:eastAsia="仿宋_GB2312"/>
          <w:sz w:val="32"/>
          <w:szCs w:val="32"/>
          <w:lang w:eastAsia="zh-CN"/>
        </w:rPr>
        <w:t>率</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决算与预算数一致，主要是本年没有</w:t>
      </w:r>
      <w:r>
        <w:rPr>
          <w:rFonts w:hint="eastAsia" w:ascii="Times New Roman" w:hAnsi="Times New Roman" w:eastAsia="仿宋_GB2312"/>
          <w:sz w:val="32"/>
          <w:szCs w:val="32"/>
        </w:rPr>
        <w:t>公务用车运行维护</w:t>
      </w:r>
      <w:r>
        <w:rPr>
          <w:rFonts w:hint="eastAsia" w:ascii="Times New Roman" w:hAnsi="Times New Roman" w:eastAsia="仿宋_GB2312"/>
          <w:sz w:val="32"/>
          <w:szCs w:val="32"/>
          <w:lang w:eastAsia="zh-CN"/>
        </w:rPr>
        <w:t>安排，也没有发生实际支出。</w:t>
      </w:r>
    </w:p>
    <w:p w14:paraId="2D3F4AC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(二)项目支出情况</w:t>
      </w:r>
    </w:p>
    <w:p w14:paraId="4914587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项目支出957.48万元，包含：</w:t>
      </w:r>
      <w:r>
        <w:rPr>
          <w:rFonts w:hint="eastAsia" w:ascii="仿宋_GB2312" w:eastAsia="仿宋_GB2312"/>
          <w:sz w:val="32"/>
          <w:szCs w:val="32"/>
          <w:lang w:eastAsia="zh-CN"/>
        </w:rPr>
        <w:t>业务工作</w:t>
      </w:r>
      <w:r>
        <w:rPr>
          <w:rFonts w:hint="eastAsia" w:ascii="仿宋_GB2312" w:eastAsia="仿宋_GB2312"/>
          <w:sz w:val="32"/>
          <w:szCs w:val="32"/>
        </w:rPr>
        <w:t>经费</w:t>
      </w:r>
      <w:r>
        <w:rPr>
          <w:rFonts w:hint="eastAsia" w:ascii="仿宋_GB2312" w:eastAsia="仿宋_GB2312"/>
          <w:sz w:val="32"/>
          <w:szCs w:val="32"/>
          <w:lang w:eastAsia="zh-CN"/>
        </w:rPr>
        <w:t>以及运行维护经费等。主要用于负责安化县组织人事制度改革的规划、部署、组织实施和宏观管理。</w:t>
      </w:r>
    </w:p>
    <w:p w14:paraId="75EC8028">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政府性基金预算支出情况</w:t>
      </w:r>
    </w:p>
    <w:p w14:paraId="70D39C70">
      <w:pPr>
        <w:ind w:firstLine="640" w:firstLineChars="200"/>
        <w:rPr>
          <w:rFonts w:hint="default" w:eastAsia="仿宋_GB2312"/>
          <w:lang w:val="en-US" w:eastAsia="zh-CN"/>
        </w:rPr>
      </w:pPr>
      <w:r>
        <w:rPr>
          <w:color w:val="232323"/>
          <w:sz w:val="32"/>
          <w:szCs w:val="32"/>
          <w:shd w:val="clear" w:color="auto" w:fill="FFFFFF"/>
        </w:rPr>
        <w:t>2023</w:t>
      </w:r>
      <w:r>
        <w:rPr>
          <w:rFonts w:hint="eastAsia" w:ascii="仿宋_GB2312" w:eastAsia="仿宋_GB2312" w:cs="仿宋_GB2312"/>
          <w:color w:val="232323"/>
          <w:sz w:val="32"/>
          <w:szCs w:val="32"/>
          <w:shd w:val="clear" w:color="auto" w:fill="FFFFFF"/>
        </w:rPr>
        <w:t>年本部门政府性基金支出预算</w:t>
      </w:r>
      <w:r>
        <w:rPr>
          <w:rFonts w:hint="eastAsia" w:eastAsia="仿宋_GB2312"/>
          <w:color w:val="232323"/>
          <w:sz w:val="32"/>
          <w:szCs w:val="32"/>
          <w:shd w:val="clear" w:color="auto" w:fill="FFFFFF"/>
          <w:lang w:val="en-US" w:eastAsia="zh-CN"/>
        </w:rPr>
        <w:t>0</w:t>
      </w:r>
      <w:r>
        <w:rPr>
          <w:rFonts w:hint="eastAsia" w:ascii="仿宋_GB2312" w:eastAsia="仿宋_GB2312" w:cs="仿宋_GB2312"/>
          <w:color w:val="232323"/>
          <w:sz w:val="32"/>
          <w:szCs w:val="32"/>
          <w:shd w:val="clear" w:color="auto" w:fill="FFFFFF"/>
        </w:rPr>
        <w:t>万元</w:t>
      </w:r>
      <w:r>
        <w:rPr>
          <w:rFonts w:hint="eastAsia" w:ascii="仿宋_GB2312" w:hAnsi="宋体" w:eastAsia="仿宋_GB2312" w:cs="仿宋_GB2312"/>
          <w:color w:val="232323"/>
          <w:sz w:val="32"/>
          <w:szCs w:val="32"/>
          <w:shd w:val="clear" w:color="auto" w:fill="FFFFFF"/>
        </w:rPr>
        <w:t>。</w:t>
      </w:r>
    </w:p>
    <w:p w14:paraId="4146400D">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国有资本经营预算支出情况</w:t>
      </w:r>
    </w:p>
    <w:p w14:paraId="2231DFB3">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本部门无国有资本经营预算的支出。</w:t>
      </w:r>
    </w:p>
    <w:p w14:paraId="4675B08A">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社会保险基金预算支出情况</w:t>
      </w:r>
    </w:p>
    <w:p w14:paraId="4D3BC260">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本部门无社会保险基金预算的支出。</w:t>
      </w:r>
    </w:p>
    <w:p w14:paraId="3CE7EEA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六、部门整体支出绩效情况</w:t>
      </w:r>
    </w:p>
    <w:p w14:paraId="65D3F2F9">
      <w:pPr>
        <w:spacing w:line="594" w:lineRule="exact"/>
        <w:ind w:firstLine="640" w:firstLineChars="200"/>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2023年度支出总额</w:t>
      </w:r>
      <w:r>
        <w:rPr>
          <w:rFonts w:hint="eastAsia" w:ascii="仿宋" w:hAnsi="仿宋" w:eastAsia="仿宋" w:cs="仿宋"/>
          <w:b w:val="0"/>
          <w:bCs w:val="0"/>
          <w:i w:val="0"/>
          <w:iCs w:val="0"/>
          <w:caps w:val="0"/>
          <w:color w:val="3D3D3D"/>
          <w:spacing w:val="0"/>
          <w:sz w:val="32"/>
          <w:szCs w:val="32"/>
          <w:shd w:val="clear" w:color="auto" w:fill="FFFFFF"/>
          <w:lang w:val="en-US" w:eastAsia="zh-CN"/>
        </w:rPr>
        <w:t>1966.11</w:t>
      </w:r>
      <w:r>
        <w:rPr>
          <w:rFonts w:hint="eastAsia" w:ascii="Times New Roman" w:hAnsi="Times New Roman" w:eastAsia="仿宋_GB2312" w:cs="Times New Roman"/>
          <w:bCs/>
          <w:color w:val="auto"/>
          <w:kern w:val="2"/>
          <w:sz w:val="32"/>
          <w:szCs w:val="32"/>
          <w:highlight w:val="none"/>
          <w:lang w:val="en-US" w:eastAsia="zh-CN" w:bidi="ar-SA"/>
        </w:rPr>
        <w:t>万元，其中基本支出</w:t>
      </w:r>
      <w:r>
        <w:rPr>
          <w:rFonts w:hint="eastAsia" w:ascii="仿宋" w:hAnsi="仿宋" w:eastAsia="仿宋" w:cs="Times New Roman"/>
          <w:kern w:val="2"/>
          <w:sz w:val="32"/>
          <w:szCs w:val="24"/>
          <w:u w:val="none"/>
          <w:shd w:val="clear" w:color="auto" w:fill="auto"/>
          <w:lang w:val="en-US" w:eastAsia="zh-CN" w:bidi="ar-SA"/>
        </w:rPr>
        <w:t>1008.63</w:t>
      </w:r>
      <w:r>
        <w:rPr>
          <w:rFonts w:hint="eastAsia" w:ascii="Times New Roman" w:hAnsi="Times New Roman" w:eastAsia="仿宋_GB2312" w:cs="Times New Roman"/>
          <w:bCs/>
          <w:color w:val="auto"/>
          <w:kern w:val="2"/>
          <w:sz w:val="32"/>
          <w:szCs w:val="32"/>
          <w:highlight w:val="none"/>
          <w:lang w:val="en-US" w:eastAsia="zh-CN" w:bidi="ar-SA"/>
        </w:rPr>
        <w:t>万元，基本支出保障了单位正常运转的日常支出，包括基本工资、津贴补贴等人员经费以及办公费、水电费、差旅费等日常公用经费；项目支出金额</w:t>
      </w:r>
      <w:r>
        <w:rPr>
          <w:rFonts w:hint="eastAsia" w:ascii="仿宋" w:hAnsi="仿宋" w:eastAsia="仿宋" w:cs="Times New Roman"/>
          <w:kern w:val="2"/>
          <w:sz w:val="32"/>
          <w:szCs w:val="24"/>
          <w:u w:val="none"/>
          <w:shd w:val="clear" w:color="auto" w:fill="auto"/>
          <w:lang w:val="en-US" w:eastAsia="zh-CN" w:bidi="ar-SA"/>
        </w:rPr>
        <w:t>957.48</w:t>
      </w:r>
      <w:r>
        <w:rPr>
          <w:rFonts w:hint="eastAsia" w:ascii="Times New Roman" w:hAnsi="Times New Roman" w:eastAsia="仿宋_GB2312" w:cs="Times New Roman"/>
          <w:bCs/>
          <w:color w:val="auto"/>
          <w:kern w:val="2"/>
          <w:sz w:val="32"/>
          <w:szCs w:val="32"/>
          <w:highlight w:val="none"/>
          <w:lang w:val="en-US" w:eastAsia="zh-CN" w:bidi="ar-SA"/>
        </w:rPr>
        <w:t>万元。</w:t>
      </w:r>
      <w:r>
        <w:rPr>
          <w:rFonts w:hint="eastAsia" w:ascii="Times New Roman" w:hAnsi="Times New Roman" w:eastAsia="仿宋_GB2312" w:cs="Times New Roman"/>
          <w:bCs/>
          <w:color w:val="auto"/>
          <w:kern w:val="2"/>
          <w:sz w:val="32"/>
          <w:szCs w:val="32"/>
          <w:highlight w:val="none"/>
          <w:lang w:val="en-US" w:eastAsia="zh-CN" w:bidi="ar-SA"/>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14:paraId="562B9CC9">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七、存在的问题及原因分析</w:t>
      </w:r>
    </w:p>
    <w:p w14:paraId="31805A93">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default" w:ascii="仿宋_GB2312" w:hAnsi="仿宋" w:eastAsia="仿宋_GB2312" w:cs="Times New Roman"/>
          <w:sz w:val="32"/>
          <w:szCs w:val="32"/>
          <w:lang w:val="en-US" w:eastAsia="zh-CN"/>
        </w:rPr>
        <w:t>部门预算的人员经费和公用经费不足。单位日常运转的刚性支出大，现</w:t>
      </w:r>
      <w:r>
        <w:rPr>
          <w:rFonts w:hint="eastAsia" w:ascii="仿宋_GB2312" w:hAnsi="仿宋" w:eastAsia="仿宋_GB2312" w:cs="Times New Roman"/>
          <w:sz w:val="32"/>
          <w:szCs w:val="32"/>
          <w:lang w:val="en-US" w:eastAsia="zh-CN"/>
        </w:rPr>
        <w:t>有的部门预算资金不能满足日益增长的工作需要。</w:t>
      </w:r>
    </w:p>
    <w:p w14:paraId="62E653A6">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2、绩效管理的整体性上还有差距，管理体系需进一步健全。</w:t>
      </w:r>
    </w:p>
    <w:p w14:paraId="18A0011A">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3、绩效目标设定的科学性、时效性有待加强。</w:t>
      </w:r>
    </w:p>
    <w:p w14:paraId="201C221B">
      <w:pPr>
        <w:keepNext w:val="0"/>
        <w:keepLines w:val="0"/>
        <w:widowControl/>
        <w:suppressLineNumbers w:val="0"/>
        <w:ind w:firstLine="640" w:firstLineChars="200"/>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4、部机关监督管理制度还有待健全，某些方面制度执行还不严格。比如对专项资金的使用缺乏有效的监督，在项目资金使用时虽有详细的申报计划，但具体资金如何使用，有没有按计划进行等监督还不够。</w:t>
      </w:r>
    </w:p>
    <w:p w14:paraId="217F7C80">
      <w:pPr>
        <w:keepNext w:val="0"/>
        <w:keepLines w:val="0"/>
        <w:pageBreakBefore w:val="0"/>
        <w:widowControl/>
        <w:numPr>
          <w:ilvl w:val="0"/>
          <w:numId w:val="2"/>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下一步改进措施</w:t>
      </w:r>
    </w:p>
    <w:p w14:paraId="33625343">
      <w:pPr>
        <w:keepNext w:val="0"/>
        <w:keepLines w:val="0"/>
        <w:widowControl/>
        <w:suppressLineNumbers w:val="0"/>
        <w:ind w:firstLine="640" w:firstLineChars="200"/>
        <w:jc w:val="left"/>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对存在的问题提出切实可行的改进措施和有关建议等。</w:t>
      </w:r>
    </w:p>
    <w:p w14:paraId="1D234B24">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加强财务管理，严格财务审核。设置项目资金台账，严格财务管理，规范会计核算。严格区分“基本支出”和“项目支出”，凡属预算安排的项目资金，支出时应归集到“项目支出”并按预算项目的分类进行明细核算，避免混淆与挪项；制定专项资金管理办法，加强专项资金的追踪检查。</w:t>
      </w:r>
    </w:p>
    <w:p w14:paraId="7EAC497C">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2、对相关人员加强培训，切实提高</w:t>
      </w:r>
      <w:r>
        <w:rPr>
          <w:rFonts w:hint="eastAsia" w:ascii="仿宋_GB2312" w:hAnsi="仿宋" w:cs="Times New Roman"/>
          <w:sz w:val="32"/>
          <w:szCs w:val="32"/>
          <w:lang w:val="en-US" w:eastAsia="zh-CN"/>
        </w:rPr>
        <w:t>财务</w:t>
      </w:r>
      <w:r>
        <w:rPr>
          <w:rFonts w:hint="eastAsia" w:ascii="仿宋_GB2312" w:hAnsi="仿宋" w:eastAsia="仿宋_GB2312" w:cs="Times New Roman"/>
          <w:sz w:val="32"/>
          <w:szCs w:val="32"/>
          <w:lang w:val="en-US" w:eastAsia="zh-CN"/>
        </w:rPr>
        <w:t>人员业务水平。结合上一年度预算执行情况及本年度预算收支变化因素，根据单位具体绩效目标，科学编制本年度预算，力求精准，尽量减少调项和追加，保持预算执行的严肃性。</w:t>
      </w:r>
    </w:p>
    <w:p w14:paraId="1D8E193E">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绩效自评结果拟应用和公开情况</w:t>
      </w:r>
    </w:p>
    <w:p w14:paraId="3E0F4A5D">
      <w:pPr>
        <w:pStyle w:val="2"/>
        <w:numPr>
          <w:ilvl w:val="0"/>
          <w:numId w:val="0"/>
        </w:numPr>
        <w:ind w:leftChars="200"/>
        <w:rPr>
          <w:rFonts w:hint="eastAsia" w:eastAsia="宋体"/>
          <w:lang w:eastAsia="zh-CN"/>
        </w:rPr>
      </w:pPr>
      <w:r>
        <w:rPr>
          <w:rFonts w:hint="eastAsia" w:eastAsia="仿宋_GB2312" w:cs="Times New Roman"/>
          <w:kern w:val="0"/>
          <w:sz w:val="32"/>
          <w:szCs w:val="32"/>
          <w:lang w:val="en-US" w:eastAsia="zh-CN" w:bidi="ar-SA"/>
        </w:rPr>
        <w:t>暂未公开。</w:t>
      </w:r>
    </w:p>
    <w:p w14:paraId="5AFD5637">
      <w:pPr>
        <w:numPr>
          <w:ilvl w:val="0"/>
          <w:numId w:val="2"/>
        </w:numPr>
        <w:ind w:left="0" w:leftChars="0"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其他需要说明的情况</w:t>
      </w:r>
    </w:p>
    <w:p w14:paraId="618679C7">
      <w:pPr>
        <w:numPr>
          <w:ilvl w:val="0"/>
          <w:numId w:val="0"/>
        </w:numPr>
        <w:ind w:leftChars="200"/>
      </w:pPr>
      <w:r>
        <w:rPr>
          <w:rFonts w:hint="eastAsia" w:eastAsia="仿宋_GB2312" w:cs="Times New Roman"/>
          <w:kern w:val="0"/>
          <w:sz w:val="32"/>
          <w:szCs w:val="32"/>
          <w:lang w:val="en-US" w:eastAsia="zh-CN" w:bidi="ar-SA"/>
        </w:rPr>
        <w:t>无。</w:t>
      </w:r>
      <w:r>
        <w:rPr>
          <w:rFonts w:eastAsia="Times New Roman"/>
          <w:kern w:val="0"/>
          <w:sz w:val="2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109C"/>
    <w:multiLevelType w:val="singleLevel"/>
    <w:tmpl w:val="0DF4109C"/>
    <w:lvl w:ilvl="0" w:tentative="0">
      <w:start w:val="8"/>
      <w:numFmt w:val="chineseCounting"/>
      <w:suff w:val="nothing"/>
      <w:lvlText w:val="%1、"/>
      <w:lvlJc w:val="left"/>
      <w:rPr>
        <w:rFonts w:hint="eastAsia"/>
      </w:rPr>
    </w:lvl>
  </w:abstractNum>
  <w:abstractNum w:abstractNumId="1">
    <w:nsid w:val="7F4048D7"/>
    <w:multiLevelType w:val="singleLevel"/>
    <w:tmpl w:val="7F4048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s>
  <w:rsids>
    <w:rsidRoot w:val="6D445020"/>
    <w:rsid w:val="029228E1"/>
    <w:rsid w:val="074B01AA"/>
    <w:rsid w:val="14FF1319"/>
    <w:rsid w:val="257D691C"/>
    <w:rsid w:val="33357B76"/>
    <w:rsid w:val="3C0774ED"/>
    <w:rsid w:val="53246BC3"/>
    <w:rsid w:val="58057740"/>
    <w:rsid w:val="5E1C1B39"/>
    <w:rsid w:val="64B56C4A"/>
    <w:rsid w:val="6CB62BA9"/>
    <w:rsid w:val="6D445020"/>
    <w:rsid w:val="720A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rPr>
  </w:style>
  <w:style w:type="paragraph" w:styleId="3">
    <w:name w:val="Body Text Indent"/>
    <w:basedOn w:val="1"/>
    <w:qFormat/>
    <w:uiPriority w:val="99"/>
    <w:pPr>
      <w:ind w:firstLine="640" w:firstLineChars="200"/>
    </w:pPr>
    <w:rPr>
      <w:sz w:val="32"/>
      <w:szCs w:val="32"/>
    </w:rPr>
  </w:style>
  <w:style w:type="paragraph" w:styleId="4">
    <w:name w:val="toc 5"/>
    <w:basedOn w:val="1"/>
    <w:next w:val="1"/>
    <w:unhideWhenUsed/>
    <w:qFormat/>
    <w:uiPriority w:val="39"/>
    <w:pPr>
      <w:ind w:left="1680" w:leftChars="800"/>
    </w:pPr>
    <w:rPr>
      <w:rFonts w:ascii="等线" w:hAnsi="等线" w:eastAsia="等线" w:cs="Times New Roman"/>
      <w:szCs w:val="22"/>
    </w:rPr>
  </w:style>
  <w:style w:type="paragraph" w:styleId="5">
    <w:name w:val="toc 1"/>
    <w:basedOn w:val="1"/>
    <w:next w:val="1"/>
    <w:unhideWhenUsed/>
    <w:qFormat/>
    <w:uiPriority w:val="99"/>
    <w:pPr>
      <w:spacing w:beforeLines="0" w:afterLines="0"/>
    </w:pPr>
    <w:rPr>
      <w:rFonts w:hint="default"/>
      <w:sz w:val="21"/>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qFormat/>
    <w:uiPriority w:val="99"/>
    <w:pPr>
      <w:ind w:firstLine="420"/>
    </w:pPr>
  </w:style>
  <w:style w:type="character" w:styleId="10">
    <w:name w:val="Strong"/>
    <w:basedOn w:val="9"/>
    <w:qFormat/>
    <w:uiPriority w:val="0"/>
    <w:rPr>
      <w:b/>
      <w:bCs/>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1898</Words>
  <Characters>2011</Characters>
  <Lines>0</Lines>
  <Paragraphs>0</Paragraphs>
  <TotalTime>0</TotalTime>
  <ScaleCrop>false</ScaleCrop>
  <LinksUpToDate>false</LinksUpToDate>
  <CharactersWithSpaces>2030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2024-06-17T10:01:00Z</dcterms:created>
  <dc:creator>啊斌</dc:creator>
  <cp:lastModifiedBy>啊斌</cp:lastModifiedBy>
  <dcterms:modified xsi:type="dcterms:W3CDTF">2024-06-28T01:31:52Z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4DCAD72549A84EA8AFB75EAD4AC1CDD5_13</vt:lpwstr>
  </property>
</Properties>
</file>