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E54C4">
      <w:pPr>
        <w:pStyle w:val="14"/>
        <w:jc w:val="both"/>
        <w:rPr>
          <w:rFonts w:hint="eastAsia" w:ascii="方正小标宋_GBK" w:hAnsi="方正小标宋_GBK" w:eastAsia="方正小标宋_GBK" w:cs="方正小标宋_GBK"/>
          <w:sz w:val="72"/>
          <w:szCs w:val="72"/>
        </w:rPr>
      </w:pPr>
    </w:p>
    <w:p w14:paraId="303C0E52">
      <w:pPr>
        <w:pStyle w:val="14"/>
        <w:jc w:val="center"/>
        <w:rPr>
          <w:rFonts w:hint="eastAsia" w:ascii="方正小标宋_GBK" w:hAnsi="方正小标宋_GBK" w:eastAsia="方正小标宋_GBK" w:cs="方正小标宋_GBK"/>
          <w:sz w:val="72"/>
          <w:szCs w:val="72"/>
        </w:rPr>
      </w:pPr>
    </w:p>
    <w:p w14:paraId="24B27BBF">
      <w:pPr>
        <w:pStyle w:val="14"/>
        <w:jc w:val="center"/>
        <w:rPr>
          <w:rFonts w:hint="eastAsia" w:ascii="方正小标宋_GBK" w:hAnsi="方正小标宋_GBK" w:eastAsia="方正小标宋_GBK" w:cs="方正小标宋_GBK"/>
          <w:sz w:val="72"/>
          <w:szCs w:val="72"/>
        </w:rPr>
      </w:pPr>
    </w:p>
    <w:p w14:paraId="1A993898">
      <w:pPr>
        <w:pStyle w:val="14"/>
        <w:jc w:val="center"/>
        <w:rPr>
          <w:rFonts w:hint="eastAsia" w:ascii="方正小标宋_GBK" w:hAnsi="方正小标宋_GBK" w:eastAsia="方正小标宋_GBK" w:cs="方正小标宋_GBK"/>
          <w:sz w:val="72"/>
          <w:szCs w:val="72"/>
        </w:rPr>
      </w:pPr>
    </w:p>
    <w:p w14:paraId="5E3BEDA9">
      <w:pPr>
        <w:pStyle w:val="14"/>
        <w:jc w:val="center"/>
        <w:rPr>
          <w:rFonts w:hint="eastAsia" w:ascii="方正小标宋_GBK" w:hAnsi="方正小标宋_GBK" w:eastAsia="方正小标宋_GBK" w:cs="方正小标宋_GBK"/>
          <w:sz w:val="72"/>
          <w:szCs w:val="72"/>
        </w:rPr>
      </w:pPr>
    </w:p>
    <w:p w14:paraId="69D5320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C39FC9B">
      <w:pPr>
        <w:pStyle w:val="14"/>
        <w:jc w:val="center"/>
        <w:rPr>
          <w:rFonts w:hint="eastAsia" w:ascii="方正小标宋_GBK" w:hAnsi="方正小标宋_GBK" w:eastAsia="方正小标宋_GBK" w:cs="方正小标宋_GBK"/>
          <w:sz w:val="70"/>
          <w:szCs w:val="70"/>
        </w:rPr>
      </w:pPr>
    </w:p>
    <w:p w14:paraId="55C80699">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4B00D9E">
      <w:pPr>
        <w:rPr>
          <w:sz w:val="72"/>
          <w:szCs w:val="72"/>
        </w:rPr>
      </w:pPr>
    </w:p>
    <w:p w14:paraId="0E0F67FA">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BAED4FB">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05830F4">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77496FC">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1FCE61B">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66B4ADC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9686695">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5C7A148C">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val="en-US" w:eastAsia="zh-CN"/>
        </w:rPr>
        <w:t>安化县文学艺术界联合会</w:t>
      </w:r>
    </w:p>
    <w:p w14:paraId="464A5C15">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整体支出绩效自评报告</w:t>
      </w:r>
    </w:p>
    <w:p w14:paraId="54CC5206">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一、部门(单位)基本情况</w:t>
      </w:r>
    </w:p>
    <w:p w14:paraId="0312632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 xml:space="preserve">1. </w:t>
      </w:r>
      <w:r>
        <w:rPr>
          <w:rFonts w:hint="eastAsia" w:ascii="楷体_GB2312" w:hAnsi="楷体_GB2312" w:eastAsia="楷体_GB2312" w:cs="楷体_GB2312"/>
          <w:color w:val="000000"/>
          <w:kern w:val="0"/>
          <w:sz w:val="32"/>
          <w:szCs w:val="32"/>
        </w:rPr>
        <w:t>在职人员情况</w:t>
      </w:r>
    </w:p>
    <w:p w14:paraId="6545AF67">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rPr>
      </w:pPr>
      <w:r>
        <w:rPr>
          <w:rFonts w:hint="eastAsia" w:ascii="楷体_GB2312" w:hAnsi="楷体_GB2312" w:eastAsia="楷体_GB2312" w:cs="楷体_GB2312"/>
          <w:color w:val="000000"/>
          <w:kern w:val="0"/>
          <w:sz w:val="32"/>
          <w:szCs w:val="32"/>
          <w:lang w:val="en-US" w:eastAsia="zh-CN"/>
        </w:rPr>
        <w:t>根据编委核定，我单位编制5人，文联主席1人，副主席1人，工作人员2人。实际在职人员4人。</w:t>
      </w:r>
    </w:p>
    <w:p w14:paraId="3981642C">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机构设置</w:t>
      </w:r>
    </w:p>
    <w:p w14:paraId="38EA57F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根据编委核定，我单位内设股室2个，分别是办公室、组联部。 </w:t>
      </w:r>
    </w:p>
    <w:p w14:paraId="7D086610">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主要职能及重点工作计划</w:t>
      </w:r>
      <w:r>
        <w:rPr>
          <w:rFonts w:hint="eastAsia" w:ascii="楷体_GB2312" w:hAnsi="楷体_GB2312" w:eastAsia="楷体_GB2312" w:cs="楷体_GB2312"/>
          <w:color w:val="000000"/>
          <w:kern w:val="0"/>
          <w:sz w:val="32"/>
          <w:szCs w:val="32"/>
          <w:lang w:val="en-US" w:eastAsia="zh-CN"/>
        </w:rPr>
        <w:t xml:space="preserve"> </w:t>
      </w:r>
    </w:p>
    <w:p w14:paraId="1980A3E5">
      <w:pPr>
        <w:keepNext w:val="0"/>
        <w:keepLines w:val="0"/>
        <w:pageBreakBefore w:val="0"/>
        <w:widowControl/>
        <w:kinsoku/>
        <w:wordWrap/>
        <w:overflowPunct/>
        <w:topLinePunct w:val="0"/>
        <w:autoSpaceDE/>
        <w:autoSpaceDN/>
        <w:bidi w:val="0"/>
        <w:adjustRightInd/>
        <w:snapToGrid/>
        <w:spacing w:line="576" w:lineRule="exact"/>
        <w:ind w:firstLine="664" w:firstLineChars="200"/>
        <w:jc w:val="left"/>
        <w:textAlignment w:val="auto"/>
        <w:rPr>
          <w:rFonts w:hint="eastAsia" w:ascii="楷体_GB2312" w:hAnsi="楷体_GB2312" w:eastAsia="楷体_GB2312" w:cs="楷体_GB2312"/>
          <w:color w:val="000000"/>
          <w:spacing w:val="6"/>
          <w:kern w:val="0"/>
          <w:sz w:val="32"/>
          <w:szCs w:val="32"/>
          <w:lang w:val="en-US" w:eastAsia="zh-CN"/>
        </w:rPr>
      </w:pPr>
      <w:r>
        <w:rPr>
          <w:rFonts w:hint="eastAsia" w:ascii="楷体_GB2312" w:hAnsi="楷体_GB2312" w:eastAsia="楷体_GB2312" w:cs="楷体_GB2312"/>
          <w:color w:val="000000"/>
          <w:spacing w:val="6"/>
          <w:kern w:val="0"/>
          <w:sz w:val="32"/>
          <w:szCs w:val="32"/>
          <w:lang w:val="en-US" w:eastAsia="zh-CN"/>
        </w:rPr>
        <w:t>县文联是安化县文学艺术界的联合组织，是党和政府联系文艺工作者的桥梁和纽带，贯彻落实党和国家关于文联工作的方针政策和决策部署，全面落实省、市、县委政府的部署要求，在履行职责过程中，坚持和加强党对文联工作的集中统一领导。</w:t>
      </w:r>
    </w:p>
    <w:p w14:paraId="2B83BA5D">
      <w:pPr>
        <w:keepNext w:val="0"/>
        <w:keepLines w:val="0"/>
        <w:pageBreakBefore w:val="0"/>
        <w:widowControl/>
        <w:kinsoku/>
        <w:wordWrap/>
        <w:overflowPunct/>
        <w:topLinePunct w:val="0"/>
        <w:autoSpaceDE/>
        <w:autoSpaceDN/>
        <w:bidi w:val="0"/>
        <w:adjustRightInd/>
        <w:snapToGrid/>
        <w:spacing w:line="576" w:lineRule="exact"/>
        <w:ind w:firstLine="664"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spacing w:val="6"/>
          <w:kern w:val="0"/>
          <w:sz w:val="32"/>
          <w:szCs w:val="32"/>
        </w:rPr>
        <w:t>继续坚持以习近平新时代中国特色社会主义思想为指</w:t>
      </w:r>
      <w:r>
        <w:rPr>
          <w:rFonts w:hint="eastAsia" w:ascii="楷体_GB2312" w:hAnsi="楷体_GB2312" w:eastAsia="楷体_GB2312" w:cs="楷体_GB2312"/>
          <w:color w:val="000000"/>
          <w:kern w:val="0"/>
          <w:sz w:val="32"/>
          <w:szCs w:val="32"/>
        </w:rPr>
        <w:t>导，牢牢把握安化文艺高质量发展的主线，团结带领广大文艺工作者，</w:t>
      </w:r>
      <w:r>
        <w:rPr>
          <w:rFonts w:hint="eastAsia" w:ascii="楷体_GB2312" w:hAnsi="楷体_GB2312" w:eastAsia="楷体_GB2312" w:cs="楷体_GB2312"/>
          <w:color w:val="000000"/>
          <w:kern w:val="0"/>
          <w:sz w:val="32"/>
          <w:szCs w:val="32"/>
          <w:lang w:val="en-US" w:eastAsia="zh-CN"/>
        </w:rPr>
        <w:t>围绕中心任务，聚焦精品创作，打造品牌活动，</w:t>
      </w:r>
      <w:r>
        <w:rPr>
          <w:rFonts w:hint="eastAsia" w:ascii="楷体_GB2312" w:hAnsi="楷体_GB2312" w:eastAsia="楷体_GB2312" w:cs="楷体_GB2312"/>
          <w:color w:val="000000"/>
          <w:kern w:val="0"/>
          <w:sz w:val="32"/>
          <w:szCs w:val="32"/>
          <w:lang w:val="en-US" w:eastAsia="zh-CN"/>
        </w:rPr>
        <w:fldChar w:fldCharType="begin"/>
      </w:r>
      <w:r>
        <w:rPr>
          <w:rFonts w:hint="eastAsia" w:ascii="楷体_GB2312" w:hAnsi="楷体_GB2312" w:eastAsia="楷体_GB2312" w:cs="楷体_GB2312"/>
          <w:color w:val="000000"/>
          <w:kern w:val="0"/>
          <w:sz w:val="32"/>
          <w:szCs w:val="32"/>
          <w:lang w:val="en-US" w:eastAsia="zh-CN"/>
        </w:rPr>
        <w:instrText xml:space="preserve"> HYPERLINK "http://www.baidu.com/link?url=O2cktv0-nW8FNc67vLWEVrPqwtIuCthpzJ_9wMG7_YDG7QqaEcbpsDo6Tnt6dtJE9SJHj4t8RwByr5_ek5VG4umP_beMLajnAhNgOmjErGq" \t "https://www.baidu.com/_blank" </w:instrText>
      </w:r>
      <w:r>
        <w:rPr>
          <w:rFonts w:hint="eastAsia" w:ascii="楷体_GB2312" w:hAnsi="楷体_GB2312" w:eastAsia="楷体_GB2312" w:cs="楷体_GB2312"/>
          <w:color w:val="000000"/>
          <w:kern w:val="0"/>
          <w:sz w:val="32"/>
          <w:szCs w:val="32"/>
          <w:lang w:val="en-US" w:eastAsia="zh-CN"/>
        </w:rPr>
        <w:fldChar w:fldCharType="separate"/>
      </w:r>
      <w:r>
        <w:rPr>
          <w:rFonts w:hint="eastAsia" w:ascii="楷体_GB2312" w:hAnsi="楷体_GB2312" w:eastAsia="楷体_GB2312" w:cs="楷体_GB2312"/>
          <w:color w:val="000000"/>
          <w:kern w:val="0"/>
          <w:sz w:val="32"/>
          <w:szCs w:val="32"/>
          <w:lang w:val="en-US" w:eastAsia="zh-CN"/>
        </w:rPr>
        <w:t>以文艺“组合拳”助力乡村振兴</w:t>
      </w:r>
      <w:r>
        <w:rPr>
          <w:rFonts w:hint="eastAsia" w:ascii="楷体_GB2312" w:hAnsi="楷体_GB2312" w:eastAsia="楷体_GB2312" w:cs="楷体_GB2312"/>
          <w:color w:val="000000"/>
          <w:kern w:val="0"/>
          <w:sz w:val="32"/>
          <w:szCs w:val="32"/>
          <w:lang w:val="en-US" w:eastAsia="zh-CN"/>
        </w:rPr>
        <w:fldChar w:fldCharType="end"/>
      </w: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落实县委县政府关于“文化振兴引领乡村振兴”的决策部署，面向基层、面向群众、面向实际推进文艺惠民工程，推进志愿服务常态化、制度化建设，探索“文艺志愿服务+乡村振兴”等文艺志愿服务模式，制定并下发《关于在全县开展文艺助力“文化振兴引领乡村振兴”活动的通知》，</w:t>
      </w:r>
      <w:r>
        <w:rPr>
          <w:rFonts w:hint="eastAsia" w:ascii="楷体_GB2312" w:hAnsi="楷体_GB2312" w:eastAsia="楷体_GB2312" w:cs="楷体_GB2312"/>
          <w:color w:val="000000"/>
          <w:kern w:val="0"/>
          <w:sz w:val="32"/>
          <w:szCs w:val="32"/>
        </w:rPr>
        <w:t>以</w:t>
      </w:r>
      <w:r>
        <w:rPr>
          <w:rFonts w:hint="eastAsia" w:ascii="楷体_GB2312" w:hAnsi="楷体_GB2312" w:eastAsia="楷体_GB2312" w:cs="楷体_GB2312"/>
          <w:color w:val="000000"/>
          <w:kern w:val="0"/>
          <w:sz w:val="32"/>
          <w:szCs w:val="32"/>
          <w:lang w:val="en-US" w:eastAsia="zh-CN"/>
        </w:rPr>
        <w:t>14个“文化振兴引领乡村振兴”示范村镇</w:t>
      </w:r>
      <w:r>
        <w:rPr>
          <w:rFonts w:hint="eastAsia" w:ascii="楷体_GB2312" w:hAnsi="楷体_GB2312" w:eastAsia="楷体_GB2312" w:cs="楷体_GB2312"/>
          <w:color w:val="000000"/>
          <w:kern w:val="0"/>
          <w:sz w:val="32"/>
          <w:szCs w:val="32"/>
        </w:rPr>
        <w:t>为重点，</w:t>
      </w:r>
      <w:r>
        <w:rPr>
          <w:rFonts w:hint="eastAsia" w:ascii="楷体_GB2312" w:hAnsi="楷体_GB2312" w:eastAsia="楷体_GB2312" w:cs="楷体_GB2312"/>
          <w:color w:val="000000"/>
          <w:kern w:val="0"/>
          <w:sz w:val="32"/>
          <w:szCs w:val="32"/>
          <w:lang w:val="en-US" w:eastAsia="zh-CN"/>
        </w:rPr>
        <w:t>每个文艺家协会派驻1-2名文艺志愿者进驻定点联系村，编排一个文艺节目，</w:t>
      </w:r>
      <w:r>
        <w:rPr>
          <w:rFonts w:hint="eastAsia" w:ascii="楷体_GB2312" w:hAnsi="楷体_GB2312" w:eastAsia="楷体_GB2312" w:cs="楷体_GB2312"/>
          <w:color w:val="000000"/>
          <w:kern w:val="0"/>
          <w:sz w:val="32"/>
          <w:szCs w:val="32"/>
        </w:rPr>
        <w:t>打造特色</w:t>
      </w:r>
      <w:r>
        <w:rPr>
          <w:rFonts w:hint="eastAsia" w:ascii="楷体_GB2312" w:hAnsi="楷体_GB2312" w:eastAsia="楷体_GB2312" w:cs="楷体_GB2312"/>
          <w:color w:val="000000"/>
          <w:kern w:val="0"/>
          <w:sz w:val="32"/>
          <w:szCs w:val="32"/>
          <w:lang w:val="en-US" w:eastAsia="zh-CN"/>
        </w:rPr>
        <w:t>文化项目，为乡村文化振兴贡献文艺力量。成立“百花”文艺志愿者服务队，</w:t>
      </w:r>
      <w:r>
        <w:rPr>
          <w:rFonts w:hint="eastAsia" w:ascii="楷体_GB2312" w:hAnsi="楷体_GB2312" w:eastAsia="楷体_GB2312" w:cs="楷体_GB2312"/>
          <w:color w:val="000000"/>
          <w:kern w:val="0"/>
          <w:sz w:val="32"/>
          <w:szCs w:val="32"/>
        </w:rPr>
        <w:t>深入开展“送欢乐下基层”惠民服务活动，做好慰问演出、展览展示、专业培训、辅导讲座、文艺支教等志愿活动，深入开展“文艺进万家”——义写春联文艺志愿服务行动，推动</w:t>
      </w:r>
      <w:r>
        <w:rPr>
          <w:rFonts w:hint="eastAsia" w:ascii="楷体_GB2312" w:hAnsi="楷体_GB2312" w:eastAsia="楷体_GB2312" w:cs="楷体_GB2312"/>
          <w:color w:val="000000"/>
          <w:kern w:val="0"/>
          <w:sz w:val="32"/>
          <w:szCs w:val="32"/>
          <w:lang w:val="en-US" w:eastAsia="zh-CN"/>
        </w:rPr>
        <w:t>志愿服务</w:t>
      </w:r>
      <w:r>
        <w:rPr>
          <w:rFonts w:hint="eastAsia" w:ascii="楷体_GB2312" w:hAnsi="楷体_GB2312" w:eastAsia="楷体_GB2312" w:cs="楷体_GB2312"/>
          <w:color w:val="000000"/>
          <w:kern w:val="0"/>
          <w:sz w:val="32"/>
          <w:szCs w:val="32"/>
        </w:rPr>
        <w:t>活动制度化、常态化。</w:t>
      </w:r>
    </w:p>
    <w:p w14:paraId="1A46EE3F">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部门整体支出规模、使用方向、主要内容和涉及范围。</w:t>
      </w:r>
    </w:p>
    <w:p w14:paraId="473D00B1">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w:t>
      </w:r>
      <w:r>
        <w:rPr>
          <w:rFonts w:hint="eastAsia" w:ascii="楷体_GB2312" w:hAnsi="楷体_GB2312" w:eastAsia="楷体_GB2312" w:cs="楷体_GB2312"/>
          <w:color w:val="000000"/>
          <w:kern w:val="0"/>
          <w:sz w:val="32"/>
          <w:szCs w:val="32"/>
          <w:lang w:val="en-US" w:eastAsia="zh-CN"/>
        </w:rPr>
        <w:t>23</w:t>
      </w:r>
      <w:r>
        <w:rPr>
          <w:rFonts w:hint="eastAsia" w:ascii="楷体_GB2312" w:hAnsi="楷体_GB2312" w:eastAsia="楷体_GB2312" w:cs="楷体_GB2312"/>
          <w:color w:val="000000"/>
          <w:kern w:val="0"/>
          <w:sz w:val="32"/>
          <w:szCs w:val="32"/>
        </w:rPr>
        <w:t>年没有政府性基金预算拨款</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没有</w:t>
      </w:r>
      <w:r>
        <w:rPr>
          <w:rFonts w:hint="eastAsia" w:ascii="楷体_GB2312" w:hAnsi="楷体_GB2312" w:eastAsia="楷体_GB2312" w:cs="楷体_GB2312"/>
          <w:color w:val="000000"/>
          <w:kern w:val="0"/>
          <w:sz w:val="32"/>
          <w:szCs w:val="32"/>
        </w:rPr>
        <w:t>国有资本经营预算收入和纳入专户管理的非税收入拨款收入，也没有使用政府性基金预算拨款、国有资本经营预算收入和纳入专户管理的非税收入拨款安排的支出。</w:t>
      </w:r>
      <w:r>
        <w:rPr>
          <w:rFonts w:hint="eastAsia" w:ascii="楷体_GB2312" w:hAnsi="楷体_GB2312" w:eastAsia="楷体_GB2312" w:cs="楷体_GB2312"/>
          <w:color w:val="000000"/>
          <w:kern w:val="0"/>
          <w:sz w:val="32"/>
          <w:szCs w:val="32"/>
          <w:lang w:val="en-US" w:eastAsia="zh-CN"/>
        </w:rPr>
        <w:t>2023年</w:t>
      </w:r>
      <w:r>
        <w:rPr>
          <w:rFonts w:hint="eastAsia" w:ascii="楷体_GB2312" w:hAnsi="楷体_GB2312" w:eastAsia="楷体_GB2312" w:cs="楷体_GB2312"/>
          <w:color w:val="000000"/>
          <w:kern w:val="0"/>
          <w:sz w:val="32"/>
          <w:szCs w:val="32"/>
        </w:rPr>
        <w:t>收入包括</w:t>
      </w:r>
      <w:r>
        <w:rPr>
          <w:rFonts w:hint="eastAsia" w:ascii="楷体_GB2312" w:hAnsi="楷体_GB2312" w:eastAsia="楷体_GB2312" w:cs="楷体_GB2312"/>
          <w:color w:val="000000"/>
          <w:kern w:val="0"/>
          <w:sz w:val="32"/>
          <w:szCs w:val="32"/>
          <w:lang w:val="en-US" w:eastAsia="zh-CN"/>
        </w:rPr>
        <w:t>县级财政</w:t>
      </w:r>
      <w:r>
        <w:rPr>
          <w:rFonts w:hint="eastAsia" w:ascii="楷体_GB2312" w:hAnsi="楷体_GB2312" w:eastAsia="楷体_GB2312" w:cs="楷体_GB2312"/>
          <w:color w:val="000000"/>
          <w:kern w:val="0"/>
          <w:sz w:val="32"/>
          <w:szCs w:val="32"/>
        </w:rPr>
        <w:t>经费拨款</w:t>
      </w:r>
      <w:r>
        <w:rPr>
          <w:rFonts w:hint="eastAsia" w:ascii="楷体_GB2312" w:hAnsi="楷体_GB2312" w:eastAsia="楷体_GB2312" w:cs="楷体_GB2312"/>
          <w:color w:val="000000"/>
          <w:kern w:val="0"/>
          <w:sz w:val="32"/>
          <w:szCs w:val="32"/>
          <w:lang w:val="en-US" w:eastAsia="zh-CN"/>
        </w:rPr>
        <w:t>153.77万元</w:t>
      </w: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不</w:t>
      </w:r>
      <w:r>
        <w:rPr>
          <w:rFonts w:hint="eastAsia" w:ascii="楷体_GB2312" w:hAnsi="楷体_GB2312" w:eastAsia="楷体_GB2312" w:cs="楷体_GB2312"/>
          <w:color w:val="000000"/>
          <w:kern w:val="0"/>
          <w:sz w:val="32"/>
          <w:szCs w:val="32"/>
        </w:rPr>
        <w:t>包括行政事业性收费收入和国有资源有偿使用收入；支出</w:t>
      </w:r>
      <w:r>
        <w:rPr>
          <w:rFonts w:hint="eastAsia" w:ascii="楷体_GB2312" w:hAnsi="楷体_GB2312" w:eastAsia="楷体_GB2312" w:cs="楷体_GB2312"/>
          <w:color w:val="000000"/>
          <w:kern w:val="0"/>
          <w:sz w:val="32"/>
          <w:szCs w:val="32"/>
          <w:lang w:val="en-US" w:eastAsia="zh-CN"/>
        </w:rPr>
        <w:t>153.77万元，</w:t>
      </w:r>
      <w:r>
        <w:rPr>
          <w:rFonts w:hint="eastAsia" w:ascii="楷体_GB2312" w:hAnsi="楷体_GB2312" w:eastAsia="楷体_GB2312" w:cs="楷体_GB2312"/>
          <w:color w:val="000000"/>
          <w:kern w:val="0"/>
          <w:sz w:val="32"/>
          <w:szCs w:val="32"/>
        </w:rPr>
        <w:t>包括保障基本运行的经费</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其中基本支出55.73万元（工资福利支出47.14万元，商品和服务支出8.59万元），项目支出98.04万元（文联机关专项经费12.62万元，协会活动经费9.36万元，文化振兴引领乡村振兴经费63.97万元，驻村帮扶工作队队员经费1.23万元，文艺志编撰经费8.23万元，优秀文艺作品扶持奖励2.63万元）</w:t>
      </w:r>
      <w:r>
        <w:rPr>
          <w:rFonts w:hint="eastAsia" w:ascii="楷体_GB2312" w:hAnsi="楷体_GB2312" w:eastAsia="楷体_GB2312" w:cs="楷体_GB2312"/>
          <w:color w:val="000000"/>
          <w:kern w:val="0"/>
          <w:sz w:val="32"/>
          <w:szCs w:val="32"/>
          <w:lang w:eastAsia="zh-CN"/>
        </w:rPr>
        <w:t>。</w:t>
      </w:r>
    </w:p>
    <w:p w14:paraId="0B2DAB4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14:paraId="074E35B6">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14:paraId="4AC985E7">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202</w:t>
      </w:r>
      <w:r>
        <w:rPr>
          <w:rFonts w:hint="eastAsia" w:ascii="楷体_GB2312" w:hAnsi="楷体_GB2312" w:eastAsia="楷体_GB2312" w:cs="楷体_GB2312"/>
          <w:color w:val="000000"/>
          <w:kern w:val="0"/>
          <w:sz w:val="32"/>
          <w:szCs w:val="32"/>
          <w:lang w:val="en-US" w:eastAsia="zh-CN"/>
        </w:rPr>
        <w:t>3</w:t>
      </w:r>
      <w:r>
        <w:rPr>
          <w:rFonts w:hint="eastAsia" w:ascii="楷体_GB2312" w:hAnsi="楷体_GB2312" w:eastAsia="楷体_GB2312" w:cs="楷体_GB2312"/>
          <w:color w:val="000000"/>
          <w:kern w:val="0"/>
          <w:sz w:val="32"/>
          <w:szCs w:val="32"/>
        </w:rPr>
        <w:t>年度财政拨款基本支出</w:t>
      </w:r>
      <w:r>
        <w:rPr>
          <w:rFonts w:hint="eastAsia" w:ascii="楷体_GB2312" w:hAnsi="楷体_GB2312" w:eastAsia="楷体_GB2312" w:cs="楷体_GB2312"/>
          <w:color w:val="000000"/>
          <w:kern w:val="0"/>
          <w:sz w:val="32"/>
          <w:szCs w:val="32"/>
          <w:lang w:val="en-US" w:eastAsia="zh-CN"/>
        </w:rPr>
        <w:t>55.73</w:t>
      </w:r>
      <w:r>
        <w:rPr>
          <w:rFonts w:hint="eastAsia" w:ascii="楷体_GB2312" w:hAnsi="楷体_GB2312" w:eastAsia="楷体_GB2312" w:cs="楷体_GB2312"/>
          <w:color w:val="000000"/>
          <w:kern w:val="0"/>
          <w:sz w:val="32"/>
          <w:szCs w:val="32"/>
        </w:rPr>
        <w:t>万元，其中：</w:t>
      </w:r>
    </w:p>
    <w:p w14:paraId="6C42AD4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人员经费</w:t>
      </w:r>
      <w:r>
        <w:rPr>
          <w:rFonts w:hint="eastAsia" w:ascii="楷体_GB2312" w:hAnsi="楷体_GB2312" w:eastAsia="楷体_GB2312" w:cs="楷体_GB2312"/>
          <w:color w:val="000000"/>
          <w:kern w:val="0"/>
          <w:sz w:val="32"/>
          <w:szCs w:val="32"/>
          <w:lang w:val="en-US" w:eastAsia="zh-CN"/>
        </w:rPr>
        <w:t>47.14</w:t>
      </w:r>
      <w:r>
        <w:rPr>
          <w:rFonts w:hint="eastAsia" w:ascii="楷体_GB2312" w:hAnsi="楷体_GB2312" w:eastAsia="楷体_GB2312" w:cs="楷体_GB2312"/>
          <w:color w:val="000000"/>
          <w:kern w:val="0"/>
          <w:sz w:val="32"/>
          <w:szCs w:val="32"/>
        </w:rPr>
        <w:t>万元，占基本支出的</w:t>
      </w:r>
      <w:r>
        <w:rPr>
          <w:rFonts w:hint="eastAsia" w:ascii="楷体_GB2312" w:hAnsi="楷体_GB2312" w:eastAsia="楷体_GB2312" w:cs="楷体_GB2312"/>
          <w:color w:val="000000"/>
          <w:kern w:val="0"/>
          <w:sz w:val="32"/>
          <w:szCs w:val="32"/>
          <w:lang w:val="en-US" w:eastAsia="zh-CN"/>
        </w:rPr>
        <w:t>84.59</w:t>
      </w: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主要包括基本工资、津贴补贴、奖金、</w:t>
      </w:r>
      <w:r>
        <w:rPr>
          <w:rFonts w:hint="eastAsia" w:ascii="楷体_GB2312" w:hAnsi="楷体_GB2312" w:eastAsia="楷体_GB2312" w:cs="楷体_GB2312"/>
          <w:color w:val="000000"/>
          <w:kern w:val="0"/>
          <w:sz w:val="32"/>
          <w:szCs w:val="32"/>
          <w:lang w:val="en-US" w:eastAsia="zh-CN"/>
        </w:rPr>
        <w:t>养老保险、医疗保险、工伤保险、住房公积金等</w:t>
      </w:r>
      <w:r>
        <w:rPr>
          <w:rFonts w:hint="eastAsia" w:ascii="楷体_GB2312" w:hAnsi="楷体_GB2312" w:eastAsia="楷体_GB2312" w:cs="楷体_GB2312"/>
          <w:color w:val="000000"/>
          <w:kern w:val="0"/>
          <w:sz w:val="32"/>
          <w:szCs w:val="32"/>
          <w:lang w:eastAsia="zh-CN"/>
        </w:rPr>
        <w:t>。</w:t>
      </w:r>
    </w:p>
    <w:p w14:paraId="3F0FD34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公用经费</w:t>
      </w:r>
      <w:r>
        <w:rPr>
          <w:rFonts w:hint="eastAsia" w:ascii="楷体_GB2312" w:hAnsi="楷体_GB2312" w:eastAsia="楷体_GB2312" w:cs="楷体_GB2312"/>
          <w:color w:val="000000"/>
          <w:kern w:val="0"/>
          <w:sz w:val="32"/>
          <w:szCs w:val="32"/>
          <w:lang w:val="en-US" w:eastAsia="zh-CN"/>
        </w:rPr>
        <w:t>8.59</w:t>
      </w:r>
      <w:r>
        <w:rPr>
          <w:rFonts w:hint="eastAsia" w:ascii="楷体_GB2312" w:hAnsi="楷体_GB2312" w:eastAsia="楷体_GB2312" w:cs="楷体_GB2312"/>
          <w:color w:val="000000"/>
          <w:kern w:val="0"/>
          <w:sz w:val="32"/>
          <w:szCs w:val="32"/>
        </w:rPr>
        <w:t>万元，占基本支出的</w:t>
      </w:r>
      <w:r>
        <w:rPr>
          <w:rFonts w:hint="eastAsia" w:ascii="楷体_GB2312" w:hAnsi="楷体_GB2312" w:eastAsia="楷体_GB2312" w:cs="楷体_GB2312"/>
          <w:color w:val="000000"/>
          <w:kern w:val="0"/>
          <w:sz w:val="32"/>
          <w:szCs w:val="32"/>
          <w:lang w:val="en-US" w:eastAsia="zh-CN"/>
        </w:rPr>
        <w:t>15.41</w:t>
      </w:r>
      <w:r>
        <w:rPr>
          <w:rFonts w:hint="eastAsia" w:ascii="楷体_GB2312" w:hAnsi="楷体_GB2312" w:eastAsia="楷体_GB2312" w:cs="楷体_GB2312"/>
          <w:color w:val="000000"/>
          <w:kern w:val="0"/>
          <w:sz w:val="32"/>
          <w:szCs w:val="32"/>
        </w:rPr>
        <w:t>%，主要包括办公费、</w:t>
      </w:r>
      <w:r>
        <w:rPr>
          <w:rFonts w:hint="eastAsia" w:ascii="楷体_GB2312" w:hAnsi="楷体_GB2312" w:eastAsia="楷体_GB2312" w:cs="楷体_GB2312"/>
          <w:color w:val="000000"/>
          <w:kern w:val="0"/>
          <w:sz w:val="32"/>
          <w:szCs w:val="32"/>
          <w:lang w:val="en-US" w:eastAsia="zh-CN"/>
        </w:rPr>
        <w:t>接待</w:t>
      </w:r>
      <w:r>
        <w:rPr>
          <w:rFonts w:hint="eastAsia" w:ascii="楷体_GB2312" w:hAnsi="楷体_GB2312" w:eastAsia="楷体_GB2312" w:cs="楷体_GB2312"/>
          <w:color w:val="000000"/>
          <w:kern w:val="0"/>
          <w:sz w:val="32"/>
          <w:szCs w:val="32"/>
        </w:rPr>
        <w:t>费、</w:t>
      </w:r>
      <w:r>
        <w:rPr>
          <w:rFonts w:hint="eastAsia" w:ascii="楷体_GB2312" w:hAnsi="楷体_GB2312" w:eastAsia="楷体_GB2312" w:cs="楷体_GB2312"/>
          <w:color w:val="000000"/>
          <w:kern w:val="0"/>
          <w:sz w:val="32"/>
          <w:szCs w:val="32"/>
          <w:lang w:val="en-US" w:eastAsia="zh-CN"/>
        </w:rPr>
        <w:t>差旅</w:t>
      </w:r>
      <w:r>
        <w:rPr>
          <w:rFonts w:hint="eastAsia" w:ascii="楷体_GB2312" w:hAnsi="楷体_GB2312" w:eastAsia="楷体_GB2312" w:cs="楷体_GB2312"/>
          <w:color w:val="000000"/>
          <w:kern w:val="0"/>
          <w:sz w:val="32"/>
          <w:szCs w:val="32"/>
        </w:rPr>
        <w:t>费</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工会经费、其他交通费等</w:t>
      </w:r>
      <w:r>
        <w:rPr>
          <w:rFonts w:hint="eastAsia" w:ascii="楷体_GB2312" w:hAnsi="楷体_GB2312" w:eastAsia="楷体_GB2312" w:cs="楷体_GB2312"/>
          <w:color w:val="000000"/>
          <w:kern w:val="0"/>
          <w:sz w:val="32"/>
          <w:szCs w:val="32"/>
        </w:rPr>
        <w:t>。</w:t>
      </w:r>
    </w:p>
    <w:p w14:paraId="5B40994F">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项目支出情况</w:t>
      </w:r>
    </w:p>
    <w:p w14:paraId="023AA498">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202</w:t>
      </w:r>
      <w:r>
        <w:rPr>
          <w:rFonts w:hint="eastAsia" w:ascii="楷体_GB2312" w:hAnsi="楷体_GB2312" w:eastAsia="楷体_GB2312" w:cs="楷体_GB2312"/>
          <w:color w:val="000000"/>
          <w:kern w:val="0"/>
          <w:sz w:val="32"/>
          <w:szCs w:val="32"/>
          <w:lang w:val="en-US" w:eastAsia="zh-CN"/>
        </w:rPr>
        <w:t>3</w:t>
      </w:r>
      <w:r>
        <w:rPr>
          <w:rFonts w:hint="eastAsia" w:ascii="楷体_GB2312" w:hAnsi="楷体_GB2312" w:eastAsia="楷体_GB2312" w:cs="楷体_GB2312"/>
          <w:color w:val="000000"/>
          <w:kern w:val="0"/>
          <w:sz w:val="32"/>
          <w:szCs w:val="32"/>
        </w:rPr>
        <w:t>年度财政拨款</w:t>
      </w:r>
      <w:r>
        <w:rPr>
          <w:rFonts w:hint="eastAsia" w:ascii="楷体_GB2312" w:hAnsi="楷体_GB2312" w:eastAsia="楷体_GB2312" w:cs="楷体_GB2312"/>
          <w:color w:val="000000"/>
          <w:kern w:val="0"/>
          <w:sz w:val="32"/>
          <w:szCs w:val="32"/>
          <w:lang w:val="en-US" w:eastAsia="zh-CN"/>
        </w:rPr>
        <w:t>项目</w:t>
      </w:r>
      <w:r>
        <w:rPr>
          <w:rFonts w:hint="eastAsia" w:ascii="楷体_GB2312" w:hAnsi="楷体_GB2312" w:eastAsia="楷体_GB2312" w:cs="楷体_GB2312"/>
          <w:color w:val="000000"/>
          <w:kern w:val="0"/>
          <w:sz w:val="32"/>
          <w:szCs w:val="32"/>
        </w:rPr>
        <w:t>支出</w:t>
      </w:r>
      <w:r>
        <w:rPr>
          <w:rFonts w:hint="eastAsia" w:ascii="楷体_GB2312" w:hAnsi="楷体_GB2312" w:eastAsia="楷体_GB2312" w:cs="楷体_GB2312"/>
          <w:color w:val="000000"/>
          <w:kern w:val="0"/>
          <w:sz w:val="32"/>
          <w:szCs w:val="32"/>
          <w:lang w:val="en-US" w:eastAsia="zh-CN"/>
        </w:rPr>
        <w:t>98.04</w:t>
      </w:r>
      <w:r>
        <w:rPr>
          <w:rFonts w:hint="eastAsia" w:ascii="楷体_GB2312" w:hAnsi="楷体_GB2312" w:eastAsia="楷体_GB2312" w:cs="楷体_GB2312"/>
          <w:color w:val="000000"/>
          <w:kern w:val="0"/>
          <w:sz w:val="32"/>
          <w:szCs w:val="32"/>
        </w:rPr>
        <w:t>万元，其中：</w:t>
      </w:r>
    </w:p>
    <w:p w14:paraId="5A8312EF">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文化振兴引领乡村振兴支出63.97万元，占项目支出的65.25%；13个文艺家协会活动经费9.36万元，占项目支出的9.55%；文联专项支出12.62万元，占项目支出的12.87%；文艺志编撰经费8.23万元,占项目支出的8.39%，驻村帮扶工作队队员经费1.23万元，占项目支出的1.25%，优秀文艺作品扶持奖励2.63万元，占项目支出的2.68%。</w:t>
      </w:r>
    </w:p>
    <w:p w14:paraId="1E8235EF">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正式出台了《文艺家协会助力乡村振兴工作绩效考核办法》，以全县14个“文化振兴引领乡村振兴”工作示范村镇为重点，全方位开展文化文艺辅导、培训活动。全县14支文艺家队伍，组织各示范镇留守儿童、村民文艺爱好者，举办具有地域文化特色的村民文艺辅导培训班160多期，培训对象近8000人次，培养农村文艺骨干超过600人。</w:t>
      </w:r>
    </w:p>
    <w:p w14:paraId="0E273E1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组织举办了一系列村民文艺联欢活动，</w:t>
      </w:r>
      <w:r>
        <w:rPr>
          <w:rFonts w:hint="eastAsia" w:ascii="楷体_GB2312" w:hAnsi="楷体_GB2312" w:eastAsia="楷体_GB2312" w:cs="楷体_GB2312"/>
          <w:color w:val="000000"/>
          <w:kern w:val="0"/>
          <w:sz w:val="32"/>
          <w:szCs w:val="32"/>
        </w:rPr>
        <w:t>将文化舞台交给当地村民，催生了基层文艺的内生动力</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推进当地文化旅游产业发展。已在仙溪镇大溪村、小淹镇肖家村等文化振兴引领乡村振兴示范</w:t>
      </w:r>
      <w:r>
        <w:rPr>
          <w:rFonts w:hint="eastAsia" w:ascii="楷体_GB2312" w:hAnsi="楷体_GB2312" w:eastAsia="楷体_GB2312" w:cs="楷体_GB2312"/>
          <w:color w:val="000000"/>
          <w:kern w:val="0"/>
          <w:sz w:val="32"/>
          <w:szCs w:val="32"/>
          <w:lang w:val="en-US" w:eastAsia="zh-CN"/>
        </w:rPr>
        <w:t>村镇</w:t>
      </w:r>
      <w:r>
        <w:rPr>
          <w:rFonts w:hint="eastAsia" w:ascii="楷体_GB2312" w:hAnsi="楷体_GB2312" w:eastAsia="楷体_GB2312" w:cs="楷体_GB2312"/>
          <w:color w:val="000000"/>
          <w:kern w:val="0"/>
          <w:sz w:val="32"/>
          <w:szCs w:val="32"/>
        </w:rPr>
        <w:t>举办了</w:t>
      </w:r>
      <w:r>
        <w:rPr>
          <w:rFonts w:hint="eastAsia" w:ascii="楷体_GB2312" w:hAnsi="楷体_GB2312" w:eastAsia="楷体_GB2312" w:cs="楷体_GB2312"/>
          <w:color w:val="000000"/>
          <w:kern w:val="0"/>
          <w:sz w:val="32"/>
          <w:szCs w:val="32"/>
          <w:lang w:val="en-US" w:eastAsia="zh-CN"/>
        </w:rPr>
        <w:t>20余场</w:t>
      </w:r>
      <w:r>
        <w:rPr>
          <w:rFonts w:hint="eastAsia" w:ascii="楷体_GB2312" w:hAnsi="楷体_GB2312" w:eastAsia="楷体_GB2312" w:cs="楷体_GB2312"/>
          <w:color w:val="000000"/>
          <w:kern w:val="0"/>
          <w:sz w:val="32"/>
          <w:szCs w:val="32"/>
        </w:rPr>
        <w:t>村民文艺联欢活动，参与群众达</w:t>
      </w:r>
      <w:r>
        <w:rPr>
          <w:rFonts w:hint="eastAsia" w:ascii="楷体_GB2312" w:hAnsi="楷体_GB2312" w:eastAsia="楷体_GB2312" w:cs="楷体_GB2312"/>
          <w:color w:val="000000"/>
          <w:kern w:val="0"/>
          <w:sz w:val="32"/>
          <w:szCs w:val="32"/>
          <w:lang w:val="en-US" w:eastAsia="zh-CN"/>
        </w:rPr>
        <w:t>2.5万余</w:t>
      </w:r>
      <w:r>
        <w:rPr>
          <w:rFonts w:hint="eastAsia" w:ascii="楷体_GB2312" w:hAnsi="楷体_GB2312" w:eastAsia="楷体_GB2312" w:cs="楷体_GB2312"/>
          <w:color w:val="000000"/>
          <w:kern w:val="0"/>
          <w:sz w:val="32"/>
          <w:szCs w:val="32"/>
        </w:rPr>
        <w:t>人；在江南镇江北村和金田村、小淹镇肖家村、平口镇兴果村举办趣味捉鱼节、荷花文化节、柰李采摘节等文旅推介活动5场，游客和观众万余名，直接销售特色农产品近百万元，为当地旅游产业的发展作出了应有的积极贡献。</w:t>
      </w:r>
    </w:p>
    <w:p w14:paraId="28579B0F">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用“艺术乡建”激活乡村振兴新气象。全县创建省级楹联文化镇1个，省级楹联文化村2个，黄自元书法艺术陈列馆1个，库区移民文化艺术馆1个，“家训家风陈列馆”1个，抖音直播基地1个，特色农产品展示馆1个，梅山排帮文化休闲体验旅游景区1个，特色农家书屋1个，创作地域特色文艺节目13个，创作文学、书法、摄影、美术、弹词、音乐、舞蹈、剪纸等文艺作品850余件。安化文联文化振兴引领乡村振兴工作经验在县文领办2023年第14期简报推介。安化县马路镇马路溪村，被确定为益阳市以文化振兴推动乡村振兴四种模式之一，即自然资源促推型。该村围绕传统文化打造成了楹联文化村，已创作并雕刻悬挂家风楹联73副。小淹镇肖家村被确定为文明乡风带动型。以家族宗训正气，以家风祖训聚人心，成为“湖南省美丽乡村”（益组联〔2023〕5号文件）。</w:t>
      </w:r>
    </w:p>
    <w:p w14:paraId="09DD6D5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组织全县文艺志愿者开展了6次以“文化振兴引领乡村振兴”为主题的走基层活动。深入兴果村、苞芷园村、百足村等地，体验了解了茶旅文体康产业融合发展和文化振兴引领乡村振兴的基本现状，有效积累了创作素材。</w:t>
      </w:r>
    </w:p>
    <w:p w14:paraId="679F056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三、政府性基金预算支出情况</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lang w:val="en-US" w:eastAsia="zh-CN"/>
        </w:rPr>
        <w:t>无</w:t>
      </w:r>
      <w:r>
        <w:rPr>
          <w:rFonts w:hint="eastAsia" w:ascii="黑体" w:hAnsi="黑体" w:eastAsia="黑体" w:cs="宋体"/>
          <w:color w:val="000000"/>
          <w:kern w:val="0"/>
          <w:sz w:val="32"/>
          <w:szCs w:val="32"/>
          <w:lang w:eastAsia="zh-CN"/>
        </w:rPr>
        <w:t>）</w:t>
      </w:r>
    </w:p>
    <w:p w14:paraId="022FD96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四、国有资本经营预算支出情况</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lang w:val="en-US" w:eastAsia="zh-CN"/>
        </w:rPr>
        <w:t>无</w:t>
      </w:r>
      <w:r>
        <w:rPr>
          <w:rFonts w:hint="eastAsia" w:ascii="黑体" w:hAnsi="黑体" w:eastAsia="黑体" w:cs="宋体"/>
          <w:color w:val="000000"/>
          <w:kern w:val="0"/>
          <w:sz w:val="32"/>
          <w:szCs w:val="32"/>
          <w:lang w:eastAsia="zh-CN"/>
        </w:rPr>
        <w:t>）</w:t>
      </w:r>
    </w:p>
    <w:p w14:paraId="7310B954">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五、社会保险基金预算支出情况</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lang w:val="en-US" w:eastAsia="zh-CN"/>
        </w:rPr>
        <w:t>无</w:t>
      </w:r>
      <w:r>
        <w:rPr>
          <w:rFonts w:hint="eastAsia" w:ascii="黑体" w:hAnsi="黑体" w:eastAsia="黑体" w:cs="宋体"/>
          <w:color w:val="000000"/>
          <w:kern w:val="0"/>
          <w:sz w:val="32"/>
          <w:szCs w:val="32"/>
          <w:lang w:eastAsia="zh-CN"/>
        </w:rPr>
        <w:t>）</w:t>
      </w:r>
    </w:p>
    <w:p w14:paraId="5FF3B075">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14:paraId="4853EB6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文联机关工作人员4人，在人手少，经费紧的情况下，既完成了共性任务，也完成了个性任务。共性任务有：党建工作、组织工作、人才工作、创建工作、法制工作、财务工作、工会工作、妇女工作、优化工作、禁毒工作、防疫工作、纪检监察工作、机构编制工作、政府采购月报季报年报工作、电子卖场、832平台、脱贫地区农副产品销售平台工作、预算编制工作、决算编制工作、预算公开工作、决算公开工作、资产月报年报工作、能耗月报年报工作、公务员平时考核工作、党统工作、公统工作、绩效考核工作、绩效评估工作、养老医保工伤公积金按月汇缴工作、个人所得税代扣代缴工作、公文收发、档案工作、通讯报道等等。</w:t>
      </w:r>
    </w:p>
    <w:p w14:paraId="5EB5498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个性任务完成情况：</w:t>
      </w:r>
    </w:p>
    <w:p w14:paraId="62A2D42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（一）围绕中心任务，</w:t>
      </w:r>
      <w:r>
        <w:rPr>
          <w:rFonts w:hint="eastAsia" w:ascii="楷体_GB2312" w:hAnsi="楷体_GB2312" w:eastAsia="楷体_GB2312" w:cs="楷体_GB2312"/>
          <w:color w:val="000000"/>
          <w:kern w:val="0"/>
          <w:sz w:val="32"/>
          <w:szCs w:val="32"/>
          <w:lang w:val="en-US" w:eastAsia="zh-CN"/>
        </w:rPr>
        <w:fldChar w:fldCharType="begin"/>
      </w:r>
      <w:r>
        <w:rPr>
          <w:rFonts w:hint="eastAsia" w:ascii="楷体_GB2312" w:hAnsi="楷体_GB2312" w:eastAsia="楷体_GB2312" w:cs="楷体_GB2312"/>
          <w:color w:val="000000"/>
          <w:kern w:val="0"/>
          <w:sz w:val="32"/>
          <w:szCs w:val="32"/>
          <w:lang w:val="en-US" w:eastAsia="zh-CN"/>
        </w:rPr>
        <w:instrText xml:space="preserve"> HYPERLINK "http://www.baidu.com/link?url=O2cktv0-nW8FNc67vLWEVrPqwtIuCthpzJ_9wMG7_YDG7QqaEcbpsDo6Tnt6dtJE9SJHj4t8RwByr5_ek5VG4umP_beMLajnAhNgOmjErGq" \t "https://www.baidu.com/_blank" </w:instrText>
      </w:r>
      <w:r>
        <w:rPr>
          <w:rFonts w:hint="eastAsia" w:ascii="楷体_GB2312" w:hAnsi="楷体_GB2312" w:eastAsia="楷体_GB2312" w:cs="楷体_GB2312"/>
          <w:color w:val="000000"/>
          <w:kern w:val="0"/>
          <w:sz w:val="32"/>
          <w:szCs w:val="32"/>
          <w:lang w:val="en-US" w:eastAsia="zh-CN"/>
        </w:rPr>
        <w:fldChar w:fldCharType="separate"/>
      </w:r>
      <w:r>
        <w:rPr>
          <w:rFonts w:hint="eastAsia" w:ascii="楷体_GB2312" w:hAnsi="楷体_GB2312" w:eastAsia="楷体_GB2312" w:cs="楷体_GB2312"/>
          <w:color w:val="000000"/>
          <w:kern w:val="0"/>
          <w:sz w:val="32"/>
          <w:szCs w:val="32"/>
          <w:lang w:val="en-US" w:eastAsia="zh-CN"/>
        </w:rPr>
        <w:t>以文艺“组合拳”助力乡村振兴</w:t>
      </w:r>
      <w:r>
        <w:rPr>
          <w:rFonts w:hint="eastAsia" w:ascii="楷体_GB2312" w:hAnsi="楷体_GB2312" w:eastAsia="楷体_GB2312" w:cs="楷体_GB2312"/>
          <w:color w:val="000000"/>
          <w:kern w:val="0"/>
          <w:sz w:val="32"/>
          <w:szCs w:val="32"/>
          <w:lang w:val="en-US" w:eastAsia="zh-CN"/>
        </w:rPr>
        <w:fldChar w:fldCharType="end"/>
      </w:r>
      <w:r>
        <w:rPr>
          <w:rFonts w:hint="eastAsia" w:ascii="楷体_GB2312" w:hAnsi="楷体_GB2312" w:eastAsia="楷体_GB2312" w:cs="楷体_GB2312"/>
          <w:color w:val="000000"/>
          <w:kern w:val="0"/>
          <w:sz w:val="32"/>
          <w:szCs w:val="32"/>
          <w:lang w:val="en-US" w:eastAsia="zh-CN"/>
        </w:rPr>
        <w:t>。</w:t>
      </w:r>
    </w:p>
    <w:p w14:paraId="5D259AB4">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广泛动员、精心部署，协调统筹开展工作。一方面，层层召开会议，部署工作任务。先后召开文联主席团、协会负责人会议，讨论制定文艺助力“文化振兴引领乡村振兴”工作方案，确定全年工作任务。召开全县文艺界专题动员会，分解落实工作任务。正式出台了《文艺家协会助力乡村振兴工作绩效考核办法》，以全县14个“文化振兴引领乡村振兴”工作示范村镇为重点，全方位开展文化文艺辅导、培训活动。另一方面，成立志愿队伍，广泛开展文艺志愿者服务。成立了“百花”文艺志愿者服务队，以文艺轻骑兵形式进驻14个示范村镇，广泛开展文艺辅导、培训工作。同时，下发了《关于在全县开展“文化振兴引领乡村振兴”文艺志愿服务活动的通知》，号召文艺家和文艺工作者深入农村，开展文艺创作和文艺活动。</w:t>
      </w:r>
    </w:p>
    <w:p w14:paraId="73A60813">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分门别类，精心培训，培育村民文艺种子。县文联在县委宣传部和县文领办积极支持下，深入全县14个文化振兴引领乡村振兴示范村镇，开展了地域特色文化的专题调研和入村对接工作，并根据每个示范村镇的特色文化底蕴，组织与每个村相适应的文艺家队伍入村，有计划地开展地域特色文化文艺挖掘、整理工作、培训和传承工作。</w:t>
      </w:r>
    </w:p>
    <w:p w14:paraId="07376031">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目前，全县14支文艺家队伍，组织各示范镇留守儿童、村民文艺爱好者，举办具有地域文化特色的村民文艺辅导培训班160多期，培训对象近8000人次，培养农村文艺骨干超过600人。</w:t>
      </w:r>
    </w:p>
    <w:p w14:paraId="4672A881">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3.搭建舞台，百姓主演，满足群众精神文化生活新需求。为</w:t>
      </w:r>
    </w:p>
    <w:p w14:paraId="030C855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适应文化振兴的新需求，县文联结合当地旅游资源，组织举办了一系列村民文艺联欢活动，将文化舞台交给当地村民，催生了基层文艺的内生动力，推进当地文化旅游产业发展。</w:t>
      </w:r>
    </w:p>
    <w:p w14:paraId="56BC515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目前，已在仙溪镇大溪村、小淹镇肖家村等文化振兴引领乡村振兴示范村镇举办了20余场村民文艺联欢活动，参与群众达2.5万余人；在江南镇江北村和金田村、小淹镇肖家村、平口镇兴果村举办趣味捉鱼节、荷花文化节、柰李采摘节等文旅推介活动5场，游客和观众万余名，直接销售特色农产品近百万元，为当地旅游产业的发展作出了应有的积极贡献。</w:t>
      </w:r>
    </w:p>
    <w:p w14:paraId="0C6AA31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4.艺术乡建，赋能乡村，充分激发社会各界参与乡村文化振兴的积极性</w:t>
      </w:r>
    </w:p>
    <w:p w14:paraId="2158243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县文联致力于激发乡村内生动力，用“艺术乡建”激活乡村振兴新气象，得到了社会各界的大力支持。目前，全县创建省级楹联文化镇1个，省级楹联文化村2个，黄自元书法艺术陈列馆1个，库区移民文化艺术馆1个，“家训家风陈列馆”1个，抖音直播基地1个，特色农产品展示馆1个，梅山排帮文化休闲体验旅游景区1个，特色农家书屋1个，创作地域特色文艺节目13个，创作文学、书法、摄影、美术、弹词、音乐、舞蹈、剪纸等文艺作品850余件。安化文联文化振兴引领乡村振兴工作经验在县文领办2023年第14期简报推介。安化县马路镇马路溪村，被确定为益阳市以文化振兴推动乡村振兴四种模式之一，即自然资源促推型。该村围绕传统文化打造成了楹联文化村，已创作并雕刻悬挂家风楹联73副。小淹镇肖家村被确定为文明乡风带动型。以家族宗训正气，以家风祖训聚人心，成为“湖南省美丽乡村”（益组联〔2023〕5号文件）。</w:t>
      </w:r>
    </w:p>
    <w:p w14:paraId="2158186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（二）打造品牌活动，以特色文艺</w:t>
      </w:r>
      <w:r>
        <w:rPr>
          <w:rFonts w:hint="eastAsia" w:ascii="楷体_GB2312" w:hAnsi="楷体_GB2312" w:eastAsia="楷体_GB2312" w:cs="楷体_GB2312"/>
          <w:color w:val="000000"/>
          <w:kern w:val="0"/>
          <w:sz w:val="32"/>
          <w:szCs w:val="32"/>
          <w:lang w:val="en-US" w:eastAsia="zh-CN"/>
        </w:rPr>
        <w:fldChar w:fldCharType="begin"/>
      </w:r>
      <w:r>
        <w:rPr>
          <w:rFonts w:hint="eastAsia" w:ascii="楷体_GB2312" w:hAnsi="楷体_GB2312" w:eastAsia="楷体_GB2312" w:cs="楷体_GB2312"/>
          <w:color w:val="000000"/>
          <w:kern w:val="0"/>
          <w:sz w:val="32"/>
          <w:szCs w:val="32"/>
          <w:lang w:val="en-US" w:eastAsia="zh-CN"/>
        </w:rPr>
        <w:instrText xml:space="preserve"> HYPERLINK "http://www.baidu.com/link?url=Zhy6tjzBb2gc71LlGaX6UVsE4oVtNobswiL5ZP1srZRDugR85JjQVdxu9gDrVFAeIglWdGPyAb3315fQWYNKwK" \t "https://www.baidu.com/_blank" </w:instrText>
      </w:r>
      <w:r>
        <w:rPr>
          <w:rFonts w:hint="eastAsia" w:ascii="楷体_GB2312" w:hAnsi="楷体_GB2312" w:eastAsia="楷体_GB2312" w:cs="楷体_GB2312"/>
          <w:color w:val="000000"/>
          <w:kern w:val="0"/>
          <w:sz w:val="32"/>
          <w:szCs w:val="32"/>
          <w:lang w:val="en-US" w:eastAsia="zh-CN"/>
        </w:rPr>
        <w:fldChar w:fldCharType="separate"/>
      </w:r>
      <w:r>
        <w:rPr>
          <w:rFonts w:hint="eastAsia" w:ascii="楷体_GB2312" w:hAnsi="楷体_GB2312" w:eastAsia="楷体_GB2312" w:cs="楷体_GB2312"/>
          <w:color w:val="000000"/>
          <w:kern w:val="0"/>
          <w:sz w:val="32"/>
          <w:szCs w:val="32"/>
          <w:lang w:val="en-US" w:eastAsia="zh-CN"/>
        </w:rPr>
        <w:t>彰显文化魅力</w:t>
      </w:r>
      <w:r>
        <w:rPr>
          <w:rFonts w:hint="eastAsia" w:ascii="楷体_GB2312" w:hAnsi="楷体_GB2312" w:eastAsia="楷体_GB2312" w:cs="楷体_GB2312"/>
          <w:color w:val="000000"/>
          <w:kern w:val="0"/>
          <w:sz w:val="32"/>
          <w:szCs w:val="32"/>
          <w:lang w:val="en-US" w:eastAsia="zh-CN"/>
        </w:rPr>
        <w:fldChar w:fldCharType="end"/>
      </w:r>
      <w:r>
        <w:rPr>
          <w:rFonts w:hint="eastAsia" w:ascii="楷体_GB2312" w:hAnsi="楷体_GB2312" w:eastAsia="楷体_GB2312" w:cs="楷体_GB2312"/>
          <w:color w:val="000000"/>
          <w:kern w:val="0"/>
          <w:sz w:val="32"/>
          <w:szCs w:val="32"/>
          <w:lang w:val="en-US" w:eastAsia="zh-CN"/>
        </w:rPr>
        <w:t>。重点打造“贯彻二十大·奋进新征程”“乡村振兴看安化”系列品牌文艺活动，举办了专题文艺晚会。在2023安化黑茶开园节期间，举办了书法艺术交流公益活动，形象地展现安化乡村振兴的新变化，有力有效地服务县委县政府中心工作。成功举办曾渗泉原创作品专场音乐会、《字圣黄自元》品读会等，举办了“留住村庄的记忆”--苞芷园村文化振兴引领乡村振兴文学、摄影创作大赛，“珍爱生命 远离毒品”安化县禁毒宣传主题文学、书法创作大赛，“梅山美味，安化腊肉”——安化腊肉产业发展主题文学及广告语创作大赛。</w:t>
      </w:r>
    </w:p>
    <w:p w14:paraId="6E24F58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（三）聚焦精品创作，</w:t>
      </w:r>
      <w:r>
        <w:rPr>
          <w:rFonts w:hint="eastAsia" w:ascii="楷体_GB2312" w:hAnsi="楷体_GB2312" w:eastAsia="楷体_GB2312" w:cs="楷体_GB2312"/>
          <w:color w:val="000000"/>
          <w:kern w:val="0"/>
          <w:sz w:val="32"/>
          <w:szCs w:val="32"/>
          <w:lang w:val="en-US" w:eastAsia="zh-CN"/>
        </w:rPr>
        <w:fldChar w:fldCharType="begin"/>
      </w:r>
      <w:r>
        <w:rPr>
          <w:rFonts w:hint="eastAsia" w:ascii="楷体_GB2312" w:hAnsi="楷体_GB2312" w:eastAsia="楷体_GB2312" w:cs="楷体_GB2312"/>
          <w:color w:val="000000"/>
          <w:kern w:val="0"/>
          <w:sz w:val="32"/>
          <w:szCs w:val="32"/>
          <w:lang w:val="en-US" w:eastAsia="zh-CN"/>
        </w:rPr>
        <w:instrText xml:space="preserve"> HYPERLINK "http://www.baidu.com/link?url=Zhy6tjzBb2gc71LlGaX6UVsE4oVtNobswiL5ZP1srZRDugR85JjQVdxu9gDrVFAeIglWdGPyAb3315fQWYNKwK" \t "https://www.baidu.com/_blank" </w:instrText>
      </w:r>
      <w:r>
        <w:rPr>
          <w:rFonts w:hint="eastAsia" w:ascii="楷体_GB2312" w:hAnsi="楷体_GB2312" w:eastAsia="楷体_GB2312" w:cs="楷体_GB2312"/>
          <w:color w:val="000000"/>
          <w:kern w:val="0"/>
          <w:sz w:val="32"/>
          <w:szCs w:val="32"/>
          <w:lang w:val="en-US" w:eastAsia="zh-CN"/>
        </w:rPr>
        <w:fldChar w:fldCharType="separate"/>
      </w:r>
      <w:r>
        <w:rPr>
          <w:rFonts w:hint="eastAsia" w:ascii="楷体_GB2312" w:hAnsi="楷体_GB2312" w:eastAsia="楷体_GB2312" w:cs="楷体_GB2312"/>
          <w:color w:val="000000"/>
          <w:kern w:val="0"/>
          <w:sz w:val="32"/>
          <w:szCs w:val="32"/>
          <w:lang w:val="en-US" w:eastAsia="zh-CN"/>
        </w:rPr>
        <w:t>持续激发文艺活力</w:t>
      </w:r>
      <w:r>
        <w:rPr>
          <w:rFonts w:hint="eastAsia" w:ascii="楷体_GB2312" w:hAnsi="楷体_GB2312" w:eastAsia="楷体_GB2312" w:cs="楷体_GB2312"/>
          <w:color w:val="000000"/>
          <w:kern w:val="0"/>
          <w:sz w:val="32"/>
          <w:szCs w:val="32"/>
          <w:lang w:val="en-US" w:eastAsia="zh-CN"/>
        </w:rPr>
        <w:fldChar w:fldCharType="end"/>
      </w:r>
      <w:r>
        <w:rPr>
          <w:rFonts w:hint="eastAsia" w:ascii="楷体_GB2312" w:hAnsi="楷体_GB2312" w:eastAsia="楷体_GB2312" w:cs="楷体_GB2312"/>
          <w:color w:val="000000"/>
          <w:kern w:val="0"/>
          <w:sz w:val="32"/>
          <w:szCs w:val="32"/>
          <w:lang w:val="en-US" w:eastAsia="zh-CN"/>
        </w:rPr>
        <w:t>。牢固坚守“作品为王”的工作理念，始终把促进精品生产，推出优秀作品作为工作重点，不断加强创作引领,引导全县文艺工作者坚持“守正创新、培根铸魂”创作导向,激发全县文艺家“以人民为中心”的创作热情。</w:t>
      </w:r>
    </w:p>
    <w:p w14:paraId="0708AB7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组织召开了2023年安化县“文化振兴引领乡村振兴”文艺工作座谈会，县委书记石录明出席座谈，充分肯定了安化文艺工作所取得的成绩，提出了新的工作要求，进一步为全县文艺工作者指明了创作方向。4月23-24日，在平口镇兴果村举行安化县文联三届三次全委（扩大）会议。两次会议的召开奠定了安化文艺发展基础，在全县文艺界引起了强烈反响，有效地激发了大家的创作热情。</w:t>
      </w:r>
    </w:p>
    <w:p w14:paraId="2F08CE4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组织全县文艺志愿者开展了6次以“文化振兴引领乡村振兴”为主题的走基层活动。深入兴果村、苞芷园村、百足村等地，体验了解了茶旅文体康产业融合发展和文化振兴引领乡村振兴的基本现状，有效积累了创作素材。</w:t>
      </w:r>
    </w:p>
    <w:p w14:paraId="3222603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3.积级引导生产创作了一大批文艺精品。在“云起新湖南 墨舞大洋河”第四届湖南中青年书法大展中，安化县书协黄庭作品获奖，伍安德、彭凡卿、谢刚跃、李一涛、刘宗迪、陈斌等6人作品入展。音乐舞蹈快板节目《乡村振兴看安化》在“贯彻二十大·百团百角唱新歌”全省文艺院团竞演益阳市选拔赛中获一等奖，并参加全省的云展演。深入挖掘村镇人文历史、村风家训、地理环境、特色产业等，创作了《魅力大苍》、《好想去兴果村》、《春风吹进我们村》等各具特色、充满“村味”的村歌，引发群众共鸣，备受群众欢迎。原创音乐快板《乡村振兴看安化》呈现了安化推进乡村振兴的可喜成绩，获得群众一致好评。创作40余件百足村相关文艺作品，其中书法、美术、摄影作品将在百足村村委永久性展出。为助推清廉文化建设，创作了茶廉文化系列文艺作品。为助力景区建设，创作了近60副具有张家仙湖地方人文特色的书法作品，为景区增添了新的文化意境。</w:t>
      </w:r>
    </w:p>
    <w:p w14:paraId="56BF501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（四）着力抓好文联队伍建设。</w:t>
      </w:r>
    </w:p>
    <w:p w14:paraId="6A31F030">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通过学习座谈、专题报告、辅导讲座、集中培训等多种方式，加强政治理论学习，引导文艺工作者自觉坚持理论武装、政治引领，增强学习贯彻习近平新时代中国特色社会主义思想特别是文艺工作重要论述的政治认同、思想认同、情感认同，坚定听党话、跟党走的行动自觉。</w:t>
      </w:r>
    </w:p>
    <w:p w14:paraId="1BCA8666">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2.修改了《安化县文联所属团体会员单位管理办法》，进一步加强了对所属各文艺团体的服务管理，指导协会工作逐步实现了规范化、制度化建设，切实发挥了协会的职能作用。</w:t>
      </w:r>
    </w:p>
    <w:p w14:paraId="71937074">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3.完善了《安化县文联落实意识形态工作责任制管理办法》《安化县文联意识形态工作责任制实施细则》，定期对文艺界意识形态工作进行研判，进一步加强全县文艺领域意识形态管理。</w:t>
      </w:r>
    </w:p>
    <w:p w14:paraId="3E467137">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4.按照“规定动作+”的模式，定期开展主题党日活动，丰富党内政治生活，持续深化党员意识。</w:t>
      </w:r>
    </w:p>
    <w:p w14:paraId="4883438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5.安化文艺志编纂成功。</w:t>
      </w:r>
    </w:p>
    <w:p w14:paraId="4E9E24F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6.举办了“以廉为笔，绘就乡村振兴清底色”文艺演出志愿活动、“清风莲韵 美丽肖家”首届肖家村荷花文化节、“有美同行，与百足书”百足村文化振兴暨茶廉文化作品展等相关清廉文化文艺专场活动，同时，组织文艺工作者创作了一系列富有警示性和感染力的茶廉原创文艺作品，其中文学作品40余篇，书法作品100余件，美术作品60余件，并在省市县相关媒体进行推介。</w:t>
      </w:r>
    </w:p>
    <w:p w14:paraId="0FEBE923">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14:paraId="55D08727">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项目资金本年度没有支付完的主要原因：</w:t>
      </w:r>
    </w:p>
    <w:p w14:paraId="26B196E5">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1.文化振兴引领乡村振兴工作考核于年底完成，2024年年初完成文化振兴引领乡村振兴专项资金的拨付工作。</w:t>
      </w:r>
    </w:p>
    <w:p w14:paraId="1C74C0C0">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2.优秀文艺作品扶持奖励和文学艺术奖都已进入公开征集作品阶段，将在2024年完成评审、公示，之后完成相关专项资金拨付工作。</w:t>
      </w:r>
    </w:p>
    <w:p w14:paraId="3008CD40">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3.文联机关专项经费、协会活动经费待相关费用票据收集完成后于2024年年初完成拨付工作。</w:t>
      </w:r>
    </w:p>
    <w:p w14:paraId="6C95BCB0">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14:paraId="6F6624C5">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文联尽全力以有限的人力和物力高标准完成上级文联、县委县政府和县委宣传部部署的各项工作，同时希望上级领导能给予我们更多经济上的支持！</w:t>
      </w:r>
    </w:p>
    <w:p w14:paraId="17954555">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14:paraId="143A2BFF">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200" w:firstLine="320" w:firstLineChars="10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自评分85.85分。</w:t>
      </w:r>
    </w:p>
    <w:p w14:paraId="698703FF">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200" w:firstLine="320" w:firstLineChars="100"/>
        <w:jc w:val="left"/>
        <w:textAlignment w:val="auto"/>
        <w:rPr>
          <w:rFonts w:hint="default"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已公开。</w:t>
      </w:r>
    </w:p>
    <w:p w14:paraId="72175E44">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14:paraId="0199C793">
      <w:pPr>
        <w:ind w:firstLine="640" w:firstLineChars="200"/>
        <w:rPr>
          <w:rFonts w:cs="黑体" w:asciiTheme="minorEastAsia" w:hAnsiTheme="minorEastAsia"/>
          <w:color w:val="000000"/>
          <w:kern w:val="0"/>
          <w:sz w:val="32"/>
          <w:szCs w:val="32"/>
        </w:rPr>
      </w:pPr>
      <w:r>
        <w:rPr>
          <w:rFonts w:hint="eastAsia" w:ascii="楷体_GB2312" w:hAnsi="楷体_GB2312" w:eastAsia="楷体_GB2312" w:cs="楷体_GB2312"/>
          <w:color w:val="000000"/>
          <w:kern w:val="0"/>
          <w:sz w:val="32"/>
          <w:szCs w:val="32"/>
          <w:lang w:val="en-US" w:eastAsia="zh-CN"/>
        </w:rPr>
        <w:t>无</w:t>
      </w:r>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39768"/>
    <w:multiLevelType w:val="singleLevel"/>
    <w:tmpl w:val="BC039768"/>
    <w:lvl w:ilvl="0" w:tentative="0">
      <w:start w:val="2"/>
      <w:numFmt w:val="chineseCounting"/>
      <w:lvlText w:val="(%1)"/>
      <w:lvlJc w:val="left"/>
      <w:pPr>
        <w:tabs>
          <w:tab w:val="left" w:pos="312"/>
        </w:tabs>
      </w:pPr>
      <w:rPr>
        <w:rFonts w:hint="eastAsia"/>
      </w:rPr>
    </w:lvl>
  </w:abstractNum>
  <w:abstractNum w:abstractNumId="1">
    <w:nsid w:val="D593B2D1"/>
    <w:multiLevelType w:val="singleLevel"/>
    <w:tmpl w:val="D593B2D1"/>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TdkMDE5OGFlZWRkNWU2NWVhNTAwM2FjYmFkN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9356E"/>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D8694E"/>
    <w:rsid w:val="05390EDB"/>
    <w:rsid w:val="058A1DD6"/>
    <w:rsid w:val="071A468F"/>
    <w:rsid w:val="076B330A"/>
    <w:rsid w:val="08C4174F"/>
    <w:rsid w:val="0A486323"/>
    <w:rsid w:val="0AE26D89"/>
    <w:rsid w:val="0C0D7EF5"/>
    <w:rsid w:val="0CC003F3"/>
    <w:rsid w:val="0DB916E3"/>
    <w:rsid w:val="0DC44F71"/>
    <w:rsid w:val="10022AD1"/>
    <w:rsid w:val="100452DB"/>
    <w:rsid w:val="104650B3"/>
    <w:rsid w:val="110E5BD1"/>
    <w:rsid w:val="121A320B"/>
    <w:rsid w:val="12DE7825"/>
    <w:rsid w:val="13386F35"/>
    <w:rsid w:val="13691466"/>
    <w:rsid w:val="138D67BE"/>
    <w:rsid w:val="13916645"/>
    <w:rsid w:val="16365D5E"/>
    <w:rsid w:val="169827C8"/>
    <w:rsid w:val="190D208D"/>
    <w:rsid w:val="19130F90"/>
    <w:rsid w:val="19BD55AB"/>
    <w:rsid w:val="1B3230B8"/>
    <w:rsid w:val="1B7761C5"/>
    <w:rsid w:val="1D97DEFF"/>
    <w:rsid w:val="1DC2139C"/>
    <w:rsid w:val="1DFF72E5"/>
    <w:rsid w:val="1EFC6F07"/>
    <w:rsid w:val="20684BD2"/>
    <w:rsid w:val="22A55C69"/>
    <w:rsid w:val="243F5C4A"/>
    <w:rsid w:val="24A563F4"/>
    <w:rsid w:val="24DB3BC4"/>
    <w:rsid w:val="24FF1C0D"/>
    <w:rsid w:val="25ED0F0D"/>
    <w:rsid w:val="282C4737"/>
    <w:rsid w:val="285C326E"/>
    <w:rsid w:val="293D4E4D"/>
    <w:rsid w:val="2BC018BE"/>
    <w:rsid w:val="2BDE2926"/>
    <w:rsid w:val="2E221CCA"/>
    <w:rsid w:val="2FDF85B8"/>
    <w:rsid w:val="2FFFEE04"/>
    <w:rsid w:val="30905893"/>
    <w:rsid w:val="309A2497"/>
    <w:rsid w:val="30C776F3"/>
    <w:rsid w:val="314D7BF8"/>
    <w:rsid w:val="32D22AAA"/>
    <w:rsid w:val="33F325DD"/>
    <w:rsid w:val="34DF85B0"/>
    <w:rsid w:val="35091DB8"/>
    <w:rsid w:val="35D54660"/>
    <w:rsid w:val="35E86141"/>
    <w:rsid w:val="37215087"/>
    <w:rsid w:val="38EE7F12"/>
    <w:rsid w:val="39205BF2"/>
    <w:rsid w:val="3A46355A"/>
    <w:rsid w:val="3A4F5AF0"/>
    <w:rsid w:val="3B2C1631"/>
    <w:rsid w:val="3B8F36BC"/>
    <w:rsid w:val="3D4E25F8"/>
    <w:rsid w:val="3EE31D20"/>
    <w:rsid w:val="3EF40307"/>
    <w:rsid w:val="3F2F3033"/>
    <w:rsid w:val="3FF975E2"/>
    <w:rsid w:val="402A1BFA"/>
    <w:rsid w:val="416F260D"/>
    <w:rsid w:val="41E6420B"/>
    <w:rsid w:val="42273B6D"/>
    <w:rsid w:val="444E5D09"/>
    <w:rsid w:val="450F0AAA"/>
    <w:rsid w:val="47CA4827"/>
    <w:rsid w:val="48391141"/>
    <w:rsid w:val="486D4B11"/>
    <w:rsid w:val="490F5249"/>
    <w:rsid w:val="491FF225"/>
    <w:rsid w:val="4A6E7E9D"/>
    <w:rsid w:val="4ADB406F"/>
    <w:rsid w:val="4B1769E8"/>
    <w:rsid w:val="4D9B5649"/>
    <w:rsid w:val="4D9F3131"/>
    <w:rsid w:val="4E4360A7"/>
    <w:rsid w:val="4FFD214C"/>
    <w:rsid w:val="51252566"/>
    <w:rsid w:val="51597A9B"/>
    <w:rsid w:val="52652945"/>
    <w:rsid w:val="537D2167"/>
    <w:rsid w:val="53D226B4"/>
    <w:rsid w:val="5777D4F5"/>
    <w:rsid w:val="57AF6667"/>
    <w:rsid w:val="58D345D7"/>
    <w:rsid w:val="59266DFD"/>
    <w:rsid w:val="59DD8326"/>
    <w:rsid w:val="5C9D42F2"/>
    <w:rsid w:val="5CBD097B"/>
    <w:rsid w:val="5DEF592A"/>
    <w:rsid w:val="5E087F91"/>
    <w:rsid w:val="5ECC6E62"/>
    <w:rsid w:val="5EED00D0"/>
    <w:rsid w:val="5EF651D5"/>
    <w:rsid w:val="5EFC4E1F"/>
    <w:rsid w:val="5F610B8F"/>
    <w:rsid w:val="5FC6BB1E"/>
    <w:rsid w:val="5FF720F1"/>
    <w:rsid w:val="631321A0"/>
    <w:rsid w:val="63495BC1"/>
    <w:rsid w:val="66EE03F6"/>
    <w:rsid w:val="67234E4B"/>
    <w:rsid w:val="67FF5C0B"/>
    <w:rsid w:val="683926A8"/>
    <w:rsid w:val="699456BD"/>
    <w:rsid w:val="69B12712"/>
    <w:rsid w:val="69F90AF8"/>
    <w:rsid w:val="6B1A741C"/>
    <w:rsid w:val="6B301CCF"/>
    <w:rsid w:val="6CA53244"/>
    <w:rsid w:val="6CB542C8"/>
    <w:rsid w:val="6E241705"/>
    <w:rsid w:val="6EFC0924"/>
    <w:rsid w:val="6F2F0361"/>
    <w:rsid w:val="6F55000C"/>
    <w:rsid w:val="6FAD223C"/>
    <w:rsid w:val="6FB74722"/>
    <w:rsid w:val="6FC211D5"/>
    <w:rsid w:val="6FEF8B7E"/>
    <w:rsid w:val="716D0E4B"/>
    <w:rsid w:val="71A6591B"/>
    <w:rsid w:val="722C2936"/>
    <w:rsid w:val="732F3A6C"/>
    <w:rsid w:val="737D59BA"/>
    <w:rsid w:val="74C96B62"/>
    <w:rsid w:val="74EB6AD9"/>
    <w:rsid w:val="76487F5B"/>
    <w:rsid w:val="77862AE9"/>
    <w:rsid w:val="77BD012D"/>
    <w:rsid w:val="77C37683"/>
    <w:rsid w:val="783267CC"/>
    <w:rsid w:val="79915775"/>
    <w:rsid w:val="79FF515B"/>
    <w:rsid w:val="7C1F27DE"/>
    <w:rsid w:val="7C8665A6"/>
    <w:rsid w:val="7E1D1CCD"/>
    <w:rsid w:val="7E9E1962"/>
    <w:rsid w:val="7E9F11B4"/>
    <w:rsid w:val="7F1135E0"/>
    <w:rsid w:val="7F320DCA"/>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16866</Words>
  <Characters>18658</Characters>
  <Lines>63</Lines>
  <Paragraphs>18</Paragraphs>
  <TotalTime>33</TotalTime>
  <ScaleCrop>false</ScaleCrop>
  <LinksUpToDate>false</LinksUpToDate>
  <CharactersWithSpaces>19682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宝宝妈</cp:lastModifiedBy>
  <cp:lastPrinted>2024-08-08T10:20:00Z</cp:lastPrinted>
  <dcterms:modified xsi:type="dcterms:W3CDTF">2024-09-29T08:38:23Z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1E894DBA47754B3E9679D1CE7D8385EB_12</vt:lpwstr>
  </property>
</Properties>
</file>