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98C" w:rsidRDefault="00B8098C" w:rsidP="00B8098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2023年度县委办整体支出绩效自评报告</w:t>
      </w:r>
    </w:p>
    <w:p w:rsidR="00B8098C" w:rsidRDefault="00B8098C" w:rsidP="00B8098C">
      <w:pPr>
        <w:spacing w:line="600" w:lineRule="exact"/>
      </w:pPr>
    </w:p>
    <w:p w:rsidR="00B8098C" w:rsidRDefault="00B8098C" w:rsidP="00B8098C">
      <w:pPr>
        <w:spacing w:line="600" w:lineRule="exact"/>
        <w:rPr>
          <w:rFonts w:ascii="黑体" w:eastAsia="黑体" w:hAnsi="黑体" w:cs="黑体"/>
          <w:sz w:val="32"/>
          <w:szCs w:val="32"/>
        </w:rPr>
      </w:pPr>
      <w:r>
        <w:rPr>
          <w:rFonts w:ascii="黑体" w:eastAsia="黑体" w:hAnsi="黑体" w:cs="黑体" w:hint="eastAsia"/>
          <w:sz w:val="32"/>
          <w:szCs w:val="32"/>
        </w:rPr>
        <w:t xml:space="preserve">    一、单位基本情况</w:t>
      </w:r>
    </w:p>
    <w:p w:rsidR="00B8098C" w:rsidRDefault="00B8098C" w:rsidP="00B8098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（一）2023年度重点工作</w:t>
      </w:r>
    </w:p>
    <w:p w:rsidR="00B8098C" w:rsidRPr="00AF02E3" w:rsidRDefault="00B8098C" w:rsidP="00B8098C">
      <w:pPr>
        <w:spacing w:line="600" w:lineRule="exact"/>
        <w:ind w:firstLineChars="200" w:firstLine="616"/>
        <w:jc w:val="lef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中共安化县委办公室内设组室12个、二级事业单位1个：县委总值班室、文电法规室、县委督查室、县委政研室、县委信息综合室、财经组、深改组、外事组、机要保密室、档案业务法规室、行政后勤组、国安组、信息中心。机关共有编制数39名，其中行政编制数32名，机关工勤2名，事业编制5名。</w:t>
      </w:r>
      <w:r>
        <w:rPr>
          <w:rFonts w:ascii="仿宋_GB2312" w:eastAsia="仿宋_GB2312" w:hAnsi="仿宋_GB2312" w:cs="仿宋_GB2312"/>
          <w:sz w:val="32"/>
          <w:szCs w:val="32"/>
        </w:rPr>
        <w:t>2023年本单位年未实有人数</w:t>
      </w:r>
      <w:r w:rsidRPr="00727D5B">
        <w:rPr>
          <w:rFonts w:ascii="仿宋_GB2312" w:eastAsia="仿宋_GB2312" w:hAnsi="仿宋_GB2312" w:cs="仿宋_GB2312"/>
          <w:sz w:val="32"/>
          <w:szCs w:val="32"/>
        </w:rPr>
        <w:t>3</w:t>
      </w:r>
      <w:r w:rsidRPr="00727D5B">
        <w:rPr>
          <w:rFonts w:ascii="仿宋_GB2312" w:eastAsia="仿宋_GB2312" w:hAnsi="仿宋_GB2312" w:cs="仿宋_GB2312" w:hint="eastAsia"/>
          <w:sz w:val="32"/>
          <w:szCs w:val="32"/>
        </w:rPr>
        <w:t>6</w:t>
      </w:r>
      <w:r>
        <w:rPr>
          <w:rFonts w:ascii="仿宋_GB2312" w:eastAsia="仿宋_GB2312" w:hAnsi="仿宋_GB2312" w:cs="仿宋_GB2312"/>
          <w:sz w:val="32"/>
          <w:szCs w:val="32"/>
        </w:rPr>
        <w:t>人</w:t>
      </w:r>
      <w:r>
        <w:rPr>
          <w:rFonts w:ascii="仿宋_GB2312" w:eastAsia="仿宋_GB2312" w:hAnsi="仿宋_GB2312" w:cs="仿宋_GB2312" w:hint="eastAsia"/>
          <w:sz w:val="32"/>
          <w:szCs w:val="32"/>
        </w:rPr>
        <w:t>。</w:t>
      </w:r>
    </w:p>
    <w:p w:rsidR="00B8098C" w:rsidRDefault="00B8098C" w:rsidP="00B8098C">
      <w:pPr>
        <w:pStyle w:val="a5"/>
        <w:widowControl w:val="0"/>
        <w:spacing w:before="0" w:beforeAutospacing="0" w:after="0" w:afterAutospacing="0" w:line="600" w:lineRule="exact"/>
        <w:rPr>
          <w:rFonts w:ascii="仿宋_GB2312" w:hAnsi="仿宋_GB2312" w:cs="仿宋_GB2312"/>
          <w:sz w:val="32"/>
          <w:szCs w:val="32"/>
        </w:rPr>
      </w:pPr>
      <w:r>
        <w:rPr>
          <w:rFonts w:ascii="仿宋_GB2312" w:hAnsi="仿宋_GB2312" w:cs="仿宋_GB2312" w:hint="eastAsia"/>
          <w:sz w:val="32"/>
          <w:szCs w:val="32"/>
        </w:rPr>
        <w:t xml:space="preserve">    今年来，</w:t>
      </w:r>
      <w:r w:rsidRPr="00E75352">
        <w:rPr>
          <w:rFonts w:ascii="仿宋_GB2312" w:hAnsi="仿宋_GB2312" w:cs="仿宋_GB2312" w:hint="eastAsia"/>
          <w:sz w:val="32"/>
          <w:szCs w:val="32"/>
        </w:rPr>
        <w:t>县委办坚持以习近平新时代中国特色社会主义思想为引领，深入学习贯彻落实习近平总书记关于新时代办公厅工作重要指示精神，</w:t>
      </w:r>
      <w:r>
        <w:rPr>
          <w:rFonts w:ascii="仿宋_GB2312" w:hAnsi="仿宋_GB2312" w:cs="仿宋_GB2312" w:hint="eastAsia"/>
          <w:sz w:val="32"/>
          <w:szCs w:val="32"/>
        </w:rPr>
        <w:t>紧紧围绕县委决策部署，紧抓机关自身政治建设、严抓干部作风建设、狠抓党办系统队伍建设，</w:t>
      </w:r>
      <w:r w:rsidRPr="00E75352">
        <w:rPr>
          <w:rFonts w:ascii="仿宋_GB2312" w:hAnsi="仿宋_GB2312" w:cs="仿宋_GB2312" w:hint="eastAsia"/>
          <w:sz w:val="32"/>
          <w:szCs w:val="32"/>
        </w:rPr>
        <w:t>不断提升“三服务”工作质效</w:t>
      </w:r>
      <w:r>
        <w:rPr>
          <w:rFonts w:ascii="仿宋_GB2312" w:hAnsi="仿宋_GB2312" w:cs="仿宋_GB2312" w:hint="eastAsia"/>
          <w:sz w:val="32"/>
          <w:szCs w:val="32"/>
        </w:rPr>
        <w:t>，为建设开放、创新、秀美、富饶、幸福的现代化新安化作出党办贡献。</w:t>
      </w:r>
    </w:p>
    <w:p w:rsidR="00B8098C" w:rsidRPr="009E5E87" w:rsidRDefault="00B8098C" w:rsidP="00B8098C">
      <w:pPr>
        <w:spacing w:line="600" w:lineRule="exact"/>
        <w:ind w:firstLineChars="200" w:firstLine="640"/>
        <w:rPr>
          <w:rFonts w:ascii="仿宋_GB2312" w:eastAsia="仿宋_GB2312" w:hAnsi="楷体_GB2312" w:cs="楷体_GB2312"/>
          <w:sz w:val="32"/>
          <w:szCs w:val="32"/>
        </w:rPr>
      </w:pPr>
      <w:r w:rsidRPr="00F65664">
        <w:rPr>
          <w:rFonts w:ascii="仿宋_GB2312" w:eastAsia="仿宋_GB2312" w:hAnsi="楷体_GB2312" w:cs="楷体_GB2312" w:hint="eastAsia"/>
          <w:sz w:val="32"/>
          <w:szCs w:val="32"/>
        </w:rPr>
        <w:t>（二）部门整体支出规模、使用方向、主要内容和涉及范围。</w:t>
      </w:r>
    </w:p>
    <w:p w:rsidR="00B8098C" w:rsidRDefault="00B8098C" w:rsidP="00B8098C">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本年收入合计</w:t>
      </w:r>
      <w:r>
        <w:rPr>
          <w:rFonts w:ascii="仿宋_GB2312" w:eastAsia="仿宋_GB2312" w:hAnsi="仿宋_GB2312" w:cs="仿宋_GB2312" w:hint="eastAsia"/>
          <w:sz w:val="32"/>
          <w:szCs w:val="32"/>
        </w:rPr>
        <w:t>904.66</w:t>
      </w:r>
      <w:r>
        <w:rPr>
          <w:rFonts w:ascii="仿宋_GB2312" w:eastAsia="仿宋_GB2312" w:hAnsi="仿宋" w:hint="eastAsia"/>
          <w:sz w:val="32"/>
          <w:szCs w:val="32"/>
        </w:rPr>
        <w:t>万元，其中行政运行13.5万元，党委办公厅（室）及相关机构事务行政运行498.78元，一般行政管理事务122.88万元，其他党委办公厅（室）及相关机构事务支出96.41万元，机关事业单位基本养老保险缴费支出50.04万元，其他社会保障和就业支出2.99万元，行</w:t>
      </w:r>
      <w:r>
        <w:rPr>
          <w:rFonts w:ascii="仿宋_GB2312" w:eastAsia="仿宋_GB2312" w:hAnsi="仿宋" w:hint="eastAsia"/>
          <w:sz w:val="32"/>
          <w:szCs w:val="32"/>
        </w:rPr>
        <w:lastRenderedPageBreak/>
        <w:t>政单位医疗21.31万元，住房公积金37.53万元，其他巩固脱贫攻坚成果衔接乡村振兴支出5.16万元，台湾事务53.15万元，其他支出2.91万元。</w:t>
      </w:r>
    </w:p>
    <w:p w:rsidR="00B8098C" w:rsidRPr="00F65664" w:rsidRDefault="00B8098C" w:rsidP="00B8098C">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本年支出合计</w:t>
      </w:r>
      <w:r>
        <w:rPr>
          <w:rFonts w:ascii="仿宋_GB2312" w:eastAsia="仿宋_GB2312" w:hAnsi="仿宋_GB2312" w:cs="仿宋_GB2312" w:hint="eastAsia"/>
          <w:sz w:val="32"/>
          <w:szCs w:val="32"/>
        </w:rPr>
        <w:t>904.66</w:t>
      </w:r>
      <w:r>
        <w:rPr>
          <w:rFonts w:ascii="仿宋_GB2312" w:eastAsia="仿宋_GB2312" w:hAnsi="仿宋" w:hint="eastAsia"/>
          <w:sz w:val="32"/>
          <w:szCs w:val="32"/>
        </w:rPr>
        <w:t>万元，其中行政运行13.5万元，党委办公厅（室）及相关机构事务行政运行498.78元，一般行政管理事务122.88万元，其他党委办公厅（室）及相关机构事务支出96.41万元，机关事业单位基本养老保险缴费支出50.04万元，其他社会保障和就业支出2.99万元，行政单位医疗21.31万元，住房公积金37.53万元，其他巩固脱贫攻坚成果衔接乡村振兴支出5.16万元，台湾事务53.15万元，其他支出2.91万元。</w:t>
      </w:r>
    </w:p>
    <w:p w:rsidR="00B8098C" w:rsidRDefault="00B8098C" w:rsidP="00B8098C">
      <w:pPr>
        <w:numPr>
          <w:ilvl w:val="0"/>
          <w:numId w:val="1"/>
        </w:numPr>
        <w:spacing w:line="600" w:lineRule="exact"/>
        <w:ind w:leftChars="200" w:left="420" w:firstLineChars="100" w:firstLine="320"/>
        <w:rPr>
          <w:rFonts w:ascii="黑体" w:eastAsia="黑体" w:hAnsi="黑体" w:cs="黑体"/>
          <w:sz w:val="32"/>
          <w:szCs w:val="32"/>
        </w:rPr>
      </w:pPr>
      <w:r>
        <w:rPr>
          <w:rFonts w:ascii="黑体" w:eastAsia="黑体" w:hAnsi="黑体" w:cs="黑体" w:hint="eastAsia"/>
          <w:sz w:val="32"/>
          <w:szCs w:val="32"/>
        </w:rPr>
        <w:t>一般公共预算支出情况</w:t>
      </w:r>
    </w:p>
    <w:p w:rsidR="00B8098C" w:rsidRDefault="00B8098C" w:rsidP="00B8098C">
      <w:pPr>
        <w:pStyle w:val="1"/>
        <w:numPr>
          <w:ilvl w:val="0"/>
          <w:numId w:val="2"/>
        </w:numPr>
        <w:spacing w:line="600" w:lineRule="exact"/>
        <w:ind w:leftChars="200" w:left="420"/>
        <w:rPr>
          <w:rFonts w:ascii="仿宋_GB2312" w:eastAsia="仿宋_GB2312" w:hAnsi="仿宋_GB2312" w:cs="仿宋_GB2312" w:hint="default"/>
          <w:sz w:val="32"/>
          <w:szCs w:val="32"/>
        </w:rPr>
      </w:pPr>
      <w:r>
        <w:rPr>
          <w:rFonts w:ascii="仿宋_GB2312" w:eastAsia="仿宋_GB2312" w:hAnsi="仿宋_GB2312" w:cs="仿宋_GB2312"/>
          <w:sz w:val="32"/>
          <w:szCs w:val="32"/>
        </w:rPr>
        <w:t>基本支出情况</w:t>
      </w:r>
    </w:p>
    <w:p w:rsidR="00B8098C" w:rsidRPr="000C7190" w:rsidRDefault="00B8098C" w:rsidP="00B8098C">
      <w:pPr>
        <w:pStyle w:val="1"/>
        <w:spacing w:line="600" w:lineRule="exact"/>
        <w:rPr>
          <w:rFonts w:ascii="仿宋_GB2312" w:eastAsia="仿宋_GB2312" w:hAnsi="仿宋_GB2312" w:cs="仿宋_GB2312" w:hint="default"/>
          <w:sz w:val="32"/>
          <w:szCs w:val="32"/>
          <w:lang w:val="zh-CN"/>
        </w:rPr>
      </w:pPr>
      <w:r>
        <w:rPr>
          <w:rFonts w:ascii="仿宋_GB2312" w:eastAsia="仿宋_GB2312" w:hAnsi="仿宋_GB2312" w:cs="仿宋_GB2312"/>
          <w:sz w:val="32"/>
          <w:szCs w:val="32"/>
          <w:lang w:val="zh-CN"/>
        </w:rPr>
        <w:t xml:space="preserve">    2023年度基本支出627.05万元，其中工资福利支出521.88万元（基本工资154.07万元，津贴补贴99.45万元，奖金86.6万元，绩效工资13.61万元，养老保险缴费48.52万元，职工基本医疗保险缴费34.69万元，公务员医疗补助缴费19.41万元，其他社会保障缴费1.28万元，住房公积金51.51万元，其他工资福利支出3.75万元）；商品和服务支出91.33万元（其中办公费17.85万元，印刷费0.01万元，水费1.69万元，电费2.7万元，邮电费12.03万元，差旅费0.54万元，</w:t>
      </w:r>
      <w:r w:rsidRPr="00E70573">
        <w:rPr>
          <w:rFonts w:ascii="仿宋_GB2312" w:eastAsia="仿宋_GB2312" w:hAnsi="仿宋_GB2312" w:cs="仿宋_GB2312"/>
          <w:sz w:val="32"/>
          <w:szCs w:val="32"/>
          <w:lang w:val="zh-CN"/>
        </w:rPr>
        <w:t>维修（护）费0.43万元，</w:t>
      </w:r>
      <w:r>
        <w:rPr>
          <w:rFonts w:ascii="仿宋_GB2312" w:eastAsia="仿宋_GB2312" w:hAnsi="仿宋_GB2312" w:cs="仿宋_GB2312"/>
          <w:sz w:val="32"/>
          <w:szCs w:val="32"/>
          <w:lang w:val="zh-CN"/>
        </w:rPr>
        <w:t>公务接待费15.22万元，</w:t>
      </w:r>
      <w:r w:rsidR="00727D5B">
        <w:rPr>
          <w:rFonts w:ascii="仿宋_GB2312" w:eastAsia="仿宋_GB2312" w:hAnsi="仿宋_GB2312" w:cs="仿宋_GB2312"/>
          <w:sz w:val="32"/>
          <w:szCs w:val="32"/>
          <w:lang w:val="zh-CN"/>
        </w:rPr>
        <w:t>工会经费19.23万元，</w:t>
      </w:r>
      <w:r>
        <w:rPr>
          <w:rFonts w:ascii="仿宋_GB2312" w:eastAsia="仿宋_GB2312" w:hAnsi="仿宋_GB2312" w:cs="仿宋_GB2312"/>
          <w:sz w:val="32"/>
          <w:szCs w:val="32"/>
          <w:lang w:val="zh-CN"/>
        </w:rPr>
        <w:t>其他交通费用1.26万元，其他商</w:t>
      </w:r>
      <w:r>
        <w:rPr>
          <w:rFonts w:ascii="仿宋_GB2312" w:eastAsia="仿宋_GB2312" w:hAnsi="仿宋_GB2312" w:cs="仿宋_GB2312"/>
          <w:sz w:val="32"/>
          <w:szCs w:val="32"/>
          <w:lang w:val="zh-CN"/>
        </w:rPr>
        <w:lastRenderedPageBreak/>
        <w:t>品服务支出20.39万元）；对个人和家庭的补助22.84万元（其中抚恤金19.63万元，生活补助1.98万元，奖励金0.67万元，其他对个人和家庭的补助0.55万元）。</w:t>
      </w:r>
    </w:p>
    <w:p w:rsidR="00B8098C" w:rsidRPr="00CF1489" w:rsidRDefault="00B8098C" w:rsidP="00B8098C">
      <w:pPr>
        <w:autoSpaceDE w:val="0"/>
        <w:autoSpaceDN w:val="0"/>
        <w:spacing w:line="600" w:lineRule="exact"/>
        <w:ind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2023年，“三公”经费完成15.22万元，比上年减少3.62万元，下降19.21%，减少的主要原因是我办严格按照中央、省、市、县有关文件和要求，遵守财经纪律，厉行节约，进一步压缩“三公”经费。</w:t>
      </w:r>
      <w:r>
        <w:rPr>
          <w:rFonts w:ascii="仿宋_GB2312" w:eastAsia="仿宋_GB2312" w:hAnsi="仿宋_GB2312" w:cs="仿宋_GB2312" w:hint="eastAsia"/>
          <w:sz w:val="32"/>
          <w:szCs w:val="32"/>
          <w:lang w:val="zh-CN"/>
        </w:rPr>
        <w:t>其中：</w:t>
      </w:r>
      <w:r>
        <w:rPr>
          <w:rFonts w:ascii="仿宋_GB2312" w:eastAsia="仿宋_GB2312" w:hAnsi="仿宋_GB2312" w:cs="仿宋_GB2312" w:hint="eastAsia"/>
          <w:b/>
          <w:sz w:val="32"/>
          <w:szCs w:val="32"/>
          <w:lang w:val="zh-CN"/>
        </w:rPr>
        <w:t>因公出国（境）费</w:t>
      </w:r>
      <w:r>
        <w:rPr>
          <w:rFonts w:ascii="仿宋_GB2312" w:eastAsia="仿宋_GB2312" w:hAnsi="仿宋_GB2312" w:cs="仿宋_GB2312" w:hint="eastAsia"/>
          <w:sz w:val="32"/>
          <w:szCs w:val="32"/>
        </w:rPr>
        <w:t>完成0元</w:t>
      </w:r>
      <w:r>
        <w:rPr>
          <w:rFonts w:ascii="仿宋_GB2312" w:eastAsia="仿宋_GB2312" w:hAnsi="仿宋_GB2312" w:cs="仿宋_GB2312" w:hint="eastAsia"/>
          <w:sz w:val="32"/>
          <w:szCs w:val="32"/>
          <w:lang w:val="zh-CN"/>
        </w:rPr>
        <w:t>；</w:t>
      </w:r>
      <w:r>
        <w:rPr>
          <w:rFonts w:ascii="仿宋_GB2312" w:eastAsia="仿宋_GB2312" w:hAnsi="仿宋_GB2312" w:cs="仿宋_GB2312" w:hint="eastAsia"/>
          <w:b/>
          <w:sz w:val="32"/>
          <w:szCs w:val="32"/>
          <w:lang w:val="zh-CN"/>
        </w:rPr>
        <w:t>公务接待费</w:t>
      </w:r>
      <w:r>
        <w:rPr>
          <w:rFonts w:ascii="仿宋_GB2312" w:eastAsia="仿宋_GB2312" w:hAnsi="仿宋_GB2312" w:cs="仿宋_GB2312" w:hint="eastAsia"/>
          <w:sz w:val="32"/>
          <w:szCs w:val="32"/>
        </w:rPr>
        <w:t>完成15.22万元，比上年减少3.62万元，下降19.21%，减少的主要原因是我办严格按照中央、省、市、县有关文件和要求，遵守财经纪律，厉行节约，进一步压缩“三公”经费</w:t>
      </w:r>
      <w:r>
        <w:rPr>
          <w:rFonts w:ascii="仿宋_GB2312" w:eastAsia="仿宋_GB2312" w:hAnsi="仿宋_GB2312" w:cs="仿宋_GB2312" w:hint="eastAsia"/>
          <w:sz w:val="32"/>
          <w:szCs w:val="32"/>
          <w:lang w:val="zh-CN"/>
        </w:rPr>
        <w:t>；</w:t>
      </w:r>
      <w:r>
        <w:rPr>
          <w:rFonts w:ascii="仿宋_GB2312" w:eastAsia="仿宋_GB2312" w:hAnsi="仿宋_GB2312" w:cs="仿宋_GB2312" w:hint="eastAsia"/>
          <w:b/>
          <w:sz w:val="32"/>
          <w:szCs w:val="32"/>
          <w:lang w:val="zh-CN"/>
        </w:rPr>
        <w:t>公务用车购置及运行维护费</w:t>
      </w:r>
      <w:r>
        <w:rPr>
          <w:rFonts w:ascii="仿宋_GB2312" w:eastAsia="仿宋_GB2312" w:hAnsi="仿宋_GB2312" w:cs="仿宋_GB2312" w:hint="eastAsia"/>
          <w:sz w:val="32"/>
          <w:szCs w:val="32"/>
        </w:rPr>
        <w:t>完成0元</w:t>
      </w:r>
      <w:r>
        <w:rPr>
          <w:rFonts w:ascii="仿宋_GB2312" w:eastAsia="仿宋_GB2312" w:hAnsi="仿宋_GB2312" w:cs="仿宋_GB2312" w:hint="eastAsia"/>
          <w:sz w:val="32"/>
          <w:szCs w:val="32"/>
          <w:lang w:val="zh-CN"/>
        </w:rPr>
        <w:t>。</w:t>
      </w:r>
    </w:p>
    <w:p w:rsidR="00B8098C" w:rsidRDefault="00B8098C" w:rsidP="00B8098C">
      <w:pPr>
        <w:numPr>
          <w:ilvl w:val="0"/>
          <w:numId w:val="2"/>
        </w:numPr>
        <w:spacing w:line="600" w:lineRule="exact"/>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项目支出情况</w:t>
      </w:r>
    </w:p>
    <w:p w:rsidR="00B8098C" w:rsidRDefault="00B8098C" w:rsidP="00B8098C">
      <w:pPr>
        <w:autoSpaceDE w:val="0"/>
        <w:autoSpaceDN w:val="0"/>
        <w:spacing w:line="600" w:lineRule="exact"/>
        <w:ind w:firstLineChars="200" w:firstLine="640"/>
        <w:rPr>
          <w:rFonts w:ascii="仿宋_GB2312" w:eastAsia="仿宋_GB2312" w:hAnsi="仿宋_GB2312"/>
          <w:sz w:val="32"/>
          <w:highlight w:val="white"/>
        </w:rPr>
      </w:pPr>
      <w:r>
        <w:rPr>
          <w:rFonts w:ascii="仿宋_GB2312" w:eastAsia="仿宋_GB2312" w:hAnsi="仿宋_GB2312" w:hint="eastAsia"/>
          <w:sz w:val="32"/>
          <w:highlight w:val="white"/>
          <w:lang w:val="zh-CN"/>
        </w:rPr>
        <w:t>202</w:t>
      </w:r>
      <w:r>
        <w:rPr>
          <w:rFonts w:ascii="仿宋_GB2312" w:eastAsia="仿宋_GB2312" w:hAnsi="仿宋_GB2312" w:hint="eastAsia"/>
          <w:sz w:val="32"/>
          <w:highlight w:val="white"/>
        </w:rPr>
        <w:t>3</w:t>
      </w:r>
      <w:r>
        <w:rPr>
          <w:rFonts w:ascii="仿宋_GB2312" w:eastAsia="仿宋_GB2312" w:hAnsi="仿宋_GB2312" w:hint="eastAsia"/>
          <w:sz w:val="32"/>
          <w:highlight w:val="white"/>
          <w:lang w:val="zh-CN"/>
        </w:rPr>
        <w:t>年度</w:t>
      </w:r>
      <w:r>
        <w:rPr>
          <w:rFonts w:ascii="仿宋_GB2312" w:eastAsia="仿宋_GB2312" w:hAnsi="仿宋_GB2312" w:hint="eastAsia"/>
          <w:sz w:val="32"/>
          <w:highlight w:val="white"/>
        </w:rPr>
        <w:t>财政拨款项目支出277.6万元，其中</w:t>
      </w:r>
      <w:r>
        <w:rPr>
          <w:rFonts w:ascii="仿宋_GB2312" w:eastAsia="仿宋_GB2312" w:hAnsi="仿宋_GB2312" w:hint="eastAsia"/>
          <w:b/>
          <w:sz w:val="32"/>
          <w:highlight w:val="white"/>
        </w:rPr>
        <w:t>商品和服务支出258.95万元</w:t>
      </w:r>
      <w:r>
        <w:rPr>
          <w:rFonts w:ascii="仿宋_GB2312" w:eastAsia="仿宋_GB2312" w:hAnsi="仿宋_GB2312" w:hint="eastAsia"/>
          <w:sz w:val="32"/>
          <w:highlight w:val="white"/>
        </w:rPr>
        <w:t>（办公费65.62万元，印刷费16.31万元，差旅费37.03万元，维修（护）费30.76万元，会议费40.4万元，培训费0.93万元，劳务费0.1万元，其他交通费用0.4万元，其他商品和服务支出67.39万元）；</w:t>
      </w:r>
      <w:r>
        <w:rPr>
          <w:rFonts w:ascii="仿宋_GB2312" w:eastAsia="仿宋_GB2312" w:hAnsi="仿宋_GB2312" w:hint="eastAsia"/>
          <w:b/>
          <w:sz w:val="32"/>
          <w:highlight w:val="white"/>
        </w:rPr>
        <w:t>资本性支出（办公设备购置）18.65万元</w:t>
      </w:r>
      <w:r>
        <w:rPr>
          <w:rFonts w:ascii="仿宋_GB2312" w:eastAsia="仿宋_GB2312" w:hAnsi="仿宋_GB2312" w:hint="eastAsia"/>
          <w:sz w:val="32"/>
          <w:highlight w:val="white"/>
        </w:rPr>
        <w:t>。</w:t>
      </w:r>
    </w:p>
    <w:p w:rsidR="00B8098C" w:rsidRDefault="00B8098C" w:rsidP="00B4243B">
      <w:pPr>
        <w:pStyle w:val="1"/>
        <w:numPr>
          <w:ilvl w:val="0"/>
          <w:numId w:val="1"/>
        </w:numPr>
        <w:spacing w:line="600" w:lineRule="exact"/>
        <w:ind w:leftChars="200" w:left="420" w:firstLineChars="100" w:firstLine="320"/>
        <w:rPr>
          <w:rFonts w:ascii="黑体" w:eastAsia="黑体" w:hAnsi="黑体" w:cs="黑体" w:hint="default"/>
          <w:sz w:val="32"/>
          <w:szCs w:val="32"/>
        </w:rPr>
      </w:pPr>
      <w:r>
        <w:rPr>
          <w:rFonts w:ascii="黑体" w:eastAsia="黑体" w:hAnsi="黑体" w:cs="黑体"/>
          <w:sz w:val="32"/>
          <w:szCs w:val="32"/>
        </w:rPr>
        <w:t>政府性基金预算支出情况</w:t>
      </w:r>
    </w:p>
    <w:p w:rsidR="00B8098C" w:rsidRPr="00AF71F4" w:rsidRDefault="00884A2F" w:rsidP="00B4243B">
      <w:pPr>
        <w:pStyle w:val="1"/>
        <w:spacing w:line="600" w:lineRule="exact"/>
        <w:ind w:leftChars="200" w:left="420"/>
        <w:rPr>
          <w:rFonts w:ascii="黑体" w:eastAsia="黑体" w:hAnsi="黑体" w:cs="黑体" w:hint="default"/>
          <w:sz w:val="32"/>
          <w:szCs w:val="32"/>
        </w:rPr>
      </w:pPr>
      <w:r>
        <w:rPr>
          <w:rFonts w:ascii="仿宋_GB2312" w:eastAsia="仿宋_GB2312" w:hAnsi="仿宋_GB2312" w:cs="仿宋_GB2312"/>
          <w:sz w:val="32"/>
          <w:szCs w:val="32"/>
        </w:rPr>
        <w:t xml:space="preserve">  </w:t>
      </w:r>
      <w:r w:rsidR="00B8098C" w:rsidRPr="00AF71F4">
        <w:rPr>
          <w:rFonts w:ascii="仿宋_GB2312" w:eastAsia="仿宋_GB2312" w:hAnsi="仿宋_GB2312" w:cs="仿宋_GB2312"/>
          <w:sz w:val="32"/>
          <w:szCs w:val="32"/>
        </w:rPr>
        <w:t>2023年本单位没有政府性基金预算支出情况。</w:t>
      </w:r>
    </w:p>
    <w:p w:rsidR="00B8098C" w:rsidRDefault="00B8098C" w:rsidP="00B4243B">
      <w:pPr>
        <w:numPr>
          <w:ilvl w:val="0"/>
          <w:numId w:val="1"/>
        </w:numPr>
        <w:spacing w:line="600" w:lineRule="exact"/>
        <w:ind w:leftChars="200" w:left="420" w:firstLineChars="100" w:firstLine="320"/>
        <w:rPr>
          <w:rFonts w:ascii="黑体" w:eastAsia="黑体" w:hAnsi="黑体" w:cs="黑体"/>
          <w:sz w:val="32"/>
          <w:szCs w:val="32"/>
        </w:rPr>
      </w:pPr>
      <w:r>
        <w:rPr>
          <w:rFonts w:ascii="黑体" w:eastAsia="黑体" w:hAnsi="黑体" w:cs="黑体" w:hint="eastAsia"/>
          <w:sz w:val="32"/>
          <w:szCs w:val="32"/>
        </w:rPr>
        <w:t>国有资本经营预算支出情况</w:t>
      </w:r>
      <w:bookmarkStart w:id="0" w:name="_GoBack"/>
      <w:bookmarkEnd w:id="0"/>
    </w:p>
    <w:p w:rsidR="00B8098C" w:rsidRPr="00650E0F" w:rsidRDefault="00B8098C" w:rsidP="00B4243B">
      <w:pPr>
        <w:spacing w:line="600" w:lineRule="exact"/>
        <w:ind w:leftChars="200" w:left="420"/>
      </w:pPr>
      <w:r>
        <w:rPr>
          <w:rFonts w:ascii="仿宋_GB2312" w:eastAsia="仿宋_GB2312" w:hAnsi="仿宋_GB2312" w:cs="仿宋_GB2312" w:hint="eastAsia"/>
          <w:sz w:val="32"/>
          <w:szCs w:val="32"/>
        </w:rPr>
        <w:t xml:space="preserve">  </w:t>
      </w:r>
      <w:r w:rsidRPr="00650E0F">
        <w:rPr>
          <w:rFonts w:ascii="仿宋_GB2312" w:eastAsia="仿宋_GB2312" w:hAnsi="仿宋_GB2312" w:cs="仿宋_GB2312" w:hint="eastAsia"/>
          <w:sz w:val="32"/>
          <w:szCs w:val="32"/>
        </w:rPr>
        <w:t>2023年本单位没有</w:t>
      </w:r>
      <w:r>
        <w:rPr>
          <w:rFonts w:ascii="黑体" w:eastAsia="黑体" w:hAnsi="黑体" w:cs="黑体" w:hint="eastAsia"/>
          <w:sz w:val="32"/>
          <w:szCs w:val="32"/>
        </w:rPr>
        <w:t>国有资本经营预算</w:t>
      </w:r>
      <w:r>
        <w:rPr>
          <w:rFonts w:ascii="仿宋_GB2312" w:eastAsia="仿宋_GB2312" w:hAnsi="仿宋_GB2312" w:cs="仿宋_GB2312" w:hint="eastAsia"/>
          <w:sz w:val="32"/>
          <w:szCs w:val="32"/>
        </w:rPr>
        <w:t>支出情况</w:t>
      </w:r>
      <w:r w:rsidRPr="00650E0F">
        <w:rPr>
          <w:rFonts w:ascii="仿宋_GB2312" w:eastAsia="仿宋_GB2312" w:hAnsi="仿宋_GB2312" w:cs="仿宋_GB2312" w:hint="eastAsia"/>
          <w:sz w:val="32"/>
          <w:szCs w:val="32"/>
        </w:rPr>
        <w:t>。</w:t>
      </w:r>
    </w:p>
    <w:p w:rsidR="00B8098C" w:rsidRDefault="00B8098C" w:rsidP="00B4243B">
      <w:pPr>
        <w:pStyle w:val="1"/>
        <w:numPr>
          <w:ilvl w:val="0"/>
          <w:numId w:val="1"/>
        </w:numPr>
        <w:spacing w:line="600" w:lineRule="exact"/>
        <w:ind w:leftChars="200" w:left="420" w:firstLineChars="100" w:firstLine="320"/>
        <w:rPr>
          <w:rFonts w:ascii="黑体" w:eastAsia="黑体" w:hAnsi="黑体" w:cs="黑体" w:hint="default"/>
          <w:sz w:val="32"/>
          <w:szCs w:val="32"/>
        </w:rPr>
      </w:pPr>
      <w:r>
        <w:rPr>
          <w:rFonts w:ascii="黑体" w:eastAsia="黑体" w:hAnsi="黑体" w:cs="黑体"/>
          <w:sz w:val="32"/>
          <w:szCs w:val="32"/>
        </w:rPr>
        <w:t>社会保险基金预算支出情况</w:t>
      </w:r>
    </w:p>
    <w:p w:rsidR="00B8098C" w:rsidRPr="00A71661" w:rsidRDefault="00B8098C" w:rsidP="00B8098C">
      <w:pPr>
        <w:spacing w:line="600" w:lineRule="exact"/>
      </w:pPr>
      <w:r>
        <w:rPr>
          <w:rFonts w:ascii="仿宋_GB2312" w:eastAsia="仿宋_GB2312" w:hAnsi="仿宋_GB2312" w:cs="仿宋_GB2312" w:hint="eastAsia"/>
          <w:sz w:val="32"/>
          <w:szCs w:val="32"/>
        </w:rPr>
        <w:lastRenderedPageBreak/>
        <w:t xml:space="preserve">  </w:t>
      </w:r>
      <w:r w:rsidRPr="00A71661">
        <w:rPr>
          <w:rFonts w:ascii="仿宋_GB2312" w:eastAsia="仿宋_GB2312" w:hAnsi="仿宋_GB2312" w:cs="仿宋_GB2312" w:hint="eastAsia"/>
          <w:sz w:val="32"/>
          <w:szCs w:val="32"/>
        </w:rPr>
        <w:t>2023年本单位没有</w:t>
      </w:r>
      <w:r>
        <w:rPr>
          <w:rFonts w:ascii="黑体" w:eastAsia="黑体" w:hAnsi="黑体" w:cs="黑体" w:hint="eastAsia"/>
          <w:sz w:val="32"/>
          <w:szCs w:val="32"/>
        </w:rPr>
        <w:t>社会保险基金</w:t>
      </w:r>
      <w:r w:rsidRPr="00A71661">
        <w:rPr>
          <w:rFonts w:ascii="仿宋_GB2312" w:eastAsia="仿宋_GB2312" w:hAnsi="仿宋_GB2312" w:cs="仿宋_GB2312" w:hint="eastAsia"/>
          <w:sz w:val="32"/>
          <w:szCs w:val="32"/>
        </w:rPr>
        <w:t>预算支出情况。</w:t>
      </w:r>
    </w:p>
    <w:p w:rsidR="00B8098C" w:rsidRDefault="00B8098C" w:rsidP="00B4243B">
      <w:pPr>
        <w:numPr>
          <w:ilvl w:val="0"/>
          <w:numId w:val="1"/>
        </w:numPr>
        <w:spacing w:line="600" w:lineRule="exact"/>
        <w:ind w:leftChars="200" w:left="420" w:firstLineChars="100" w:firstLine="320"/>
        <w:rPr>
          <w:rFonts w:ascii="黑体" w:eastAsia="黑体" w:hAnsi="黑体" w:cs="黑体"/>
          <w:sz w:val="32"/>
          <w:szCs w:val="32"/>
        </w:rPr>
      </w:pPr>
      <w:r>
        <w:rPr>
          <w:rFonts w:ascii="黑体" w:eastAsia="黑体" w:hAnsi="黑体" w:cs="黑体" w:hint="eastAsia"/>
          <w:sz w:val="32"/>
          <w:szCs w:val="32"/>
        </w:rPr>
        <w:t>部门整体支出绩效情况</w:t>
      </w:r>
    </w:p>
    <w:p w:rsidR="00B8098C" w:rsidRDefault="00B8098C" w:rsidP="00B8098C">
      <w:pPr>
        <w:pStyle w:val="1"/>
        <w:spacing w:line="600" w:lineRule="exact"/>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2023年，本部门年初预算收入696.47万元，比上年增加32.69万元，增长4.92%,收入实际完成904.66万元，比上年减少48.65万元，降低5.10%。2023年，本部门年初预算支出696.47万元，比上年增加32.69万元，增长4.92%，本部门实际支出904.66万元，比上年减少48.65万元，降低5.10%。整体支出绩效情况主要体现在以下几点：</w:t>
      </w:r>
    </w:p>
    <w:p w:rsidR="00B8098C" w:rsidRPr="0039569F" w:rsidRDefault="00B8098C" w:rsidP="00B8098C">
      <w:pPr>
        <w:spacing w:line="600" w:lineRule="exact"/>
      </w:pPr>
      <w:r>
        <w:rPr>
          <w:rFonts w:ascii="黑体" w:eastAsia="黑体" w:hAnsi="黑体" w:cs="黑体" w:hint="eastAsia"/>
          <w:sz w:val="32"/>
          <w:szCs w:val="32"/>
        </w:rPr>
        <w:t xml:space="preserve">   </w:t>
      </w:r>
      <w:r w:rsidR="005B05CA">
        <w:rPr>
          <w:rFonts w:ascii="黑体" w:eastAsia="黑体" w:hAnsi="黑体" w:cs="黑体" w:hint="eastAsia"/>
          <w:sz w:val="32"/>
          <w:szCs w:val="32"/>
        </w:rPr>
        <w:t xml:space="preserve"> </w:t>
      </w:r>
      <w:r>
        <w:rPr>
          <w:rFonts w:ascii="黑体" w:eastAsia="黑体" w:hAnsi="黑体" w:cs="黑体" w:hint="eastAsia"/>
          <w:sz w:val="32"/>
          <w:szCs w:val="32"/>
        </w:rPr>
        <w:t>1. 提高决策执行能力，坚持提升督促检查。</w:t>
      </w:r>
      <w:r>
        <w:rPr>
          <w:rFonts w:ascii="楷体_GB2312" w:eastAsia="楷体_GB2312" w:hAnsi="楷体_GB2312" w:cs="楷体_GB2312" w:hint="eastAsia"/>
          <w:sz w:val="32"/>
          <w:szCs w:val="32"/>
        </w:rPr>
        <w:t>围绕中心抓落实。</w:t>
      </w:r>
      <w:r>
        <w:rPr>
          <w:rFonts w:ascii="仿宋_GB2312" w:eastAsia="仿宋_GB2312" w:hAnsi="仿宋_GB2312" w:cs="仿宋_GB2312" w:hint="eastAsia"/>
          <w:sz w:val="32"/>
          <w:szCs w:val="32"/>
        </w:rPr>
        <w:t>紧紧围绕贯彻落实习近平总书记重要讲话重要指示批示精神及中央、省委、市委和县委决策部署开展督查，有力保障贯彻落实上级工作要求不偏向、不变通、不走样。今年来，共督促落实习近平总书记重要指示批示4件次，省委、市委、县委主要领导指示批示及上级交办件112件次，总体办结率达87.61%，在贯彻落实习近平总书记关于防汛救灾的重要批示中，田庄乡“9·11”山洪灾害成功避险案例获国家应急部通报表扬。全程跟踪督办全县年度重点工作、县委常委会议决事项、书记办公会交办事项392项，制发通报和专报35期，其中县委主要领导作出肯定性批示4次。</w:t>
      </w:r>
      <w:r>
        <w:rPr>
          <w:rFonts w:ascii="楷体_GB2312" w:eastAsia="楷体_GB2312" w:hAnsi="楷体_GB2312" w:cs="楷体_GB2312" w:hint="eastAsia"/>
          <w:sz w:val="32"/>
          <w:szCs w:val="32"/>
        </w:rPr>
        <w:t>聚焦重点提质效。</w:t>
      </w:r>
      <w:r>
        <w:rPr>
          <w:rFonts w:ascii="仿宋_GB2312" w:eastAsia="仿宋_GB2312" w:hAnsi="仿宋_GB2312" w:cs="仿宋_GB2312" w:hint="eastAsia"/>
          <w:sz w:val="32"/>
          <w:szCs w:val="32"/>
        </w:rPr>
        <w:t>深入开展征地拆迁、生态环境保护、文明城市创建等十余项专项工作督查，着力攻坚克难，有效发挥党委督查利剑作用。在信访积案“百日攻坚”行动中，制发督查通报3期，87件主要个访积案化解79件，化解率达90.80%。在</w:t>
      </w:r>
      <w:r>
        <w:rPr>
          <w:rFonts w:ascii="仿宋_GB2312" w:eastAsia="仿宋_GB2312" w:hAnsi="仿宋_GB2312" w:cs="仿宋_GB2312" w:hint="eastAsia"/>
          <w:sz w:val="32"/>
          <w:szCs w:val="32"/>
        </w:rPr>
        <w:lastRenderedPageBreak/>
        <w:t>安化抽水蓄能电站项目建设中，督促相关单位履职尽责，有效加快项目征地拆迁进度，落实项目征地近5000余亩。坚决贯彻落实中央、省委、市委和县委整治形式主义为基层减负决策部署，开展整治形式主义为基层减负专项督查、“文山会海”专项治理、“指尖上的形式主义”回头看等多项整治行动，党员干部干事创业效能进一步释放。切实精文减会，提出不予发文的20条情形和不予批会的13条情形，建立“无会日”制度，文会数量保持“只减不增”态势。</w:t>
      </w:r>
    </w:p>
    <w:p w:rsidR="00B8098C" w:rsidRDefault="00B8098C" w:rsidP="00B8098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2.强化统筹协调能力，坚持聚焦主责主业</w:t>
      </w:r>
    </w:p>
    <w:p w:rsidR="00B8098C" w:rsidRPr="00D26384" w:rsidRDefault="00B8098C" w:rsidP="00B8098C">
      <w:pPr>
        <w:shd w:val="clear" w:color="auto" w:fill="FFFFFF"/>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综合协调规范高效。</w:t>
      </w:r>
      <w:r>
        <w:rPr>
          <w:rFonts w:ascii="仿宋_GB2312" w:eastAsia="仿宋_GB2312" w:hAnsi="仿宋_GB2312" w:cs="仿宋_GB2312" w:hint="eastAsia"/>
          <w:sz w:val="32"/>
          <w:szCs w:val="32"/>
        </w:rPr>
        <w:t>紧盯县委中心工作，树立“一盘棋”思想，严格落实“党办牵头抓总、部门分工负责、各方积极参与”三级联动机制，协调服务有序有力。制定县委主要领导周工作预安排50期，工作计划实现率达80%以上，服务县委领导调研、考察等重要公务活动90余次，统筹重宾接待工作70余次。切实提升办会水平，周密细致开展县委全会、县委常委会、县委经济工作会议、全省秋季乡村文化旅游节等60余次重要会议、重大节会活动筹备工作，顺利举办全县党办系统业务培训班，有效提升党办干部“三服务”能力。</w:t>
      </w:r>
      <w:r>
        <w:rPr>
          <w:rFonts w:ascii="楷体_GB2312" w:eastAsia="楷体_GB2312" w:hAnsi="楷体_GB2312" w:cs="楷体_GB2312" w:hint="eastAsia"/>
          <w:sz w:val="32"/>
          <w:szCs w:val="32"/>
        </w:rPr>
        <w:t>改革工作亮点频出。</w:t>
      </w:r>
      <w:r>
        <w:rPr>
          <w:rFonts w:ascii="仿宋_GB2312" w:eastAsia="仿宋_GB2312" w:hAnsi="仿宋_GB2312" w:cs="仿宋_GB2312" w:hint="eastAsia"/>
          <w:sz w:val="32"/>
          <w:szCs w:val="32"/>
        </w:rPr>
        <w:t>组织全县各单位聚焦安化特色，做好改革典型经验、信息总结推广，营造浓厚改革氛围。整理推送改革典型经验36篇，报送改革优质信息57条。《加快推动中小企业》等改革典型经验信息在《益阳改革简报》上刊发，上稿率全市第一。“双减”工作经验、大宗固体废弃物综合利用</w:t>
      </w:r>
      <w:r>
        <w:rPr>
          <w:rFonts w:ascii="仿宋_GB2312" w:eastAsia="仿宋_GB2312" w:hAnsi="仿宋_GB2312" w:cs="仿宋_GB2312" w:hint="eastAsia"/>
          <w:sz w:val="32"/>
          <w:szCs w:val="32"/>
        </w:rPr>
        <w:lastRenderedPageBreak/>
        <w:t>基地建设成效等经验被国家部委、省厅宣传推广，国家循环化改造示范试点园区等一批国省改革试点创建成功。</w:t>
      </w:r>
      <w:r>
        <w:rPr>
          <w:rFonts w:ascii="楷体_GB2312" w:eastAsia="楷体_GB2312" w:hAnsi="楷体_GB2312" w:cs="楷体_GB2312" w:hint="eastAsia"/>
          <w:sz w:val="32"/>
          <w:szCs w:val="32"/>
        </w:rPr>
        <w:t>机要保密、国安工作稳中提质。</w:t>
      </w:r>
      <w:r>
        <w:rPr>
          <w:rFonts w:ascii="仿宋_GB2312" w:eastAsia="仿宋_GB2312" w:hAnsi="仿宋_GB2312" w:cs="仿宋_GB2312" w:hint="eastAsia"/>
          <w:sz w:val="32"/>
          <w:szCs w:val="32"/>
        </w:rPr>
        <w:t>深入开展全民国家安全教育宣传系列活动，组织“4·15”集中宣传，发放资料1300余份。制作保密常识必知必会、国家安全宣传视频，并纳入全县基层党组织主题党日活动集中学习内容。对全县电报立户单位和重点涉密单位开展机要保密检查，完成全县电子政务内网风险评估工作，采用分年度及采分签采购模式稳步推进AK替代工作。</w:t>
      </w:r>
      <w:r>
        <w:rPr>
          <w:rFonts w:ascii="楷体_GB2312" w:eastAsia="楷体_GB2312" w:hAnsi="楷体_GB2312" w:cs="楷体_GB2312" w:hint="eastAsia"/>
          <w:sz w:val="32"/>
          <w:szCs w:val="32"/>
        </w:rPr>
        <w:t>对台外事精彩纷呈。</w:t>
      </w:r>
      <w:r>
        <w:rPr>
          <w:rFonts w:ascii="仿宋_GB2312" w:eastAsia="仿宋_GB2312" w:hAnsi="仿宋_GB2312" w:cs="仿宋_GB2312" w:hint="eastAsia"/>
          <w:sz w:val="32"/>
          <w:szCs w:val="32"/>
        </w:rPr>
        <w:t>高质量承办“黑茶缘·两岸情”茶文化交流活动、安化黑茶——台东红乌龙茶品鉴交流会、“两岸同心 ‘羽’你同行”台湾青少年益阳羽毛球夏令营活动，对台工作获市委主要领导高度肯定。积极申报第二批益阳市外事语言人才库人员，7名人员入库。积极解决涉外问题，稳妥处理云台山茶旅集团8名外籍演艺人员薪资纠纷事宜。</w:t>
      </w:r>
      <w:r>
        <w:rPr>
          <w:rFonts w:ascii="楷体_GB2312" w:eastAsia="楷体_GB2312" w:hAnsi="楷体_GB2312" w:cs="楷体_GB2312" w:hint="eastAsia"/>
          <w:sz w:val="32"/>
          <w:szCs w:val="32"/>
        </w:rPr>
        <w:t>档案管理科学规范。</w:t>
      </w:r>
      <w:r>
        <w:rPr>
          <w:rFonts w:ascii="仿宋_GB2312" w:eastAsia="仿宋_GB2312" w:hAnsi="仿宋_GB2312" w:cs="仿宋_GB2312" w:hint="eastAsia"/>
          <w:sz w:val="32"/>
          <w:szCs w:val="32"/>
        </w:rPr>
        <w:t>成立县委办档案工作领导小组，高效促进局馆协同。</w:t>
      </w:r>
      <w:r>
        <w:rPr>
          <w:rFonts w:ascii="楷体_GB2312" w:eastAsia="楷体_GB2312" w:hAnsi="楷体_GB2312" w:cs="楷体_GB2312" w:hint="eastAsia"/>
          <w:sz w:val="32"/>
          <w:szCs w:val="32"/>
        </w:rPr>
        <w:t>机关管理高效畅通。</w:t>
      </w:r>
      <w:r>
        <w:rPr>
          <w:rFonts w:ascii="仿宋_GB2312" w:eastAsia="仿宋_GB2312" w:hAnsi="仿宋_GB2312" w:cs="仿宋_GB2312" w:hint="eastAsia"/>
          <w:sz w:val="32"/>
          <w:szCs w:val="32"/>
        </w:rPr>
        <w:t>健全机关管理制度，严格执行9项43条制度要求，</w:t>
      </w:r>
      <w:r>
        <w:rPr>
          <w:rFonts w:ascii="仿宋_GB2312" w:eastAsia="仿宋_GB2312"/>
          <w:sz w:val="32"/>
        </w:rPr>
        <w:t>致力打造</w:t>
      </w:r>
      <w:r>
        <w:rPr>
          <w:rFonts w:ascii="仿宋_GB2312" w:eastAsia="仿宋_GB2312" w:hint="eastAsia"/>
          <w:sz w:val="32"/>
        </w:rPr>
        <w:t>“</w:t>
      </w:r>
      <w:r>
        <w:rPr>
          <w:rFonts w:ascii="仿宋_GB2312" w:eastAsia="仿宋_GB2312" w:cs="Times New Roman" w:hint="eastAsia"/>
          <w:sz w:val="32"/>
        </w:rPr>
        <w:t>提笔能写、开口能讲、问策能对、遇事能办</w:t>
      </w:r>
      <w:r>
        <w:rPr>
          <w:rFonts w:ascii="仿宋_GB2312" w:eastAsia="仿宋_GB2312" w:hint="eastAsia"/>
          <w:sz w:val="32"/>
        </w:rPr>
        <w:t>”机关队伍</w:t>
      </w:r>
      <w:r>
        <w:rPr>
          <w:rFonts w:ascii="楷体_GB2312" w:eastAsia="楷体_GB2312" w:hAnsi="楷体_GB2312" w:cs="楷体_GB2312" w:hint="eastAsia"/>
          <w:sz w:val="32"/>
          <w:szCs w:val="32"/>
        </w:rPr>
        <w:t>。</w:t>
      </w:r>
    </w:p>
    <w:p w:rsidR="00B8098C" w:rsidRDefault="00B8098C" w:rsidP="005B05CA">
      <w:pPr>
        <w:pStyle w:val="1"/>
        <w:numPr>
          <w:ilvl w:val="0"/>
          <w:numId w:val="1"/>
        </w:numPr>
        <w:spacing w:line="600" w:lineRule="exact"/>
        <w:ind w:leftChars="200" w:left="420" w:firstLineChars="100" w:firstLine="320"/>
        <w:rPr>
          <w:rFonts w:ascii="黑体" w:eastAsia="黑体" w:hAnsi="黑体" w:cs="黑体" w:hint="default"/>
          <w:sz w:val="32"/>
          <w:szCs w:val="32"/>
        </w:rPr>
      </w:pPr>
      <w:r>
        <w:rPr>
          <w:rFonts w:ascii="黑体" w:eastAsia="黑体" w:hAnsi="黑体" w:cs="黑体"/>
          <w:sz w:val="32"/>
          <w:szCs w:val="32"/>
        </w:rPr>
        <w:t>存在的问题及原因分析</w:t>
      </w:r>
    </w:p>
    <w:p w:rsidR="00B8098C" w:rsidRDefault="00B8098C" w:rsidP="00B8098C">
      <w:pPr>
        <w:pStyle w:val="a5"/>
        <w:shd w:val="clear" w:color="auto" w:fill="FFFFFF"/>
        <w:spacing w:before="0" w:beforeAutospacing="0" w:after="0" w:afterAutospacing="0" w:line="600" w:lineRule="exact"/>
        <w:rPr>
          <w:rFonts w:ascii="仿宋_GB2312" w:hAnsi="仿宋_GB2312" w:cs="仿宋_GB2312"/>
          <w:color w:val="000000"/>
          <w:sz w:val="32"/>
          <w:szCs w:val="32"/>
        </w:rPr>
      </w:pPr>
      <w:r>
        <w:rPr>
          <w:rFonts w:ascii="仿宋_GB2312" w:hAnsi="仿宋_GB2312" w:cs="仿宋_GB2312" w:hint="eastAsia"/>
          <w:color w:val="000000"/>
          <w:sz w:val="32"/>
          <w:szCs w:val="32"/>
        </w:rPr>
        <w:t xml:space="preserve">    1.单位内部控制机制待完善，机制设计的范围缺乏全面性和深层次的思考，内部控制制度有效性发挥不够。</w:t>
      </w:r>
    </w:p>
    <w:p w:rsidR="00B8098C" w:rsidRPr="005F6A63" w:rsidRDefault="00B8098C" w:rsidP="00B8098C">
      <w:pPr>
        <w:pStyle w:val="a5"/>
        <w:shd w:val="clear" w:color="auto" w:fill="FFFFFF"/>
        <w:spacing w:before="0" w:beforeAutospacing="0" w:after="0" w:afterAutospacing="0" w:line="600" w:lineRule="exact"/>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lastRenderedPageBreak/>
        <w:t xml:space="preserve">    </w:t>
      </w:r>
      <w:r w:rsidRPr="00072F46">
        <w:rPr>
          <w:rFonts w:ascii="仿宋_GB2312" w:hAnsi="仿宋_GB2312" w:cs="仿宋_GB2312" w:hint="eastAsia"/>
          <w:color w:val="000000" w:themeColor="text1"/>
          <w:sz w:val="32"/>
          <w:szCs w:val="32"/>
        </w:rPr>
        <w:t>2</w:t>
      </w:r>
      <w:r>
        <w:rPr>
          <w:rFonts w:ascii="仿宋_GB2312" w:hAnsi="仿宋_GB2312" w:cs="仿宋_GB2312" w:hint="eastAsia"/>
          <w:color w:val="000000" w:themeColor="text1"/>
          <w:sz w:val="32"/>
          <w:szCs w:val="32"/>
        </w:rPr>
        <w:t>.</w:t>
      </w:r>
      <w:r w:rsidRPr="00072F46">
        <w:rPr>
          <w:rFonts w:ascii="仿宋_GB2312" w:hAnsi="仿宋_GB2312" w:cs="仿宋_GB2312" w:hint="eastAsia"/>
          <w:color w:val="000000" w:themeColor="text1"/>
          <w:sz w:val="32"/>
          <w:szCs w:val="32"/>
        </w:rPr>
        <w:t>财政拨付部分项目资金迟。财政</w:t>
      </w:r>
      <w:r>
        <w:rPr>
          <w:rFonts w:ascii="仿宋_GB2312" w:hAnsi="仿宋_GB2312" w:cs="仿宋_GB2312" w:hint="eastAsia"/>
          <w:color w:val="000000" w:themeColor="text1"/>
          <w:sz w:val="32"/>
          <w:szCs w:val="32"/>
        </w:rPr>
        <w:t>拨付</w:t>
      </w:r>
      <w:r w:rsidRPr="00072F46">
        <w:rPr>
          <w:rFonts w:ascii="仿宋_GB2312" w:hAnsi="仿宋_GB2312" w:cs="仿宋_GB2312" w:hint="eastAsia"/>
          <w:color w:val="000000" w:themeColor="text1"/>
          <w:sz w:val="32"/>
          <w:szCs w:val="32"/>
        </w:rPr>
        <w:t>的部分项目资金和项目资金支付时间不一致，如项目已启动需支付前期资金，但是财政</w:t>
      </w:r>
      <w:r>
        <w:rPr>
          <w:rFonts w:ascii="仿宋_GB2312" w:hAnsi="仿宋_GB2312" w:cs="仿宋_GB2312" w:hint="eastAsia"/>
          <w:color w:val="000000" w:themeColor="text1"/>
          <w:sz w:val="32"/>
          <w:szCs w:val="32"/>
        </w:rPr>
        <w:t>拨付</w:t>
      </w:r>
      <w:r w:rsidRPr="00072F46">
        <w:rPr>
          <w:rFonts w:ascii="仿宋_GB2312" w:hAnsi="仿宋_GB2312" w:cs="仿宋_GB2312" w:hint="eastAsia"/>
          <w:color w:val="000000" w:themeColor="text1"/>
          <w:sz w:val="32"/>
          <w:szCs w:val="32"/>
        </w:rPr>
        <w:t>的项目资金尚未到达。</w:t>
      </w:r>
    </w:p>
    <w:p w:rsidR="00B8098C" w:rsidRPr="005F6A63" w:rsidRDefault="00B8098C" w:rsidP="00CC3FD0">
      <w:pPr>
        <w:numPr>
          <w:ilvl w:val="0"/>
          <w:numId w:val="1"/>
        </w:numPr>
        <w:spacing w:line="600" w:lineRule="exact"/>
        <w:ind w:leftChars="200" w:left="420" w:firstLineChars="100" w:firstLine="320"/>
        <w:rPr>
          <w:rFonts w:ascii="黑体" w:eastAsia="黑体" w:hAnsi="黑体" w:cs="黑体"/>
          <w:sz w:val="32"/>
          <w:szCs w:val="32"/>
        </w:rPr>
      </w:pPr>
      <w:r>
        <w:rPr>
          <w:rFonts w:ascii="黑体" w:eastAsia="黑体" w:hAnsi="黑体" w:cs="黑体" w:hint="eastAsia"/>
          <w:sz w:val="32"/>
          <w:szCs w:val="32"/>
        </w:rPr>
        <w:t>下一步改进措施</w:t>
      </w:r>
    </w:p>
    <w:p w:rsidR="00B8098C" w:rsidRPr="00CE5F2C" w:rsidRDefault="00B8098C" w:rsidP="00B8098C">
      <w:pPr>
        <w:spacing w:line="600" w:lineRule="exact"/>
        <w:rPr>
          <w:rFonts w:ascii="黑体" w:eastAsia="黑体" w:hAnsi="黑体" w:cs="黑体"/>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进一步</w:t>
      </w:r>
      <w:r>
        <w:rPr>
          <w:rFonts w:ascii="仿宋_GB2312" w:eastAsia="仿宋_GB2312" w:hAnsi="仿宋_GB2312" w:cs="仿宋_GB2312"/>
          <w:color w:val="000000"/>
          <w:kern w:val="0"/>
          <w:sz w:val="32"/>
          <w:szCs w:val="32"/>
        </w:rPr>
        <w:t>完善内部管理制度，</w:t>
      </w:r>
      <w:r>
        <w:rPr>
          <w:rFonts w:ascii="仿宋_GB2312" w:hAnsi="仿宋_GB2312" w:cs="仿宋_GB2312" w:hint="eastAsia"/>
          <w:color w:val="000000"/>
          <w:kern w:val="0"/>
          <w:sz w:val="32"/>
          <w:szCs w:val="32"/>
        </w:rPr>
        <w:t xml:space="preserve"> </w:t>
      </w:r>
      <w:r w:rsidRPr="000E3F1D">
        <w:rPr>
          <w:rFonts w:ascii="仿宋_GB2312" w:eastAsia="仿宋_GB2312" w:hAnsi="仿宋_GB2312" w:cs="仿宋_GB2312"/>
          <w:color w:val="000000"/>
          <w:kern w:val="0"/>
          <w:sz w:val="32"/>
          <w:szCs w:val="32"/>
        </w:rPr>
        <w:t>建立健全机关管理制度，费用报销流程等制度，强化财务约束监督机制。</w:t>
      </w:r>
      <w:r w:rsidRPr="00445EFA">
        <w:rPr>
          <w:rFonts w:ascii="仿宋_GB2312" w:eastAsia="仿宋_GB2312" w:hAnsi="仿宋_GB2312" w:cs="仿宋_GB2312" w:hint="eastAsia"/>
          <w:color w:val="000000" w:themeColor="text1"/>
          <w:kern w:val="0"/>
          <w:sz w:val="32"/>
          <w:szCs w:val="32"/>
        </w:rPr>
        <w:t>在支付相应的凭证时，对应当年预算的类别和经济分类指标进行支付，</w:t>
      </w:r>
      <w:r w:rsidRPr="00445EFA">
        <w:rPr>
          <w:rFonts w:ascii="仿宋_GB2312" w:eastAsia="仿宋_GB2312" w:hAnsi="仿宋_GB2312" w:cs="仿宋_GB2312"/>
          <w:color w:val="000000" w:themeColor="text1"/>
          <w:kern w:val="0"/>
          <w:sz w:val="32"/>
          <w:szCs w:val="32"/>
        </w:rPr>
        <w:t>加强预算支出的审核、跟踪及预算执行情况分析。</w:t>
      </w:r>
      <w:r w:rsidRPr="00474415">
        <w:rPr>
          <w:rFonts w:ascii="仿宋_GB2312" w:eastAsia="仿宋_GB2312" w:hAnsi="仿宋_GB2312" w:cs="仿宋_GB2312"/>
          <w:sz w:val="32"/>
          <w:szCs w:val="32"/>
        </w:rPr>
        <w:t xml:space="preserve">　</w:t>
      </w:r>
    </w:p>
    <w:p w:rsidR="00B8098C" w:rsidRPr="00CC00A3" w:rsidRDefault="00B8098C" w:rsidP="00B8098C">
      <w:pPr>
        <w:pStyle w:val="a5"/>
        <w:shd w:val="clear" w:color="auto" w:fill="FFFFFF"/>
        <w:spacing w:before="0" w:beforeAutospacing="0" w:after="0" w:afterAutospacing="0" w:line="600" w:lineRule="exact"/>
        <w:rPr>
          <w:rFonts w:ascii="仿宋_GB2312" w:hAnsi="仿宋_GB2312" w:cs="仿宋_GB2312"/>
          <w:color w:val="000000"/>
          <w:sz w:val="32"/>
          <w:szCs w:val="32"/>
        </w:rPr>
      </w:pPr>
      <w:r>
        <w:rPr>
          <w:rFonts w:ascii="仿宋_GB2312" w:hAnsi="仿宋_GB2312" w:cs="仿宋_GB2312" w:hint="eastAsia"/>
          <w:color w:val="000000"/>
          <w:sz w:val="32"/>
          <w:szCs w:val="32"/>
        </w:rPr>
        <w:t xml:space="preserve">    </w:t>
      </w:r>
      <w:r>
        <w:rPr>
          <w:rFonts w:ascii="仿宋_GB2312" w:hAnsi="仿宋_GB2312" w:cs="仿宋_GB2312"/>
          <w:color w:val="000000"/>
          <w:sz w:val="32"/>
          <w:szCs w:val="32"/>
        </w:rPr>
        <w:t>2</w:t>
      </w:r>
      <w:r>
        <w:rPr>
          <w:rFonts w:ascii="仿宋_GB2312" w:hAnsi="仿宋_GB2312" w:cs="仿宋_GB2312" w:hint="eastAsia"/>
          <w:color w:val="000000"/>
          <w:sz w:val="32"/>
          <w:szCs w:val="32"/>
        </w:rPr>
        <w:t>.</w:t>
      </w:r>
      <w:r w:rsidRPr="00FB5C1F">
        <w:rPr>
          <w:rFonts w:ascii="仿宋_GB2312" w:hAnsi="仿宋_GB2312" w:cs="仿宋_GB2312"/>
          <w:color w:val="000000"/>
          <w:sz w:val="32"/>
          <w:szCs w:val="32"/>
        </w:rPr>
        <w:t>提高预算编制严谨性和可控性</w:t>
      </w:r>
      <w:r w:rsidRPr="00FB5C1F">
        <w:rPr>
          <w:rFonts w:ascii="仿宋_GB2312" w:hAnsi="仿宋_GB2312" w:cs="仿宋_GB2312" w:hint="eastAsia"/>
          <w:color w:val="000000"/>
          <w:sz w:val="32"/>
          <w:szCs w:val="32"/>
        </w:rPr>
        <w:t xml:space="preserve">编制年度预算坚持效益优先、预算编制与绩效评价挂钩的原则，强化绩效评价结果运用，将绩效评价结果作为以后年度预算安排的重要依据。   </w:t>
      </w:r>
    </w:p>
    <w:p w:rsidR="00B8098C" w:rsidRPr="00FB5C1F" w:rsidRDefault="00B8098C" w:rsidP="00B8098C">
      <w:pPr>
        <w:pStyle w:val="a5"/>
        <w:shd w:val="clear" w:color="auto" w:fill="FFFFFF"/>
        <w:spacing w:before="0" w:beforeAutospacing="0" w:after="0" w:afterAutospacing="0" w:line="600" w:lineRule="exact"/>
        <w:rPr>
          <w:rFonts w:ascii="仿宋_GB2312" w:hAnsi="仿宋_GB2312" w:cs="仿宋_GB2312"/>
          <w:color w:val="000000"/>
          <w:sz w:val="32"/>
          <w:szCs w:val="32"/>
        </w:rPr>
      </w:pPr>
      <w:r>
        <w:rPr>
          <w:rFonts w:ascii="仿宋_GB2312" w:hAnsi="仿宋_GB2312" w:cs="仿宋_GB2312" w:hint="eastAsia"/>
          <w:color w:val="000000"/>
          <w:sz w:val="32"/>
          <w:szCs w:val="32"/>
        </w:rPr>
        <w:t xml:space="preserve">    九、</w:t>
      </w:r>
      <w:r w:rsidRPr="00FB5C1F">
        <w:rPr>
          <w:rFonts w:ascii="仿宋_GB2312" w:hAnsi="仿宋_GB2312" w:cs="仿宋_GB2312"/>
          <w:color w:val="000000"/>
          <w:sz w:val="32"/>
          <w:szCs w:val="32"/>
        </w:rPr>
        <w:t>绩效自评结果拟应用和公开情况</w:t>
      </w:r>
    </w:p>
    <w:p w:rsidR="00B8098C" w:rsidRPr="00FB5C1F" w:rsidRDefault="00B8098C" w:rsidP="00B8098C">
      <w:pPr>
        <w:pStyle w:val="a5"/>
        <w:shd w:val="clear" w:color="auto" w:fill="FFFFFF"/>
        <w:spacing w:before="0" w:beforeAutospacing="0" w:after="0" w:afterAutospacing="0" w:line="600" w:lineRule="exact"/>
        <w:rPr>
          <w:rFonts w:ascii="仿宋_GB2312" w:hAnsi="仿宋_GB2312" w:cs="仿宋_GB2312"/>
          <w:color w:val="000000"/>
          <w:sz w:val="32"/>
          <w:szCs w:val="32"/>
        </w:rPr>
      </w:pPr>
      <w:r>
        <w:rPr>
          <w:rFonts w:ascii="仿宋_GB2312" w:hAnsi="仿宋_GB2312" w:cs="仿宋_GB2312" w:hint="eastAsia"/>
          <w:color w:val="000000"/>
          <w:sz w:val="32"/>
          <w:szCs w:val="32"/>
        </w:rPr>
        <w:t xml:space="preserve">    </w:t>
      </w:r>
      <w:r w:rsidRPr="00FB5C1F">
        <w:rPr>
          <w:rFonts w:ascii="仿宋_GB2312" w:hAnsi="仿宋_GB2312" w:cs="仿宋_GB2312" w:hint="eastAsia"/>
          <w:color w:val="000000"/>
          <w:sz w:val="32"/>
          <w:szCs w:val="32"/>
        </w:rPr>
        <w:t>根据绩效评价的要求，县委办成立了自评工作领导小组，对照自评方案进行研究和布署，班子成员及机关各组室全程参与，按照自评方案的要求，对照各实施项目的内容逐条逐项自评。在自评过程发现问题，查找原因，及时纠正偏差，为下一步工作夯实基础。</w:t>
      </w:r>
    </w:p>
    <w:p w:rsidR="00B8098C" w:rsidRPr="00FB5C1F" w:rsidRDefault="00B8098C" w:rsidP="00B8098C">
      <w:pPr>
        <w:pStyle w:val="a5"/>
        <w:shd w:val="clear" w:color="auto" w:fill="FFFFFF"/>
        <w:spacing w:before="0" w:beforeAutospacing="0" w:after="0" w:afterAutospacing="0" w:line="600" w:lineRule="exact"/>
        <w:rPr>
          <w:rFonts w:ascii="仿宋_GB2312" w:hAnsi="仿宋_GB2312" w:cs="仿宋_GB2312"/>
          <w:color w:val="000000"/>
          <w:sz w:val="32"/>
          <w:szCs w:val="32"/>
        </w:rPr>
      </w:pPr>
      <w:r w:rsidRPr="00FB5C1F">
        <w:rPr>
          <w:rFonts w:ascii="仿宋_GB2312" w:hAnsi="仿宋_GB2312" w:cs="仿宋_GB2312"/>
          <w:color w:val="000000"/>
          <w:sz w:val="32"/>
          <w:szCs w:val="32"/>
        </w:rPr>
        <w:t xml:space="preserve">    通过对本单位预算编制执行情况和财务状况进行量化评价，自评得分为</w:t>
      </w:r>
      <w:r w:rsidR="00A73F20" w:rsidRPr="00A73F20">
        <w:rPr>
          <w:rFonts w:ascii="仿宋_GB2312" w:hAnsi="仿宋_GB2312" w:cs="仿宋_GB2312" w:hint="eastAsia"/>
          <w:sz w:val="32"/>
          <w:szCs w:val="32"/>
        </w:rPr>
        <w:t>100</w:t>
      </w:r>
      <w:r w:rsidRPr="00FB5C1F">
        <w:rPr>
          <w:rFonts w:ascii="仿宋_GB2312" w:hAnsi="仿宋_GB2312" w:cs="仿宋_GB2312"/>
          <w:color w:val="000000"/>
          <w:sz w:val="32"/>
          <w:szCs w:val="32"/>
        </w:rPr>
        <w:t>分。</w:t>
      </w:r>
    </w:p>
    <w:p w:rsidR="00B8098C" w:rsidRPr="00FB5C1F" w:rsidRDefault="00B8098C" w:rsidP="00B8098C">
      <w:pPr>
        <w:pStyle w:val="a5"/>
        <w:shd w:val="clear" w:color="auto" w:fill="FFFFFF"/>
        <w:spacing w:before="0" w:beforeAutospacing="0" w:after="0" w:afterAutospacing="0" w:line="600" w:lineRule="exact"/>
        <w:rPr>
          <w:rFonts w:ascii="仿宋_GB2312" w:hAnsi="仿宋_GB2312" w:cs="仿宋_GB2312"/>
          <w:color w:val="000000"/>
          <w:sz w:val="32"/>
          <w:szCs w:val="32"/>
        </w:rPr>
      </w:pPr>
      <w:r>
        <w:rPr>
          <w:rFonts w:ascii="仿宋_GB2312" w:hAnsi="仿宋_GB2312" w:cs="仿宋_GB2312" w:hint="eastAsia"/>
          <w:color w:val="000000"/>
          <w:sz w:val="32"/>
          <w:szCs w:val="32"/>
        </w:rPr>
        <w:t xml:space="preserve">    </w:t>
      </w:r>
      <w:r w:rsidRPr="00FB5C1F">
        <w:rPr>
          <w:rFonts w:ascii="仿宋_GB2312" w:hAnsi="仿宋_GB2312" w:cs="仿宋_GB2312" w:hint="eastAsia"/>
          <w:color w:val="000000"/>
          <w:sz w:val="32"/>
          <w:szCs w:val="32"/>
        </w:rPr>
        <w:t>十、其他需要说明的情况</w:t>
      </w:r>
    </w:p>
    <w:p w:rsidR="00B8098C" w:rsidRPr="0039569F" w:rsidRDefault="00B8098C" w:rsidP="00B8098C">
      <w:pPr>
        <w:pStyle w:val="1"/>
        <w:spacing w:line="600" w:lineRule="exact"/>
        <w:rPr>
          <w:rFonts w:ascii="仿宋_GB2312" w:eastAsia="仿宋_GB2312" w:hAnsi="仿宋_GB2312" w:cs="仿宋_GB2312" w:hint="default"/>
          <w:color w:val="000000"/>
          <w:kern w:val="0"/>
          <w:sz w:val="32"/>
          <w:szCs w:val="32"/>
        </w:rPr>
      </w:pPr>
      <w:r>
        <w:rPr>
          <w:rFonts w:ascii="仿宋_GB2312" w:eastAsia="仿宋_GB2312" w:hAnsi="仿宋_GB2312" w:cs="仿宋_GB2312"/>
          <w:color w:val="000000"/>
          <w:kern w:val="0"/>
          <w:sz w:val="32"/>
          <w:szCs w:val="32"/>
        </w:rPr>
        <w:t xml:space="preserve">    </w:t>
      </w:r>
      <w:r w:rsidRPr="0039569F">
        <w:rPr>
          <w:rFonts w:ascii="仿宋_GB2312" w:eastAsia="仿宋_GB2312" w:hAnsi="仿宋_GB2312" w:cs="仿宋_GB2312"/>
          <w:color w:val="000000"/>
          <w:kern w:val="0"/>
          <w:sz w:val="32"/>
          <w:szCs w:val="32"/>
        </w:rPr>
        <w:t>无。</w:t>
      </w:r>
    </w:p>
    <w:p w:rsidR="005359EE" w:rsidRDefault="005359EE"/>
    <w:sectPr w:rsidR="005359EE" w:rsidSect="00A05A6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98C" w:rsidRDefault="00B8098C" w:rsidP="00B8098C">
      <w:r>
        <w:separator/>
      </w:r>
    </w:p>
  </w:endnote>
  <w:endnote w:type="continuationSeparator" w:id="1">
    <w:p w:rsidR="00B8098C" w:rsidRDefault="00B8098C" w:rsidP="00B80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84070"/>
      <w:docPartObj>
        <w:docPartGallery w:val="Page Numbers (Bottom of Page)"/>
        <w:docPartUnique/>
      </w:docPartObj>
    </w:sdtPr>
    <w:sdtContent>
      <w:p w:rsidR="00CC00A3" w:rsidRDefault="001069E7">
        <w:pPr>
          <w:pStyle w:val="a4"/>
          <w:jc w:val="center"/>
        </w:pPr>
        <w:r>
          <w:fldChar w:fldCharType="begin"/>
        </w:r>
        <w:r w:rsidR="00B8098C">
          <w:instrText xml:space="preserve"> PAGE   \* MERGEFORMAT </w:instrText>
        </w:r>
        <w:r>
          <w:fldChar w:fldCharType="separate"/>
        </w:r>
        <w:r w:rsidR="00884A2F" w:rsidRPr="00884A2F">
          <w:rPr>
            <w:noProof/>
            <w:lang w:val="zh-CN"/>
          </w:rPr>
          <w:t>7</w:t>
        </w:r>
        <w:r>
          <w:fldChar w:fldCharType="end"/>
        </w:r>
      </w:p>
    </w:sdtContent>
  </w:sdt>
  <w:p w:rsidR="00CC00A3" w:rsidRDefault="00884A2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98C" w:rsidRDefault="00B8098C" w:rsidP="00B8098C">
      <w:r>
        <w:separator/>
      </w:r>
    </w:p>
  </w:footnote>
  <w:footnote w:type="continuationSeparator" w:id="1">
    <w:p w:rsidR="00B8098C" w:rsidRDefault="00B8098C" w:rsidP="00B809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F89312"/>
    <w:multiLevelType w:val="singleLevel"/>
    <w:tmpl w:val="D5F89312"/>
    <w:lvl w:ilvl="0">
      <w:start w:val="1"/>
      <w:numFmt w:val="chineseCounting"/>
      <w:suff w:val="nothing"/>
      <w:lvlText w:val="（%1）"/>
      <w:lvlJc w:val="left"/>
      <w:pPr>
        <w:ind w:left="105" w:firstLine="0"/>
      </w:pPr>
      <w:rPr>
        <w:rFonts w:hint="eastAsia"/>
      </w:rPr>
    </w:lvl>
  </w:abstractNum>
  <w:abstractNum w:abstractNumId="1">
    <w:nsid w:val="DEECF01E"/>
    <w:multiLevelType w:val="singleLevel"/>
    <w:tmpl w:val="DEECF01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098C"/>
    <w:rsid w:val="001069E7"/>
    <w:rsid w:val="005359EE"/>
    <w:rsid w:val="005B05CA"/>
    <w:rsid w:val="00727D5B"/>
    <w:rsid w:val="00884A2F"/>
    <w:rsid w:val="00A73F20"/>
    <w:rsid w:val="00AE0450"/>
    <w:rsid w:val="00B4243B"/>
    <w:rsid w:val="00B8098C"/>
    <w:rsid w:val="00BD5875"/>
    <w:rsid w:val="00C00C89"/>
    <w:rsid w:val="00CC3F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8098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0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098C"/>
    <w:rPr>
      <w:sz w:val="18"/>
      <w:szCs w:val="18"/>
    </w:rPr>
  </w:style>
  <w:style w:type="paragraph" w:styleId="a4">
    <w:name w:val="footer"/>
    <w:basedOn w:val="a"/>
    <w:link w:val="Char0"/>
    <w:uiPriority w:val="99"/>
    <w:unhideWhenUsed/>
    <w:rsid w:val="00B8098C"/>
    <w:pPr>
      <w:tabs>
        <w:tab w:val="center" w:pos="4153"/>
        <w:tab w:val="right" w:pos="8306"/>
      </w:tabs>
      <w:snapToGrid w:val="0"/>
      <w:jc w:val="left"/>
    </w:pPr>
    <w:rPr>
      <w:sz w:val="18"/>
      <w:szCs w:val="18"/>
    </w:rPr>
  </w:style>
  <w:style w:type="character" w:customStyle="1" w:styleId="Char0">
    <w:name w:val="页脚 Char"/>
    <w:basedOn w:val="a0"/>
    <w:link w:val="a4"/>
    <w:uiPriority w:val="99"/>
    <w:rsid w:val="00B8098C"/>
    <w:rPr>
      <w:sz w:val="18"/>
      <w:szCs w:val="18"/>
    </w:rPr>
  </w:style>
  <w:style w:type="paragraph" w:styleId="1">
    <w:name w:val="toc 1"/>
    <w:basedOn w:val="a"/>
    <w:next w:val="a"/>
    <w:rsid w:val="00B8098C"/>
    <w:rPr>
      <w:rFonts w:hint="eastAsia"/>
    </w:rPr>
  </w:style>
  <w:style w:type="paragraph" w:styleId="a5">
    <w:name w:val="Normal (Web)"/>
    <w:basedOn w:val="a"/>
    <w:uiPriority w:val="99"/>
    <w:unhideWhenUsed/>
    <w:qFormat/>
    <w:rsid w:val="00B8098C"/>
    <w:pPr>
      <w:widowControl/>
      <w:spacing w:before="100" w:beforeAutospacing="1" w:after="100" w:afterAutospacing="1"/>
      <w:jc w:val="left"/>
    </w:pPr>
    <w:rPr>
      <w:rFonts w:ascii="宋体" w:eastAsia="仿宋_GB2312"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589</Words>
  <Characters>3362</Characters>
  <Application>Microsoft Office Word</Application>
  <DocSecurity>0</DocSecurity>
  <Lines>28</Lines>
  <Paragraphs>7</Paragraphs>
  <ScaleCrop>false</ScaleCrop>
  <Company>sumstrong</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10300102</dc:creator>
  <cp:keywords/>
  <dc:description/>
  <cp:lastModifiedBy>10300102</cp:lastModifiedBy>
  <cp:revision>12</cp:revision>
  <dcterms:created xsi:type="dcterms:W3CDTF">2024-06-20T03:02:00Z</dcterms:created>
  <dcterms:modified xsi:type="dcterms:W3CDTF">2024-06-21T01:34:00Z</dcterms:modified>
</cp:coreProperties>
</file>