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44"/>
          <w:szCs w:val="44"/>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2023年度安化县民政局部门整体支出</w:t>
      </w:r>
    </w:p>
    <w:p>
      <w:pPr>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18"/>
          <w:szCs w:val="18"/>
          <w:lang w:val="en-US" w:eastAsia="zh-CN"/>
        </w:rPr>
      </w:pPr>
      <w:r>
        <w:rPr>
          <w:rFonts w:hint="eastAsia" w:ascii="方正小标宋简体" w:hAnsi="方正小标宋简体" w:eastAsia="方正小标宋简体" w:cs="方正小标宋简体"/>
          <w:b w:val="0"/>
          <w:bCs w:val="0"/>
          <w:sz w:val="44"/>
          <w:szCs w:val="44"/>
        </w:rPr>
        <w:t>绩效自评报告</w:t>
      </w:r>
    </w:p>
    <w:p>
      <w:pPr>
        <w:adjustRightInd w:val="0"/>
        <w:snapToGrid w:val="0"/>
        <w:spacing w:line="600" w:lineRule="exact"/>
        <w:ind w:firstLine="602" w:firstLineChars="200"/>
        <w:rPr>
          <w:rFonts w:hint="default"/>
        </w:rPr>
      </w:pPr>
      <w:r>
        <w:rPr>
          <w:rFonts w:hint="eastAsia" w:ascii="宋体" w:hAnsi="宋体" w:eastAsia="宋体" w:cs="宋体"/>
          <w:b/>
          <w:bCs/>
          <w:sz w:val="30"/>
          <w:szCs w:val="30"/>
          <w:highlight w:val="none"/>
          <w:lang w:bidi="ar-SA"/>
        </w:rPr>
        <w:t>一、</w:t>
      </w:r>
      <w:r>
        <w:rPr>
          <w:rFonts w:hint="eastAsia" w:ascii="宋体" w:hAnsi="宋体" w:eastAsia="宋体" w:cs="宋体"/>
          <w:b/>
          <w:bCs/>
          <w:sz w:val="30"/>
          <w:szCs w:val="30"/>
          <w:highlight w:val="none"/>
          <w:lang w:eastAsia="zh-CN" w:bidi="ar-SA"/>
        </w:rPr>
        <w:t>部门基本情况</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（一）简要介绍2023年度重点工作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来，我县民政工作坚持以习近平新时代中国特色社会主义思想为指导，深入贯彻落实党的二十大精神，以保障和改善民生为着力点，不断创新工作机制、强化惠民措施、完善公共服务，努力推进民政事业高质量发展取得新成绩、呈现新气象，走出了一条新时代民政人敢闯敢干、敢为人先的新路子。</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_GoBack"/>
      <w:bookmarkEnd w:id="0"/>
      <w:r>
        <w:rPr>
          <w:rStyle w:val="12"/>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紧扣中心，202</w:t>
      </w:r>
      <w:r>
        <w:rPr>
          <w:rStyle w:val="12"/>
          <w:rFonts w:hint="eastAsia" w:ascii="黑体" w:hAnsi="黑体" w:eastAsia="黑体" w:cs="黑体"/>
          <w:b w:val="0"/>
          <w:bCs w:val="0"/>
          <w:i w:val="0"/>
          <w:iCs w:val="0"/>
          <w:caps w:val="0"/>
          <w:color w:val="000000" w:themeColor="text1"/>
          <w:spacing w:val="8"/>
          <w:sz w:val="32"/>
          <w:szCs w:val="32"/>
          <w:shd w:val="clear" w:fill="FFFFFF"/>
          <w:lang w:val="en-US" w:eastAsia="zh-CN"/>
          <w14:textFill>
            <w14:solidFill>
              <w14:schemeClr w14:val="tx1"/>
            </w14:solidFill>
          </w14:textFill>
        </w:rPr>
        <w:t>3</w:t>
      </w:r>
      <w:r>
        <w:rPr>
          <w:rStyle w:val="12"/>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年重点工作有序推进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12"/>
          <w:rFonts w:hint="eastAsia" w:ascii="楷体" w:hAnsi="楷体" w:eastAsia="楷体" w:cs="楷体"/>
          <w:i w:val="0"/>
          <w:iCs w:val="0"/>
          <w:caps w:val="0"/>
          <w:color w:val="000000" w:themeColor="text1"/>
          <w:spacing w:val="8"/>
          <w:sz w:val="32"/>
          <w:szCs w:val="32"/>
          <w:shd w:val="clear" w:fill="FFFFFF"/>
          <w:lang w:val="en-US" w:eastAsia="zh-CN"/>
          <w14:textFill>
            <w14:solidFill>
              <w14:schemeClr w14:val="tx1"/>
            </w14:solidFill>
          </w14:textFill>
        </w:rPr>
        <w:t>(一)</w:t>
      </w:r>
      <w:r>
        <w:rPr>
          <w:rStyle w:val="12"/>
          <w:rFonts w:hint="eastAsia" w:ascii="楷体" w:hAnsi="楷体" w:eastAsia="楷体" w:cs="楷体"/>
          <w:i w:val="0"/>
          <w:iCs w:val="0"/>
          <w:caps w:val="0"/>
          <w:color w:val="000000" w:themeColor="text1"/>
          <w:spacing w:val="8"/>
          <w:sz w:val="32"/>
          <w:szCs w:val="32"/>
          <w:shd w:val="clear" w:fill="FFFFFF"/>
          <w14:textFill>
            <w14:solidFill>
              <w14:schemeClr w14:val="tx1"/>
            </w14:solidFill>
          </w14:textFill>
        </w:rPr>
        <w:t>抓重点、补短板，民生保障能力显著增强</w:t>
      </w:r>
      <w:r>
        <w:rPr>
          <w:rFonts w:hint="eastAsia" w:ascii="楷体" w:hAnsi="楷体" w:eastAsia="楷体" w:cs="楷体"/>
          <w:i w:val="0"/>
          <w:iCs w:val="0"/>
          <w:caps w:val="0"/>
          <w:color w:val="000000" w:themeColor="text1"/>
          <w:spacing w:val="8"/>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兜准</w:t>
      </w:r>
      <w:r>
        <w:rPr>
          <w:rFonts w:hint="eastAsia" w:ascii="仿宋" w:hAnsi="仿宋" w:eastAsia="仿宋" w:cs="仿宋"/>
          <w:color w:val="000000" w:themeColor="text1"/>
          <w:sz w:val="32"/>
          <w:szCs w:val="32"/>
          <w14:textFill>
            <w14:solidFill>
              <w14:schemeClr w14:val="tx1"/>
            </w14:solidFill>
          </w14:textFill>
        </w:rPr>
        <w:t>兜住兜牢民生底线</w:t>
      </w:r>
      <w:r>
        <w:rPr>
          <w:rFonts w:hint="eastAsia" w:ascii="仿宋" w:hAnsi="仿宋" w:eastAsia="仿宋" w:cs="仿宋"/>
          <w:color w:val="000000" w:themeColor="text1"/>
          <w:sz w:val="32"/>
          <w:szCs w:val="32"/>
          <w:lang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完成重点民生实事任务，全年发放困难群众基本生活救助资金2.05亿元；残疾人“两项补贴”按民生实事要求有所提高，共发放460299人次、2078.288万元。二是全面开展</w:t>
      </w:r>
      <w:r>
        <w:rPr>
          <w:rFonts w:hint="eastAsia" w:ascii="仿宋" w:hAnsi="仿宋" w:eastAsia="仿宋" w:cs="仿宋"/>
          <w:color w:val="000000" w:themeColor="text1"/>
          <w:sz w:val="32"/>
          <w:szCs w:val="32"/>
          <w14:textFill>
            <w14:solidFill>
              <w14:schemeClr w14:val="tx1"/>
            </w14:solidFill>
          </w14:textFill>
        </w:rPr>
        <w:t>城乡低保</w:t>
      </w:r>
      <w:r>
        <w:rPr>
          <w:rFonts w:hint="eastAsia" w:ascii="仿宋" w:hAnsi="仿宋" w:eastAsia="仿宋" w:cs="仿宋"/>
          <w:color w:val="000000" w:themeColor="text1"/>
          <w:sz w:val="32"/>
          <w:szCs w:val="32"/>
          <w:lang w:eastAsia="zh-CN"/>
          <w14:textFill>
            <w14:solidFill>
              <w14:schemeClr w14:val="tx1"/>
            </w14:solidFill>
          </w14:textFill>
        </w:rPr>
        <w:t>精准</w:t>
      </w:r>
      <w:r>
        <w:rPr>
          <w:rFonts w:hint="eastAsia" w:ascii="仿宋" w:hAnsi="仿宋" w:eastAsia="仿宋" w:cs="仿宋"/>
          <w:color w:val="000000" w:themeColor="text1"/>
          <w:sz w:val="32"/>
          <w:szCs w:val="32"/>
          <w14:textFill>
            <w14:solidFill>
              <w14:schemeClr w14:val="tx1"/>
            </w14:solidFill>
          </w14:textFill>
        </w:rPr>
        <w:t>救助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扩围增效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加快健全</w:t>
      </w:r>
      <w:r>
        <w:rPr>
          <w:rFonts w:hint="eastAsia" w:ascii="仿宋" w:hAnsi="仿宋" w:eastAsia="仿宋" w:cs="仿宋"/>
          <w:sz w:val="32"/>
          <w:szCs w:val="32"/>
          <w:lang w:val="en-US" w:eastAsia="zh-CN"/>
        </w:rPr>
        <w:t>分层分类社会救助体系，</w:t>
      </w:r>
      <w:r>
        <w:rPr>
          <w:rFonts w:hint="eastAsia" w:ascii="仿宋" w:hAnsi="仿宋" w:eastAsia="仿宋" w:cs="仿宋"/>
          <w:color w:val="000000" w:themeColor="text1"/>
          <w:kern w:val="2"/>
          <w:sz w:val="32"/>
          <w:szCs w:val="32"/>
          <w:lang w:val="en-US" w:eastAsia="zh-CN" w:bidi="ar-SA"/>
          <w14:textFill>
            <w14:solidFill>
              <w14:schemeClr w14:val="tx1"/>
            </w14:solidFill>
          </w14:textFill>
        </w:rPr>
        <w:t>低保金的发放由传统的分档救助转为补差发放，</w:t>
      </w:r>
      <w:r>
        <w:rPr>
          <w:rFonts w:hint="eastAsia" w:ascii="仿宋" w:hAnsi="仿宋" w:eastAsia="仿宋" w:cs="仿宋"/>
          <w:color w:val="000000" w:themeColor="text1"/>
          <w:sz w:val="32"/>
          <w:szCs w:val="32"/>
          <w14:textFill>
            <w14:solidFill>
              <w14:schemeClr w14:val="tx1"/>
            </w14:solidFill>
          </w14:textFill>
        </w:rPr>
        <w:t>及时将符合条件的困难群众纳入</w:t>
      </w:r>
      <w:r>
        <w:rPr>
          <w:rFonts w:hint="eastAsia" w:ascii="仿宋" w:hAnsi="仿宋" w:eastAsia="仿宋" w:cs="仿宋"/>
          <w:color w:val="000000" w:themeColor="text1"/>
          <w:sz w:val="32"/>
          <w:szCs w:val="32"/>
          <w:lang w:val="en-US" w:eastAsia="zh-CN"/>
          <w14:textFill>
            <w14:solidFill>
              <w14:schemeClr w14:val="tx1"/>
            </w14:solidFill>
          </w14:textFill>
        </w:rPr>
        <w:t>保障</w:t>
      </w:r>
      <w:r>
        <w:rPr>
          <w:rFonts w:hint="eastAsia" w:ascii="仿宋" w:hAnsi="仿宋" w:eastAsia="仿宋" w:cs="仿宋"/>
          <w:color w:val="000000" w:themeColor="text1"/>
          <w:sz w:val="32"/>
          <w:szCs w:val="32"/>
          <w14:textFill>
            <w14:solidFill>
              <w14:schemeClr w14:val="tx1"/>
            </w14:solidFill>
          </w14:textFill>
        </w:rPr>
        <w:t>范围</w:t>
      </w:r>
      <w:r>
        <w:rPr>
          <w:rFonts w:hint="eastAsia" w:ascii="仿宋" w:hAnsi="仿宋" w:eastAsia="仿宋" w:cs="仿宋"/>
          <w:color w:val="000000" w:themeColor="text1"/>
          <w:sz w:val="32"/>
          <w:szCs w:val="32"/>
          <w:lang w:eastAsia="zh-CN"/>
          <w14:textFill>
            <w14:solidFill>
              <w14:schemeClr w14:val="tx1"/>
            </w14:solidFill>
          </w14:textFill>
        </w:rPr>
        <w:t>，实现应保尽保。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75" w:firstLineChars="200"/>
        <w:textAlignment w:val="auto"/>
        <w:rPr>
          <w:rFonts w:hint="eastAsia" w:ascii="楷体" w:hAnsi="楷体" w:eastAsia="楷体" w:cs="楷体"/>
          <w:color w:val="FF0000"/>
          <w:sz w:val="32"/>
          <w:szCs w:val="32"/>
          <w:lang w:eastAsia="zh-CN"/>
        </w:rPr>
      </w:pPr>
      <w:r>
        <w:rPr>
          <w:rStyle w:val="12"/>
          <w:rFonts w:hint="eastAsia" w:ascii="楷体" w:hAnsi="楷体" w:eastAsia="楷体" w:cs="楷体"/>
          <w:i w:val="0"/>
          <w:iCs w:val="0"/>
          <w:caps w:val="0"/>
          <w:color w:val="000000" w:themeColor="text1"/>
          <w:spacing w:val="8"/>
          <w:kern w:val="2"/>
          <w:sz w:val="32"/>
          <w:szCs w:val="32"/>
          <w:shd w:val="clear" w:fill="FFFFFF"/>
          <w:lang w:val="en-US" w:eastAsia="zh-CN" w:bidi="ar-SA"/>
          <w14:textFill>
            <w14:solidFill>
              <w14:schemeClr w14:val="tx1"/>
            </w14:solidFill>
          </w14:textFill>
        </w:rPr>
        <w:t>（二）优体系、强支撑，一老一小服务质量稳步提升。</w:t>
      </w:r>
      <w:r>
        <w:rPr>
          <w:rFonts w:hint="eastAsia" w:ascii="仿宋" w:hAnsi="仿宋" w:eastAsia="仿宋" w:cs="仿宋"/>
          <w:b w:val="0"/>
          <w:bCs w:val="0"/>
          <w:color w:val="000000" w:themeColor="text1"/>
          <w:sz w:val="32"/>
          <w:szCs w:val="32"/>
          <w:lang w:val="en-US" w:eastAsia="zh-CN"/>
          <w14:textFill>
            <w14:solidFill>
              <w14:schemeClr w14:val="tx1"/>
            </w14:solidFill>
          </w14:textFill>
        </w:rPr>
        <w:t>敬老院提质改造工作按时完成。</w:t>
      </w:r>
      <w:r>
        <w:rPr>
          <w:rFonts w:hint="eastAsia" w:ascii="仿宋" w:hAnsi="仿宋" w:eastAsia="仿宋" w:cs="仿宋"/>
          <w:color w:val="000000" w:themeColor="text1"/>
          <w:sz w:val="32"/>
          <w:szCs w:val="32"/>
          <w:lang w:val="en-US" w:eastAsia="zh-CN"/>
          <w14:textFill>
            <w14:solidFill>
              <w14:schemeClr w14:val="tx1"/>
            </w14:solidFill>
          </w14:textFill>
        </w:rPr>
        <w:t>全年发放困难老年人高龄津3</w:t>
      </w:r>
      <w:r>
        <w:rPr>
          <w:rFonts w:hint="eastAsia" w:ascii="仿宋" w:hAnsi="仿宋" w:cs="仿宋"/>
          <w:color w:val="000000" w:themeColor="text1"/>
          <w:sz w:val="32"/>
          <w:szCs w:val="32"/>
          <w:lang w:val="en-US" w:eastAsia="zh-CN"/>
          <w14:textFill>
            <w14:solidFill>
              <w14:schemeClr w14:val="tx1"/>
            </w14:solidFill>
          </w14:textFill>
        </w:rPr>
        <w:t>3253</w:t>
      </w:r>
      <w:r>
        <w:rPr>
          <w:rFonts w:hint="eastAsia" w:ascii="仿宋" w:hAnsi="仿宋" w:eastAsia="仿宋" w:cs="仿宋"/>
          <w:color w:val="000000" w:themeColor="text1"/>
          <w:sz w:val="32"/>
          <w:szCs w:val="32"/>
          <w:lang w:val="en-US" w:eastAsia="zh-CN"/>
          <w14:textFill>
            <w14:solidFill>
              <w14:schemeClr w14:val="tx1"/>
            </w14:solidFill>
          </w14:textFill>
        </w:rPr>
        <w:t>人次、3</w:t>
      </w:r>
      <w:r>
        <w:rPr>
          <w:rFonts w:hint="eastAsia" w:ascii="仿宋" w:hAnsi="仿宋" w:cs="仿宋"/>
          <w:color w:val="000000" w:themeColor="text1"/>
          <w:sz w:val="32"/>
          <w:szCs w:val="32"/>
          <w:lang w:val="en-US" w:eastAsia="zh-CN"/>
          <w14:textFill>
            <w14:solidFill>
              <w14:schemeClr w14:val="tx1"/>
            </w14:solidFill>
          </w14:textFill>
        </w:rPr>
        <w:t>32.53</w:t>
      </w:r>
      <w:r>
        <w:rPr>
          <w:rFonts w:hint="eastAsia" w:ascii="仿宋" w:hAnsi="仿宋" w:eastAsia="仿宋" w:cs="仿宋"/>
          <w:color w:val="000000" w:themeColor="text1"/>
          <w:sz w:val="32"/>
          <w:szCs w:val="32"/>
          <w:lang w:val="en-US" w:eastAsia="zh-CN"/>
          <w14:textFill>
            <w14:solidFill>
              <w14:schemeClr w14:val="tx1"/>
            </w14:solidFill>
          </w14:textFill>
        </w:rPr>
        <w:t>万元，发放全县百岁老人健康长寿补助</w:t>
      </w:r>
      <w:r>
        <w:rPr>
          <w:rFonts w:hint="eastAsia" w:ascii="仿宋" w:hAnsi="仿宋" w:cs="仿宋"/>
          <w:color w:val="000000" w:themeColor="text1"/>
          <w:sz w:val="32"/>
          <w:szCs w:val="32"/>
          <w:lang w:val="en-US" w:eastAsia="zh-CN"/>
          <w14:textFill>
            <w14:solidFill>
              <w14:schemeClr w14:val="tx1"/>
            </w14:solidFill>
          </w14:textFill>
        </w:rPr>
        <w:t>837</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cs="仿宋"/>
          <w:color w:val="000000" w:themeColor="text1"/>
          <w:sz w:val="32"/>
          <w:szCs w:val="32"/>
          <w:lang w:val="en-US" w:eastAsia="zh-CN"/>
          <w14:textFill>
            <w14:solidFill>
              <w14:schemeClr w14:val="tx1"/>
            </w14:solidFill>
          </w14:textFill>
        </w:rPr>
        <w:t>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33.48</w:t>
      </w:r>
      <w:r>
        <w:rPr>
          <w:rFonts w:hint="eastAsia"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下拨基本养老服务补贴</w:t>
      </w:r>
      <w:r>
        <w:rPr>
          <w:rFonts w:hint="eastAsia" w:ascii="仿宋" w:hAnsi="仿宋" w:eastAsia="仿宋" w:cs="仿宋"/>
          <w:color w:val="000000" w:themeColor="text1"/>
          <w:sz w:val="32"/>
          <w:szCs w:val="32"/>
          <w14:textFill>
            <w14:solidFill>
              <w14:schemeClr w14:val="tx1"/>
            </w14:solidFill>
          </w14:textFill>
        </w:rPr>
        <w:t>资金</w:t>
      </w:r>
      <w:r>
        <w:rPr>
          <w:rFonts w:hint="eastAsia" w:ascii="仿宋" w:hAnsi="仿宋" w:cs="仿宋"/>
          <w:color w:val="000000" w:themeColor="text1"/>
          <w:sz w:val="32"/>
          <w:szCs w:val="32"/>
          <w:lang w:val="en-US" w:eastAsia="zh-CN"/>
          <w14:textFill>
            <w14:solidFill>
              <w14:schemeClr w14:val="tx1"/>
            </w14:solidFill>
          </w14:textFill>
        </w:rPr>
        <w:t>82.56</w:t>
      </w:r>
      <w:r>
        <w:rPr>
          <w:rFonts w:hint="eastAsia" w:ascii="仿宋" w:hAnsi="仿宋" w:eastAsia="仿宋" w:cs="仿宋"/>
          <w:color w:val="000000" w:themeColor="text1"/>
          <w:sz w:val="32"/>
          <w:szCs w:val="32"/>
          <w:lang w:val="en-US" w:eastAsia="zh-CN"/>
          <w14:textFill>
            <w14:solidFill>
              <w14:schemeClr w14:val="tx1"/>
            </w14:solidFill>
          </w14:textFill>
        </w:rPr>
        <w:t>万</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cs="仿宋"/>
          <w:color w:val="000000" w:themeColor="text1"/>
          <w:sz w:val="32"/>
          <w:szCs w:val="32"/>
          <w:lang w:val="en-US" w:eastAsia="zh-CN"/>
          <w14:textFill>
            <w14:solidFill>
              <w14:schemeClr w14:val="tx1"/>
            </w14:solidFill>
          </w14:textFill>
        </w:rPr>
        <w:t>3440</w:t>
      </w:r>
      <w:r>
        <w:rPr>
          <w:rFonts w:hint="eastAsia" w:ascii="仿宋" w:hAnsi="仿宋" w:eastAsia="仿宋" w:cs="仿宋"/>
          <w:color w:val="000000" w:themeColor="text1"/>
          <w:sz w:val="32"/>
          <w:szCs w:val="32"/>
          <w:lang w:eastAsia="zh-CN"/>
          <w14:textFill>
            <w14:solidFill>
              <w14:schemeClr w14:val="tx1"/>
            </w14:solidFill>
          </w14:textFill>
        </w:rPr>
        <w:t>名</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岁以上失能半失能的低保对象</w:t>
      </w:r>
      <w:r>
        <w:rPr>
          <w:rFonts w:hint="eastAsia" w:ascii="仿宋" w:hAnsi="仿宋" w:eastAsia="仿宋" w:cs="仿宋"/>
          <w:color w:val="000000" w:themeColor="text1"/>
          <w:sz w:val="32"/>
          <w:szCs w:val="32"/>
          <w:lang w:eastAsia="zh-CN"/>
          <w14:textFill>
            <w14:solidFill>
              <w14:schemeClr w14:val="tx1"/>
            </w14:solidFill>
          </w14:textFill>
        </w:rPr>
        <w:t>提供服务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扎实推进困难老年人居家适老化改造。</w:t>
      </w:r>
      <w:r>
        <w:rPr>
          <w:rFonts w:hint="eastAsia" w:ascii="仿宋" w:hAnsi="仿宋" w:eastAsia="仿宋" w:cs="仿宋"/>
          <w:color w:val="000000" w:themeColor="text1"/>
          <w:sz w:val="32"/>
          <w:szCs w:val="32"/>
          <w:lang w:val="en-US" w:eastAsia="zh-CN"/>
          <w14:textFill>
            <w14:solidFill>
              <w14:schemeClr w14:val="tx1"/>
            </w14:solidFill>
          </w14:textFill>
        </w:rPr>
        <w:t>对全县656户特殊困难老年人家庭按每户不低于3000元的标准完成适老化改造。</w:t>
      </w:r>
      <w:r>
        <w:rPr>
          <w:rFonts w:hint="eastAsia" w:ascii="仿宋" w:hAnsi="仿宋" w:eastAsia="仿宋" w:cs="仿宋"/>
          <w:b/>
          <w:bCs/>
          <w:color w:val="000000" w:themeColor="text1"/>
          <w:sz w:val="32"/>
          <w:szCs w:val="32"/>
          <w:lang w:val="en-US" w:eastAsia="zh-CN"/>
          <w14:textFill>
            <w14:solidFill>
              <w14:schemeClr w14:val="tx1"/>
            </w14:solidFill>
          </w14:textFill>
        </w:rPr>
        <w:t>养老服务业加快发展。</w:t>
      </w:r>
      <w:r>
        <w:rPr>
          <w:rFonts w:hint="eastAsia" w:ascii="仿宋" w:hAnsi="仿宋" w:eastAsia="仿宋" w:cs="仿宋"/>
          <w:bCs/>
          <w:color w:val="000000"/>
          <w:sz w:val="32"/>
          <w:szCs w:val="32"/>
        </w:rPr>
        <w:t>引导社会力量参与养老服务</w:t>
      </w:r>
      <w:r>
        <w:rPr>
          <w:rFonts w:hint="eastAsia" w:ascii="仿宋" w:hAnsi="仿宋" w:eastAsia="仿宋" w:cs="仿宋"/>
          <w:bCs/>
          <w:color w:val="000000"/>
          <w:sz w:val="32"/>
          <w:szCs w:val="32"/>
          <w:lang w:eastAsia="zh-CN"/>
        </w:rPr>
        <w:t>，</w:t>
      </w:r>
      <w:r>
        <w:rPr>
          <w:rFonts w:hint="eastAsia" w:ascii="仿宋" w:hAnsi="仿宋" w:eastAsia="仿宋" w:cs="仿宋"/>
          <w:sz w:val="32"/>
          <w:szCs w:val="32"/>
        </w:rPr>
        <w:t>成立安化县爱龄居养老院</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积极推进老年人助餐试点。</w:t>
      </w:r>
      <w:r>
        <w:rPr>
          <w:rFonts w:hint="eastAsia" w:ascii="仿宋" w:hAnsi="仿宋" w:eastAsia="仿宋" w:cs="仿宋"/>
          <w:sz w:val="32"/>
          <w:szCs w:val="32"/>
          <w:lang w:val="en-US" w:eastAsia="zh-CN"/>
        </w:rPr>
        <w:t>成立“益老食堂”，打造15分钟老年人助餐服务圈，获得一致好评。</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未成年人保护工作有序开展。</w:t>
      </w:r>
      <w:r>
        <w:rPr>
          <w:rFonts w:hint="eastAsia" w:ascii="仿宋" w:hAnsi="仿宋" w:eastAsia="仿宋" w:cs="仿宋"/>
          <w:color w:val="000000" w:themeColor="text1"/>
          <w:kern w:val="2"/>
          <w:sz w:val="32"/>
          <w:szCs w:val="32"/>
          <w:lang w:val="en-US" w:eastAsia="zh-CN" w:bidi="ar-SA"/>
          <w14:textFill>
            <w14:solidFill>
              <w14:schemeClr w14:val="tx1"/>
            </w14:solidFill>
          </w14:textFill>
        </w:rPr>
        <w:t>加快县未成年人保护中心转型升级，完成基础设施改造，</w:t>
      </w:r>
      <w:r>
        <w:rPr>
          <w:rFonts w:hint="eastAsia" w:ascii="仿宋" w:hAnsi="仿宋" w:eastAsia="仿宋" w:cs="仿宋"/>
          <w:color w:val="000000" w:themeColor="text1"/>
          <w:sz w:val="32"/>
          <w:szCs w:val="32"/>
          <w:highlight w:val="none"/>
          <w:lang w:val="en-US" w:eastAsia="zh-CN"/>
          <w14:textFill>
            <w14:solidFill>
              <w14:schemeClr w14:val="tx1"/>
            </w14:solidFill>
          </w14:textFill>
        </w:rPr>
        <w:t>健全未成年人监测帮扶机制，全县共结对帮扶留守儿童7327人。</w:t>
      </w:r>
      <w:r>
        <w:rPr>
          <w:rFonts w:hint="eastAsia" w:ascii="仿宋" w:hAnsi="仿宋" w:eastAsia="仿宋" w:cs="仿宋"/>
          <w:b/>
          <w:bCs/>
          <w:color w:val="000000" w:themeColor="text1"/>
          <w:sz w:val="32"/>
          <w:szCs w:val="32"/>
          <w:lang w:val="en-US" w:eastAsia="zh-CN"/>
          <w14:textFill>
            <w14:solidFill>
              <w14:schemeClr w14:val="tx1"/>
            </w14:solidFill>
          </w14:textFill>
        </w:rPr>
        <w:t>加强儿童福利保障。</w:t>
      </w:r>
      <w:r>
        <w:rPr>
          <w:rFonts w:hint="eastAsia" w:ascii="仿宋" w:hAnsi="仿宋" w:eastAsia="仿宋" w:cs="仿宋"/>
          <w:color w:val="000000" w:themeColor="text1"/>
          <w:kern w:val="2"/>
          <w:sz w:val="32"/>
          <w:szCs w:val="32"/>
          <w:lang w:val="en-US" w:eastAsia="zh-CN" w:bidi="ar-SA"/>
          <w14:textFill>
            <w14:solidFill>
              <w14:schemeClr w14:val="tx1"/>
            </w14:solidFill>
          </w14:textFill>
        </w:rPr>
        <w:t>全年发放基本生活费621.55万元，发放“福彩圆梦・孤儿助学工程”孤儿助学金37万元。</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Style w:val="12"/>
          <w:rFonts w:hint="eastAsia" w:ascii="楷体" w:hAnsi="楷体" w:eastAsia="楷体" w:cs="楷体"/>
          <w:i w:val="0"/>
          <w:iCs w:val="0"/>
          <w:caps w:val="0"/>
          <w:color w:val="000000" w:themeColor="text1"/>
          <w:spacing w:val="8"/>
          <w:kern w:val="2"/>
          <w:sz w:val="32"/>
          <w:szCs w:val="32"/>
          <w:shd w:val="clear" w:fill="FFFFFF"/>
          <w:lang w:val="en-US" w:eastAsia="zh-CN" w:bidi="ar-SA"/>
          <w14:textFill>
            <w14:solidFill>
              <w14:schemeClr w14:val="tx1"/>
            </w14:solidFill>
          </w14:textFill>
        </w:rPr>
        <w:t>（三）抓联动、促融合，基层治理活力全面彰显。</w:t>
      </w:r>
      <w:r>
        <w:rPr>
          <w:rFonts w:hint="eastAsia" w:ascii="仿宋" w:hAnsi="仿宋" w:eastAsia="仿宋" w:cs="仿宋"/>
          <w:b/>
          <w:bCs/>
          <w:color w:val="000000" w:themeColor="text1"/>
          <w:sz w:val="32"/>
          <w:szCs w:val="32"/>
          <w14:textFill>
            <w14:solidFill>
              <w14:schemeClr w14:val="tx1"/>
            </w14:solidFill>
          </w14:textFill>
        </w:rPr>
        <w:t>争创基层治理创新项目建设。</w:t>
      </w:r>
      <w:r>
        <w:rPr>
          <w:rFonts w:hint="eastAsia" w:ascii="仿宋" w:hAnsi="仿宋" w:eastAsia="仿宋" w:cs="仿宋"/>
          <w:b w:val="0"/>
          <w:bCs w:val="0"/>
          <w:color w:val="000000" w:themeColor="text1"/>
          <w:sz w:val="32"/>
          <w:szCs w:val="32"/>
          <w:lang w:val="en-US" w:eastAsia="zh-CN"/>
          <w14:textFill>
            <w14:solidFill>
              <w14:schemeClr w14:val="tx1"/>
            </w14:solidFill>
          </w14:textFill>
        </w:rPr>
        <w:t>深化基层群众自治，</w:t>
      </w:r>
      <w:r>
        <w:rPr>
          <w:rFonts w:hint="eastAsia" w:ascii="仿宋" w:hAnsi="仿宋" w:eastAsia="仿宋" w:cs="仿宋"/>
          <w:color w:val="000000" w:themeColor="text1"/>
          <w:sz w:val="32"/>
          <w:szCs w:val="32"/>
          <w:lang w:eastAsia="zh-CN"/>
          <w14:textFill>
            <w14:solidFill>
              <w14:schemeClr w14:val="tx1"/>
            </w14:solidFill>
          </w14:textFill>
        </w:rPr>
        <w:t>扎实开展</w:t>
      </w:r>
      <w:r>
        <w:rPr>
          <w:rFonts w:hint="eastAsia" w:ascii="仿宋" w:hAnsi="仿宋" w:eastAsia="仿宋" w:cs="仿宋"/>
          <w:color w:val="000000" w:themeColor="text1"/>
          <w:spacing w:val="-4"/>
          <w:sz w:val="32"/>
          <w:szCs w:val="32"/>
          <w14:textFill>
            <w14:solidFill>
              <w14:schemeClr w14:val="tx1"/>
            </w14:solidFill>
          </w14:textFill>
        </w:rPr>
        <w:t>全</w:t>
      </w:r>
      <w:r>
        <w:rPr>
          <w:rFonts w:hint="eastAsia" w:ascii="仿宋" w:hAnsi="仿宋" w:eastAsia="仿宋" w:cs="仿宋"/>
          <w:color w:val="000000" w:themeColor="text1"/>
          <w:spacing w:val="-4"/>
          <w:sz w:val="32"/>
          <w:szCs w:val="32"/>
          <w:lang w:eastAsia="zh-CN"/>
          <w14:textFill>
            <w14:solidFill>
              <w14:schemeClr w14:val="tx1"/>
            </w14:solidFill>
          </w14:textFill>
        </w:rPr>
        <w:t>县</w:t>
      </w:r>
      <w:r>
        <w:rPr>
          <w:rFonts w:hint="eastAsia" w:ascii="仿宋" w:hAnsi="仿宋" w:eastAsia="仿宋" w:cs="仿宋"/>
          <w:color w:val="000000" w:themeColor="text1"/>
          <w:spacing w:val="-4"/>
          <w:sz w:val="32"/>
          <w:szCs w:val="32"/>
          <w14:textFill>
            <w14:solidFill>
              <w14:schemeClr w14:val="tx1"/>
            </w14:solidFill>
          </w14:textFill>
        </w:rPr>
        <w:t>村级组织工作事务、机制牌子</w:t>
      </w:r>
      <w:r>
        <w:rPr>
          <w:rFonts w:hint="eastAsia" w:ascii="仿宋" w:hAnsi="仿宋" w:eastAsia="仿宋" w:cs="仿宋"/>
          <w:color w:val="000000" w:themeColor="text1"/>
          <w:spacing w:val="-10"/>
          <w:sz w:val="32"/>
          <w:szCs w:val="32"/>
          <w14:textFill>
            <w14:solidFill>
              <w14:schemeClr w14:val="tx1"/>
            </w14:solidFill>
          </w14:textFill>
        </w:rPr>
        <w:t>和证明事项</w:t>
      </w:r>
      <w:r>
        <w:rPr>
          <w:rFonts w:hint="eastAsia" w:ascii="仿宋" w:hAnsi="仿宋" w:eastAsia="仿宋" w:cs="仿宋"/>
          <w:color w:val="000000" w:themeColor="text1"/>
          <w:spacing w:val="-8"/>
          <w:sz w:val="32"/>
          <w:szCs w:val="32"/>
          <w14:textFill>
            <w14:solidFill>
              <w14:schemeClr w14:val="tx1"/>
            </w14:solidFill>
          </w14:textFill>
        </w:rPr>
        <w:t>集</w:t>
      </w:r>
      <w:r>
        <w:rPr>
          <w:rFonts w:hint="eastAsia" w:ascii="仿宋" w:hAnsi="仿宋" w:eastAsia="仿宋" w:cs="仿宋"/>
          <w:color w:val="000000" w:themeColor="text1"/>
          <w:spacing w:val="-5"/>
          <w:sz w:val="32"/>
          <w:szCs w:val="32"/>
          <w14:textFill>
            <w14:solidFill>
              <w14:schemeClr w14:val="tx1"/>
            </w14:solidFill>
          </w14:textFill>
        </w:rPr>
        <w:t>中清理工作</w:t>
      </w:r>
      <w:r>
        <w:rPr>
          <w:rFonts w:hint="eastAsia" w:ascii="仿宋" w:hAnsi="仿宋" w:eastAsia="仿宋" w:cs="仿宋"/>
          <w:color w:val="000000" w:themeColor="text1"/>
          <w:spacing w:val="-5"/>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创新性</w:t>
      </w:r>
      <w:r>
        <w:rPr>
          <w:rFonts w:hint="eastAsia" w:ascii="仿宋" w:hAnsi="仿宋" w:eastAsia="仿宋" w:cs="仿宋"/>
          <w:b w:val="0"/>
          <w:bCs w:val="0"/>
          <w:color w:val="000000" w:themeColor="text1"/>
          <w:sz w:val="32"/>
          <w:szCs w:val="32"/>
          <w14:textFill>
            <w14:solidFill>
              <w14:schemeClr w14:val="tx1"/>
            </w14:solidFill>
          </w14:textFill>
        </w:rPr>
        <w:t>制定牌子巡检、证明登记、负面清单、绩效考核扣一加一还一及述职评议五大机制，清理挂牌3897块。</w:t>
      </w:r>
      <w:r>
        <w:rPr>
          <w:rFonts w:hint="eastAsia" w:ascii="仿宋" w:hAnsi="仿宋" w:eastAsia="仿宋" w:cs="仿宋"/>
          <w:b/>
          <w:bCs/>
          <w:color w:val="000000" w:themeColor="text1"/>
          <w:sz w:val="32"/>
          <w:szCs w:val="32"/>
          <w14:textFill>
            <w14:solidFill>
              <w14:schemeClr w14:val="tx1"/>
            </w14:solidFill>
          </w14:textFill>
        </w:rPr>
        <w:t>稳步推进行政区划调整</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拿出了东坪镇拆分为“一镇一街道”的初步方案，</w:t>
      </w:r>
      <w:r>
        <w:rPr>
          <w:rFonts w:hint="eastAsia" w:ascii="仿宋" w:hAnsi="仿宋" w:eastAsia="仿宋" w:cs="仿宋"/>
          <w:sz w:val="32"/>
          <w:szCs w:val="32"/>
          <w:lang w:val="en-US" w:eastAsia="zh-CN"/>
        </w:rPr>
        <w:t>正按法定程序推进各项工作</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在马路镇云台山村开展民政部村级议事协商创新实验，</w:t>
      </w:r>
      <w:r>
        <w:rPr>
          <w:rFonts w:hint="eastAsia" w:ascii="仿宋" w:hAnsi="仿宋" w:eastAsia="仿宋" w:cs="仿宋"/>
          <w:b w:val="0"/>
          <w:bCs w:val="0"/>
          <w:color w:val="000000" w:themeColor="text1"/>
          <w:sz w:val="32"/>
          <w:szCs w:val="32"/>
          <w14:textFill>
            <w14:solidFill>
              <w14:schemeClr w14:val="tx1"/>
            </w14:solidFill>
          </w14:textFill>
        </w:rPr>
        <w:t>指导</w:t>
      </w:r>
      <w:r>
        <w:rPr>
          <w:rFonts w:hint="eastAsia" w:ascii="仿宋" w:hAnsi="仿宋" w:eastAsia="仿宋" w:cs="仿宋"/>
          <w:b w:val="0"/>
          <w:bCs w:val="0"/>
          <w:color w:val="000000" w:themeColor="text1"/>
          <w:sz w:val="32"/>
          <w:szCs w:val="32"/>
          <w:lang w:val="en-US" w:eastAsia="zh-CN"/>
          <w14:textFill>
            <w14:solidFill>
              <w14:schemeClr w14:val="tx1"/>
            </w14:solidFill>
          </w14:textFill>
        </w:rPr>
        <w:t>柘溪</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开展“湖南省基层治理创新实验”项目建设</w:t>
      </w:r>
      <w:r>
        <w:rPr>
          <w:rFonts w:hint="eastAsia" w:ascii="仿宋" w:hAnsi="仿宋" w:eastAsia="仿宋" w:cs="仿宋"/>
          <w:color w:val="000000" w:themeColor="text1"/>
          <w:sz w:val="32"/>
          <w:szCs w:val="32"/>
          <w:lang w:eastAsia="zh-CN"/>
          <w14:textFill>
            <w14:solidFill>
              <w14:schemeClr w14:val="tx1"/>
            </w14:solidFill>
          </w14:textFill>
        </w:rPr>
        <w:t>，打造</w:t>
      </w:r>
      <w:r>
        <w:rPr>
          <w:rFonts w:hint="eastAsia" w:ascii="仿宋" w:hAnsi="仿宋" w:eastAsia="仿宋" w:cs="仿宋"/>
          <w:color w:val="000000" w:themeColor="text1"/>
          <w:sz w:val="32"/>
          <w:szCs w:val="32"/>
          <w:lang w:val="en-US" w:eastAsia="zh-CN"/>
          <w14:textFill>
            <w14:solidFill>
              <w14:schemeClr w14:val="tx1"/>
            </w14:solidFill>
          </w14:textFill>
        </w:rPr>
        <w:t>“爱在柘溪”志愿服务，助力基层治理特色品牌。</w:t>
      </w:r>
      <w:r>
        <w:rPr>
          <w:rFonts w:hint="eastAsia" w:ascii="仿宋" w:hAnsi="仿宋" w:eastAsia="仿宋" w:cs="仿宋"/>
          <w:b/>
          <w:bCs/>
          <w:color w:val="000000" w:themeColor="text1"/>
          <w:sz w:val="32"/>
          <w:szCs w:val="32"/>
          <w:lang w:val="en-US" w:eastAsia="zh-CN"/>
          <w14:textFill>
            <w14:solidFill>
              <w14:schemeClr w14:val="tx1"/>
            </w14:solidFill>
          </w14:textFill>
        </w:rPr>
        <w:t>积极培育发展社会组织。</w:t>
      </w:r>
      <w:r>
        <w:rPr>
          <w:rFonts w:hint="eastAsia" w:ascii="仿宋" w:hAnsi="仿宋" w:eastAsia="仿宋" w:cs="仿宋"/>
          <w:b w:val="0"/>
          <w:bCs w:val="0"/>
          <w:color w:val="000000" w:themeColor="text1"/>
          <w:sz w:val="32"/>
          <w:szCs w:val="32"/>
          <w:lang w:val="en-US" w:eastAsia="zh-CN"/>
          <w14:textFill>
            <w14:solidFill>
              <w14:schemeClr w14:val="tx1"/>
            </w14:solidFill>
          </w14:textFill>
        </w:rPr>
        <w:t>新成立社会团体7家、民办非企业单位2家，注销“僵尸型”社会组织8家，社会组织年检工作圆满完成。</w:t>
      </w:r>
      <w:r>
        <w:rPr>
          <w:rFonts w:hint="eastAsia" w:ascii="仿宋" w:hAnsi="仿宋" w:eastAsia="仿宋" w:cs="仿宋"/>
          <w:b/>
          <w:bCs/>
          <w:color w:val="000000" w:themeColor="text1"/>
          <w:sz w:val="32"/>
          <w:szCs w:val="32"/>
          <w:lang w:val="en-US" w:eastAsia="zh-CN"/>
          <w14:textFill>
            <w14:solidFill>
              <w14:schemeClr w14:val="tx1"/>
            </w14:solidFill>
          </w14:textFill>
        </w:rPr>
        <w:t>地名区划稳步实施。</w:t>
      </w:r>
      <w:r>
        <w:rPr>
          <w:rFonts w:hint="eastAsia" w:ascii="仿宋" w:hAnsi="仿宋" w:eastAsia="仿宋" w:cs="仿宋"/>
          <w:color w:val="000000" w:themeColor="text1"/>
          <w:sz w:val="32"/>
          <w:szCs w:val="32"/>
          <w:lang w:val="en-US" w:eastAsia="zh-CN"/>
          <w14:textFill>
            <w14:solidFill>
              <w14:schemeClr w14:val="tx1"/>
            </w14:solidFill>
          </w14:textFill>
        </w:rPr>
        <w:t>建立地名备案公告管理工作机制，维护边界稳定。</w:t>
      </w:r>
    </w:p>
    <w:p>
      <w:pPr>
        <w:rPr>
          <w:rFonts w:hint="eastAsia" w:ascii="宋体" w:hAnsi="宋体" w:eastAsia="宋体" w:cs="宋体"/>
          <w:sz w:val="30"/>
          <w:szCs w:val="30"/>
          <w:lang w:val="en-US" w:eastAsia="zh-CN"/>
        </w:rPr>
      </w:pPr>
      <w:r>
        <w:rPr>
          <w:rStyle w:val="12"/>
          <w:rFonts w:hint="eastAsia" w:ascii="楷体" w:hAnsi="楷体" w:eastAsia="楷体" w:cs="楷体"/>
          <w:i w:val="0"/>
          <w:iCs w:val="0"/>
          <w:caps w:val="0"/>
          <w:color w:val="000000" w:themeColor="text1"/>
          <w:spacing w:val="8"/>
          <w:kern w:val="2"/>
          <w:sz w:val="32"/>
          <w:szCs w:val="32"/>
          <w:shd w:val="clear" w:fill="FFFFFF"/>
          <w:lang w:val="en-US" w:eastAsia="zh-CN" w:bidi="ar-SA"/>
          <w14:textFill>
            <w14:solidFill>
              <w14:schemeClr w14:val="tx1"/>
            </w14:solidFill>
          </w14:textFill>
        </w:rPr>
        <w:t>（四）重效能、提质量，基本服务水平再上新阶。</w:t>
      </w:r>
      <w:r>
        <w:rPr>
          <w:rFonts w:hint="eastAsia" w:ascii="仿宋" w:hAnsi="仿宋" w:eastAsia="仿宋" w:cs="仿宋"/>
          <w:b w:val="0"/>
          <w:bCs w:val="0"/>
          <w:color w:val="000000" w:themeColor="text1"/>
          <w:sz w:val="32"/>
          <w:szCs w:val="32"/>
          <w:lang w:val="en-US" w:eastAsia="zh-CN"/>
          <w14:textFill>
            <w14:solidFill>
              <w14:schemeClr w14:val="tx1"/>
            </w14:solidFill>
          </w14:textFill>
        </w:rPr>
        <w:t>统筹推进专项社会事务，</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全力推进殡葬改革。</w:t>
      </w:r>
      <w:r>
        <w:rPr>
          <w:rFonts w:hint="eastAsia" w:ascii="仿宋" w:hAnsi="仿宋" w:eastAsia="仿宋" w:cs="仿宋"/>
          <w:b w:val="0"/>
          <w:bCs/>
          <w:color w:val="000000" w:themeColor="text1"/>
          <w:sz w:val="32"/>
          <w:szCs w:val="32"/>
          <w:lang w:eastAsia="zh-CN"/>
          <w14:textFill>
            <w14:solidFill>
              <w14:schemeClr w14:val="tx1"/>
            </w14:solidFill>
          </w14:textFill>
        </w:rPr>
        <w:t>县城新殡仪馆已完成建设，并于12月20日正式投入运行。农村公益性公墓实现23个乡镇全覆盖，为顺利推动“零点行动”提供了有力保障。</w:t>
      </w:r>
      <w:r>
        <w:rPr>
          <w:rFonts w:hint="eastAsia" w:ascii="仿宋" w:hAnsi="仿宋" w:eastAsia="仿宋" w:cs="仿宋"/>
          <w:b w:val="0"/>
          <w:bCs/>
          <w:color w:val="000000" w:themeColor="text1"/>
          <w:sz w:val="32"/>
          <w:szCs w:val="32"/>
          <w14:textFill>
            <w14:solidFill>
              <w14:schemeClr w14:val="tx1"/>
            </w14:solidFill>
          </w14:textFill>
        </w:rPr>
        <w:t>持续开展殡葬领域突出问题专项整治</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摸排“三沿六区”视线范围内违法违规私建硬化大墓176处，已全部整改到位。</w:t>
      </w:r>
      <w:r>
        <w:rPr>
          <w:rFonts w:hint="eastAsia" w:ascii="仿宋" w:hAnsi="仿宋" w:eastAsia="仿宋" w:cs="仿宋"/>
          <w:b/>
          <w:bCs/>
          <w:color w:val="000000" w:themeColor="text1"/>
          <w:sz w:val="32"/>
          <w:szCs w:val="32"/>
          <w:lang w:val="en-US" w:eastAsia="zh-CN"/>
          <w14:textFill>
            <w14:solidFill>
              <w14:schemeClr w14:val="tx1"/>
            </w14:solidFill>
          </w14:textFill>
        </w:rPr>
        <w:t>二是流浪乞讨救助体现温度。</w:t>
      </w:r>
      <w:r>
        <w:rPr>
          <w:rFonts w:hint="eastAsia" w:ascii="仿宋" w:hAnsi="仿宋" w:eastAsia="仿宋" w:cs="仿宋"/>
          <w:color w:val="000000" w:themeColor="text1"/>
          <w:sz w:val="32"/>
          <w:szCs w:val="32"/>
          <w:lang w:val="en-US" w:eastAsia="zh-CN"/>
          <w14:textFill>
            <w14:solidFill>
              <w14:schemeClr w14:val="tx1"/>
            </w14:solidFill>
          </w14:textFill>
        </w:rPr>
        <w:t>推行人性化、亲情化服务，帮助11名流浪乞讨人员与亲人团聚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三是</w:t>
      </w:r>
      <w:r>
        <w:rPr>
          <w:rFonts w:hint="eastAsia" w:ascii="仿宋" w:hAnsi="仿宋" w:eastAsia="仿宋" w:cs="仿宋"/>
          <w:b/>
          <w:bCs/>
          <w:color w:val="000000" w:themeColor="text1"/>
          <w:sz w:val="32"/>
          <w:szCs w:val="32"/>
          <w:lang w:val="en-US" w:eastAsia="zh-CN"/>
          <w14:textFill>
            <w14:solidFill>
              <w14:schemeClr w14:val="tx1"/>
            </w14:solidFill>
          </w14:textFill>
        </w:rPr>
        <w:t>高质量开展婚姻登记。</w:t>
      </w:r>
      <w:r>
        <w:rPr>
          <w:rFonts w:hint="eastAsia" w:ascii="仿宋" w:hAnsi="仿宋" w:eastAsia="仿宋" w:cs="仿宋"/>
          <w:color w:val="000000" w:themeColor="text1"/>
          <w:sz w:val="32"/>
          <w:szCs w:val="32"/>
          <w:lang w:val="en-US" w:eastAsia="zh-CN"/>
          <w14:textFill>
            <w14:solidFill>
              <w14:schemeClr w14:val="tx1"/>
            </w14:solidFill>
          </w14:textFill>
        </w:rPr>
        <w:t>积极推进婚俗改革及婚姻家庭辅导服务</w:t>
      </w:r>
      <w:r>
        <w:rPr>
          <w:rFonts w:hint="eastAsia" w:ascii="仿宋" w:hAnsi="仿宋" w:cs="仿宋"/>
          <w:color w:val="000000" w:themeColor="text1"/>
          <w:sz w:val="32"/>
          <w:szCs w:val="32"/>
          <w:lang w:val="en-US" w:eastAsia="zh-CN"/>
          <w14:textFill>
            <w14:solidFill>
              <w14:schemeClr w14:val="tx1"/>
            </w14:solidFill>
          </w14:textFill>
        </w:rPr>
        <w:t>，全年办理结婚登记3325对，离婚1475对。</w:t>
      </w:r>
      <w:r>
        <w:rPr>
          <w:rFonts w:hint="eastAsia" w:ascii="仿宋" w:hAnsi="仿宋" w:eastAsia="仿宋" w:cs="仿宋"/>
          <w:b/>
          <w:bCs/>
          <w:color w:val="000000" w:themeColor="text1"/>
          <w:sz w:val="32"/>
          <w:szCs w:val="32"/>
          <w:lang w:val="en-US" w:eastAsia="zh-CN"/>
          <w14:textFill>
            <w14:solidFill>
              <w14:schemeClr w14:val="tx1"/>
            </w14:solidFill>
          </w14:textFill>
        </w:rPr>
        <w:t>四是创新发展慈善福利事业。</w:t>
      </w:r>
      <w:r>
        <w:rPr>
          <w:rFonts w:hint="eastAsia" w:ascii="仿宋" w:hAnsi="仿宋" w:eastAsia="仿宋" w:cs="仿宋"/>
          <w:b w:val="0"/>
          <w:bCs w:val="0"/>
          <w:color w:val="000000" w:themeColor="text1"/>
          <w:sz w:val="32"/>
          <w:szCs w:val="32"/>
          <w14:textFill>
            <w14:solidFill>
              <w14:schemeClr w14:val="tx1"/>
            </w14:solidFill>
          </w14:textFill>
        </w:rPr>
        <w:t>积极拓展慈善渠道</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全年募集善款善物折合人民币867万余元。</w:t>
      </w:r>
      <w:r>
        <w:rPr>
          <w:rFonts w:hint="eastAsia" w:ascii="仿宋" w:hAnsi="仿宋" w:eastAsia="仿宋" w:cs="仿宋"/>
          <w:b/>
          <w:bCs/>
          <w:color w:val="000000" w:themeColor="text1"/>
          <w:sz w:val="32"/>
          <w:szCs w:val="32"/>
          <w:lang w:val="en-US" w:eastAsia="zh-CN"/>
          <w14:textFill>
            <w14:solidFill>
              <w14:schemeClr w14:val="tx1"/>
            </w14:solidFill>
          </w14:textFill>
        </w:rPr>
        <w:t>五是社会工作服务水平不断提升。</w:t>
      </w:r>
      <w:r>
        <w:rPr>
          <w:rFonts w:hint="eastAsia" w:ascii="仿宋" w:hAnsi="仿宋" w:eastAsia="仿宋" w:cs="仿宋"/>
          <w:color w:val="000000" w:themeColor="text1"/>
          <w:sz w:val="32"/>
          <w:szCs w:val="32"/>
          <w:lang w:val="en-US" w:eastAsia="zh-CN"/>
          <w14:textFill>
            <w14:solidFill>
              <w14:schemeClr w14:val="tx1"/>
            </w14:solidFill>
          </w14:textFill>
        </w:rPr>
        <w:t>采取“社工站+”服务模式，聚焦婚姻家庭、儿童、老年人等弱势群体开展专业社会服务工作，大福镇、仙溪镇、梅城镇、冷市镇被评入全省乡镇“五星级”社工站。</w:t>
      </w:r>
      <w:r>
        <w:rPr>
          <w:rFonts w:hint="eastAsia" w:ascii="仿宋" w:hAnsi="仿宋" w:eastAsia="仿宋" w:cs="仿宋"/>
          <w:b/>
          <w:bCs/>
          <w:color w:val="000000" w:themeColor="text1"/>
          <w:sz w:val="32"/>
          <w:szCs w:val="32"/>
          <w:lang w:val="en-US" w:eastAsia="zh-CN"/>
          <w14:textFill>
            <w14:solidFill>
              <w14:schemeClr w14:val="tx1"/>
            </w14:solidFill>
          </w14:textFill>
        </w:rPr>
        <w:t>六是福彩事业大力发展。</w:t>
      </w:r>
      <w:r>
        <w:rPr>
          <w:rFonts w:hint="eastAsia" w:ascii="仿宋" w:hAnsi="仿宋" w:eastAsia="仿宋" w:cs="仿宋"/>
          <w:color w:val="000000" w:themeColor="text1"/>
          <w:sz w:val="32"/>
          <w:szCs w:val="32"/>
          <w:lang w:eastAsia="zh-CN"/>
          <w14:textFill>
            <w14:solidFill>
              <w14:schemeClr w14:val="tx1"/>
            </w14:solidFill>
          </w14:textFill>
        </w:rPr>
        <w:t>全年</w:t>
      </w:r>
      <w:r>
        <w:rPr>
          <w:rFonts w:hint="eastAsia" w:ascii="仿宋" w:hAnsi="仿宋" w:eastAsia="仿宋" w:cs="仿宋"/>
          <w:color w:val="000000" w:themeColor="text1"/>
          <w:sz w:val="32"/>
          <w:szCs w:val="32"/>
          <w:lang w:val="en-US" w:eastAsia="zh-CN"/>
          <w14:textFill>
            <w14:solidFill>
              <w14:schemeClr w14:val="tx1"/>
            </w14:solidFill>
          </w14:textFill>
        </w:rPr>
        <w:t>共销售彩票3849.65万元，同比增长32.52%。</w:t>
      </w:r>
    </w:p>
    <w:p>
      <w:pPr>
        <w:pageBreakBefore w:val="0"/>
        <w:widowControl w:val="0"/>
        <w:numPr>
          <w:ilvl w:val="0"/>
          <w:numId w:val="1"/>
        </w:numPr>
        <w:kinsoku/>
        <w:wordWrap/>
        <w:overflowPunct/>
        <w:topLinePunct w:val="0"/>
        <w:autoSpaceDE/>
        <w:autoSpaceDN/>
        <w:bidi w:val="0"/>
        <w:adjustRightInd w:val="0"/>
        <w:snapToGrid w:val="0"/>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部门整体支出规模、使用方向、主要内容和涉及范围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textAlignment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2023年度收入总额6293.39万元，其中财政拨款收入</w:t>
      </w:r>
      <w:r>
        <w:rPr>
          <w:rFonts w:hint="eastAsia" w:ascii="Times New Roman" w:hAnsi="Times New Roman" w:cs="Times New Roman"/>
          <w:kern w:val="0"/>
          <w:sz w:val="32"/>
          <w:szCs w:val="32"/>
          <w:lang w:val="en-US" w:eastAsia="zh-CN" w:bidi="ar-SA"/>
        </w:rPr>
        <w:t>3297.64</w:t>
      </w:r>
      <w:r>
        <w:rPr>
          <w:rFonts w:hint="eastAsia" w:ascii="Times New Roman" w:hAnsi="Times New Roman" w:eastAsia="仿宋_GB2312" w:cs="Times New Roman"/>
          <w:kern w:val="0"/>
          <w:sz w:val="32"/>
          <w:szCs w:val="32"/>
          <w:lang w:val="en-US" w:eastAsia="zh-CN" w:bidi="ar-SA"/>
        </w:rPr>
        <w:t>万元，占总收入的</w:t>
      </w:r>
      <w:r>
        <w:rPr>
          <w:rFonts w:hint="eastAsia" w:ascii="Times New Roman" w:hAnsi="Times New Roman" w:cs="Times New Roman"/>
          <w:kern w:val="0"/>
          <w:sz w:val="32"/>
          <w:szCs w:val="32"/>
          <w:lang w:val="en-US" w:eastAsia="zh-CN" w:bidi="ar-SA"/>
        </w:rPr>
        <w:t>52.4%；其他收入2995.75万元，占总收入的47.6%</w:t>
      </w:r>
      <w:r>
        <w:rPr>
          <w:rFonts w:hint="eastAsia" w:ascii="Times New Roman" w:hAnsi="Times New Roman" w:eastAsia="仿宋_GB2312" w:cs="Times New Roman"/>
          <w:kern w:val="0"/>
          <w:sz w:val="32"/>
          <w:szCs w:val="32"/>
          <w:lang w:val="en-US" w:eastAsia="zh-CN" w:bidi="ar-SA"/>
        </w:rPr>
        <w:t>。本年支出总额</w:t>
      </w:r>
      <w:r>
        <w:rPr>
          <w:rFonts w:hint="eastAsia" w:ascii="Times New Roman" w:hAnsi="Times New Roman" w:cs="Times New Roman"/>
          <w:kern w:val="0"/>
          <w:sz w:val="32"/>
          <w:szCs w:val="32"/>
          <w:lang w:val="en-US" w:eastAsia="zh-CN" w:bidi="ar-SA"/>
        </w:rPr>
        <w:t>6293.39</w:t>
      </w:r>
      <w:r>
        <w:rPr>
          <w:rFonts w:hint="eastAsia" w:ascii="Times New Roman" w:hAnsi="Times New Roman" w:eastAsia="仿宋_GB2312" w:cs="Times New Roman"/>
          <w:kern w:val="0"/>
          <w:sz w:val="32"/>
          <w:szCs w:val="32"/>
          <w:lang w:val="en-US" w:eastAsia="zh-CN" w:bidi="ar-SA"/>
        </w:rPr>
        <w:t>万元，按支出性质区分，基本支出</w:t>
      </w:r>
      <w:r>
        <w:rPr>
          <w:rFonts w:hint="eastAsia" w:ascii="Times New Roman" w:hAnsi="Times New Roman" w:cs="Times New Roman"/>
          <w:kern w:val="0"/>
          <w:sz w:val="32"/>
          <w:szCs w:val="32"/>
          <w:lang w:val="en-US" w:eastAsia="zh-CN" w:bidi="ar-SA"/>
        </w:rPr>
        <w:t>1301.36</w:t>
      </w:r>
      <w:r>
        <w:rPr>
          <w:rFonts w:hint="eastAsia" w:ascii="Times New Roman" w:hAnsi="Times New Roman" w:eastAsia="仿宋_GB2312" w:cs="Times New Roman"/>
          <w:kern w:val="0"/>
          <w:sz w:val="32"/>
          <w:szCs w:val="32"/>
          <w:lang w:val="en-US" w:eastAsia="zh-CN" w:bidi="ar-SA"/>
        </w:rPr>
        <w:t>万元，占比</w:t>
      </w:r>
      <w:r>
        <w:rPr>
          <w:rFonts w:hint="eastAsia" w:ascii="Times New Roman" w:hAnsi="Times New Roman" w:cs="Times New Roman"/>
          <w:kern w:val="0"/>
          <w:sz w:val="32"/>
          <w:szCs w:val="32"/>
          <w:lang w:val="en-US" w:eastAsia="zh-CN" w:bidi="ar-SA"/>
        </w:rPr>
        <w:t>20.68</w:t>
      </w:r>
      <w:r>
        <w:rPr>
          <w:rFonts w:hint="eastAsia" w:ascii="Times New Roman" w:hAnsi="Times New Roman" w:eastAsia="仿宋_GB2312" w:cs="Times New Roman"/>
          <w:kern w:val="0"/>
          <w:sz w:val="32"/>
          <w:szCs w:val="32"/>
          <w:lang w:val="en-US" w:eastAsia="zh-CN" w:bidi="ar-SA"/>
        </w:rPr>
        <w:t>%，项目支出</w:t>
      </w:r>
      <w:r>
        <w:rPr>
          <w:rFonts w:hint="eastAsia" w:ascii="Times New Roman" w:hAnsi="Times New Roman" w:cs="Times New Roman"/>
          <w:kern w:val="0"/>
          <w:sz w:val="32"/>
          <w:szCs w:val="32"/>
          <w:lang w:val="en-US" w:eastAsia="zh-CN" w:bidi="ar-SA"/>
        </w:rPr>
        <w:t>4992.03</w:t>
      </w:r>
      <w:r>
        <w:rPr>
          <w:rFonts w:hint="eastAsia" w:ascii="Times New Roman" w:hAnsi="Times New Roman" w:eastAsia="仿宋_GB2312" w:cs="Times New Roman"/>
          <w:kern w:val="0"/>
          <w:sz w:val="32"/>
          <w:szCs w:val="32"/>
          <w:lang w:val="en-US" w:eastAsia="zh-CN" w:bidi="ar-SA"/>
        </w:rPr>
        <w:t>万元，占比</w:t>
      </w:r>
      <w:r>
        <w:rPr>
          <w:rFonts w:hint="eastAsia" w:ascii="Times New Roman" w:hAnsi="Times New Roman" w:cs="Times New Roman"/>
          <w:kern w:val="0"/>
          <w:sz w:val="32"/>
          <w:szCs w:val="32"/>
          <w:lang w:val="en-US" w:eastAsia="zh-CN" w:bidi="ar-SA"/>
        </w:rPr>
        <w:t>79.32</w:t>
      </w:r>
      <w:r>
        <w:rPr>
          <w:rFonts w:hint="eastAsia" w:ascii="Times New Roman" w:hAnsi="Times New Roman" w:eastAsia="仿宋_GB2312" w:cs="Times New Roman"/>
          <w:kern w:val="0"/>
          <w:sz w:val="32"/>
          <w:szCs w:val="32"/>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39" w:firstLineChars="231"/>
        <w:jc w:val="left"/>
        <w:textAlignment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主要内容和涉及范围：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39" w:firstLineChars="231"/>
        <w:jc w:val="left"/>
        <w:textAlignment w:val="cente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基本支出主要包括人员经费和公用经费。其中人员经费包括基本工资、津贴补贴、奖金、绩效工资、养老保险职业年金、住房公积金、其他社会保障缴费等；日常公用经费包括办公费、差旅费、培训费、公务接待费、劳务费、工会经费、福利费、公务用车运行维护费、其他交通费用、其他商品和服务支出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39" w:firstLineChars="231"/>
        <w:jc w:val="left"/>
        <w:textAlignment w:val="center"/>
      </w:pPr>
      <w:r>
        <w:rPr>
          <w:rFonts w:hint="eastAsia" w:ascii="Times New Roman" w:hAnsi="Times New Roman" w:eastAsia="仿宋_GB2312" w:cs="Times New Roman"/>
          <w:kern w:val="0"/>
          <w:sz w:val="32"/>
          <w:szCs w:val="32"/>
          <w:lang w:val="en-US" w:eastAsia="zh-CN" w:bidi="ar-SA"/>
        </w:rPr>
        <w:t>项目支出主要包括殡仪馆项目建设支出、救争难资金支出、敬老院运转经费、百岁老人长寿健康补贴、乡镇社工站购买服务、集中供养照料护理经费、孤儿助学、福彩公益金支出、慈善总会工作经费、老区资金</w:t>
      </w:r>
      <w:r>
        <w:rPr>
          <w:rFonts w:hint="eastAsia" w:ascii="Times New Roman" w:hAnsi="Times New Roman" w:cs="Times New Roman"/>
          <w:kern w:val="0"/>
          <w:sz w:val="32"/>
          <w:szCs w:val="32"/>
          <w:lang w:val="en-US" w:eastAsia="zh-CN" w:bidi="ar-SA"/>
        </w:rPr>
        <w:t>等</w:t>
      </w:r>
      <w:r>
        <w:rPr>
          <w:rFonts w:hint="eastAsia" w:ascii="Times New Roman" w:hAnsi="Times New Roman" w:eastAsia="仿宋_GB2312" w:cs="Times New Roman"/>
          <w:kern w:val="0"/>
          <w:sz w:val="32"/>
          <w:szCs w:val="32"/>
          <w:lang w:val="en-US" w:eastAsia="zh-CN" w:bidi="ar-SA"/>
        </w:rPr>
        <w:t>。</w:t>
      </w:r>
    </w:p>
    <w:p>
      <w:pPr>
        <w:numPr>
          <w:ilvl w:val="0"/>
          <w:numId w:val="2"/>
        </w:numPr>
        <w:adjustRightInd w:val="0"/>
        <w:snapToGrid w:val="0"/>
        <w:spacing w:line="60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一般公共预算支出情况</w:t>
      </w:r>
    </w:p>
    <w:p>
      <w:pPr>
        <w:spacing w:line="594"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（一）基本支出</w:t>
      </w:r>
    </w:p>
    <w:p>
      <w:p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度基本支出1301.36万元，其中：人员经费898.63万元，占比69.05%，主要包括基本工资、津贴补贴、奖金、机关事业单位基本养老保险缴费、其他工资福利支出、住房公积金、离休费、抚恤费、老干医疗费、遗属生活补助、其他对个人和家庭的补助支出；商品和服务支出402.72万元，占基本支出的20.95%，主要包括办公费、广告宣传费、物业管理费、劳务费、工会经费、公务接待费、其他交通费用等日常工作开支及乡镇社会工作服务站购买服务支出。</w:t>
      </w:r>
    </w:p>
    <w:p>
      <w:pPr>
        <w:pStyle w:val="14"/>
        <w:ind w:firstLine="800" w:firstLineChars="250"/>
      </w:pPr>
      <w:r>
        <w:rPr>
          <w:rFonts w:hint="eastAsia" w:ascii="Times New Roman" w:hAnsi="Times New Roman" w:eastAsia="仿宋_GB2312" w:cs="Times New Roman"/>
          <w:color w:val="000000"/>
          <w:kern w:val="0"/>
          <w:sz w:val="32"/>
          <w:szCs w:val="32"/>
          <w:lang w:val="en-US" w:eastAsia="zh-CN" w:bidi="ar-SA"/>
        </w:rPr>
        <w:t>2023年三公经费预算为22.75万元，其中：公务接待费22.75万元。本年度我局实际支出9.62万元，其中：公务接待费9.62万元。三公经费比预算节约13.13万元。减少的主要原因：1、部分接待开支未在当年结算；2、厉行节约，严格公务接待费的审核把关和规范报销程序。</w:t>
      </w:r>
    </w:p>
    <w:p>
      <w:pPr>
        <w:tabs>
          <w:tab w:val="left" w:pos="3396"/>
        </w:tabs>
        <w:spacing w:line="594"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（二）项目支出</w:t>
      </w:r>
      <w:r>
        <w:rPr>
          <w:rFonts w:hint="eastAsia" w:ascii="Times New Roman" w:hAnsi="Times New Roman" w:eastAsia="仿宋_GB2312" w:cs="Times New Roman"/>
          <w:color w:val="000000"/>
          <w:kern w:val="0"/>
          <w:sz w:val="32"/>
          <w:szCs w:val="32"/>
          <w:lang w:val="en-US" w:eastAsia="zh-CN" w:bidi="ar-SA"/>
        </w:rPr>
        <w:tab/>
      </w:r>
    </w:p>
    <w:p>
      <w:pPr>
        <w:pStyle w:val="6"/>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项目资金支出4992.03万元，其中殡仪馆项目支出2386.51万元，殡葬管理改革经费25.6万，慈善总会工作经费及解困资金150万，协会经费20.5万元，社区运转资金123万元，老区资金54万元，救急难资金451.58万元，特困人员集中供养救助补助资金180.81万元，精减退职13.89万元，敬老院运转补助资金451万元，百岁老人长寿保健补贴及生日、逝世慰问36.63万元，福彩公益金543.71万元，往来结算专户资金433.23万元，年初预算工作经费（项目支出）121.57万元。</w:t>
      </w:r>
    </w:p>
    <w:p>
      <w:pPr>
        <w:pStyle w:val="6"/>
        <w:numPr>
          <w:ilvl w:val="0"/>
          <w:numId w:val="0"/>
        </w:numPr>
        <w:ind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三、政府性基金预算支出情况</w:t>
      </w:r>
    </w:p>
    <w:p>
      <w:pPr>
        <w:pStyle w:val="6"/>
        <w:numPr>
          <w:ilvl w:val="0"/>
          <w:numId w:val="0"/>
        </w:numPr>
        <w:ind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2023年政府性基金预算支出543.71万元，主要用于孤儿助学、养老服务体系建设、乡镇基层治理创新实验、适老化改造、社会工作站建设、未成年保护工作建设。</w:t>
      </w:r>
    </w:p>
    <w:p>
      <w:pPr>
        <w:pStyle w:val="6"/>
        <w:numPr>
          <w:ilvl w:val="0"/>
          <w:numId w:val="0"/>
        </w:numPr>
        <w:ind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四、国有资本经营预算支出情况</w:t>
      </w:r>
    </w:p>
    <w:p>
      <w:pPr>
        <w:pStyle w:val="6"/>
        <w:numPr>
          <w:ilvl w:val="0"/>
          <w:numId w:val="0"/>
        </w:numPr>
        <w:ind w:leftChars="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pPr>
        <w:pStyle w:val="6"/>
        <w:numPr>
          <w:ilvl w:val="0"/>
          <w:numId w:val="0"/>
        </w:numPr>
        <w:ind w:leftChars="200" w:firstLine="320" w:firstLineChars="1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五、社会保险基金预算支出情况</w:t>
      </w:r>
    </w:p>
    <w:p>
      <w:pPr>
        <w:pStyle w:val="6"/>
        <w:numPr>
          <w:ilvl w:val="0"/>
          <w:numId w:val="0"/>
        </w:numPr>
        <w:ind w:leftChars="200" w:firstLine="320" w:firstLineChars="1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六、部门整体支出绩效情况</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来，我县民政工作坚持以习近平新时代中国特色社会主义思想为指导，深入贯彻落实党的二十大精神，以保障和改善民生为着力点，不断创新工作机制、强化惠民措施、完善公共服务，努力推进民政事业高质量发展取得了新成绩、呈现了新气象。</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我局按照统筹兼顾、厉行节约、讲求绩效、收支平衡的原则编制了部门预算，全年支出基本做到了按预算执行，既保障了干部职工工资及对个人和家庭补助支出、日常公用经费等刚性支出，又保证项目资金专款专用，安全、规范、高效运行。2023年我局收入总计6293.39万元，支出总计6293.39万元，具体绩效目标完成情况如下：</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（一）基本支出</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基本支出2023年度收入1301.36万元，本年支出1301.36万元，收支平衡，</w:t>
      </w:r>
      <w:r>
        <w:rPr>
          <w:rFonts w:hint="eastAsia" w:ascii="仿宋_GB2312" w:hAnsi="仿宋_GB2312" w:eastAsia="仿宋_GB2312" w:cs="仿宋_GB2312"/>
          <w:b w:val="0"/>
          <w:bCs w:val="0"/>
          <w:kern w:val="2"/>
          <w:sz w:val="30"/>
          <w:szCs w:val="30"/>
          <w:lang w:val="en-US" w:eastAsia="zh-CN" w:bidi="ar-SA"/>
        </w:rPr>
        <w:t>预算</w:t>
      </w:r>
      <w:r>
        <w:rPr>
          <w:rFonts w:hint="eastAsia" w:ascii="Times New Roman" w:hAnsi="Times New Roman" w:eastAsia="仿宋_GB2312" w:cs="Times New Roman"/>
          <w:color w:val="000000"/>
          <w:kern w:val="0"/>
          <w:sz w:val="32"/>
          <w:szCs w:val="32"/>
          <w:lang w:val="en-US" w:eastAsia="zh-CN" w:bidi="ar-SA"/>
        </w:rPr>
        <w:t>执行率100%。基本支出主要用于基本工资、津贴补贴、奖金、机关事业单位基本养老保险缴费、其他工资福利支出、住房公积金</w:t>
      </w:r>
      <w:r>
        <w:rPr>
          <w:rFonts w:hint="eastAsia" w:ascii="Times New Roman" w:hAnsi="Times New Roman" w:cs="Times New Roman"/>
          <w:color w:val="000000"/>
          <w:kern w:val="0"/>
          <w:sz w:val="32"/>
          <w:szCs w:val="32"/>
          <w:lang w:val="en-US" w:eastAsia="zh-CN" w:bidi="ar-SA"/>
        </w:rPr>
        <w:t>等人员类刚性支出和</w:t>
      </w:r>
      <w:r>
        <w:rPr>
          <w:rFonts w:hint="eastAsia" w:ascii="Times New Roman" w:hAnsi="Times New Roman" w:eastAsia="仿宋_GB2312" w:cs="Times New Roman"/>
          <w:color w:val="000000"/>
          <w:kern w:val="0"/>
          <w:sz w:val="32"/>
          <w:szCs w:val="32"/>
          <w:lang w:val="en-US" w:eastAsia="zh-CN" w:bidi="ar-SA"/>
        </w:rPr>
        <w:t>办公费、广告宣传费、物业管理费、劳务费、工会经费、公务接待费、其他交通费用等用于日常工作、保障机关正常运转的公用经费支出。所有支出严格按照预算执行，严格按照政策标准执行，人员类支出全部按时发放到位，切实保障干职工利益，公用经费特别是“三公”经费厉行节约，从严控制。</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（二）项目支出</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支出2023年度收入共计4992.03万元，支出共计4992.03万元。主要用于殡葬、临时救助、养老服务、福彩公益金等专项支出。50万元以下项目支出共计71.02元，主要是协会经费、精减退职、百岁老人长寿保健补贴及生日、逝世慰问金。50万元以上项目支出共计4921.01万元，具体情况如下：</w:t>
      </w:r>
    </w:p>
    <w:p>
      <w:pPr>
        <w:pStyle w:val="6"/>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1、殡葬类：，</w:t>
      </w:r>
    </w:p>
    <w:p>
      <w:pPr>
        <w:pageBreakBefore w:val="0"/>
        <w:numPr>
          <w:ilvl w:val="0"/>
          <w:numId w:val="0"/>
        </w:numPr>
        <w:kinsoku/>
        <w:wordWrap/>
        <w:overflowPunct/>
        <w:topLinePunct w:val="0"/>
        <w:autoSpaceDE/>
        <w:autoSpaceDN/>
        <w:bidi w:val="0"/>
        <w:adjustRightInd/>
        <w:snapToGrid/>
        <w:spacing w:line="594"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收入共计2412.11万元，支出共计2412.11万元。其中包括：殡仪馆项目支出2386.51万元、殡葬管理改革经费25.6万元。</w:t>
      </w:r>
    </w:p>
    <w:p>
      <w:pPr>
        <w:pageBreakBefore w:val="0"/>
        <w:numPr>
          <w:ilvl w:val="0"/>
          <w:numId w:val="0"/>
        </w:numPr>
        <w:kinsoku/>
        <w:wordWrap/>
        <w:overflowPunct/>
        <w:topLinePunct w:val="0"/>
        <w:autoSpaceDE/>
        <w:autoSpaceDN/>
        <w:bidi w:val="0"/>
        <w:adjustRightInd/>
        <w:snapToGrid/>
        <w:spacing w:line="594"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新建殡仪馆项目建设总投资1.39亿元，2023年1新建殡仪馆主体建设已完成100%，已投入试运营中。在试运营过程中，馆内接待火化、治丧业务数量，服务对象满意度高。殡仪馆还对具有我县户籍且在殡仪馆实行火化的死亡人员实行基本殡葬服务费用的减免，在一定程度上减轻了群众的负担；同时也给当地群众提供了就业机会，推动了当地的经济发展，打破了安化县没有火化设施的局面，进一步满足了群众的丧葬需求，</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p>
    <w:p>
      <w:pPr>
        <w:pageBreakBefore w:val="0"/>
        <w:numPr>
          <w:ilvl w:val="0"/>
          <w:numId w:val="0"/>
        </w:numPr>
        <w:kinsoku/>
        <w:wordWrap/>
        <w:overflowPunct/>
        <w:topLinePunct w:val="0"/>
        <w:autoSpaceDE/>
        <w:autoSpaceDN/>
        <w:bidi w:val="0"/>
        <w:adjustRightInd/>
        <w:snapToGrid/>
        <w:spacing w:line="594"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2、慈善总会工作经费及解困资金</w:t>
      </w:r>
    </w:p>
    <w:p>
      <w:pPr>
        <w:pageBreakBefore w:val="0"/>
        <w:numPr>
          <w:ilvl w:val="0"/>
          <w:numId w:val="0"/>
        </w:numPr>
        <w:kinsoku/>
        <w:wordWrap/>
        <w:overflowPunct/>
        <w:topLinePunct w:val="0"/>
        <w:autoSpaceDE/>
        <w:autoSpaceDN/>
        <w:bidi w:val="0"/>
        <w:adjustRightInd/>
        <w:snapToGrid/>
        <w:spacing w:line="594"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收入共计150万元，支出共计150万元。2023年，县慈善总会在经济形势严峻的情况下，不断加大慈善款物劝募力度，继续探索“互联网+慈善”新模式，坚持“走出去，引进来”的工作思路，依托慈善平台，大力拓宽慈善渠道，积极对接慈善资源，全年累计募集善款善物价值人民币1027.86万元，完成了年度款物劝募目标。同时，开展了多项慈善公益项目，为我县乡村振兴、民生救助等工作提供了有力补充，</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3、社区运转资金</w:t>
      </w:r>
    </w:p>
    <w:p>
      <w:pPr>
        <w:pStyle w:val="6"/>
        <w:numPr>
          <w:ilvl w:val="0"/>
          <w:numId w:val="0"/>
        </w:numPr>
        <w:ind w:firstLine="6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收入共计123万元，支出共计123万元。为了确保社区顺畅动作，提升居民的生活品质，并促进社区的可持续发展，保障安化县2017年之前“村改社区”的41个社区运转经费，我局对每个社区拨款3万元，用于村级事务的管理、基础设施建设、社区服务、文化和体育活动等方面，为社区的繁荣稳定做出了贡献，</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4、老区资金</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收入共计54万元，支出共计54万元。2023年老区发展方向项目支持共计9个项目，其中龙塘镇安化双洋蔬菜专业合作社黄精种植100亩，农户每年每亩可分红600元，安置贫困中老年劳动力120人，每个劳动力每年可获得数千元，村集体经济每年可增加2-3万元。烟溪镇大阳村公路建设，将全长2.4公里公路拉通，毛路宽为5.5米，并修建好排水沟，埋设出水涵管。大福镇木孔村修通3.6米长村级公路，可解决3456人出行，比平时出行减少近1个小时。滔溪镇滔东社区垃圾治理，购买垃圾回收捅118个，修建垃圾回收点24处，合理改善群众生活生产，群众满意度100%。乐安镇水溪村公路建设，完成2公里公路建设，可解决1135人群众出行；烟溪镇大阳村饮水建设，完成10公里长的饮水管网建设，可保障本村486户1658人生活用水问题；烟溪镇双龙村饮水建设，完成4处取水点及管网建设，可保障本村563户1986人生活用水问题；龙塘镇桃仙村安化县桃仙生态农业专业合作社中药材种植，完成中药材种植50亩，农户每年每亩可分红700元，安置贫困中老年劳动力120人，每个劳动力每年可获得数千元，村集体经济每年可增加2-3万元；安化县小淹镇百花村安化县昌茂隆生态农业科技有限公司种植业基地建设，完成种植业基地300亩建设，年总产值50万元，每亩平均纯利润2000元，安置贫困务工人员50余人左右，人均年收入可达数千元。以上项目给予的支持，群众满意度100%，</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p>
    <w:p>
      <w:pPr>
        <w:pStyle w:val="6"/>
        <w:numPr>
          <w:ilvl w:val="0"/>
          <w:numId w:val="0"/>
        </w:numPr>
        <w:ind w:firstLine="6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5、救急难资金：</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收入共计451.58万元，支出共计451.58万元。救急难资金通过对全县遭遇意外事件、因家庭成员突发重大疾病等突发性特殊困难人群，通过物资、资金等方式及时、高效给予了精准救助，解决了急难人员的燃眉之急，保障了其基本生活，帮助渡过了难关，2023年共为全县3010人受灾和遭受重大疾病人员给予了救助，在一定程度上减轻了困难对象和家庭的负担，改善了他们的生活质量，增强了人民群众的满意度、幸福感和安全感，</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6、特困人员集中供养救助补助资金</w:t>
      </w:r>
    </w:p>
    <w:p>
      <w:pPr>
        <w:pStyle w:val="6"/>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 w:hAnsi="仿宋" w:eastAsia="仿宋" w:cs="仿宋"/>
          <w:kern w:val="0"/>
          <w:sz w:val="30"/>
          <w:szCs w:val="30"/>
          <w:lang w:val="en-US" w:eastAsia="zh-CN"/>
        </w:rPr>
        <w:t>收入共计180.81万元，支出180.81万元。</w:t>
      </w:r>
      <w:r>
        <w:rPr>
          <w:rFonts w:hint="eastAsia" w:ascii="仿宋_GB2312" w:hAnsi="仿宋_GB2312" w:eastAsia="仿宋_GB2312" w:cs="仿宋_GB2312"/>
          <w:b w:val="0"/>
          <w:bCs w:val="0"/>
          <w:kern w:val="2"/>
          <w:sz w:val="30"/>
          <w:szCs w:val="30"/>
          <w:lang w:val="en-US" w:eastAsia="zh-CN" w:bidi="ar-SA"/>
        </w:rPr>
        <w:t>对特困人员的供养方式坚持自主选择、托底供养，鼓励和支持部分或丧失生活自理能力的选择集中供养，做到应救尽救、应养尽养。特困人员集中供养救助补助资金支出，有力地保障了集中供养特困人员的基本生活和照料护理、基本医疗等服务，改善了生活质量，提升了幸福感，预算</w:t>
      </w:r>
      <w:r>
        <w:rPr>
          <w:rFonts w:hint="eastAsia" w:ascii="仿宋" w:hAnsi="仿宋" w:eastAsia="仿宋" w:cs="仿宋"/>
          <w:kern w:val="0"/>
          <w:sz w:val="30"/>
          <w:szCs w:val="30"/>
          <w:lang w:val="en-US" w:eastAsia="zh-CN"/>
        </w:rPr>
        <w:t>执行率100%</w:t>
      </w:r>
      <w:r>
        <w:rPr>
          <w:rFonts w:hint="eastAsia" w:ascii="仿宋_GB2312" w:hAnsi="仿宋_GB2312" w:eastAsia="仿宋_GB2312" w:cs="仿宋_GB2312"/>
          <w:sz w:val="30"/>
          <w:szCs w:val="30"/>
          <w:lang w:val="en-US" w:eastAsia="zh-CN"/>
        </w:rPr>
        <w:t>。</w:t>
      </w:r>
    </w:p>
    <w:p>
      <w:pPr>
        <w:pStyle w:val="6"/>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7、敬老院运转补助资金</w:t>
      </w:r>
    </w:p>
    <w:p>
      <w:pPr>
        <w:pStyle w:val="6"/>
        <w:numPr>
          <w:ilvl w:val="0"/>
          <w:numId w:val="0"/>
        </w:numPr>
        <w:ind w:firstLine="600" w:firstLineChars="200"/>
        <w:rPr>
          <w:rFonts w:hint="eastAsia" w:ascii="仿宋_GB2312" w:hAnsi="仿宋_GB2312" w:eastAsia="仿宋_GB2312" w:cs="仿宋_GB2312"/>
          <w:b w:val="0"/>
          <w:bCs w:val="0"/>
          <w:kern w:val="2"/>
          <w:sz w:val="30"/>
          <w:szCs w:val="30"/>
          <w:lang w:val="en-US" w:eastAsia="zh-CN" w:bidi="ar-SA"/>
        </w:rPr>
      </w:pPr>
      <w:r>
        <w:rPr>
          <w:rFonts w:hint="eastAsia" w:ascii="仿宋" w:hAnsi="仿宋" w:eastAsia="仿宋" w:cs="仿宋"/>
          <w:kern w:val="0"/>
          <w:sz w:val="30"/>
          <w:szCs w:val="30"/>
          <w:lang w:val="en-US" w:eastAsia="zh-CN"/>
        </w:rPr>
        <w:t>收入共计451万元，支出451元。</w:t>
      </w:r>
      <w:r>
        <w:rPr>
          <w:rFonts w:hint="eastAsia" w:ascii="仿宋_GB2312" w:hAnsi="仿宋_GB2312" w:eastAsia="仿宋_GB2312" w:cs="仿宋_GB2312"/>
          <w:b w:val="0"/>
          <w:bCs w:val="0"/>
          <w:kern w:val="2"/>
          <w:sz w:val="30"/>
          <w:szCs w:val="30"/>
          <w:lang w:val="en-US" w:eastAsia="zh-CN" w:bidi="ar-SA"/>
        </w:rPr>
        <w:t>为保障全县22家敬老院安全、高效、有序运转，包括敬老院的工作人员工资、添置设施设备、水电煤气费用等， 2023年对全县22家敬老院按每家敬老院不低于10万元的标准发放运转经费，保障了敬老院的正常运转，给老年人的创造了良好的生活环境，提高了老年人的幸福感，预算</w:t>
      </w:r>
      <w:r>
        <w:rPr>
          <w:rFonts w:hint="eastAsia" w:ascii="仿宋" w:hAnsi="仿宋" w:eastAsia="仿宋" w:cs="仿宋"/>
          <w:kern w:val="0"/>
          <w:sz w:val="30"/>
          <w:szCs w:val="30"/>
          <w:lang w:val="en-US" w:eastAsia="zh-CN"/>
        </w:rPr>
        <w:t>执行率100%</w:t>
      </w:r>
      <w:r>
        <w:rPr>
          <w:rFonts w:hint="eastAsia" w:ascii="仿宋_GB2312" w:hAnsi="仿宋_GB2312" w:eastAsia="仿宋_GB2312" w:cs="仿宋_GB2312"/>
          <w:b w:val="0"/>
          <w:bCs w:val="0"/>
          <w:kern w:val="2"/>
          <w:sz w:val="30"/>
          <w:szCs w:val="30"/>
          <w:lang w:val="en-US" w:eastAsia="zh-CN" w:bidi="ar-SA"/>
        </w:rPr>
        <w:t>。</w:t>
      </w:r>
    </w:p>
    <w:p>
      <w:pPr>
        <w:pStyle w:val="6"/>
        <w:numPr>
          <w:ilvl w:val="0"/>
          <w:numId w:val="0"/>
        </w:numPr>
        <w:ind w:firstLine="600" w:firstLineChars="200"/>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8、年初预算-工作经费（项目支出）</w:t>
      </w:r>
    </w:p>
    <w:p>
      <w:pPr>
        <w:pStyle w:val="6"/>
        <w:numPr>
          <w:ilvl w:val="0"/>
          <w:numId w:val="0"/>
        </w:numPr>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xml:space="preserve">    收入共计121.57万元，支出121.57万元。</w:t>
      </w:r>
      <w:r>
        <w:rPr>
          <w:rFonts w:hint="eastAsia" w:ascii="仿宋" w:hAnsi="仿宋" w:eastAsia="仿宋" w:cs="仿宋"/>
          <w:color w:val="000000" w:themeColor="text1"/>
          <w:kern w:val="2"/>
          <w:sz w:val="32"/>
          <w:szCs w:val="32"/>
          <w:lang w:val="en-US" w:eastAsia="zh-CN" w:bidi="ar-SA"/>
          <w14:textFill>
            <w14:solidFill>
              <w14:schemeClr w14:val="tx1"/>
            </w14:solidFill>
          </w14:textFill>
        </w:rPr>
        <w:t>该支出主要为</w:t>
      </w:r>
      <w:r>
        <w:rPr>
          <w:rFonts w:hint="eastAsia" w:ascii="仿宋_GB2312" w:hAnsi="仿宋_GB2312" w:eastAsia="仿宋_GB2312" w:cs="仿宋_GB2312"/>
          <w:color w:val="000000"/>
          <w:sz w:val="32"/>
          <w:szCs w:val="32"/>
          <w:highlight w:val="none"/>
          <w:lang w:val="en-US" w:eastAsia="zh-CN" w:bidi="ar-SA"/>
        </w:rPr>
        <w:t>确保民政各项工作的正常运转所支付的工作经费，</w:t>
      </w:r>
      <w:r>
        <w:rPr>
          <w:rFonts w:hint="eastAsia" w:ascii="仿宋" w:hAnsi="仿宋" w:eastAsia="仿宋" w:cs="仿宋"/>
          <w:color w:val="000000" w:themeColor="text1"/>
          <w:kern w:val="2"/>
          <w:sz w:val="32"/>
          <w:szCs w:val="32"/>
          <w:lang w:val="en-US" w:eastAsia="zh-CN" w:bidi="ar-SA"/>
          <w14:textFill>
            <w14:solidFill>
              <w14:schemeClr w14:val="tx1"/>
            </w14:solidFill>
          </w14:textFill>
        </w:rPr>
        <w:t>保障改善了基本民生，办好了重点民生实事；稳妥推进了殡葬改革，新殡仪馆于2023年12月正式开馆运营，进一步满足了群众的丧葬需求，减轻了群众负担；加快推进了养老服务，完成了全县敬老院消防提质改造工作任务，强化了养老服务保障；夯实了基层社会治理，加强了基层政权建设；强化了未成年人关爱保护；较好的完成了社会事务各项工作</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p>
    <w:p>
      <w:pPr>
        <w:pStyle w:val="6"/>
        <w:numPr>
          <w:ilvl w:val="0"/>
          <w:numId w:val="0"/>
        </w:numPr>
        <w:ind w:firstLine="600" w:firstLineChars="200"/>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9、福彩公益金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收入共计543.71万元，支出543.71万元。主要用于特殊困难老年人家庭适老化改造，养老服务体系建设，孤儿助学、乡镇未成年保护工作站建设、基层治理创新实验等，资金全部按要求使用。 </w:t>
      </w:r>
    </w:p>
    <w:p>
      <w:pPr>
        <w:adjustRightInd w:val="0"/>
        <w:snapToGrid w:val="0"/>
        <w:spacing w:line="600" w:lineRule="exact"/>
        <w:ind w:firstLine="640" w:firstLineChars="200"/>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为15个村（社区）养老服务建设添置设施，包括休息室、餐厅、活动室、图书室等，积极开展好有利于老年人身心健康的活动；帮助196户特殊困难老年人家庭改善居住条件和生活质量，提升居家养老品质；为年满18周岁考入普通全日制本科，专科等学校的孤儿按每人每年1万元标准提供了助学金，资助孤儿完成学业；助推柘溪镇基层治理创新实验项目，柘溪镇设立公益设施数量10个，受益群众1.8万元；开展了全县乡镇未成年人保护工作站建设，搭建完善了基层未成年人保护工作体系，切实打退未成年人保护工作“最后一公里”</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10、往来结算专户项目资金</w:t>
      </w:r>
    </w:p>
    <w:p>
      <w:pPr>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收入共计433.23万元，支出433.23万元。主要用于乡镇社工站购买服务项目、救灾物资储备库结算工程款、爱心捐款、儿童主任岗位津贴、流浪乞讨救助等。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kern w:val="2"/>
          <w:sz w:val="30"/>
          <w:szCs w:val="30"/>
          <w:lang w:val="en-US" w:eastAsia="zh-CN" w:bidi="ar-SA"/>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乡镇社工站项目取得资源链接（物资）折合人民币约20万元，用于留守儿童、困难群众走访慰问，以民政四大领域开展专业服务工作，覆盖全县所有居民，社工站积极探索“五社联动”的长效机制，形成了“专业社工+模式，推行促进多元主体参与。并在孤寡老人、留守儿童、残疾人等领域开展个案服务49个，举办小组活动414余场次，社区活动95余场次，政策宣传活动110余场次，组织志愿者开展弱势群体入户探访4800余次，在留守儿童中开展志</w:t>
      </w:r>
      <w:r>
        <w:rPr>
          <w:rFonts w:hint="eastAsia" w:ascii="仿宋" w:hAnsi="仿宋" w:eastAsia="仿宋" w:cs="仿宋"/>
          <w:kern w:val="2"/>
          <w:sz w:val="32"/>
          <w:szCs w:val="32"/>
          <w:lang w:val="en-US" w:eastAsia="zh-CN" w:bidi="ar-SA"/>
        </w:rPr>
        <w:t>愿陪伴、防溺水、防性侵宣传活动400余场次；协助乡镇民政所探访高龄老人3000余人、残疾人26700余人，收集整理社会保障兜底脱贫对象资料2万余册</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局爱心捐款支出严格按照县委县政府部署要求，重点用于解决冬令期间困难群众的吃、穿、住等问题，对困难众进行走访慰问，主要包括特困人员、困难老年人、农村留守儿童和困境儿童、困难残疾人、困难失独家庭、流浪乞讨人员等群众和特困企业、破产企业、已实施关闭和破产尚未移交到位的独立工矿区困难职工，以及农村土地征收征用、城镇征地拆迁、国有企业体制改革、涉军涉法涉诉等信访突出问题群体中的困难群众，切实保障春节期间群众的基本生活</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救灾物资储备库于2020年4月动工建设，2021年9月完成竣工验收，2023年根据审计结论支付工程尾款，并按相关程序和要求移交给县应急管理局使用和管理</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为全县433名儿童主任，发放儿童主任岗位津贴，定期开展儿童关爱服务能力提升培训，进一步提升我县基层儿童工作队伍关爱保护未成年人的能力</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b w:val="0"/>
          <w:bCs w:val="0"/>
          <w:kern w:val="2"/>
          <w:sz w:val="32"/>
          <w:szCs w:val="32"/>
          <w:lang w:val="en-US" w:eastAsia="zh-CN" w:bidi="ar-SA"/>
        </w:rPr>
        <w:t>。</w:t>
      </w:r>
    </w:p>
    <w:p>
      <w:pPr>
        <w:pStyle w:val="6"/>
        <w:numPr>
          <w:ilvl w:val="0"/>
          <w:numId w:val="0"/>
        </w:numPr>
        <w:ind w:firstLine="640" w:firstLineChars="200"/>
        <w:rPr>
          <w:rFonts w:hint="eastAsia" w:ascii="仿宋" w:hAnsi="仿宋" w:eastAsia="仿宋" w:cs="仿宋"/>
          <w:kern w:val="0"/>
          <w:sz w:val="30"/>
          <w:szCs w:val="30"/>
          <w:lang w:val="en-US" w:eastAsia="zh-CN"/>
        </w:rPr>
      </w:pPr>
      <w:r>
        <w:rPr>
          <w:rFonts w:hint="eastAsia" w:ascii="仿宋" w:hAnsi="仿宋" w:eastAsia="仿宋" w:cs="仿宋"/>
          <w:sz w:val="32"/>
          <w:szCs w:val="32"/>
          <w:lang w:val="en-US" w:eastAsia="zh-CN"/>
        </w:rPr>
        <w:t>流浪乞讨救助站通过</w:t>
      </w:r>
      <w:r>
        <w:rPr>
          <w:rFonts w:hint="eastAsia" w:ascii="仿宋" w:hAnsi="仿宋" w:eastAsia="仿宋" w:cs="仿宋"/>
          <w:sz w:val="32"/>
          <w:szCs w:val="32"/>
        </w:rPr>
        <w:t>坚持日常巡查，畅通24小时救助热线，</w:t>
      </w:r>
      <w:r>
        <w:rPr>
          <w:rFonts w:hint="eastAsia" w:ascii="仿宋" w:hAnsi="仿宋" w:eastAsia="仿宋" w:cs="仿宋"/>
          <w:kern w:val="2"/>
          <w:sz w:val="32"/>
          <w:szCs w:val="32"/>
          <w:lang w:val="en-US" w:eastAsia="zh-CN" w:bidi="ar-SA"/>
        </w:rPr>
        <w:t>及时有效地保障了我县境内的流浪、乞讨人员生活和生命安全。通过头条寻亲、微信寻亲、信息比对、人脸识别等科技手段，联合其他市、县救助站加大对受助人员的核查及寻亲力度，对行动不便的残疾人和其他特殊困难受助人员，护送返乡，帮助其与亲人团聚。今年7月份帮助未成年人肖晶耀找到远在南京的亲生父亲，并</w:t>
      </w:r>
      <w:r>
        <w:rPr>
          <w:rFonts w:hint="eastAsia" w:ascii="仿宋" w:hAnsi="仿宋" w:eastAsia="仿宋" w:cs="仿宋"/>
          <w:sz w:val="32"/>
          <w:szCs w:val="32"/>
          <w:lang w:val="en-US" w:eastAsia="zh-CN"/>
        </w:rPr>
        <w:t>协助南京方面帮助其落户。12月份帮助救助对象安救易寻亲成协，历时五年</w:t>
      </w:r>
      <w:r>
        <w:rPr>
          <w:rFonts w:hint="eastAsia" w:ascii="仿宋_GB2312" w:hAnsi="仿宋_GB2312" w:eastAsia="仿宋_GB2312" w:cs="仿宋_GB2312"/>
          <w:b w:val="0"/>
          <w:bCs w:val="0"/>
          <w:kern w:val="2"/>
          <w:sz w:val="30"/>
          <w:szCs w:val="30"/>
          <w:lang w:val="en-US" w:eastAsia="zh-CN" w:bidi="ar-SA"/>
        </w:rPr>
        <w:t>，预算</w:t>
      </w:r>
      <w:r>
        <w:rPr>
          <w:rFonts w:hint="eastAsia" w:ascii="仿宋" w:hAnsi="仿宋" w:eastAsia="仿宋" w:cs="仿宋"/>
          <w:kern w:val="0"/>
          <w:sz w:val="30"/>
          <w:szCs w:val="30"/>
          <w:lang w:val="en-US" w:eastAsia="zh-CN"/>
        </w:rPr>
        <w:t>执行率100%</w:t>
      </w:r>
      <w:r>
        <w:rPr>
          <w:rFonts w:hint="eastAsia" w:ascii="仿宋" w:hAnsi="仿宋" w:eastAsia="仿宋" w:cs="仿宋"/>
          <w:sz w:val="32"/>
          <w:szCs w:val="32"/>
          <w:lang w:val="en-US" w:eastAsia="zh-CN"/>
        </w:rPr>
        <w:t>。</w:t>
      </w:r>
    </w:p>
    <w:p>
      <w:pPr>
        <w:pStyle w:val="6"/>
        <w:numPr>
          <w:ilvl w:val="0"/>
          <w:numId w:val="0"/>
        </w:num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综上所述，部门整体支出绩效：优。</w:t>
      </w:r>
    </w:p>
    <w:p>
      <w:pPr>
        <w:pStyle w:val="6"/>
        <w:numPr>
          <w:ilvl w:val="0"/>
          <w:numId w:val="0"/>
        </w:numPr>
        <w:rPr>
          <w:rFonts w:hint="default" w:ascii="Times New Roman" w:hAnsi="Times New Roman" w:eastAsia="仿宋_GB2312" w:cs="Times New Roman"/>
          <w:color w:val="000000"/>
          <w:kern w:val="0"/>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9C3A0"/>
    <w:multiLevelType w:val="singleLevel"/>
    <w:tmpl w:val="A689C3A0"/>
    <w:lvl w:ilvl="0" w:tentative="0">
      <w:start w:val="2"/>
      <w:numFmt w:val="chineseCounting"/>
      <w:suff w:val="nothing"/>
      <w:lvlText w:val="（%1）"/>
      <w:lvlJc w:val="left"/>
      <w:rPr>
        <w:rFonts w:hint="eastAsia"/>
      </w:rPr>
    </w:lvl>
  </w:abstractNum>
  <w:abstractNum w:abstractNumId="1">
    <w:nsid w:val="65D1F67A"/>
    <w:multiLevelType w:val="singleLevel"/>
    <w:tmpl w:val="65D1F67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DQ0MzIzNDI1MmY0ZGIwYjBhMmU0ODc5OTQ4NDkifQ=="/>
  </w:docVars>
  <w:rsids>
    <w:rsidRoot w:val="35926600"/>
    <w:rsid w:val="0048276D"/>
    <w:rsid w:val="009017E1"/>
    <w:rsid w:val="03A70246"/>
    <w:rsid w:val="03CD111B"/>
    <w:rsid w:val="044E4C04"/>
    <w:rsid w:val="04A26A5F"/>
    <w:rsid w:val="07800F5A"/>
    <w:rsid w:val="07810043"/>
    <w:rsid w:val="08B61984"/>
    <w:rsid w:val="08EE6FCA"/>
    <w:rsid w:val="0A272886"/>
    <w:rsid w:val="0BFE0E83"/>
    <w:rsid w:val="0E041642"/>
    <w:rsid w:val="0EE476C5"/>
    <w:rsid w:val="1015346B"/>
    <w:rsid w:val="111E160C"/>
    <w:rsid w:val="11531ADA"/>
    <w:rsid w:val="121C0157"/>
    <w:rsid w:val="1282527F"/>
    <w:rsid w:val="13306CD2"/>
    <w:rsid w:val="1447124A"/>
    <w:rsid w:val="15BC68F9"/>
    <w:rsid w:val="18B136D1"/>
    <w:rsid w:val="19A5340C"/>
    <w:rsid w:val="19B87C7C"/>
    <w:rsid w:val="1BB716B0"/>
    <w:rsid w:val="1C562B88"/>
    <w:rsid w:val="1F5A46D7"/>
    <w:rsid w:val="1F795788"/>
    <w:rsid w:val="1F9E0B3F"/>
    <w:rsid w:val="205C6A15"/>
    <w:rsid w:val="20B769A0"/>
    <w:rsid w:val="21234F77"/>
    <w:rsid w:val="24EF13C3"/>
    <w:rsid w:val="252F425C"/>
    <w:rsid w:val="25691F95"/>
    <w:rsid w:val="259236DA"/>
    <w:rsid w:val="2651064D"/>
    <w:rsid w:val="27563B57"/>
    <w:rsid w:val="28B07116"/>
    <w:rsid w:val="28B93B30"/>
    <w:rsid w:val="28DA4DFC"/>
    <w:rsid w:val="28E56359"/>
    <w:rsid w:val="296008BB"/>
    <w:rsid w:val="29C106D2"/>
    <w:rsid w:val="2A0E1D5E"/>
    <w:rsid w:val="2B627207"/>
    <w:rsid w:val="2D6C7F18"/>
    <w:rsid w:val="3063360C"/>
    <w:rsid w:val="311037F2"/>
    <w:rsid w:val="338823C7"/>
    <w:rsid w:val="35926600"/>
    <w:rsid w:val="3804481E"/>
    <w:rsid w:val="385F4DFC"/>
    <w:rsid w:val="38D61C11"/>
    <w:rsid w:val="38F512A1"/>
    <w:rsid w:val="3A505E74"/>
    <w:rsid w:val="3C5F2ED5"/>
    <w:rsid w:val="3D524EF2"/>
    <w:rsid w:val="3DFF6B99"/>
    <w:rsid w:val="3E373866"/>
    <w:rsid w:val="3F77433F"/>
    <w:rsid w:val="42437E93"/>
    <w:rsid w:val="4252097E"/>
    <w:rsid w:val="427B0F36"/>
    <w:rsid w:val="436E2D8A"/>
    <w:rsid w:val="45975948"/>
    <w:rsid w:val="45FB1073"/>
    <w:rsid w:val="46A7331C"/>
    <w:rsid w:val="48681561"/>
    <w:rsid w:val="487646FE"/>
    <w:rsid w:val="493E582C"/>
    <w:rsid w:val="4BFF0162"/>
    <w:rsid w:val="4C256EB9"/>
    <w:rsid w:val="4C8F6EBF"/>
    <w:rsid w:val="4CBF6D0D"/>
    <w:rsid w:val="4FAB109C"/>
    <w:rsid w:val="507F65AB"/>
    <w:rsid w:val="50834826"/>
    <w:rsid w:val="512B7607"/>
    <w:rsid w:val="52DD0600"/>
    <w:rsid w:val="55B14E0A"/>
    <w:rsid w:val="569F42F3"/>
    <w:rsid w:val="5A2B39F0"/>
    <w:rsid w:val="5AAD6B00"/>
    <w:rsid w:val="5C33411B"/>
    <w:rsid w:val="5C3717B6"/>
    <w:rsid w:val="5C795EEC"/>
    <w:rsid w:val="5CD32B9C"/>
    <w:rsid w:val="5E781EA8"/>
    <w:rsid w:val="5F5C26C1"/>
    <w:rsid w:val="5F732764"/>
    <w:rsid w:val="5F9170D8"/>
    <w:rsid w:val="5FCD59C8"/>
    <w:rsid w:val="615D01A9"/>
    <w:rsid w:val="624804C1"/>
    <w:rsid w:val="62C8072C"/>
    <w:rsid w:val="63B61719"/>
    <w:rsid w:val="63EC2842"/>
    <w:rsid w:val="65C83D7F"/>
    <w:rsid w:val="663F505A"/>
    <w:rsid w:val="69464331"/>
    <w:rsid w:val="6A0F608F"/>
    <w:rsid w:val="6B140BBE"/>
    <w:rsid w:val="6DF502F4"/>
    <w:rsid w:val="6FB83BB7"/>
    <w:rsid w:val="70742C18"/>
    <w:rsid w:val="708707CA"/>
    <w:rsid w:val="73353255"/>
    <w:rsid w:val="73803E63"/>
    <w:rsid w:val="76E45ED5"/>
    <w:rsid w:val="79BA170D"/>
    <w:rsid w:val="7B1366D6"/>
    <w:rsid w:val="7C423C8F"/>
    <w:rsid w:val="7C6D24A7"/>
    <w:rsid w:val="7C8C1196"/>
    <w:rsid w:val="7E9C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ind w:firstLine="420"/>
      <w:jc w:val="left"/>
    </w:pPr>
    <w:rPr>
      <w:rFonts w:cs="Calibri"/>
    </w:rPr>
  </w:style>
  <w:style w:type="paragraph" w:styleId="3">
    <w:name w:val="Body Text Indent"/>
    <w:basedOn w:val="1"/>
    <w:next w:val="2"/>
    <w:qFormat/>
    <w:uiPriority w:val="99"/>
    <w:pPr>
      <w:spacing w:after="120"/>
      <w:ind w:left="420" w:leftChars="200"/>
    </w:pPr>
  </w:style>
  <w:style w:type="paragraph" w:styleId="5">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Body Text"/>
    <w:basedOn w:val="1"/>
    <w:qFormat/>
    <w:uiPriority w:val="99"/>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line="480" w:lineRule="auto"/>
    </w:pPr>
  </w:style>
  <w:style w:type="paragraph" w:styleId="10">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12">
    <w:name w:val="Strong"/>
    <w:basedOn w:val="11"/>
    <w:qFormat/>
    <w:uiPriority w:val="0"/>
    <w:rPr>
      <w:b/>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2464</Words>
  <Characters>2703</Characters>
  <Lines>0</Lines>
  <Paragraphs>0</Paragraphs>
  <TotalTime>13</TotalTime>
  <ScaleCrop>false</ScaleCrop>
  <LinksUpToDate>false</LinksUpToDate>
  <CharactersWithSpaces>2705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2023-04-06T07:17:00Z</dcterms:created>
  <dc:creator>萱宝爸</dc:creator>
  <cp:lastModifiedBy>闻人暖</cp:lastModifiedBy>
  <cp:lastPrinted>2024-06-24T01:46:00Z</cp:lastPrinted>
  <dcterms:modified xsi:type="dcterms:W3CDTF">2024-06-24T01:46:04Z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531EA01916214A2BAADA3EB045C9F287_13</vt:lpwstr>
  </property>
</Properties>
</file>