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F5530">
      <w:pPr>
        <w:rPr>
          <w:rFonts w:hint="eastAsia" w:ascii="黑体" w:hAnsi="黑体" w:eastAsia="黑体" w:cs="仿宋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仿宋"/>
          <w:sz w:val="32"/>
          <w:szCs w:val="32"/>
          <w:lang w:val="en-US" w:eastAsia="zh-CN"/>
        </w:rPr>
        <w:drawing>
          <wp:inline distT="0" distB="0" distL="114300" distR="114300">
            <wp:extent cx="5541645" cy="7978140"/>
            <wp:effectExtent l="0" t="0" r="1905" b="3810"/>
            <wp:docPr id="1" name="图片 1" descr="1720163410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2016341033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41645" cy="797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A709EFB">
      <w:pPr>
        <w:rPr>
          <w:rFonts w:hint="eastAsia" w:ascii="黑体" w:hAnsi="黑体" w:eastAsia="黑体" w:cs="仿宋"/>
          <w:sz w:val="32"/>
          <w:szCs w:val="32"/>
          <w:lang w:val="en-US" w:eastAsia="zh-CN"/>
        </w:rPr>
      </w:pPr>
    </w:p>
    <w:p w14:paraId="32F3013B">
      <w:pPr>
        <w:rPr>
          <w:rFonts w:hint="eastAsia" w:ascii="黑体" w:hAnsi="黑体" w:eastAsia="黑体" w:cs="仿宋"/>
          <w:sz w:val="32"/>
          <w:szCs w:val="32"/>
          <w:lang w:val="en-US" w:eastAsia="zh-CN"/>
        </w:rPr>
      </w:pPr>
    </w:p>
    <w:p w14:paraId="22B728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</w:pPr>
    </w:p>
    <w:p w14:paraId="758FD0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</w:pPr>
    </w:p>
    <w:p w14:paraId="7B0A28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</w:pP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  <w:t>2023</w:t>
      </w: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  <w:t>年度安化县</w:t>
      </w: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  <w:t>教育局</w:t>
      </w:r>
    </w:p>
    <w:p w14:paraId="7B7C00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</w:pP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  <w:t>整体支出绩效自评报告</w:t>
      </w:r>
    </w:p>
    <w:p w14:paraId="356C46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一、部门(单位)基本情况</w:t>
      </w:r>
    </w:p>
    <w:p w14:paraId="3C1CEE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(一)2023年度重点工作</w:t>
      </w:r>
    </w:p>
    <w:p w14:paraId="3ECA03C7">
      <w:pPr>
        <w:pStyle w:val="6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  <w:t>足额及时保障干职工待遇。2.严格执行部门预算批复的公用经费。3.严格执行部门预算批复的项目支出.4.保障单位工作正常运转，提升教育管理质量。</w:t>
      </w:r>
    </w:p>
    <w:p w14:paraId="69340F9A">
      <w:pPr>
        <w:pStyle w:val="6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贯彻执行国家和省、市有关教育工作的法律、法规、</w:t>
      </w:r>
    </w:p>
    <w:p w14:paraId="137C98C6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和政策、制度。研究提出并指导、协调和监督实施全县教育改革和教育事业发展计划。</w:t>
      </w:r>
    </w:p>
    <w:p w14:paraId="14A57130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.负责全县各级各类教育事业统筹规划、协调管理，会同有关部门制定全县各级各类学校的设置标准，指导全县学校布局调整；指导全县各级各类学校的教育教学改革，负责教育基本信息的统计、分析与发布。</w:t>
      </w:r>
    </w:p>
    <w:p w14:paraId="5D6C2826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.负责管理和指导全县基础教育、职业技术教育、成人教育、幼儿教育、特殊教育、社会力量办学等工作。推动素质教育全面实施。负责推进义务教育均衡发展和促进教育公平。</w:t>
      </w:r>
    </w:p>
    <w:p w14:paraId="34036815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.贯彻执行《学校体育工作条例》和《湖南省体育传统项目学校管理暂行条例》。负责办好羽毛球运动学校，为国家输送高水平的羽毛球后备人才。</w:t>
      </w:r>
    </w:p>
    <w:p w14:paraId="282B0D0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.统筹管理各类学历教育的招生考试和学籍工作，贯彻落实各类招生考试计划，负责教育人才的管理与服务工作。</w:t>
      </w:r>
    </w:p>
    <w:p w14:paraId="481BE94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.指导全县各类学校的思想政治工作、德育工作、体育与艺术教育及国防教育工作，统筹指导和协调教育系统的安全与稳定工作。</w:t>
      </w:r>
    </w:p>
    <w:p w14:paraId="29E5CEAA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.依法管理全县教师队伍，统筹规划全县教师队伍建设，负责教师队伍的培训，主管教师职称评聘工作；负责全县教职工绩效考核工作。</w:t>
      </w:r>
    </w:p>
    <w:p w14:paraId="676EAC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.配合有关部门拟定教育系统劳动、工资、人事教育管理工作的具体办法和规章制度。指导全县各级教育行政干部队伍建设。</w:t>
      </w:r>
    </w:p>
    <w:p w14:paraId="3A55E869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参与拟定全县教育经费筹措，教育拨款，教育基建投资政策和规划、事业经费、人员编制和统配物资设备的管理制度。依法依规管理和使用教育经费。负责统计和监测全县教育经费的投入和使用情况，指导管理全县资助经济困难学生工作，指导、组织实施教育系统内部审计工作。</w:t>
      </w:r>
    </w:p>
    <w:p w14:paraId="42DF1E3A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.统筹管理全县语言文字工作，指导推广普通话和规范学校普通话师资培训工作；负责全县教育、教学研究工作，负责全县各类教育的质量评估工作。</w:t>
      </w:r>
    </w:p>
    <w:p w14:paraId="550631FA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.完成县委、县人民政府交办的其他任务。</w:t>
      </w:r>
    </w:p>
    <w:p w14:paraId="6304F863">
      <w:pPr>
        <w:pStyle w:val="6"/>
        <w:shd w:val="clear" w:color="auto" w:fill="FFFFFF"/>
        <w:spacing w:before="0" w:beforeAutospacing="0" w:after="0" w:afterAutospacing="0" w:line="594" w:lineRule="exact"/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</w:pPr>
    </w:p>
    <w:p w14:paraId="1930B6B4">
      <w:pPr>
        <w:pStyle w:val="6"/>
        <w:shd w:val="clear" w:color="auto" w:fill="FFFFFF"/>
        <w:spacing w:before="0" w:beforeAutospacing="0" w:after="0" w:afterAutospacing="0" w:line="594" w:lineRule="exact"/>
        <w:ind w:firstLine="640" w:firstLineChars="200"/>
        <w:jc w:val="both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(二)部门整体支出规模、使用方向、主要内容和涉及范围</w:t>
      </w:r>
    </w:p>
    <w:p w14:paraId="42604943">
      <w:pPr>
        <w:pStyle w:val="6"/>
        <w:shd w:val="clear" w:color="auto" w:fill="FFFFFF"/>
        <w:spacing w:before="0" w:beforeAutospacing="0" w:after="0" w:afterAutospacing="0" w:line="594" w:lineRule="exact"/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  <w:t>2023年度整体支出总额140650.58万元，其中财政拨款收入140650.58万元，占总收入的100%。主要内容和涉及范围：人员经费包括基本工资、津贴补贴、奖金、其他社会保障缴费、退休费生活补助、住房公积金等；日常公用经费包括办公费、差旅费、培训费、公务接待费、劳务费、工会经费、福利费、公务用车运行维护费、其他交通费用、其他商品和服务支出等；项目支出主要包括其他对个人和家庭的补助支出、办公费、印刷费、邮电费、差旅费、维修（护）费、会议费、培训费、公务接待费、劳务费、委托业务费、公务用车运行维护费、其他交通费、其他商品和服务支出、办公设备购置。涉及人员经费、保障基本运转、开展各项专项业务工作、精准扶贫、党建所发生的全部支出。</w:t>
      </w:r>
    </w:p>
    <w:p w14:paraId="7FD9AB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二、一般公共预算支出情况</w:t>
      </w:r>
    </w:p>
    <w:p w14:paraId="36CE72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(一)基本支出情况</w:t>
      </w:r>
    </w:p>
    <w:p w14:paraId="5DF684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Times New Roman"/>
          <w:kern w:val="2"/>
          <w:sz w:val="32"/>
          <w:szCs w:val="24"/>
          <w:u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24"/>
          <w:u w:val="none"/>
          <w:shd w:val="clear" w:color="auto" w:fill="auto"/>
          <w:lang w:val="en-US" w:eastAsia="zh-CN" w:bidi="ar-SA"/>
        </w:rPr>
        <w:t>基本支出140650.58万元，是为保障各部门正常运转、完成日常工作任务而发生的各项支出，主要包括工资福利支出84749.54万元，商品和服务支出26552.32万元，对个人和家庭支出13288.95万元,债务利息及费用支出491.63万元，资本性支出（基本建设）621.5万元，资本性支出14946.63万元。</w:t>
      </w:r>
    </w:p>
    <w:p w14:paraId="3DC4E16E">
      <w:pPr>
        <w:widowControl/>
        <w:spacing w:line="600" w:lineRule="exact"/>
        <w:ind w:firstLine="66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  <w:lang w:eastAsia="zh-CN"/>
        </w:rPr>
        <w:t>2023年</w:t>
      </w:r>
      <w:r>
        <w:rPr>
          <w:rFonts w:eastAsia="仿宋_GB2312"/>
          <w:color w:val="auto"/>
          <w:sz w:val="32"/>
          <w:szCs w:val="32"/>
        </w:rPr>
        <w:t>本部门机关本级“三公”经费预算数为</w:t>
      </w:r>
      <w:r>
        <w:rPr>
          <w:rFonts w:hint="eastAsia" w:eastAsia="仿宋_GB2312"/>
          <w:color w:val="auto"/>
          <w:sz w:val="32"/>
          <w:szCs w:val="32"/>
          <w:u w:val="none"/>
        </w:rPr>
        <w:t>46.69</w:t>
      </w:r>
      <w:r>
        <w:rPr>
          <w:rFonts w:eastAsia="仿宋_GB2312"/>
          <w:color w:val="auto"/>
          <w:sz w:val="32"/>
          <w:szCs w:val="32"/>
        </w:rPr>
        <w:t>万元，其中，公务接待费</w:t>
      </w:r>
      <w:r>
        <w:rPr>
          <w:rFonts w:hint="eastAsia" w:eastAsia="仿宋_GB2312"/>
          <w:color w:val="auto"/>
          <w:sz w:val="32"/>
          <w:szCs w:val="32"/>
          <w:u w:val="none"/>
        </w:rPr>
        <w:t>46.69</w:t>
      </w:r>
      <w:r>
        <w:rPr>
          <w:rFonts w:eastAsia="仿宋_GB2312"/>
          <w:color w:val="auto"/>
          <w:sz w:val="32"/>
          <w:szCs w:val="32"/>
        </w:rPr>
        <w:t>万元，公务用车购置及运行费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color w:val="auto"/>
          <w:sz w:val="32"/>
          <w:szCs w:val="32"/>
        </w:rPr>
        <w:t>万元（其中，公务用车购置费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0</w:t>
      </w:r>
      <w:r>
        <w:rPr>
          <w:rFonts w:eastAsia="仿宋_GB2312"/>
          <w:color w:val="auto"/>
          <w:sz w:val="32"/>
          <w:szCs w:val="32"/>
        </w:rPr>
        <w:t>万元，公务用车运行费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0</w:t>
      </w:r>
      <w:r>
        <w:rPr>
          <w:rFonts w:eastAsia="仿宋_GB2312"/>
          <w:color w:val="auto"/>
          <w:sz w:val="32"/>
          <w:szCs w:val="32"/>
        </w:rPr>
        <w:t>万元），因公出国（境）费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color w:val="auto"/>
          <w:sz w:val="32"/>
          <w:szCs w:val="32"/>
        </w:rPr>
        <w:t>万元。</w:t>
      </w:r>
      <w:r>
        <w:rPr>
          <w:rFonts w:hint="eastAsia" w:eastAsia="仿宋_GB2312"/>
          <w:color w:val="auto"/>
          <w:sz w:val="32"/>
          <w:szCs w:val="32"/>
          <w:lang w:eastAsia="zh-CN"/>
        </w:rPr>
        <w:t>2023年</w:t>
      </w:r>
      <w:r>
        <w:rPr>
          <w:rFonts w:eastAsia="仿宋_GB2312"/>
          <w:color w:val="auto"/>
          <w:sz w:val="32"/>
          <w:szCs w:val="32"/>
        </w:rPr>
        <w:t>“三公”经费预算较202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2</w:t>
      </w:r>
      <w:r>
        <w:rPr>
          <w:rFonts w:eastAsia="仿宋_GB2312"/>
          <w:color w:val="auto"/>
          <w:sz w:val="32"/>
          <w:szCs w:val="32"/>
        </w:rPr>
        <w:t>年减少</w:t>
      </w:r>
      <w:r>
        <w:rPr>
          <w:rFonts w:hint="eastAsia" w:eastAsia="仿宋_GB2312"/>
          <w:color w:val="auto"/>
          <w:sz w:val="32"/>
          <w:szCs w:val="32"/>
        </w:rPr>
        <w:t xml:space="preserve">11.67 </w:t>
      </w:r>
      <w:r>
        <w:rPr>
          <w:rFonts w:eastAsia="仿宋_GB2312"/>
          <w:color w:val="auto"/>
          <w:sz w:val="32"/>
          <w:szCs w:val="32"/>
        </w:rPr>
        <w:t>万元，主要是公务接待费减少</w:t>
      </w:r>
      <w:r>
        <w:rPr>
          <w:rFonts w:hint="eastAsia" w:eastAsia="仿宋_GB2312"/>
          <w:color w:val="auto"/>
          <w:sz w:val="32"/>
          <w:szCs w:val="32"/>
        </w:rPr>
        <w:t>11.67</w:t>
      </w:r>
      <w:r>
        <w:rPr>
          <w:rFonts w:eastAsia="仿宋_GB2312"/>
          <w:color w:val="auto"/>
          <w:sz w:val="32"/>
          <w:szCs w:val="32"/>
        </w:rPr>
        <w:t>万元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，厉行节约，规范管理，进一步压缩“三公”经费</w:t>
      </w:r>
      <w:r>
        <w:rPr>
          <w:rFonts w:eastAsia="仿宋_GB2312"/>
          <w:color w:val="auto"/>
          <w:sz w:val="32"/>
          <w:szCs w:val="32"/>
        </w:rPr>
        <w:t>。</w:t>
      </w:r>
    </w:p>
    <w:p w14:paraId="7BC206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(二)项目支出情况</w:t>
      </w:r>
    </w:p>
    <w:p w14:paraId="74D6E9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/>
        </w:rPr>
      </w:pPr>
      <w:r>
        <w:rPr>
          <w:rFonts w:hint="eastAsia" w:ascii="仿宋" w:hAnsi="仿宋" w:eastAsia="仿宋" w:cs="Times New Roman"/>
          <w:kern w:val="2"/>
          <w:sz w:val="32"/>
          <w:szCs w:val="24"/>
          <w:u w:val="none"/>
          <w:shd w:val="clear" w:color="auto" w:fill="auto"/>
          <w:lang w:val="en-US" w:eastAsia="zh-CN" w:bidi="ar-SA"/>
        </w:rPr>
        <w:t>项目支出28053.85万元，包含：</w:t>
      </w:r>
      <w:r>
        <w:rPr>
          <w:rFonts w:hint="eastAsia" w:ascii="仿宋_GB2312" w:eastAsia="仿宋_GB2312"/>
          <w:sz w:val="32"/>
          <w:szCs w:val="32"/>
          <w:lang w:eastAsia="zh-CN"/>
        </w:rPr>
        <w:t>业务工作</w:t>
      </w:r>
      <w:r>
        <w:rPr>
          <w:rFonts w:hint="eastAsia" w:ascii="仿宋_GB2312" w:eastAsia="仿宋_GB2312"/>
          <w:sz w:val="32"/>
          <w:szCs w:val="32"/>
        </w:rPr>
        <w:t>经费</w:t>
      </w:r>
      <w:r>
        <w:rPr>
          <w:rFonts w:hint="eastAsia" w:ascii="仿宋_GB2312" w:eastAsia="仿宋_GB2312"/>
          <w:sz w:val="32"/>
          <w:szCs w:val="32"/>
          <w:lang w:eastAsia="zh-CN"/>
        </w:rPr>
        <w:t>以及运行维护经费、安化县其他城市基础设施配套费安排的支出等。</w:t>
      </w:r>
    </w:p>
    <w:p w14:paraId="70988376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政府性基金预算支出情况</w:t>
      </w:r>
    </w:p>
    <w:p w14:paraId="26BD2A53">
      <w:pPr>
        <w:ind w:firstLine="640" w:firstLineChars="200"/>
        <w:rPr>
          <w:rFonts w:hint="default" w:eastAsia="仿宋_GB2312"/>
          <w:lang w:val="en-US" w:eastAsia="zh-CN"/>
        </w:rPr>
      </w:pPr>
      <w:r>
        <w:rPr>
          <w:color w:val="232323"/>
          <w:sz w:val="32"/>
          <w:szCs w:val="32"/>
          <w:shd w:val="clear" w:color="auto" w:fill="FFFFFF"/>
        </w:rPr>
        <w:t>2023</w:t>
      </w:r>
      <w:r>
        <w:rPr>
          <w:rFonts w:hint="eastAsia" w:ascii="仿宋_GB2312" w:eastAsia="仿宋_GB2312" w:cs="仿宋_GB2312"/>
          <w:color w:val="232323"/>
          <w:sz w:val="32"/>
          <w:szCs w:val="32"/>
          <w:shd w:val="clear" w:color="auto" w:fill="FFFFFF"/>
        </w:rPr>
        <w:t>年本部门政府性基金支出预算</w:t>
      </w:r>
      <w:r>
        <w:rPr>
          <w:rFonts w:hint="eastAsia" w:eastAsia="仿宋_GB2312"/>
          <w:color w:val="23232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_GB2312" w:eastAsia="仿宋_GB2312" w:cs="仿宋_GB2312"/>
          <w:color w:val="232323"/>
          <w:sz w:val="32"/>
          <w:szCs w:val="32"/>
          <w:shd w:val="clear" w:color="auto" w:fill="FFFFFF"/>
        </w:rPr>
        <w:t>万元</w:t>
      </w:r>
      <w:r>
        <w:rPr>
          <w:rFonts w:hint="eastAsia" w:ascii="仿宋_GB2312" w:hAnsi="宋体" w:eastAsia="仿宋_GB2312" w:cs="仿宋_GB2312"/>
          <w:color w:val="232323"/>
          <w:sz w:val="32"/>
          <w:szCs w:val="32"/>
          <w:shd w:val="clear" w:color="auto" w:fill="FFFFFF"/>
        </w:rPr>
        <w:t>。</w:t>
      </w:r>
    </w:p>
    <w:p w14:paraId="1BD3A094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国有资本经营预算支出情况</w:t>
      </w:r>
    </w:p>
    <w:p w14:paraId="7184D6E2">
      <w:pPr>
        <w:pStyle w:val="7"/>
        <w:ind w:left="420" w:leftChars="200" w:firstLine="0" w:firstLineChars="0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color w:val="232323"/>
          <w:shd w:val="clear" w:color="auto" w:fill="FFFFFF"/>
        </w:rPr>
        <w:t>2023</w:t>
      </w:r>
      <w:r>
        <w:rPr>
          <w:rFonts w:hint="eastAsia" w:ascii="仿宋_GB2312" w:eastAsia="仿宋_GB2312" w:cs="仿宋_GB2312"/>
          <w:color w:val="232323"/>
          <w:shd w:val="clear" w:color="auto" w:fill="FFFFFF"/>
        </w:rPr>
        <w:t>年</w:t>
      </w:r>
      <w:r>
        <w:rPr>
          <w:rFonts w:hint="eastAsia" w:ascii="仿宋_GB2312" w:hAnsi="宋体" w:eastAsia="仿宋_GB2312" w:cs="仿宋_GB2312"/>
          <w:color w:val="232323"/>
          <w:shd w:val="clear" w:color="auto" w:fill="FFFFFF"/>
        </w:rPr>
        <w:t>本部门无国有资本经营预算的支出。</w:t>
      </w:r>
    </w:p>
    <w:p w14:paraId="607D4FDF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社会保险基金预算支出情况</w:t>
      </w:r>
    </w:p>
    <w:p w14:paraId="72460311">
      <w:pPr>
        <w:pStyle w:val="7"/>
        <w:ind w:left="420" w:leftChars="200" w:firstLine="0" w:firstLineChars="0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color w:val="232323"/>
          <w:shd w:val="clear" w:color="auto" w:fill="FFFFFF"/>
        </w:rPr>
        <w:t>2023</w:t>
      </w:r>
      <w:r>
        <w:rPr>
          <w:rFonts w:hint="eastAsia" w:ascii="仿宋_GB2312" w:eastAsia="仿宋_GB2312" w:cs="仿宋_GB2312"/>
          <w:color w:val="232323"/>
          <w:shd w:val="clear" w:color="auto" w:fill="FFFFFF"/>
        </w:rPr>
        <w:t>年</w:t>
      </w:r>
      <w:r>
        <w:rPr>
          <w:rFonts w:hint="eastAsia" w:ascii="仿宋_GB2312" w:hAnsi="宋体" w:eastAsia="仿宋_GB2312" w:cs="仿宋_GB2312"/>
          <w:color w:val="232323"/>
          <w:shd w:val="clear" w:color="auto" w:fill="FFFFFF"/>
        </w:rPr>
        <w:t>本部门无社会保险基金预算的支出。</w:t>
      </w:r>
    </w:p>
    <w:p w14:paraId="7CE456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六、部门整体支出绩效情况</w:t>
      </w:r>
    </w:p>
    <w:p w14:paraId="67631DB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 w:firstLine="640" w:firstLineChars="200"/>
        <w:jc w:val="left"/>
        <w:textAlignment w:val="center"/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2023年度支出总额</w:t>
      </w:r>
      <w:r>
        <w:rPr>
          <w:rFonts w:hint="eastAsia" w:ascii="仿宋" w:hAnsi="仿宋" w:eastAsia="仿宋" w:cs="Times New Roman"/>
          <w:kern w:val="2"/>
          <w:sz w:val="32"/>
          <w:szCs w:val="24"/>
          <w:u w:val="none"/>
          <w:shd w:val="clear" w:color="auto" w:fill="auto"/>
          <w:lang w:val="en-US" w:eastAsia="zh-CN" w:bidi="ar-SA"/>
        </w:rPr>
        <w:t>140650.58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万元，其中基本支出</w:t>
      </w:r>
      <w:r>
        <w:rPr>
          <w:rFonts w:hint="eastAsia" w:ascii="仿宋" w:hAnsi="仿宋" w:eastAsia="仿宋" w:cs="Times New Roman"/>
          <w:kern w:val="2"/>
          <w:sz w:val="32"/>
          <w:szCs w:val="24"/>
          <w:u w:val="none"/>
          <w:shd w:val="clear" w:color="auto" w:fill="auto"/>
          <w:lang w:val="en-US" w:eastAsia="zh-CN" w:bidi="ar-SA"/>
        </w:rPr>
        <w:t>112596.73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万元，基本支出保障了单位正常运转的日常支出，包括基本工资、津贴补贴等人员经费以及办公费、水电费、差旅费等日常公用经费；项目支出金额</w:t>
      </w:r>
      <w:r>
        <w:rPr>
          <w:rFonts w:hint="eastAsia" w:ascii="仿宋" w:hAnsi="仿宋" w:eastAsia="仿宋" w:cs="Times New Roman"/>
          <w:kern w:val="2"/>
          <w:sz w:val="32"/>
          <w:szCs w:val="24"/>
          <w:u w:val="none"/>
          <w:shd w:val="clear" w:color="auto" w:fill="auto"/>
          <w:lang w:val="en-US" w:eastAsia="zh-CN" w:bidi="ar-SA"/>
        </w:rPr>
        <w:t>28053.85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万元。</w:t>
      </w:r>
    </w:p>
    <w:p w14:paraId="6C6920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七、存在的问题及原因分析</w:t>
      </w:r>
    </w:p>
    <w:p w14:paraId="68DC79D6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（一）教育刚性需求大，项目建设资金缺口大，教师待遇有待进一步提高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 w14:paraId="57D17BEA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right="0" w:rightChars="0" w:firstLine="640" w:firstLineChars="200"/>
        <w:jc w:val="both"/>
        <w:textAlignment w:val="auto"/>
        <w:outlineLvl w:val="9"/>
        <w:rPr>
          <w:rFonts w:hint="default"/>
          <w:color w:val="FF0000"/>
          <w:kern w:val="0"/>
          <w:szCs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（二）项目建设资金使用效率有待提高。</w:t>
      </w:r>
    </w:p>
    <w:p w14:paraId="625C9F3E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下一步改进措施</w:t>
      </w:r>
    </w:p>
    <w:p w14:paraId="353CE831">
      <w:pPr>
        <w:ind w:firstLine="640" w:firstLineChars="200"/>
        <w:rPr>
          <w:rFonts w:hint="eastAsia" w:ascii="华文楷体" w:hAnsi="华文楷体" w:eastAsia="华文楷体" w:cs="华文楷体"/>
          <w:color w:val="FF0000"/>
          <w:kern w:val="0"/>
          <w:szCs w:val="32"/>
          <w:lang w:val="en-US" w:eastAsia="zh-CN"/>
        </w:rPr>
      </w:pPr>
      <w:r>
        <w:rPr>
          <w:rFonts w:hint="eastAsia" w:ascii="Times New Roman" w:hAnsi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加大对教育的投入，严格按各项政策要求，足额安排教育配套经费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，确保年度内教育经费实现“两个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只增不减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”要求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 w14:paraId="61C93237">
      <w:pPr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（二）加强项目绩效管理，提高财政资金使用效益。加强对项目资金的管理，特别是拨付给学校的项目经费，应进一步细化绩效目标，定期检查，督促项目实施进度及资金拨付，对项目绩效进行跟踪。</w:t>
      </w:r>
    </w:p>
    <w:p w14:paraId="0A68A97A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绩效自评结果拟应用和公开情况</w:t>
      </w:r>
    </w:p>
    <w:p w14:paraId="78FD2DDE">
      <w:pPr>
        <w:pStyle w:val="3"/>
        <w:numPr>
          <w:ilvl w:val="0"/>
          <w:numId w:val="0"/>
        </w:numPr>
        <w:ind w:leftChars="200"/>
        <w:rPr>
          <w:rFonts w:hint="eastAsia" w:eastAsia="宋体"/>
          <w:lang w:eastAsia="zh-CN"/>
        </w:rPr>
      </w:pPr>
      <w:r>
        <w:rPr>
          <w:rFonts w:hint="eastAsia" w:eastAsia="仿宋_GB2312" w:cs="Times New Roman"/>
          <w:kern w:val="0"/>
          <w:sz w:val="32"/>
          <w:szCs w:val="32"/>
          <w:lang w:val="en-US" w:eastAsia="zh-CN" w:bidi="ar-SA"/>
        </w:rPr>
        <w:t>暂未公开。</w:t>
      </w:r>
    </w:p>
    <w:p w14:paraId="18BFBF73">
      <w:pPr>
        <w:numPr>
          <w:ilvl w:val="0"/>
          <w:numId w:val="3"/>
        </w:numPr>
        <w:ind w:left="0" w:leftChars="0" w:firstLine="640" w:firstLineChars="200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其他需要说明的情况</w:t>
      </w:r>
    </w:p>
    <w:p w14:paraId="2CE86378">
      <w:pPr>
        <w:numPr>
          <w:ilvl w:val="0"/>
          <w:numId w:val="0"/>
        </w:numPr>
        <w:ind w:leftChars="200"/>
      </w:pPr>
      <w:r>
        <w:rPr>
          <w:rFonts w:hint="eastAsia" w:eastAsia="仿宋_GB2312" w:cs="Times New Roman"/>
          <w:kern w:val="0"/>
          <w:sz w:val="32"/>
          <w:szCs w:val="32"/>
          <w:lang w:val="en-US" w:eastAsia="zh-CN" w:bidi="ar-SA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159C02"/>
    <w:multiLevelType w:val="singleLevel"/>
    <w:tmpl w:val="F2159C0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DF4109C"/>
    <w:multiLevelType w:val="singleLevel"/>
    <w:tmpl w:val="0DF4109C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F4048D7"/>
    <w:multiLevelType w:val="singleLevel"/>
    <w:tmpl w:val="7F4048D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2ZGM5YWY5ZmU2Yjk4OGQ3ZTdiNzQ5OTQyY2I3OWMifQ=="/>
  </w:docVars>
  <w:rsids>
    <w:rsidRoot w:val="6D445020"/>
    <w:rsid w:val="029228E1"/>
    <w:rsid w:val="074B01AA"/>
    <w:rsid w:val="085E716A"/>
    <w:rsid w:val="14FF1319"/>
    <w:rsid w:val="182061EA"/>
    <w:rsid w:val="257D691C"/>
    <w:rsid w:val="32A111A2"/>
    <w:rsid w:val="33357B76"/>
    <w:rsid w:val="378123A9"/>
    <w:rsid w:val="3ADE5774"/>
    <w:rsid w:val="46D63D94"/>
    <w:rsid w:val="53246BC3"/>
    <w:rsid w:val="54A12C2E"/>
    <w:rsid w:val="64B56C4A"/>
    <w:rsid w:val="6BC75991"/>
    <w:rsid w:val="6D445020"/>
    <w:rsid w:val="6D464F20"/>
    <w:rsid w:val="720A579D"/>
    <w:rsid w:val="744F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99"/>
    <w:pPr>
      <w:spacing w:beforeLines="0" w:afterLines="0"/>
    </w:pPr>
    <w:rPr>
      <w:rFonts w:hint="default"/>
      <w:sz w:val="21"/>
      <w:szCs w:val="24"/>
    </w:rPr>
  </w:style>
  <w:style w:type="paragraph" w:styleId="3">
    <w:name w:val="Body Text"/>
    <w:basedOn w:val="1"/>
    <w:unhideWhenUsed/>
    <w:qFormat/>
    <w:uiPriority w:val="99"/>
    <w:rPr>
      <w:rFonts w:ascii="Times New Roman" w:hAnsi="Times New Roman"/>
    </w:rPr>
  </w:style>
  <w:style w:type="paragraph" w:styleId="4">
    <w:name w:val="Body Text Indent"/>
    <w:basedOn w:val="1"/>
    <w:qFormat/>
    <w:uiPriority w:val="99"/>
    <w:pPr>
      <w:ind w:firstLine="640" w:firstLineChars="200"/>
    </w:pPr>
    <w:rPr>
      <w:sz w:val="32"/>
      <w:szCs w:val="32"/>
    </w:rPr>
  </w:style>
  <w:style w:type="paragraph" w:styleId="5">
    <w:name w:val="toc 5"/>
    <w:basedOn w:val="1"/>
    <w:next w:val="1"/>
    <w:unhideWhenUsed/>
    <w:qFormat/>
    <w:uiPriority w:val="39"/>
    <w:pPr>
      <w:ind w:left="1680" w:leftChars="800"/>
    </w:pPr>
    <w:rPr>
      <w:rFonts w:ascii="等线" w:hAnsi="等线" w:eastAsia="等线" w:cs="Times New Roman"/>
      <w:szCs w:val="22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Body Text First Indent 2"/>
    <w:basedOn w:val="4"/>
    <w:qFormat/>
    <w:uiPriority w:val="99"/>
    <w:pPr>
      <w:ind w:firstLine="420"/>
    </w:pPr>
  </w:style>
  <w:style w:type="character" w:styleId="10">
    <w:name w:val="Strong"/>
    <w:basedOn w:val="9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1055</Words>
  <Characters>1156</Characters>
  <Lines>0</Lines>
  <Paragraphs>0</Paragraphs>
  <TotalTime>7</TotalTime>
  <ScaleCrop>false</ScaleCrop>
  <LinksUpToDate>false</LinksUpToDate>
  <CharactersWithSpaces>1156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2024-06-17T10:01:00Z</dcterms:created>
  <dc:creator>啊斌</dc:creator>
  <cp:lastModifiedBy>红茶</cp:lastModifiedBy>
  <dcterms:modified xsi:type="dcterms:W3CDTF">2024-07-05T07:11:11Z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CAD7D762BE62403B8321DCF3111FEC46_13</vt:lpwstr>
  </property>
</Properties>
</file>