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微软雅黑" w:hAnsi="仿宋" w:eastAsia="微软雅黑" w:cs="宋体"/>
          <w:b w:val="0"/>
          <w:bCs/>
          <w:kern w:val="0"/>
          <w:sz w:val="44"/>
          <w:szCs w:val="44"/>
        </w:rPr>
      </w:pPr>
      <w:r>
        <w:rPr>
          <w:rFonts w:hint="eastAsia" w:ascii="微软雅黑" w:hAnsi="仿宋" w:eastAsia="微软雅黑" w:cs="宋体"/>
          <w:b w:val="0"/>
          <w:bCs/>
          <w:kern w:val="0"/>
          <w:sz w:val="44"/>
          <w:szCs w:val="44"/>
          <w:lang w:val="en-US" w:eastAsia="zh-CN"/>
        </w:rPr>
        <w:t>2022</w:t>
      </w:r>
      <w:r>
        <w:rPr>
          <w:rFonts w:hint="eastAsia" w:ascii="微软雅黑" w:hAnsi="仿宋" w:eastAsia="微软雅黑" w:cs="宋体"/>
          <w:b w:val="0"/>
          <w:bCs/>
          <w:kern w:val="0"/>
          <w:sz w:val="44"/>
          <w:szCs w:val="44"/>
        </w:rPr>
        <w:t>年度</w:t>
      </w:r>
      <w:r>
        <w:rPr>
          <w:rFonts w:hint="eastAsia" w:ascii="微软雅黑" w:hAnsi="仿宋" w:eastAsia="微软雅黑" w:cs="宋体"/>
          <w:b w:val="0"/>
          <w:bCs/>
          <w:kern w:val="0"/>
          <w:sz w:val="44"/>
          <w:szCs w:val="44"/>
          <w:lang w:val="en-US" w:eastAsia="zh-CN"/>
        </w:rPr>
        <w:t>安化县中医医院</w:t>
      </w:r>
      <w:r>
        <w:rPr>
          <w:rFonts w:hint="eastAsia" w:ascii="微软雅黑" w:hAnsi="仿宋" w:eastAsia="微软雅黑" w:cs="宋体"/>
          <w:b w:val="0"/>
          <w:bCs/>
          <w:kern w:val="0"/>
          <w:sz w:val="44"/>
          <w:szCs w:val="44"/>
        </w:rPr>
        <w:t>整体支出</w:t>
      </w:r>
    </w:p>
    <w:p>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微软雅黑" w:hAnsi="仿宋" w:eastAsia="微软雅黑" w:cs="宋体"/>
          <w:b w:val="0"/>
          <w:bCs/>
          <w:kern w:val="0"/>
          <w:sz w:val="44"/>
          <w:szCs w:val="44"/>
        </w:rPr>
      </w:pPr>
      <w:r>
        <w:rPr>
          <w:rFonts w:hint="eastAsia" w:ascii="微软雅黑" w:hAnsi="仿宋" w:eastAsia="微软雅黑" w:cs="宋体"/>
          <w:b w:val="0"/>
          <w:bCs/>
          <w:kern w:val="0"/>
          <w:sz w:val="44"/>
          <w:szCs w:val="44"/>
        </w:rPr>
        <w:t>绩效自评报告</w:t>
      </w:r>
    </w:p>
    <w:p>
      <w:pPr>
        <w:keepNext w:val="0"/>
        <w:keepLines w:val="0"/>
        <w:pageBreakBefore w:val="0"/>
        <w:widowControl/>
        <w:kinsoku/>
        <w:wordWrap/>
        <w:overflowPunct/>
        <w:topLinePunct w:val="0"/>
        <w:autoSpaceDE/>
        <w:autoSpaceDN w:val="0"/>
        <w:bidi w:val="0"/>
        <w:adjustRightInd/>
        <w:snapToGrid/>
        <w:spacing w:line="576" w:lineRule="exact"/>
        <w:jc w:val="both"/>
        <w:textAlignment w:val="auto"/>
        <w:rPr>
          <w:rFonts w:hint="eastAsia" w:ascii="黑体" w:hAnsi="黑体" w:eastAsia="黑体" w:cs="宋体"/>
          <w:color w:val="000000"/>
          <w:kern w:val="0"/>
          <w:sz w:val="32"/>
          <w:szCs w:val="32"/>
        </w:rPr>
      </w:pPr>
    </w:p>
    <w:p>
      <w:pPr>
        <w:keepNext w:val="0"/>
        <w:keepLines w:val="0"/>
        <w:pageBreakBefore w:val="0"/>
        <w:widowControl/>
        <w:numPr>
          <w:ilvl w:val="0"/>
          <w:numId w:val="1"/>
        </w:numPr>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部门(单位)基本情况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（一）基本情况。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lang w:val="en-US" w:eastAsia="zh-CN"/>
        </w:rPr>
      </w:pPr>
      <w:r>
        <w:rPr>
          <w:rFonts w:hint="eastAsia" w:ascii="楷体_GB2312" w:hAnsi="楷体_GB2312" w:eastAsia="楷体_GB2312" w:cs="楷体_GB2312"/>
          <w:color w:val="000000"/>
          <w:kern w:val="0"/>
          <w:sz w:val="32"/>
          <w:szCs w:val="32"/>
          <w:lang w:val="en-US" w:eastAsia="zh-CN"/>
        </w:rPr>
        <w:t>安化县中医医院始建于1958年8月，经过历代中医人的不懈努力，医院事业不断发展，现已成为一所中医特色突出、综合功能完善、名老中医荟萃、重点专科突出、临床疗效显著、管理规范的现代化二级甲等综合性中医医院。医院集医疗、教学、科研、预防、保健、康复于一体，是湖南省中医药大学附一医院定点指导医院、湖南省人民医院“急诊急救联盟”、“湘中医”医疗联盟单位。</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2．根据编委核定</w:t>
      </w:r>
      <w:r>
        <w:rPr>
          <w:rFonts w:hint="eastAsia" w:ascii="楷体_GB2312" w:hAnsi="楷体_GB2312" w:eastAsia="楷体_GB2312" w:cs="楷体_GB2312"/>
          <w:color w:val="000000"/>
          <w:kern w:val="0"/>
          <w:sz w:val="32"/>
          <w:szCs w:val="32"/>
          <w:lang w:val="en-US" w:eastAsia="zh-CN"/>
        </w:rPr>
        <w:t>,</w:t>
      </w:r>
      <w:r>
        <w:rPr>
          <w:rFonts w:hint="eastAsia" w:ascii="楷体_GB2312" w:hAnsi="楷体_GB2312" w:eastAsia="楷体_GB2312" w:cs="楷体_GB2312"/>
          <w:color w:val="000000"/>
          <w:kern w:val="0"/>
          <w:sz w:val="32"/>
          <w:szCs w:val="32"/>
        </w:rPr>
        <w:t>我</w:t>
      </w:r>
      <w:r>
        <w:rPr>
          <w:rFonts w:hint="eastAsia" w:ascii="楷体_GB2312" w:hAnsi="楷体_GB2312" w:eastAsia="楷体_GB2312" w:cs="楷体_GB2312"/>
          <w:color w:val="000000"/>
          <w:kern w:val="0"/>
          <w:sz w:val="32"/>
          <w:szCs w:val="32"/>
          <w:lang w:eastAsia="zh-CN"/>
        </w:rPr>
        <w:t>院设有专科门诊1</w:t>
      </w:r>
      <w:r>
        <w:rPr>
          <w:rFonts w:hint="eastAsia" w:ascii="楷体_GB2312" w:hAnsi="楷体_GB2312" w:eastAsia="楷体_GB2312" w:cs="楷体_GB2312"/>
          <w:color w:val="000000"/>
          <w:kern w:val="0"/>
          <w:sz w:val="32"/>
          <w:szCs w:val="32"/>
          <w:lang w:val="en-US" w:eastAsia="zh-CN"/>
        </w:rPr>
        <w:t>0</w:t>
      </w:r>
      <w:r>
        <w:rPr>
          <w:rFonts w:hint="eastAsia" w:ascii="楷体_GB2312" w:hAnsi="楷体_GB2312" w:eastAsia="楷体_GB2312" w:cs="楷体_GB2312"/>
          <w:color w:val="000000"/>
          <w:kern w:val="0"/>
          <w:sz w:val="32"/>
          <w:szCs w:val="32"/>
          <w:lang w:eastAsia="zh-CN"/>
        </w:rPr>
        <w:t>个、临床科室1</w:t>
      </w:r>
      <w:r>
        <w:rPr>
          <w:rFonts w:hint="eastAsia" w:ascii="楷体_GB2312" w:hAnsi="楷体_GB2312" w:eastAsia="楷体_GB2312" w:cs="楷体_GB2312"/>
          <w:color w:val="000000"/>
          <w:kern w:val="0"/>
          <w:sz w:val="32"/>
          <w:szCs w:val="32"/>
          <w:lang w:val="en-US" w:eastAsia="zh-CN"/>
        </w:rPr>
        <w:t>3</w:t>
      </w:r>
      <w:r>
        <w:rPr>
          <w:rFonts w:hint="eastAsia" w:ascii="楷体_GB2312" w:hAnsi="楷体_GB2312" w:eastAsia="楷体_GB2312" w:cs="楷体_GB2312"/>
          <w:color w:val="000000"/>
          <w:kern w:val="0"/>
          <w:sz w:val="32"/>
          <w:szCs w:val="32"/>
          <w:lang w:eastAsia="zh-CN"/>
        </w:rPr>
        <w:t>个、医技科室</w:t>
      </w:r>
      <w:r>
        <w:rPr>
          <w:rFonts w:hint="eastAsia" w:ascii="楷体_GB2312" w:hAnsi="楷体_GB2312" w:eastAsia="楷体_GB2312" w:cs="楷体_GB2312"/>
          <w:color w:val="000000"/>
          <w:kern w:val="0"/>
          <w:sz w:val="32"/>
          <w:szCs w:val="32"/>
          <w:lang w:val="en-US" w:eastAsia="zh-CN"/>
        </w:rPr>
        <w:t>9</w:t>
      </w:r>
      <w:r>
        <w:rPr>
          <w:rFonts w:hint="eastAsia" w:ascii="楷体_GB2312" w:hAnsi="楷体_GB2312" w:eastAsia="楷体_GB2312" w:cs="楷体_GB2312"/>
          <w:color w:val="000000"/>
          <w:kern w:val="0"/>
          <w:sz w:val="32"/>
          <w:szCs w:val="32"/>
          <w:lang w:eastAsia="zh-CN"/>
        </w:rPr>
        <w:t>个及</w:t>
      </w:r>
      <w:r>
        <w:rPr>
          <w:rFonts w:hint="eastAsia" w:ascii="楷体_GB2312" w:hAnsi="楷体_GB2312" w:eastAsia="楷体_GB2312" w:cs="楷体_GB2312"/>
          <w:color w:val="000000"/>
          <w:kern w:val="0"/>
          <w:sz w:val="32"/>
          <w:szCs w:val="32"/>
          <w:lang w:val="en-US" w:eastAsia="zh-CN"/>
        </w:rPr>
        <w:t>120急救中心，</w:t>
      </w:r>
      <w:r>
        <w:rPr>
          <w:rFonts w:hint="eastAsia" w:ascii="楷体_GB2312" w:hAnsi="楷体_GB2312" w:eastAsia="楷体_GB2312" w:cs="楷体_GB2312"/>
          <w:color w:val="000000"/>
          <w:kern w:val="0"/>
          <w:sz w:val="32"/>
          <w:szCs w:val="32"/>
        </w:rPr>
        <w:t>全部纳入20</w:t>
      </w:r>
      <w:r>
        <w:rPr>
          <w:rFonts w:hint="eastAsia" w:ascii="楷体_GB2312" w:hAnsi="楷体_GB2312" w:eastAsia="楷体_GB2312" w:cs="楷体_GB2312"/>
          <w:color w:val="000000"/>
          <w:kern w:val="0"/>
          <w:sz w:val="32"/>
          <w:szCs w:val="32"/>
          <w:lang w:val="en-US" w:eastAsia="zh-CN"/>
        </w:rPr>
        <w:t>23</w:t>
      </w:r>
      <w:r>
        <w:rPr>
          <w:rFonts w:hint="eastAsia" w:ascii="楷体_GB2312" w:hAnsi="楷体_GB2312" w:eastAsia="楷体_GB2312" w:cs="楷体_GB2312"/>
          <w:color w:val="000000"/>
          <w:kern w:val="0"/>
          <w:sz w:val="32"/>
          <w:szCs w:val="32"/>
        </w:rPr>
        <w:t>年部门预算编制范围。内设</w:t>
      </w:r>
      <w:r>
        <w:rPr>
          <w:rFonts w:hint="eastAsia" w:ascii="楷体_GB2312" w:hAnsi="楷体_GB2312" w:eastAsia="楷体_GB2312" w:cs="楷体_GB2312"/>
          <w:color w:val="000000"/>
          <w:kern w:val="0"/>
          <w:sz w:val="32"/>
          <w:szCs w:val="32"/>
          <w:lang w:eastAsia="zh-CN"/>
        </w:rPr>
        <w:t>临床科室分别为预防保健科、内科、外科、妇产科、口腔科、皮肤科、传染科、急诊学科、麻醉科、医学检验科、病理科、医学影响科、中医科等。</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楷体_GB2312" w:hAnsi="楷体_GB2312" w:eastAsia="楷体_GB2312" w:cs="楷体_GB2312"/>
          <w:color w:val="000000"/>
          <w:kern w:val="0"/>
          <w:sz w:val="32"/>
          <w:szCs w:val="32"/>
        </w:rPr>
        <w:t>3．人员情况，包括当年变动情况及原因。</w:t>
      </w:r>
      <w:r>
        <w:rPr>
          <w:rFonts w:hint="eastAsia" w:ascii="楷体_GB2312" w:hAnsi="楷体_GB2312" w:eastAsia="楷体_GB2312" w:cs="楷体_GB2312"/>
          <w:color w:val="000000"/>
          <w:kern w:val="0"/>
          <w:sz w:val="32"/>
          <w:szCs w:val="32"/>
          <w:lang w:eastAsia="zh-CN"/>
        </w:rPr>
        <w:t>本年核定人数</w:t>
      </w:r>
      <w:r>
        <w:rPr>
          <w:rFonts w:hint="eastAsia" w:ascii="楷体_GB2312" w:hAnsi="楷体_GB2312" w:eastAsia="楷体_GB2312" w:cs="楷体_GB2312"/>
          <w:color w:val="000000"/>
          <w:kern w:val="0"/>
          <w:sz w:val="32"/>
          <w:szCs w:val="32"/>
          <w:lang w:val="en-US" w:eastAsia="zh-CN"/>
        </w:rPr>
        <w:t>403人，比去年增加14人，通过公开招聘、其他医院调入、本科直录增加。</w:t>
      </w:r>
    </w:p>
    <w:p>
      <w:pPr>
        <w:snapToGrid w:val="0"/>
        <w:spacing w:line="520" w:lineRule="exact"/>
        <w:ind w:firstLine="640" w:firstLineChars="200"/>
        <w:rPr>
          <w:rFonts w:hint="eastAsia" w:ascii="楷体_GB2312" w:hAnsi="楷体_GB2312" w:eastAsia="楷体_GB2312" w:cs="楷体_GB2312"/>
          <w:color w:val="000000"/>
          <w:kern w:val="0"/>
          <w:sz w:val="32"/>
          <w:szCs w:val="32"/>
          <w:lang w:eastAsia="zh-CN"/>
        </w:rPr>
      </w:pPr>
      <w:r>
        <w:rPr>
          <w:rFonts w:hint="eastAsia" w:ascii="楷体_GB2312" w:hAnsi="楷体_GB2312" w:eastAsia="楷体_GB2312" w:cs="楷体_GB2312"/>
          <w:color w:val="000000"/>
          <w:kern w:val="0"/>
          <w:sz w:val="32"/>
          <w:szCs w:val="32"/>
        </w:rPr>
        <w:t>(</w:t>
      </w:r>
      <w:r>
        <w:rPr>
          <w:rFonts w:hint="eastAsia" w:ascii="楷体_GB2312" w:hAnsi="楷体_GB2312" w:eastAsia="楷体_GB2312" w:cs="楷体_GB2312"/>
          <w:color w:val="000000"/>
          <w:kern w:val="0"/>
          <w:sz w:val="32"/>
          <w:szCs w:val="32"/>
          <w:lang w:eastAsia="zh-CN"/>
        </w:rPr>
        <w:t>二</w:t>
      </w:r>
      <w:r>
        <w:rPr>
          <w:rFonts w:hint="eastAsia" w:ascii="楷体_GB2312" w:hAnsi="楷体_GB2312" w:eastAsia="楷体_GB2312" w:cs="楷体_GB2312"/>
          <w:color w:val="000000"/>
          <w:kern w:val="0"/>
          <w:sz w:val="32"/>
          <w:szCs w:val="32"/>
        </w:rPr>
        <w:t>)202</w:t>
      </w:r>
      <w:r>
        <w:rPr>
          <w:rFonts w:hint="eastAsia" w:ascii="楷体_GB2312" w:hAnsi="楷体_GB2312" w:eastAsia="楷体_GB2312" w:cs="楷体_GB2312"/>
          <w:color w:val="000000"/>
          <w:kern w:val="0"/>
          <w:sz w:val="32"/>
          <w:szCs w:val="32"/>
          <w:lang w:val="en-US" w:eastAsia="zh-CN"/>
        </w:rPr>
        <w:t>2</w:t>
      </w:r>
      <w:r>
        <w:rPr>
          <w:rFonts w:hint="eastAsia" w:ascii="楷体_GB2312" w:hAnsi="楷体_GB2312" w:eastAsia="楷体_GB2312" w:cs="楷体_GB2312"/>
          <w:color w:val="000000"/>
          <w:kern w:val="0"/>
          <w:sz w:val="32"/>
          <w:szCs w:val="32"/>
        </w:rPr>
        <w:t>年度重点工作</w:t>
      </w:r>
      <w:r>
        <w:rPr>
          <w:rFonts w:hint="eastAsia" w:ascii="楷体_GB2312" w:hAnsi="楷体_GB2312" w:eastAsia="楷体_GB2312" w:cs="楷体_GB2312"/>
          <w:color w:val="000000"/>
          <w:kern w:val="0"/>
          <w:sz w:val="32"/>
          <w:szCs w:val="32"/>
          <w:lang w:eastAsia="zh-CN"/>
        </w:rPr>
        <w:t>：各临床科室重点专科建设，强调医疗安全、用药安全，提升医疗服务水平，提高病人满意度。康复养老建设项目正在有序的建设中。</w:t>
      </w:r>
    </w:p>
    <w:p>
      <w:pPr>
        <w:widowControl/>
        <w:spacing w:line="600" w:lineRule="exact"/>
        <w:ind w:firstLine="627" w:firstLineChars="196"/>
        <w:jc w:val="left"/>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w:t>
      </w:r>
      <w:r>
        <w:rPr>
          <w:rFonts w:hint="eastAsia" w:ascii="楷体_GB2312" w:hAnsi="楷体_GB2312" w:eastAsia="楷体_GB2312" w:cs="楷体_GB2312"/>
          <w:color w:val="000000"/>
          <w:kern w:val="0"/>
          <w:sz w:val="32"/>
          <w:szCs w:val="32"/>
          <w:lang w:eastAsia="zh-CN"/>
        </w:rPr>
        <w:t>三</w:t>
      </w:r>
      <w:r>
        <w:rPr>
          <w:rFonts w:hint="eastAsia" w:ascii="楷体_GB2312" w:hAnsi="楷体_GB2312" w:eastAsia="楷体_GB2312" w:cs="楷体_GB2312"/>
          <w:color w:val="000000"/>
          <w:kern w:val="0"/>
          <w:sz w:val="32"/>
          <w:szCs w:val="32"/>
        </w:rPr>
        <w:t>)</w:t>
      </w:r>
      <w:r>
        <w:rPr>
          <w:rFonts w:hint="eastAsia" w:ascii="楷体_GB2312" w:hAnsi="楷体_GB2312" w:eastAsia="楷体_GB2312" w:cs="楷体_GB2312"/>
          <w:color w:val="000000"/>
          <w:kern w:val="0"/>
          <w:sz w:val="32"/>
          <w:szCs w:val="32"/>
          <w:lang w:val="en-US" w:eastAsia="zh-CN"/>
        </w:rPr>
        <w:t>2022年收入预算实际完成21174.28万元，与上年相比增加18983.14万元，增加866.36%，其中：一般公共预算财政拨款收入完成1174.28万元，比上年减少1016.86万元，减少46.41</w:t>
      </w:r>
      <w:r>
        <w:rPr>
          <w:rFonts w:hint="eastAsia" w:ascii="楷体_GB2312" w:hAnsi="楷体_GB2312" w:eastAsia="楷体_GB2312" w:cs="楷体_GB2312"/>
          <w:color w:val="000000"/>
          <w:kern w:val="0"/>
          <w:sz w:val="32"/>
          <w:szCs w:val="32"/>
          <w:lang w:val="zh-CN" w:eastAsia="zh-CN"/>
        </w:rPr>
        <w:t>%，变化的主要原因是：一般公共预算项目预算的减少</w:t>
      </w:r>
      <w:bookmarkStart w:id="0" w:name="_GoBack"/>
      <w:bookmarkEnd w:id="0"/>
      <w:r>
        <w:rPr>
          <w:rFonts w:hint="eastAsia" w:ascii="楷体_GB2312" w:hAnsi="楷体_GB2312" w:eastAsia="楷体_GB2312" w:cs="楷体_GB2312"/>
          <w:color w:val="000000"/>
          <w:kern w:val="0"/>
          <w:sz w:val="32"/>
          <w:szCs w:val="32"/>
          <w:lang w:val="en-US" w:eastAsia="zh-CN"/>
        </w:rPr>
        <w:t>；政府性基金财政拨款收入完成20000万元，与上年比增加20000万元；与上年相比增加原因为：政府性基本项目安化县中医院康复养老建设项目的增加。</w:t>
      </w:r>
    </w:p>
    <w:p>
      <w:pPr>
        <w:keepNext w:val="0"/>
        <w:keepLines w:val="0"/>
        <w:pageBreakBefore w:val="0"/>
        <w:widowControl/>
        <w:numPr>
          <w:ilvl w:val="0"/>
          <w:numId w:val="2"/>
        </w:numPr>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一般公共预算支出情况</w:t>
      </w:r>
    </w:p>
    <w:p>
      <w:pPr>
        <w:widowControl/>
        <w:spacing w:line="600" w:lineRule="exact"/>
        <w:ind w:firstLine="660"/>
        <w:jc w:val="left"/>
        <w:rPr>
          <w:rFonts w:hint="default" w:ascii="黑体" w:hAnsi="黑体" w:eastAsia="黑体" w:cs="宋体"/>
          <w:color w:val="000000"/>
          <w:kern w:val="0"/>
          <w:sz w:val="32"/>
          <w:szCs w:val="32"/>
          <w:lang w:val="en-US" w:eastAsia="zh-CN"/>
        </w:rPr>
      </w:pPr>
      <w:r>
        <w:rPr>
          <w:rFonts w:hint="eastAsia" w:ascii="楷体_GB2312" w:hAnsi="楷体_GB2312" w:eastAsia="楷体_GB2312" w:cs="楷体_GB2312"/>
          <w:color w:val="000000"/>
          <w:kern w:val="0"/>
          <w:sz w:val="32"/>
          <w:szCs w:val="32"/>
          <w:lang w:val="en-US" w:eastAsia="zh-CN"/>
        </w:rPr>
        <w:t>2022年本部门一般公共预算拨款支出预算1174.28万元，具体安排情况如下：</w:t>
      </w:r>
    </w:p>
    <w:p>
      <w:pPr>
        <w:widowControl/>
        <w:numPr>
          <w:ilvl w:val="0"/>
          <w:numId w:val="3"/>
        </w:numPr>
        <w:spacing w:line="600" w:lineRule="exact"/>
        <w:ind w:firstLine="660"/>
        <w:jc w:val="left"/>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基本支出情况</w:t>
      </w:r>
      <w:r>
        <w:rPr>
          <w:rFonts w:hint="eastAsia" w:ascii="楷体_GB2312" w:hAnsi="楷体_GB2312" w:eastAsia="楷体_GB2312" w:cs="楷体_GB2312"/>
          <w:color w:val="000000"/>
          <w:kern w:val="0"/>
          <w:sz w:val="32"/>
          <w:szCs w:val="32"/>
          <w:lang w:eastAsia="zh-CN"/>
        </w:rPr>
        <w:t>：</w:t>
      </w:r>
      <w:r>
        <w:rPr>
          <w:rFonts w:hint="eastAsia" w:ascii="楷体_GB2312" w:hAnsi="楷体_GB2312" w:eastAsia="楷体_GB2312" w:cs="楷体_GB2312"/>
          <w:color w:val="000000"/>
          <w:kern w:val="0"/>
          <w:sz w:val="32"/>
          <w:szCs w:val="32"/>
          <w:lang w:val="en-US" w:eastAsia="zh-CN"/>
        </w:rPr>
        <w:t>2022年本部门基本支出预算数1138.35万元，主要是为保障部门正常运转、完成日常工作任务而发生的各项支出，包括用于基本工资、津贴补贴等人员经费以及办公费、印刷费、水电费、办公设备购置等公用经费。</w:t>
      </w:r>
    </w:p>
    <w:p>
      <w:pPr>
        <w:keepNext w:val="0"/>
        <w:keepLines w:val="0"/>
        <w:pageBreakBefore w:val="0"/>
        <w:widowControl/>
        <w:numPr>
          <w:ilvl w:val="0"/>
          <w:numId w:val="3"/>
        </w:numPr>
        <w:kinsoku/>
        <w:wordWrap/>
        <w:overflowPunct/>
        <w:topLinePunct w:val="0"/>
        <w:autoSpaceDE/>
        <w:autoSpaceDN/>
        <w:bidi w:val="0"/>
        <w:adjustRightInd/>
        <w:snapToGrid/>
        <w:spacing w:line="576" w:lineRule="exact"/>
        <w:ind w:left="0" w:leftChars="0" w:firstLine="660" w:firstLineChars="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项目支出情况</w:t>
      </w:r>
      <w:r>
        <w:rPr>
          <w:rFonts w:hint="eastAsia" w:ascii="楷体_GB2312" w:hAnsi="楷体_GB2312" w:eastAsia="楷体_GB2312" w:cs="楷体_GB2312"/>
          <w:color w:val="000000"/>
          <w:kern w:val="0"/>
          <w:sz w:val="32"/>
          <w:szCs w:val="32"/>
          <w:lang w:eastAsia="zh-CN"/>
        </w:rPr>
        <w:t>：</w:t>
      </w:r>
      <w:r>
        <w:rPr>
          <w:rFonts w:hint="eastAsia" w:eastAsia="楷体_GB2312"/>
          <w:b w:val="0"/>
          <w:bCs/>
          <w:sz w:val="32"/>
          <w:szCs w:val="32"/>
          <w:u w:val="none"/>
          <w:lang w:val="en-US" w:eastAsia="zh-CN"/>
        </w:rPr>
        <w:t>2022年本部门项目支出预算数35.93万元，主要是为了保障部门运转完成日常工作发生的支出，包括用于手续费、专用材料费。</w:t>
      </w:r>
    </w:p>
    <w:p>
      <w:pPr>
        <w:keepNext w:val="0"/>
        <w:keepLines w:val="0"/>
        <w:pageBreakBefore w:val="0"/>
        <w:widowControl/>
        <w:numPr>
          <w:ilvl w:val="0"/>
          <w:numId w:val="2"/>
        </w:numPr>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政府性基金预算支出情况</w:t>
      </w:r>
    </w:p>
    <w:p>
      <w:pPr>
        <w:widowControl/>
        <w:spacing w:line="600" w:lineRule="exact"/>
        <w:ind w:firstLine="660"/>
        <w:jc w:val="left"/>
        <w:rPr>
          <w:rFonts w:hint="eastAsia" w:ascii="黑体" w:hAnsi="黑体" w:eastAsia="黑体" w:cs="宋体"/>
          <w:color w:val="000000"/>
          <w:kern w:val="0"/>
          <w:sz w:val="32"/>
          <w:szCs w:val="32"/>
        </w:rPr>
      </w:pPr>
      <w:r>
        <w:rPr>
          <w:rFonts w:hint="eastAsia" w:eastAsia="楷体_GB2312"/>
          <w:b w:val="0"/>
          <w:bCs/>
          <w:sz w:val="32"/>
          <w:szCs w:val="32"/>
          <w:u w:val="none"/>
          <w:lang w:val="en-US" w:eastAsia="zh-CN"/>
        </w:rPr>
        <w:t>本部门政府性基金预算支出20000万元，用于康复养老项目（一期）建设。</w:t>
      </w:r>
    </w:p>
    <w:p>
      <w:pPr>
        <w:keepNext w:val="0"/>
        <w:keepLines w:val="0"/>
        <w:pageBreakBefore w:val="0"/>
        <w:widowControl/>
        <w:numPr>
          <w:ilvl w:val="0"/>
          <w:numId w:val="2"/>
        </w:numPr>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国有资本经营预算支出情况</w:t>
      </w:r>
      <w:r>
        <w:rPr>
          <w:rFonts w:hint="eastAsia" w:ascii="黑体" w:hAnsi="黑体" w:eastAsia="黑体" w:cs="宋体"/>
          <w:color w:val="000000"/>
          <w:kern w:val="0"/>
          <w:sz w:val="32"/>
          <w:szCs w:val="32"/>
          <w:lang w:eastAsia="zh-CN"/>
        </w:rPr>
        <w:t>：无</w:t>
      </w:r>
    </w:p>
    <w:p>
      <w:pPr>
        <w:keepNext w:val="0"/>
        <w:keepLines w:val="0"/>
        <w:pageBreakBefore w:val="0"/>
        <w:widowControl/>
        <w:numPr>
          <w:ilvl w:val="0"/>
          <w:numId w:val="2"/>
        </w:numPr>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社会保险基金预算支出情况</w:t>
      </w:r>
      <w:r>
        <w:rPr>
          <w:rFonts w:hint="eastAsia" w:ascii="黑体" w:hAnsi="黑体" w:eastAsia="黑体" w:cs="宋体"/>
          <w:color w:val="000000"/>
          <w:kern w:val="0"/>
          <w:sz w:val="32"/>
          <w:szCs w:val="32"/>
          <w:lang w:eastAsia="zh-CN"/>
        </w:rPr>
        <w:t>：无</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六、部门整体支出绩效情况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eastAsia="楷体_GB2312"/>
          <w:b w:val="0"/>
          <w:bCs/>
          <w:sz w:val="32"/>
          <w:szCs w:val="32"/>
          <w:u w:val="none"/>
          <w:lang w:val="en-US" w:eastAsia="zh-CN"/>
        </w:rPr>
      </w:pPr>
      <w:r>
        <w:rPr>
          <w:rFonts w:hint="eastAsia" w:eastAsia="楷体_GB2312"/>
          <w:b w:val="0"/>
          <w:bCs/>
          <w:sz w:val="32"/>
          <w:szCs w:val="32"/>
          <w:u w:val="none"/>
          <w:lang w:val="en-US" w:eastAsia="zh-CN"/>
        </w:rPr>
        <w:t>通过实施绩效工资考核办法，提高医院的医疗服务质量和效率，提高医院的社会效益通过成本核算与控制，优化资源配置，促进增收节支，提高经济效益;通过实行绩效工资二次考核，促进相关工作;通过深化医院分配制度改革，逐步建立按岗取酬、按工作业绩取酬的分配机制，充分调动各级各类人员的工作积极性和劳动创造性。</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七、存在的问题及原因分析</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eastAsia="楷体_GB2312"/>
          <w:b w:val="0"/>
          <w:bCs/>
          <w:sz w:val="32"/>
          <w:szCs w:val="32"/>
          <w:u w:val="none"/>
          <w:lang w:val="en-US" w:eastAsia="zh-CN"/>
        </w:rPr>
      </w:pPr>
      <w:r>
        <w:rPr>
          <w:rFonts w:hint="eastAsia" w:eastAsia="楷体_GB2312"/>
          <w:b w:val="0"/>
          <w:bCs/>
          <w:sz w:val="32"/>
          <w:szCs w:val="32"/>
          <w:u w:val="none"/>
          <w:lang w:val="en-US" w:eastAsia="zh-CN"/>
        </w:rPr>
        <w:t>基于树立过紧日子的思想，财政进一步压缩一般性支出且省财政厅使用一体化系统加大了对资金使用的监管,这对财务工作提出了更高的要求。</w:t>
      </w:r>
    </w:p>
    <w:p>
      <w:pPr>
        <w:keepNext w:val="0"/>
        <w:keepLines w:val="0"/>
        <w:pageBreakBefore w:val="0"/>
        <w:widowControl/>
        <w:numPr>
          <w:ilvl w:val="0"/>
          <w:numId w:val="4"/>
        </w:numPr>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下一步改进措施</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eastAsia="楷体_GB2312"/>
          <w:b w:val="0"/>
          <w:bCs/>
          <w:sz w:val="32"/>
          <w:szCs w:val="32"/>
          <w:u w:val="none"/>
          <w:lang w:val="en-US" w:eastAsia="zh-CN"/>
        </w:rPr>
      </w:pPr>
      <w:r>
        <w:rPr>
          <w:rFonts w:hint="eastAsia" w:eastAsia="楷体_GB2312"/>
          <w:b w:val="0"/>
          <w:bCs/>
          <w:sz w:val="32"/>
          <w:szCs w:val="32"/>
          <w:u w:val="none"/>
          <w:lang w:val="en-US" w:eastAsia="zh-CN"/>
        </w:rPr>
        <w:t>1.细化预算工作。根据项目实际情况和单位员工情况,根据岗位、环节不同，进行层层分解，准确分析预算编制的内容，将其运用到各个部门、各个环节、各个岗位，在预算和执行时运用岗位预算执行责任制并结合运用相应的预算管理考核体制，使每个执行人了解自己的责任，明确并确认责任执行。</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eastAsia="楷体_GB2312"/>
          <w:b w:val="0"/>
          <w:bCs/>
          <w:sz w:val="32"/>
          <w:szCs w:val="32"/>
          <w:u w:val="none"/>
          <w:lang w:val="en-US" w:eastAsia="zh-CN"/>
        </w:rPr>
      </w:pPr>
      <w:r>
        <w:rPr>
          <w:rFonts w:hint="eastAsia" w:eastAsia="楷体_GB2312"/>
          <w:b w:val="0"/>
          <w:bCs/>
          <w:sz w:val="32"/>
          <w:szCs w:val="32"/>
          <w:u w:val="none"/>
          <w:lang w:val="en-US" w:eastAsia="zh-CN"/>
        </w:rPr>
        <w:t>2.加强预算管理。加强预算管理执行内容与进度的刚性约束，明确预算管理计划的内容，合理规划进度，适时公布，防止资金超支使用。</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eastAsia="楷体_GB2312"/>
          <w:b w:val="0"/>
          <w:bCs/>
          <w:sz w:val="32"/>
          <w:szCs w:val="32"/>
          <w:u w:val="none"/>
          <w:lang w:val="en-US" w:eastAsia="zh-CN"/>
        </w:rPr>
      </w:pPr>
      <w:r>
        <w:rPr>
          <w:rFonts w:hint="eastAsia" w:eastAsia="楷体_GB2312"/>
          <w:b w:val="0"/>
          <w:bCs/>
          <w:sz w:val="32"/>
          <w:szCs w:val="32"/>
          <w:u w:val="none"/>
          <w:lang w:val="en-US" w:eastAsia="zh-CN"/>
        </w:rPr>
        <w:t>3.加强监督力度。单位预算执行的监督机制与单位内控机制紧密结合，从事前、事中、事后三个时间维度进行监督，检查预算执行效果，保证评价公平合理。</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九、绩效自评结果拟应用和公开情况</w:t>
      </w:r>
    </w:p>
    <w:p>
      <w:r>
        <w:rPr>
          <w:rFonts w:hint="eastAsia" w:ascii="黑体" w:hAnsi="黑体" w:eastAsia="黑体" w:cs="宋体"/>
          <w:color w:val="000000"/>
          <w:kern w:val="0"/>
          <w:sz w:val="32"/>
          <w:szCs w:val="32"/>
        </w:rPr>
        <w:t>十、其他需要说明的情况</w:t>
      </w:r>
      <w:r>
        <w:rPr>
          <w:rFonts w:eastAsia="Times New Roman"/>
          <w:kern w:val="0"/>
          <w:sz w:val="22"/>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521B1A"/>
    <w:multiLevelType w:val="singleLevel"/>
    <w:tmpl w:val="8E521B1A"/>
    <w:lvl w:ilvl="0" w:tentative="0">
      <w:start w:val="8"/>
      <w:numFmt w:val="chineseCounting"/>
      <w:suff w:val="nothing"/>
      <w:lvlText w:val="%1、"/>
      <w:lvlJc w:val="left"/>
      <w:rPr>
        <w:rFonts w:hint="eastAsia"/>
      </w:rPr>
    </w:lvl>
  </w:abstractNum>
  <w:abstractNum w:abstractNumId="1">
    <w:nsid w:val="16DCF48A"/>
    <w:multiLevelType w:val="singleLevel"/>
    <w:tmpl w:val="16DCF48A"/>
    <w:lvl w:ilvl="0" w:tentative="0">
      <w:start w:val="2"/>
      <w:numFmt w:val="chineseCounting"/>
      <w:suff w:val="nothing"/>
      <w:lvlText w:val="%1、"/>
      <w:lvlJc w:val="left"/>
      <w:rPr>
        <w:rFonts w:hint="eastAsia"/>
      </w:rPr>
    </w:lvl>
  </w:abstractNum>
  <w:abstractNum w:abstractNumId="2">
    <w:nsid w:val="5C264F04"/>
    <w:multiLevelType w:val="singleLevel"/>
    <w:tmpl w:val="5C264F04"/>
    <w:lvl w:ilvl="0" w:tentative="0">
      <w:start w:val="1"/>
      <w:numFmt w:val="chineseCounting"/>
      <w:lvlText w:val="(%1)"/>
      <w:lvlJc w:val="left"/>
      <w:pPr>
        <w:tabs>
          <w:tab w:val="left" w:pos="312"/>
        </w:tabs>
      </w:pPr>
      <w:rPr>
        <w:rFonts w:hint="eastAsia"/>
      </w:rPr>
    </w:lvl>
  </w:abstractNum>
  <w:abstractNum w:abstractNumId="3">
    <w:nsid w:val="6A76AEF3"/>
    <w:multiLevelType w:val="singleLevel"/>
    <w:tmpl w:val="6A76AEF3"/>
    <w:lvl w:ilvl="0" w:tentative="0">
      <w:start w:val="1"/>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5OTczNzZjZTk2N2VmMmQ3NDFkZWU0MTk0NGVkZTIifQ=="/>
  </w:docVars>
  <w:rsids>
    <w:rsidRoot w:val="264F566B"/>
    <w:rsid w:val="264F5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2024-07-25T08:57:00Z</dcterms:created>
  <dc:creator>YC</dc:creator>
  <cp:lastModifiedBy>YC</cp:lastModifiedBy>
  <dcterms:modified xsi:type="dcterms:W3CDTF">2024-07-25T09:20:51Z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72AAFC09A97B4668B272E9B0F353BECC_11</vt:lpwstr>
  </property>
</Properties>
</file>