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EB168">
      <w:pPr>
        <w:spacing w:line="600" w:lineRule="exact"/>
        <w:jc w:val="center"/>
        <w:rPr>
          <w:rFonts w:hint="eastAsia"/>
          <w:sz w:val="44"/>
          <w:szCs w:val="44"/>
        </w:rPr>
      </w:pPr>
      <w:r>
        <w:rPr>
          <w:rFonts w:hint="eastAsia" w:eastAsia="方正小标宋_GBK"/>
          <w:sz w:val="44"/>
          <w:szCs w:val="44"/>
          <w:lang w:eastAsia="zh-CN"/>
        </w:rPr>
        <w:t>安化县市场监管领域</w:t>
      </w:r>
      <w:r>
        <w:rPr>
          <w:rFonts w:hint="eastAsia" w:eastAsia="方正小标宋_GBK"/>
          <w:sz w:val="44"/>
          <w:szCs w:val="44"/>
        </w:rPr>
        <w:t>涉企行政检查</w:t>
      </w:r>
      <w:r>
        <w:rPr>
          <w:rFonts w:eastAsia="方正小标宋_GBK"/>
          <w:sz w:val="44"/>
          <w:szCs w:val="44"/>
        </w:rPr>
        <w:t>事项清单</w:t>
      </w:r>
    </w:p>
    <w:p w14:paraId="07C00A8F"/>
    <w:tbl>
      <w:tblPr>
        <w:tblStyle w:val="6"/>
        <w:tblW w:w="158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9"/>
        <w:gridCol w:w="1012"/>
        <w:gridCol w:w="873"/>
        <w:gridCol w:w="5268"/>
        <w:gridCol w:w="983"/>
        <w:gridCol w:w="1000"/>
        <w:gridCol w:w="3833"/>
        <w:gridCol w:w="650"/>
        <w:gridCol w:w="650"/>
        <w:gridCol w:w="1175"/>
      </w:tblGrid>
      <w:tr w14:paraId="4BAC8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0" w:hRule="exact"/>
          <w:tblHeader/>
          <w:jc w:val="center"/>
        </w:trPr>
        <w:tc>
          <w:tcPr>
            <w:tcW w:w="409" w:type="dxa"/>
            <w:noWrap w:val="0"/>
            <w:vAlign w:val="center"/>
          </w:tcPr>
          <w:p w14:paraId="446FEF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012" w:type="dxa"/>
            <w:noWrap w:val="0"/>
            <w:vAlign w:val="center"/>
          </w:tcPr>
          <w:p w14:paraId="396C9BBE">
            <w:pPr>
              <w:pStyle w:val="10"/>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检查</w:t>
            </w:r>
            <w:r>
              <w:rPr>
                <w:rFonts w:hint="default" w:ascii="Times New Roman" w:hAnsi="Times New Roman" w:eastAsia="方正仿宋_GBK" w:cs="Times New Roman"/>
                <w:sz w:val="24"/>
                <w:szCs w:val="24"/>
              </w:rPr>
              <w:t>事项</w:t>
            </w:r>
          </w:p>
        </w:tc>
        <w:tc>
          <w:tcPr>
            <w:tcW w:w="873" w:type="dxa"/>
            <w:noWrap w:val="0"/>
            <w:vAlign w:val="center"/>
          </w:tcPr>
          <w:p w14:paraId="6E6C1428">
            <w:pPr>
              <w:pStyle w:val="10"/>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检查主体（实施层级）</w:t>
            </w:r>
          </w:p>
        </w:tc>
        <w:tc>
          <w:tcPr>
            <w:tcW w:w="5268" w:type="dxa"/>
            <w:noWrap w:val="0"/>
            <w:vAlign w:val="center"/>
          </w:tcPr>
          <w:p w14:paraId="253285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实施依据</w:t>
            </w:r>
          </w:p>
        </w:tc>
        <w:tc>
          <w:tcPr>
            <w:tcW w:w="983" w:type="dxa"/>
            <w:noWrap w:val="0"/>
            <w:vAlign w:val="center"/>
          </w:tcPr>
          <w:p w14:paraId="1C5DC5D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承办机构</w:t>
            </w:r>
          </w:p>
        </w:tc>
        <w:tc>
          <w:tcPr>
            <w:tcW w:w="1000" w:type="dxa"/>
            <w:noWrap w:val="0"/>
            <w:vAlign w:val="center"/>
          </w:tcPr>
          <w:p w14:paraId="09ADA02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检查对象</w:t>
            </w:r>
          </w:p>
        </w:tc>
        <w:tc>
          <w:tcPr>
            <w:tcW w:w="3833" w:type="dxa"/>
            <w:noWrap w:val="0"/>
            <w:vAlign w:val="center"/>
          </w:tcPr>
          <w:p w14:paraId="5B6D624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检查内容</w:t>
            </w:r>
          </w:p>
        </w:tc>
        <w:tc>
          <w:tcPr>
            <w:tcW w:w="650" w:type="dxa"/>
            <w:noWrap w:val="0"/>
            <w:vAlign w:val="center"/>
          </w:tcPr>
          <w:p w14:paraId="1E4DBA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检查方式</w:t>
            </w:r>
          </w:p>
        </w:tc>
        <w:tc>
          <w:tcPr>
            <w:tcW w:w="650" w:type="dxa"/>
            <w:noWrap w:val="0"/>
            <w:vAlign w:val="center"/>
          </w:tcPr>
          <w:p w14:paraId="2959103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检查频次</w:t>
            </w:r>
          </w:p>
        </w:tc>
        <w:tc>
          <w:tcPr>
            <w:tcW w:w="1175" w:type="dxa"/>
            <w:noWrap w:val="0"/>
            <w:vAlign w:val="center"/>
          </w:tcPr>
          <w:p w14:paraId="298724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备注</w:t>
            </w:r>
          </w:p>
        </w:tc>
      </w:tr>
      <w:tr w14:paraId="678E8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6" w:hRule="atLeast"/>
          <w:jc w:val="center"/>
        </w:trPr>
        <w:tc>
          <w:tcPr>
            <w:tcW w:w="409" w:type="dxa"/>
            <w:noWrap w:val="0"/>
            <w:vAlign w:val="center"/>
          </w:tcPr>
          <w:p w14:paraId="2454C7C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012" w:type="dxa"/>
            <w:noWrap w:val="0"/>
            <w:vAlign w:val="center"/>
          </w:tcPr>
          <w:p w14:paraId="11915BA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登记事项检查</w:t>
            </w:r>
          </w:p>
        </w:tc>
        <w:tc>
          <w:tcPr>
            <w:tcW w:w="873" w:type="dxa"/>
            <w:noWrap w:val="0"/>
            <w:vAlign w:val="center"/>
          </w:tcPr>
          <w:p w14:paraId="605CA35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3013B5B6">
            <w:pPr>
              <w:keepNext w:val="0"/>
              <w:keepLines w:val="0"/>
              <w:pageBreakBefore w:val="0"/>
              <w:widowControl w:val="0"/>
              <w:suppressLineNumbers w:val="0"/>
              <w:kinsoku w:val="0"/>
              <w:wordWrap/>
              <w:overflowPunct/>
              <w:topLinePunct w:val="0"/>
              <w:autoSpaceDE/>
              <w:autoSpaceDN/>
              <w:bidi w:val="0"/>
              <w:adjustRightInd w:val="0"/>
              <w:snapToGrid w:val="0"/>
              <w:spacing w:afterAutospacing="0" w:line="240" w:lineRule="exact"/>
              <w:ind w:left="0" w:leftChars="0" w:firstLine="0" w:firstLineChars="0"/>
              <w:jc w:val="left"/>
              <w:textAlignment w:val="center"/>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i w:val="0"/>
                <w:color w:val="000000"/>
                <w:kern w:val="0"/>
                <w:sz w:val="24"/>
                <w:szCs w:val="24"/>
                <w:u w:val="none"/>
                <w:lang w:val="en-US" w:eastAsia="zh-CN" w:bidi="ar"/>
              </w:rPr>
              <w:t>《中华人民共和国公司法》第三十二条、第三十四条、第二百六十条第二款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《中华人民共和国合伙企业法》第十三条、第九十四条、第九十五条第二款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《企业名称登记管理规定》第十一条、第二十三条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《优化营商环境条例》第五十四条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《中华人民共和国市场主体登记管理条例》第八条、第二十四条、第二十六条、第三十一条、第三十八条、第四十六条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《公司登记管理实施办法》第四条、第十二条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《中华人民共和国市场主体登记管理条例实施细则》第六条、第三十六条、第四十四条、第六十六条、第七十二条</w:t>
            </w:r>
          </w:p>
        </w:tc>
        <w:tc>
          <w:tcPr>
            <w:tcW w:w="983" w:type="dxa"/>
            <w:noWrap w:val="0"/>
            <w:vAlign w:val="center"/>
          </w:tcPr>
          <w:p w14:paraId="0B07B8C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信用股</w:t>
            </w:r>
          </w:p>
        </w:tc>
        <w:tc>
          <w:tcPr>
            <w:tcW w:w="1000" w:type="dxa"/>
            <w:noWrap w:val="0"/>
            <w:vAlign w:val="center"/>
          </w:tcPr>
          <w:p w14:paraId="4D15698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tc>
        <w:tc>
          <w:tcPr>
            <w:tcW w:w="3833" w:type="dxa"/>
            <w:noWrap w:val="0"/>
            <w:vAlign w:val="center"/>
          </w:tcPr>
          <w:p w14:paraId="6900B5F2">
            <w:pPr>
              <w:keepNext w:val="0"/>
              <w:keepLines w:val="0"/>
              <w:pageBreakBefore w:val="0"/>
              <w:widowControl w:val="0"/>
              <w:numPr>
                <w:ilvl w:val="0"/>
                <w:numId w:val="1"/>
              </w:numPr>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名称；</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（二）主体类型；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（三）经营范围；</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（四）住所或者主要经营场所；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（五）注册资本或者出资额；</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（六）法定代表人、执行事务合伙人或者负责人姓名。</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除前款规定外，还应当根据市场主体类型登记下列事项：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（一）有限责任公司股东、股份有限公司发起人、非公司企业法人出资人的姓名或者名称；</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（二）个人独资企业的投资人姓名及居所；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（三）合伙企业的合伙人名称或者姓名、住所、承担责任方式；</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（四）个体工商户的经营者姓名、住所、经营场所；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（五）法律、行政法规规定的其他事项</w:t>
            </w:r>
          </w:p>
        </w:tc>
        <w:tc>
          <w:tcPr>
            <w:tcW w:w="650" w:type="dxa"/>
            <w:noWrap w:val="0"/>
            <w:vAlign w:val="center"/>
          </w:tcPr>
          <w:p w14:paraId="4D9451F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FD56D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一年一次</w:t>
            </w:r>
          </w:p>
        </w:tc>
        <w:tc>
          <w:tcPr>
            <w:tcW w:w="1175" w:type="dxa"/>
            <w:noWrap w:val="0"/>
            <w:vAlign w:val="center"/>
          </w:tcPr>
          <w:p w14:paraId="7C62964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rPr>
            </w:pPr>
          </w:p>
        </w:tc>
      </w:tr>
      <w:tr w14:paraId="64F2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0" w:hRule="atLeast"/>
          <w:jc w:val="center"/>
        </w:trPr>
        <w:tc>
          <w:tcPr>
            <w:tcW w:w="409" w:type="dxa"/>
            <w:noWrap w:val="0"/>
            <w:vAlign w:val="center"/>
          </w:tcPr>
          <w:p w14:paraId="1877996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012" w:type="dxa"/>
            <w:noWrap w:val="0"/>
            <w:vAlign w:val="center"/>
          </w:tcPr>
          <w:p w14:paraId="5641632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备案事项检查</w:t>
            </w:r>
          </w:p>
        </w:tc>
        <w:tc>
          <w:tcPr>
            <w:tcW w:w="873" w:type="dxa"/>
            <w:noWrap w:val="0"/>
            <w:vAlign w:val="center"/>
          </w:tcPr>
          <w:p w14:paraId="3353BF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0182172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《中华人民共和国市场主体登记管理条例》第九条、第二十九条、第三十条、第四十七条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《公司登记管理实施办法》第五条、第六条、第七条、第八条、第九条、第十一条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《中华人民共和国市场主体登记管理条例实施细则》第七条、第三十九条、第四十一条、第四十二条、第四十三条、第六十六条、第七十三条、第七十四条</w:t>
            </w:r>
          </w:p>
        </w:tc>
        <w:tc>
          <w:tcPr>
            <w:tcW w:w="983" w:type="dxa"/>
            <w:noWrap w:val="0"/>
            <w:vAlign w:val="center"/>
          </w:tcPr>
          <w:p w14:paraId="15C27C2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1000" w:type="dxa"/>
            <w:noWrap w:val="0"/>
            <w:vAlign w:val="center"/>
          </w:tcPr>
          <w:p w14:paraId="1317EA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tc>
        <w:tc>
          <w:tcPr>
            <w:tcW w:w="3833" w:type="dxa"/>
            <w:noWrap w:val="0"/>
            <w:vAlign w:val="center"/>
          </w:tcPr>
          <w:p w14:paraId="32AFB21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（一）章程或者合伙协议；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（二）经营期限或者合伙期限；</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（三）有限责任公司股东或者股份有限公司发起人认缴的出资数额，合伙企业合伙人认缴或者实际缴付的出资数额、缴付期限和出资方式；</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（四）公司董事、监事、高级管理人员；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（五）农民专业合作社（联合社）成员；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（六）参加经营的个体工商户家庭成员姓名；</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（七）市场主体登记联络员、外商投资企业法律文件送达接受人；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（八）公司、合伙企业等市场主体受益所有人相关信息；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（九）法律、行政法规规定的其他事项。</w:t>
            </w:r>
          </w:p>
        </w:tc>
        <w:tc>
          <w:tcPr>
            <w:tcW w:w="650" w:type="dxa"/>
            <w:noWrap w:val="0"/>
            <w:vAlign w:val="center"/>
          </w:tcPr>
          <w:p w14:paraId="582806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5DA48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1175" w:type="dxa"/>
            <w:noWrap w:val="0"/>
            <w:vAlign w:val="center"/>
          </w:tcPr>
          <w:p w14:paraId="0BCB25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433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515A95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012" w:type="dxa"/>
            <w:noWrap w:val="0"/>
            <w:vAlign w:val="center"/>
          </w:tcPr>
          <w:p w14:paraId="7B2A7FC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公示信息检查</w:t>
            </w:r>
          </w:p>
        </w:tc>
        <w:tc>
          <w:tcPr>
            <w:tcW w:w="873" w:type="dxa"/>
            <w:noWrap w:val="0"/>
            <w:vAlign w:val="center"/>
          </w:tcPr>
          <w:p w14:paraId="1220DF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5CC1FD9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《中华人民共和国公司法》第四十条、第二百五十一条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《企业公示信息抽查暂行办法》第十条、第十二条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《企业经营异常名录管理暂行办法》第四条、第六条、第八条、第九条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《个体工商户年度报告暂行办法》第六条、第十一条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《农民专业合作社年度报告公示暂行办法》第五条、第八条、第九条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《企业信息公示暂行条例》第八条、第九条、第十条、第十四条、第十五条、第十八条第一款、第二款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《中华人民共和国市场主体登记管理条例》第三十五条、第三十八条第二款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《中华人民共和国市场主体登记管理条例实施细则》第六十三条、第六十六条、第七十条</w:t>
            </w:r>
          </w:p>
        </w:tc>
        <w:tc>
          <w:tcPr>
            <w:tcW w:w="983" w:type="dxa"/>
            <w:noWrap w:val="0"/>
            <w:vAlign w:val="center"/>
          </w:tcPr>
          <w:p w14:paraId="7A9DACD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1000" w:type="dxa"/>
            <w:noWrap w:val="0"/>
            <w:vAlign w:val="center"/>
          </w:tcPr>
          <w:p w14:paraId="27DE66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企业、个体工商户、农民专业合作社</w:t>
            </w:r>
          </w:p>
        </w:tc>
        <w:tc>
          <w:tcPr>
            <w:tcW w:w="3833" w:type="dxa"/>
            <w:noWrap w:val="0"/>
            <w:vAlign w:val="center"/>
          </w:tcPr>
          <w:p w14:paraId="02938D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年度报告：</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（一）企业通信地址、邮政编码、联系电话、电子邮箱等信息；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（二）企业开业、歇业、清算等存续状态信息；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（三）企业投资设立企业、购买股权信息；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（四）企业为有限责任公司或者股份有限公司的，其股东或者发起人认缴和实缴的出资额、出资时间、出资方式等信息；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（五）有限责任公司股东股权转让等股权变更信息；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（六）企业网站以及从事网络经营的网店的名称、网址等信息；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（七）企业从业人数、资产总额、负债总额、对外提供保证担保、所有者权益合计、营业总收入、主营业务收入、利润总额、净利润、纳税总额信息。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即时信息：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（一）有限责任公司股东或者股份有限公司发起人认缴和实缴的出资额、出资时间、出资方式等信息；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（二）有限责任公司股东股权转让等股权变更信息；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（三）行政许可取得、变更、延续信息；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（四）知识产权出质登记信息；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（五）受到行政处罚的信息；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（六）其他依法应当公示的信息。</w:t>
            </w:r>
          </w:p>
        </w:tc>
        <w:tc>
          <w:tcPr>
            <w:tcW w:w="650" w:type="dxa"/>
            <w:noWrap w:val="0"/>
            <w:vAlign w:val="center"/>
          </w:tcPr>
          <w:p w14:paraId="34D5739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1A5578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1175" w:type="dxa"/>
            <w:noWrap w:val="0"/>
            <w:vAlign w:val="center"/>
          </w:tcPr>
          <w:p w14:paraId="36103F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DC5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409" w:type="dxa"/>
            <w:noWrap w:val="0"/>
            <w:vAlign w:val="center"/>
          </w:tcPr>
          <w:p w14:paraId="4829109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012" w:type="dxa"/>
            <w:noWrap w:val="0"/>
            <w:vAlign w:val="center"/>
          </w:tcPr>
          <w:p w14:paraId="695FB56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外国企业常驻代表机构监督管理</w:t>
            </w:r>
          </w:p>
        </w:tc>
        <w:tc>
          <w:tcPr>
            <w:tcW w:w="873" w:type="dxa"/>
            <w:noWrap w:val="0"/>
            <w:vAlign w:val="center"/>
          </w:tcPr>
          <w:p w14:paraId="466B54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192888B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《外国企业常驻代表机构登记管理条例》第九条、第十六条、第三十五条、第三十六条、第三十七条、第三十八条</w:t>
            </w:r>
          </w:p>
        </w:tc>
        <w:tc>
          <w:tcPr>
            <w:tcW w:w="983" w:type="dxa"/>
            <w:noWrap w:val="0"/>
            <w:vAlign w:val="center"/>
          </w:tcPr>
          <w:p w14:paraId="2A0D3CF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信用股</w:t>
            </w:r>
          </w:p>
        </w:tc>
        <w:tc>
          <w:tcPr>
            <w:tcW w:w="1000" w:type="dxa"/>
            <w:noWrap w:val="0"/>
            <w:vAlign w:val="center"/>
          </w:tcPr>
          <w:p w14:paraId="56DEB10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外国企业常驻代表机构</w:t>
            </w:r>
          </w:p>
        </w:tc>
        <w:tc>
          <w:tcPr>
            <w:tcW w:w="3833" w:type="dxa"/>
            <w:noWrap w:val="0"/>
            <w:vAlign w:val="center"/>
          </w:tcPr>
          <w:p w14:paraId="480C0F0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代表机构名称、首席代表姓名、业务范围、驻在场所、驻在期限、外国企业名称、住所和年度报告。</w:t>
            </w:r>
          </w:p>
        </w:tc>
        <w:tc>
          <w:tcPr>
            <w:tcW w:w="650" w:type="dxa"/>
            <w:noWrap w:val="0"/>
            <w:vAlign w:val="center"/>
          </w:tcPr>
          <w:p w14:paraId="145BFE4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D538EC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1175" w:type="dxa"/>
            <w:noWrap w:val="0"/>
            <w:vAlign w:val="center"/>
          </w:tcPr>
          <w:p w14:paraId="4D2D2F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F8B8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24" w:hRule="atLeast"/>
          <w:jc w:val="center"/>
        </w:trPr>
        <w:tc>
          <w:tcPr>
            <w:tcW w:w="409" w:type="dxa"/>
            <w:noWrap w:val="0"/>
            <w:vAlign w:val="center"/>
          </w:tcPr>
          <w:p w14:paraId="3F5612C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5</w:t>
            </w:r>
          </w:p>
        </w:tc>
        <w:tc>
          <w:tcPr>
            <w:tcW w:w="1012" w:type="dxa"/>
            <w:noWrap w:val="0"/>
            <w:vAlign w:val="center"/>
          </w:tcPr>
          <w:p w14:paraId="40A73F4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经营者销售、收购商品和提供服务时应按规定明码标价</w:t>
            </w:r>
          </w:p>
        </w:tc>
        <w:tc>
          <w:tcPr>
            <w:tcW w:w="873" w:type="dxa"/>
            <w:noWrap w:val="0"/>
            <w:vAlign w:val="center"/>
          </w:tcPr>
          <w:p w14:paraId="6E69B9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13E5386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第四十二条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经营者违反明码标价规定的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责令改正</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没收违法所得</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可以并处五千元以下的罚款。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经营者违反明码标价规定</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有下列行为之一的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责令改正</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没收违法所得</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可以并处5000元以下的罚款：</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（一）不标明价格的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（二）不按照规定的内容和方式明码标价的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（三）在标价之外加价出售商品或者收取未标明的费用的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（四）违反明码标价规定的其他行为。</w:t>
            </w:r>
          </w:p>
        </w:tc>
        <w:tc>
          <w:tcPr>
            <w:tcW w:w="983" w:type="dxa"/>
            <w:noWrap w:val="0"/>
            <w:vAlign w:val="center"/>
          </w:tcPr>
          <w:p w14:paraId="69D5BE5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000000"/>
                <w:kern w:val="0"/>
                <w:sz w:val="24"/>
                <w:szCs w:val="24"/>
                <w:u w:val="none"/>
                <w:lang w:val="en-US" w:eastAsia="zh-CN" w:bidi="ar"/>
              </w:rPr>
              <w:t>价格股</w:t>
            </w:r>
          </w:p>
        </w:tc>
        <w:tc>
          <w:tcPr>
            <w:tcW w:w="1000" w:type="dxa"/>
            <w:noWrap w:val="0"/>
            <w:vAlign w:val="center"/>
          </w:tcPr>
          <w:p w14:paraId="1BCA2AA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66B3B11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1.商品品名、单价、计价单位等要素是否齐全。</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2.服务项目名称、服务内容和价格或计价方式是否齐全。</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3.商品在销售时是否使用标价签或标价签遗失。</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4.收取费用是否高于商品、服务的标价。</w:t>
            </w:r>
          </w:p>
        </w:tc>
        <w:tc>
          <w:tcPr>
            <w:tcW w:w="650" w:type="dxa"/>
            <w:noWrap w:val="0"/>
            <w:vAlign w:val="center"/>
          </w:tcPr>
          <w:p w14:paraId="4FCF0D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6B18052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sz w:val="24"/>
                <w:szCs w:val="24"/>
                <w:lang w:eastAsia="zh-CN"/>
              </w:rPr>
              <w:t>一年一次</w:t>
            </w:r>
          </w:p>
        </w:tc>
        <w:tc>
          <w:tcPr>
            <w:tcW w:w="1175" w:type="dxa"/>
            <w:noWrap w:val="0"/>
            <w:vAlign w:val="center"/>
          </w:tcPr>
          <w:p w14:paraId="73C8F49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重大节假日、重点时段开展市场随机巡查</w:t>
            </w:r>
          </w:p>
        </w:tc>
      </w:tr>
      <w:tr w14:paraId="1805A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127D87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6</w:t>
            </w:r>
          </w:p>
        </w:tc>
        <w:tc>
          <w:tcPr>
            <w:tcW w:w="1012" w:type="dxa"/>
            <w:noWrap w:val="0"/>
            <w:vAlign w:val="center"/>
          </w:tcPr>
          <w:p w14:paraId="12DD0DC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经营者执行政府指导价、政府定价以及法定的价格干预措施、紧急措施</w:t>
            </w:r>
          </w:p>
        </w:tc>
        <w:tc>
          <w:tcPr>
            <w:tcW w:w="873" w:type="dxa"/>
            <w:noWrap w:val="0"/>
            <w:vAlign w:val="center"/>
          </w:tcPr>
          <w:p w14:paraId="50C78A2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01726F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第三十九条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经营者不执行政府指导价、政府定价以及法定的价格干预措施、紧急措施的，责令改正，没收违法所得，可以并处违法所得五倍以下的罚款；没有违法所得的，可以处以罚款；情节严重的，责令停业整顿。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经营者不执行政府指导价、政府定价，有下列行为之一的，责令改正，没收违法所得，并处违法所得5倍以下的罚款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没有违法所得的，处5万元以上50万元以下的罚款，情节较重的处50万元以上200万元以下的罚款；情节严重的，责令停业整顿：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（一）超出政府指导价浮动幅度制定价格的；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（二）高于或者低于政府定价制定价格的；（三）擅自制定属于政府指导价、政府定价范围内的商品或者服务价格的；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（四）提前或者推迟执行政府指导价、政府定价的；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（五）自立收费项目或者自定标准收费的；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（六）采取分解收费项目、重复收费、扩大收费范围等方式</w:t>
            </w:r>
            <w:r>
              <w:rPr>
                <w:rFonts w:hint="eastAsia" w:eastAsia="方正仿宋_GBK" w:cs="Times New Roman"/>
                <w:i w:val="0"/>
                <w:color w:val="000000"/>
                <w:kern w:val="0"/>
                <w:sz w:val="24"/>
                <w:szCs w:val="24"/>
                <w:u w:val="none"/>
                <w:lang w:val="en-US" w:eastAsia="zh-CN" w:bidi="ar"/>
              </w:rPr>
              <w:t>变相</w:t>
            </w:r>
            <w:r>
              <w:rPr>
                <w:rFonts w:hint="default" w:ascii="Times New Roman" w:hAnsi="Times New Roman" w:eastAsia="方正仿宋_GBK" w:cs="Times New Roman"/>
                <w:i w:val="0"/>
                <w:color w:val="000000"/>
                <w:kern w:val="0"/>
                <w:sz w:val="24"/>
                <w:szCs w:val="24"/>
                <w:u w:val="none"/>
                <w:lang w:val="en-US" w:eastAsia="zh-CN" w:bidi="ar"/>
              </w:rPr>
              <w:t>提高收费标准的；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（七）对政府明令取消的收费项目继续收费的：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（八）违反规定以保证金、抵押金等形式变相收费的；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（九）强制或者变相强制服务并收费的；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（十）不按照规定提供服务而收取费用的；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（十一）不执行政府指导价、政府定价的其他行为。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经营者不执行法定的价格干预措施、紧急措施，有下列行为之一的，责令改正，没收违法所得，并处违法所得5倍以下的罚款；没有违法所得的，处10万元以上100万元以下的</w:t>
            </w:r>
            <w:r>
              <w:rPr>
                <w:rFonts w:hint="eastAsia" w:eastAsia="方正仿宋_GBK" w:cs="Times New Roman"/>
                <w:i w:val="0"/>
                <w:color w:val="000000"/>
                <w:kern w:val="0"/>
                <w:sz w:val="24"/>
                <w:szCs w:val="24"/>
                <w:u w:val="none"/>
                <w:lang w:val="en-US" w:eastAsia="zh-CN" w:bidi="ar"/>
              </w:rPr>
              <w:t>罚款</w:t>
            </w:r>
            <w:r>
              <w:rPr>
                <w:rFonts w:hint="default" w:ascii="Times New Roman" w:hAnsi="Times New Roman" w:eastAsia="方正仿宋_GBK" w:cs="Times New Roman"/>
                <w:i w:val="0"/>
                <w:color w:val="000000"/>
                <w:kern w:val="0"/>
                <w:sz w:val="24"/>
                <w:szCs w:val="24"/>
                <w:u w:val="none"/>
                <w:lang w:val="en-US" w:eastAsia="zh-CN" w:bidi="ar"/>
              </w:rPr>
              <w:t>，情节较重的处100万元以上500万元以下的罚款；情节严重的，责令停业整顿：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（一）不执行提价申报或者调价备案制度的</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（二）超过规定的差价率、利润率幅度的；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（三）不执行规定的限价、最低保护价的；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（四）不执行集中定价权限措施的；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（五）不执行冻结价格措施的；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（六）不执行法定的价格干预措施、紧急措施的其他行为。</w:t>
            </w:r>
          </w:p>
        </w:tc>
        <w:tc>
          <w:tcPr>
            <w:tcW w:w="983" w:type="dxa"/>
            <w:noWrap w:val="0"/>
            <w:vAlign w:val="center"/>
          </w:tcPr>
          <w:p w14:paraId="2896256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1000" w:type="dxa"/>
            <w:noWrap w:val="0"/>
            <w:vAlign w:val="center"/>
          </w:tcPr>
          <w:p w14:paraId="4182318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68960D1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1.经营者是否执行政府指导价、政府定价</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2.经营者是否执行法定价格干预措施、紧急措施。</w:t>
            </w:r>
          </w:p>
        </w:tc>
        <w:tc>
          <w:tcPr>
            <w:tcW w:w="650" w:type="dxa"/>
            <w:noWrap w:val="0"/>
            <w:vAlign w:val="center"/>
          </w:tcPr>
          <w:p w14:paraId="4F2251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2CD8D86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一年一次</w:t>
            </w:r>
          </w:p>
        </w:tc>
        <w:tc>
          <w:tcPr>
            <w:tcW w:w="1175" w:type="dxa"/>
            <w:noWrap w:val="0"/>
            <w:vAlign w:val="center"/>
          </w:tcPr>
          <w:p w14:paraId="7CD327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0129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67" w:hRule="atLeast"/>
          <w:jc w:val="center"/>
        </w:trPr>
        <w:tc>
          <w:tcPr>
            <w:tcW w:w="409" w:type="dxa"/>
            <w:noWrap w:val="0"/>
            <w:vAlign w:val="center"/>
          </w:tcPr>
          <w:p w14:paraId="27ACFF3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7</w:t>
            </w:r>
          </w:p>
        </w:tc>
        <w:tc>
          <w:tcPr>
            <w:tcW w:w="1012" w:type="dxa"/>
            <w:noWrap w:val="0"/>
            <w:vAlign w:val="center"/>
          </w:tcPr>
          <w:p w14:paraId="7258CB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经营者提供商品或服务禁止价格欺诈行为</w:t>
            </w:r>
          </w:p>
        </w:tc>
        <w:tc>
          <w:tcPr>
            <w:tcW w:w="873" w:type="dxa"/>
            <w:noWrap w:val="0"/>
            <w:vAlign w:val="center"/>
          </w:tcPr>
          <w:p w14:paraId="787D7C1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427C071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第四项经营者不得有下列不正当价格行为：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利用</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假的或者使人误解的价格手段，诱骗消费者或者其他经营者与其进行交易；</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经营者有本法第十四条所列行为之一的，责令改正，没收违法所得，可以并处违法所得五倍以下的罚款；没有违法所得的，</w:t>
            </w:r>
            <w:r>
              <w:rPr>
                <w:rFonts w:hint="eastAsia" w:eastAsia="方正仿宋_GBK" w:cs="Times New Roman"/>
                <w:i w:val="0"/>
                <w:color w:val="000000"/>
                <w:kern w:val="0"/>
                <w:sz w:val="24"/>
                <w:szCs w:val="24"/>
                <w:u w:val="none"/>
                <w:lang w:val="en-US" w:eastAsia="zh-CN" w:bidi="ar"/>
              </w:rPr>
              <w:t>予以</w:t>
            </w:r>
            <w:r>
              <w:rPr>
                <w:rFonts w:hint="default" w:ascii="Times New Roman" w:hAnsi="Times New Roman" w:eastAsia="方正仿宋_GBK" w:cs="Times New Roman"/>
                <w:i w:val="0"/>
                <w:color w:val="000000"/>
                <w:kern w:val="0"/>
                <w:sz w:val="24"/>
                <w:szCs w:val="24"/>
                <w:u w:val="none"/>
                <w:lang w:val="en-US" w:eastAsia="zh-CN" w:bidi="ar"/>
              </w:rPr>
              <w:t>警告，可以并处罚款；</w:t>
            </w:r>
            <w:r>
              <w:rPr>
                <w:rFonts w:hint="eastAsia" w:eastAsia="方正仿宋_GBK" w:cs="Times New Roman"/>
                <w:i w:val="0"/>
                <w:color w:val="000000"/>
                <w:kern w:val="0"/>
                <w:sz w:val="24"/>
                <w:szCs w:val="24"/>
                <w:u w:val="none"/>
                <w:lang w:val="en-US" w:eastAsia="zh-CN" w:bidi="ar"/>
              </w:rPr>
              <w:t>情节严重</w:t>
            </w:r>
            <w:r>
              <w:rPr>
                <w:rFonts w:hint="default" w:ascii="Times New Roman" w:hAnsi="Times New Roman" w:eastAsia="方正仿宋_GBK" w:cs="Times New Roman"/>
                <w:i w:val="0"/>
                <w:color w:val="000000"/>
                <w:kern w:val="0"/>
                <w:sz w:val="24"/>
                <w:szCs w:val="24"/>
                <w:u w:val="none"/>
                <w:lang w:val="en-US" w:eastAsia="zh-CN" w:bidi="ar"/>
              </w:rPr>
              <w:t>的，责令停业整顿，或者由工商行政管理机关吊销营业执照。有关法律对本法第十四条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所列行为的处罚及处罚机关另有规定的，可以依照有关法律的规定执行。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第七条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经营者违反价格法第十四条的规定，利用</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983" w:type="dxa"/>
            <w:noWrap w:val="0"/>
            <w:vAlign w:val="center"/>
          </w:tcPr>
          <w:p w14:paraId="34AAAFE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1000" w:type="dxa"/>
            <w:noWrap w:val="0"/>
            <w:vAlign w:val="center"/>
          </w:tcPr>
          <w:p w14:paraId="1BE62CE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4B5C9D9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1.是否谎称商品和服务价格为政府定价或者政府指导价；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2.是否以低价诱骗消费者或者其他经营者，以高价进行结算；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3.是否通过</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假折价、减价或者价格比较等方式销售商品或者提供服务；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4.是</w:t>
            </w:r>
            <w:r>
              <w:rPr>
                <w:rFonts w:hint="eastAsia" w:eastAsia="方正仿宋_GBK" w:cs="Times New Roman"/>
                <w:i w:val="0"/>
                <w:color w:val="000000"/>
                <w:kern w:val="0"/>
                <w:sz w:val="24"/>
                <w:szCs w:val="24"/>
                <w:u w:val="none"/>
                <w:lang w:val="en-US" w:eastAsia="zh-CN" w:bidi="ar"/>
              </w:rPr>
              <w:t>否在</w:t>
            </w:r>
            <w:r>
              <w:rPr>
                <w:rFonts w:hint="default" w:ascii="Times New Roman" w:hAnsi="Times New Roman" w:eastAsia="方正仿宋_GBK" w:cs="Times New Roman"/>
                <w:i w:val="0"/>
                <w:color w:val="000000"/>
                <w:kern w:val="0"/>
                <w:sz w:val="24"/>
                <w:szCs w:val="24"/>
                <w:u w:val="none"/>
                <w:lang w:val="en-US" w:eastAsia="zh-CN" w:bidi="ar"/>
              </w:rPr>
              <w:t>销售商品或者提供服务时，使用欺骗性、误导性的语言、</w:t>
            </w:r>
            <w:r>
              <w:rPr>
                <w:rFonts w:hint="eastAsia" w:eastAsia="方正仿宋_GBK" w:cs="Times New Roman"/>
                <w:i w:val="0"/>
                <w:color w:val="000000"/>
                <w:kern w:val="0"/>
                <w:sz w:val="24"/>
                <w:szCs w:val="24"/>
                <w:u w:val="none"/>
                <w:lang w:val="en-US" w:eastAsia="zh-CN" w:bidi="ar"/>
              </w:rPr>
              <w:t>文字</w:t>
            </w:r>
            <w:r>
              <w:rPr>
                <w:rFonts w:hint="default" w:ascii="Times New Roman" w:hAnsi="Times New Roman" w:eastAsia="方正仿宋_GBK" w:cs="Times New Roman"/>
                <w:i w:val="0"/>
                <w:color w:val="000000"/>
                <w:kern w:val="0"/>
                <w:sz w:val="24"/>
                <w:szCs w:val="24"/>
                <w:u w:val="none"/>
                <w:lang w:val="en-US" w:eastAsia="zh-CN" w:bidi="ar"/>
              </w:rPr>
              <w:t>、数字、图片或者视频等标示价格以及其他价格信息；</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5.是否无正当理由拒绝履行或者不完全履行价格承诺；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6.是否不标示或者显著弱化标示对消费者或者其他经营者不利的价格条件，诱骗消费者或者其他经营者与其进行交易；</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7.是否通过积分、礼券、兑换券、代金券等折抵价款时，拒不按约定折抵价款。</w:t>
            </w:r>
          </w:p>
        </w:tc>
        <w:tc>
          <w:tcPr>
            <w:tcW w:w="650" w:type="dxa"/>
            <w:noWrap w:val="0"/>
            <w:vAlign w:val="center"/>
          </w:tcPr>
          <w:p w14:paraId="4A80E17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245D40B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7BEE552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0329D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98" w:hRule="atLeast"/>
          <w:jc w:val="center"/>
        </w:trPr>
        <w:tc>
          <w:tcPr>
            <w:tcW w:w="409" w:type="dxa"/>
            <w:noWrap w:val="0"/>
            <w:vAlign w:val="center"/>
          </w:tcPr>
          <w:p w14:paraId="25C5029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1012" w:type="dxa"/>
            <w:noWrap w:val="0"/>
            <w:vAlign w:val="center"/>
          </w:tcPr>
          <w:p w14:paraId="7844FE5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经营者不得哄抬价格</w:t>
            </w:r>
          </w:p>
        </w:tc>
        <w:tc>
          <w:tcPr>
            <w:tcW w:w="873" w:type="dxa"/>
            <w:noWrap w:val="0"/>
            <w:vAlign w:val="center"/>
          </w:tcPr>
          <w:p w14:paraId="5FD6C44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7B99E10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《中华人民共和国价格法》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第三项经营者不得有下列不正当价格行为：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（三）捏造、散布涨价信息，哄抬价格，推动商品价格过高上涨的；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所列行为的处罚及处罚机关另有规定的，可以依照有关法律的规定执行。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《价格违法行为行政处罚规定》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第六条第一款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经营者违反价格法第十四条的规定，有下列推动商品价格过快、过高上涨行为之一的，责令</w:t>
            </w:r>
            <w:r>
              <w:rPr>
                <w:rFonts w:hint="eastAsia" w:eastAsia="方正仿宋_GBK" w:cs="Times New Roman"/>
                <w:i w:val="0"/>
                <w:color w:val="000000"/>
                <w:kern w:val="0"/>
                <w:sz w:val="24"/>
                <w:szCs w:val="24"/>
                <w:u w:val="none"/>
                <w:lang w:val="en-US" w:eastAsia="zh-CN" w:bidi="ar"/>
              </w:rPr>
              <w:t>改</w:t>
            </w:r>
            <w:r>
              <w:rPr>
                <w:rFonts w:hint="default" w:ascii="Times New Roman" w:hAnsi="Times New Roman" w:eastAsia="方正仿宋_GBK" w:cs="Times New Roman"/>
                <w:i w:val="0"/>
                <w:color w:val="000000"/>
                <w:kern w:val="0"/>
                <w:sz w:val="24"/>
                <w:szCs w:val="24"/>
                <w:u w:val="none"/>
                <w:lang w:val="en-US" w:eastAsia="zh-CN" w:bidi="ar"/>
              </w:rPr>
              <w:t>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（一）捏造、散布涨价信息，扰乱市场价格秩序的；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（二）除生产自用外，超出正常的存储数量或者存储周期，大量囤积市场供应紧张、价格发生异常波动的商品，经价格主管部门告诫仍继续囤积的；</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（三）利用其他手段哄抬价格，推动商品价格过快、过高上涨的。</w:t>
            </w:r>
          </w:p>
        </w:tc>
        <w:tc>
          <w:tcPr>
            <w:tcW w:w="983" w:type="dxa"/>
            <w:noWrap w:val="0"/>
            <w:vAlign w:val="center"/>
          </w:tcPr>
          <w:p w14:paraId="3F46B98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价格股</w:t>
            </w:r>
          </w:p>
        </w:tc>
        <w:tc>
          <w:tcPr>
            <w:tcW w:w="1000" w:type="dxa"/>
            <w:noWrap w:val="0"/>
            <w:vAlign w:val="center"/>
          </w:tcPr>
          <w:p w14:paraId="5E76EC7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54049F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经营者是否捏造、散布涨价信息，哄抬价格，推动商品价格过快、过高上涨。</w:t>
            </w:r>
          </w:p>
        </w:tc>
        <w:tc>
          <w:tcPr>
            <w:tcW w:w="650" w:type="dxa"/>
            <w:noWrap w:val="0"/>
            <w:vAlign w:val="center"/>
          </w:tcPr>
          <w:p w14:paraId="3E0C1A5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0CCEDE0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4F4381E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62B7E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2515EA2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w:t>
            </w:r>
          </w:p>
        </w:tc>
        <w:tc>
          <w:tcPr>
            <w:tcW w:w="1012" w:type="dxa"/>
            <w:noWrap w:val="0"/>
            <w:vAlign w:val="center"/>
          </w:tcPr>
          <w:p w14:paraId="0F25FC0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经营者不得擅自使用与他人有一定影响的商品名称、包装、装潢等相同或者近似的标识。不得擅自使用他人有一定影响的企业名称、社会组织名称、姓名</w:t>
            </w:r>
          </w:p>
        </w:tc>
        <w:tc>
          <w:tcPr>
            <w:tcW w:w="873" w:type="dxa"/>
            <w:noWrap w:val="0"/>
            <w:vAlign w:val="center"/>
          </w:tcPr>
          <w:p w14:paraId="1128AEA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65CB34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第十八条第一款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经营者违反本法第六条规定实施混淆行为的，由监督检查部门责令停止违法行为，没收违法商品。违法经营额五万元以上的，可以并处违法经营额五倍以下的罚款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没有违法经营额或者违法经营额不足五万元的，可以并处二十五万元以下的罚款。情节严重的，吊销营业执照。</w:t>
            </w:r>
          </w:p>
        </w:tc>
        <w:tc>
          <w:tcPr>
            <w:tcW w:w="983" w:type="dxa"/>
            <w:noWrap w:val="0"/>
            <w:vAlign w:val="center"/>
          </w:tcPr>
          <w:p w14:paraId="66CFA28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0680360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4E0F91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经营者是否擅自使用与他人有一定影响的商品名称、包装、装潢等相同或者近似的标识，引人误认为是他人商品或者与他人存在特定联系。</w:t>
            </w:r>
          </w:p>
        </w:tc>
        <w:tc>
          <w:tcPr>
            <w:tcW w:w="650" w:type="dxa"/>
            <w:noWrap w:val="0"/>
            <w:vAlign w:val="center"/>
          </w:tcPr>
          <w:p w14:paraId="0B136C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7672A3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4B1EA64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2E635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12" w:hRule="atLeast"/>
          <w:jc w:val="center"/>
        </w:trPr>
        <w:tc>
          <w:tcPr>
            <w:tcW w:w="409" w:type="dxa"/>
            <w:noWrap w:val="0"/>
            <w:vAlign w:val="center"/>
          </w:tcPr>
          <w:p w14:paraId="286653B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0</w:t>
            </w:r>
          </w:p>
        </w:tc>
        <w:tc>
          <w:tcPr>
            <w:tcW w:w="1012" w:type="dxa"/>
            <w:noWrap w:val="0"/>
            <w:vAlign w:val="center"/>
          </w:tcPr>
          <w:p w14:paraId="62F1ACB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经营者不得采用财物或者其他手段贿赂相关单位或者个人</w:t>
            </w:r>
          </w:p>
        </w:tc>
        <w:tc>
          <w:tcPr>
            <w:tcW w:w="873" w:type="dxa"/>
            <w:noWrap w:val="0"/>
            <w:vAlign w:val="center"/>
          </w:tcPr>
          <w:p w14:paraId="4B5FBB7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4FB6CA3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经营者违反本法第七条规定贿赂他人的，由监督检查部门没收违法所得，处十万元以上三百万元以下的罚款。情节严重的，吊销营业执照。</w:t>
            </w:r>
          </w:p>
        </w:tc>
        <w:tc>
          <w:tcPr>
            <w:tcW w:w="983" w:type="dxa"/>
            <w:noWrap w:val="0"/>
            <w:vAlign w:val="center"/>
          </w:tcPr>
          <w:p w14:paraId="62FEAAB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76A1EA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5E4E0FA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经营者是否采用财物或者其他手段贿赂下列单位或者个人，以谋取交易机会或者竞争优势：</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一</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交易相对方的工作人员；</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二</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受交易相对方委托办理相关事务的单位或者个人；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利用职权或者影响力影响交易的单位或者个人。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如：某药品经营企业为向某医院销售药品，暗中给予该医院药品采购人员销售回扣。</w:t>
            </w:r>
          </w:p>
        </w:tc>
        <w:tc>
          <w:tcPr>
            <w:tcW w:w="650" w:type="dxa"/>
            <w:noWrap w:val="0"/>
            <w:vAlign w:val="center"/>
          </w:tcPr>
          <w:p w14:paraId="1728F5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0ABDE9B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2B5EE96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51C65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5" w:hRule="atLeast"/>
          <w:jc w:val="center"/>
        </w:trPr>
        <w:tc>
          <w:tcPr>
            <w:tcW w:w="409" w:type="dxa"/>
            <w:noWrap w:val="0"/>
            <w:vAlign w:val="center"/>
          </w:tcPr>
          <w:p w14:paraId="316480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1</w:t>
            </w:r>
          </w:p>
        </w:tc>
        <w:tc>
          <w:tcPr>
            <w:tcW w:w="1012" w:type="dxa"/>
            <w:noWrap w:val="0"/>
            <w:vAlign w:val="center"/>
          </w:tcPr>
          <w:p w14:paraId="4C7EE02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经营者不得作虚假或者引人误解的商业宣传，欺骗和误导消费者，不得帮助其他经营者进行虚假或者引人误解的商业宣传</w:t>
            </w:r>
          </w:p>
        </w:tc>
        <w:tc>
          <w:tcPr>
            <w:tcW w:w="873" w:type="dxa"/>
            <w:noWrap w:val="0"/>
            <w:vAlign w:val="center"/>
          </w:tcPr>
          <w:p w14:paraId="512494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07C2295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第二十条第一款</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经营者违反本法第八条规定对其商品作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假或者引人误解的商业宣传，或者通过组织虚假交易等方式帮助其他经营者进行</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假或者引人误解的商业宣传的，由监督检查部门责令停止违法行为，处二十万元以上一百万元以下的罚款；情节严重的，处一百万元以上二百万元以下的罚款，可以吊销营业执照。</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《网络交易监督管理办法》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第十四条第二款第四项</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网络交易经营者不得以下列方式，作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假或者引人误解的商业宣传，欺骗、误导消费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四）</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构点击量、关注度等流量数据，以及</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构点赞、打赏等交易互动数据。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第四十三条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网络交易经营者违反本办法第十四条的，依照《中华人民共和国反不正当竞争法》的相关规定进行处罚。</w:t>
            </w:r>
          </w:p>
        </w:tc>
        <w:tc>
          <w:tcPr>
            <w:tcW w:w="983" w:type="dxa"/>
            <w:shd w:val="clear" w:color="auto" w:fill="auto"/>
            <w:noWrap w:val="0"/>
            <w:vAlign w:val="center"/>
          </w:tcPr>
          <w:p w14:paraId="7D377EB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30FFC8C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02C6507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经营者是否对其商品的性能、功能、质量、销售状况、用户评价、曾获荣誉等作</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假或者引人误解的商业宣传，欺骗、误导消费者。经营者是否通过组织</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假交易等方式，帮助其他经营者进行</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假或者引人误解的商业宣传。</w:t>
            </w:r>
          </w:p>
        </w:tc>
        <w:tc>
          <w:tcPr>
            <w:tcW w:w="650" w:type="dxa"/>
            <w:noWrap w:val="0"/>
            <w:vAlign w:val="center"/>
          </w:tcPr>
          <w:p w14:paraId="24C956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7CE5078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682C9E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6C79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09" w:type="dxa"/>
            <w:noWrap w:val="0"/>
            <w:vAlign w:val="center"/>
          </w:tcPr>
          <w:p w14:paraId="3E0EF05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2</w:t>
            </w:r>
          </w:p>
        </w:tc>
        <w:tc>
          <w:tcPr>
            <w:tcW w:w="1012" w:type="dxa"/>
            <w:noWrap w:val="0"/>
            <w:vAlign w:val="center"/>
          </w:tcPr>
          <w:p w14:paraId="404B878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经营者不得实施侵犯商业秘密的行为</w:t>
            </w:r>
          </w:p>
        </w:tc>
        <w:tc>
          <w:tcPr>
            <w:tcW w:w="873" w:type="dxa"/>
            <w:noWrap w:val="0"/>
            <w:vAlign w:val="center"/>
          </w:tcPr>
          <w:p w14:paraId="4F315FB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71EE172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第二十一条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经营者以及其他自然人、法人和非法人组织违反本法第九条规定侵犯商业秘密的，由监督检查部门责令停止违法行为，没收违法所得，处十万元以上一百万元以下的罚款</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情节严重的，处五十万元以上五百万元以下的罚款。</w:t>
            </w:r>
          </w:p>
        </w:tc>
        <w:tc>
          <w:tcPr>
            <w:tcW w:w="983" w:type="dxa"/>
            <w:shd w:val="clear" w:color="auto" w:fill="auto"/>
            <w:noWrap w:val="0"/>
            <w:vAlign w:val="center"/>
          </w:tcPr>
          <w:p w14:paraId="0892F43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719F948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12F1C1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经营者</w:t>
            </w:r>
            <w:r>
              <w:rPr>
                <w:rFonts w:hint="default" w:ascii="Times New Roman" w:hAnsi="Times New Roman" w:eastAsia="方正仿宋_GBK" w:cs="Times New Roman"/>
                <w:i w:val="0"/>
                <w:color w:val="000000"/>
                <w:kern w:val="0"/>
                <w:sz w:val="24"/>
                <w:szCs w:val="24"/>
                <w:u w:val="none"/>
                <w:lang w:val="en-US" w:eastAsia="zh-CN" w:bidi="ar"/>
              </w:rPr>
              <w:t>是否侵犯商业秘密：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1.以盗窃、贿赂、欺诈、胁迫、电子侵入或者其他不正当手段获取权利人的商业秘密；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2.披露、使用或者允许他人使用以第1条所列手段获取的权利人的商业秘密；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3.违反保密义务或者违反权利人有关保守商业秘密的要求，披露、使用或者允许他人使用其所掌握的商业秘密</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4.教唆、引诱、帮助他人违反保密义务或者违反权利人有关保守商业秘密的要求，获取、披露、使用或者允许他人使用权利人的商业秘密。</w:t>
            </w:r>
          </w:p>
        </w:tc>
        <w:tc>
          <w:tcPr>
            <w:tcW w:w="650" w:type="dxa"/>
            <w:noWrap w:val="0"/>
            <w:vAlign w:val="center"/>
          </w:tcPr>
          <w:p w14:paraId="651EA6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5B9423F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6246B8E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7F654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3" w:hRule="atLeast"/>
          <w:jc w:val="center"/>
        </w:trPr>
        <w:tc>
          <w:tcPr>
            <w:tcW w:w="409" w:type="dxa"/>
            <w:noWrap w:val="0"/>
            <w:vAlign w:val="center"/>
          </w:tcPr>
          <w:p w14:paraId="552A6D5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3</w:t>
            </w:r>
          </w:p>
        </w:tc>
        <w:tc>
          <w:tcPr>
            <w:tcW w:w="1012" w:type="dxa"/>
            <w:noWrap w:val="0"/>
            <w:vAlign w:val="center"/>
          </w:tcPr>
          <w:p w14:paraId="117521F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经营者不得进行违法有奖销售行为</w:t>
            </w:r>
          </w:p>
        </w:tc>
        <w:tc>
          <w:tcPr>
            <w:tcW w:w="873" w:type="dxa"/>
            <w:noWrap w:val="0"/>
            <w:vAlign w:val="center"/>
          </w:tcPr>
          <w:p w14:paraId="698EA00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1BC7427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第二十二条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经营者违反本法第十条规定进行有奖销售的，由监督检查部门</w:t>
            </w:r>
            <w:r>
              <w:rPr>
                <w:rFonts w:hint="eastAsia" w:eastAsia="方正仿宋_GBK" w:cs="Times New Roman"/>
                <w:i w:val="0"/>
                <w:color w:val="000000"/>
                <w:kern w:val="0"/>
                <w:sz w:val="24"/>
                <w:szCs w:val="24"/>
                <w:u w:val="none"/>
                <w:lang w:val="en-US" w:eastAsia="zh-CN" w:bidi="ar"/>
              </w:rPr>
              <w:t>责令</w:t>
            </w:r>
            <w:r>
              <w:rPr>
                <w:rFonts w:hint="default" w:ascii="Times New Roman" w:hAnsi="Times New Roman" w:eastAsia="方正仿宋_GBK" w:cs="Times New Roman"/>
                <w:i w:val="0"/>
                <w:color w:val="000000"/>
                <w:kern w:val="0"/>
                <w:sz w:val="24"/>
                <w:szCs w:val="24"/>
                <w:u w:val="none"/>
                <w:lang w:val="en-US" w:eastAsia="zh-CN" w:bidi="ar"/>
              </w:rPr>
              <w:t>停止违法行为，处五万元以上五十万元以下的罚款。</w:t>
            </w:r>
          </w:p>
        </w:tc>
        <w:tc>
          <w:tcPr>
            <w:tcW w:w="983" w:type="dxa"/>
            <w:shd w:val="clear" w:color="auto" w:fill="auto"/>
            <w:noWrap w:val="0"/>
            <w:vAlign w:val="center"/>
          </w:tcPr>
          <w:p w14:paraId="1FF594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7728B5C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5A8178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经营者进行有奖销售是否存在下列情形：</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1.有奖销售所设奖的种类、兑奖条件、奖金金额或者奖品等有奖销售信息不明确，影响兑奖；</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2.经营者采用谎称有奖或者故意让内定人员中奖的欺骗方式进行有奖销售；</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3.抽奖式的有奖销售，最高奖的金额超过五万元。</w:t>
            </w:r>
          </w:p>
        </w:tc>
        <w:tc>
          <w:tcPr>
            <w:tcW w:w="650" w:type="dxa"/>
            <w:noWrap w:val="0"/>
            <w:vAlign w:val="center"/>
          </w:tcPr>
          <w:p w14:paraId="409A98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05B844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43BF878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7D8B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2" w:hRule="atLeast"/>
          <w:jc w:val="center"/>
        </w:trPr>
        <w:tc>
          <w:tcPr>
            <w:tcW w:w="409" w:type="dxa"/>
            <w:noWrap w:val="0"/>
            <w:vAlign w:val="center"/>
          </w:tcPr>
          <w:p w14:paraId="76A9DA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4</w:t>
            </w:r>
          </w:p>
        </w:tc>
        <w:tc>
          <w:tcPr>
            <w:tcW w:w="1012" w:type="dxa"/>
            <w:noWrap w:val="0"/>
            <w:vAlign w:val="center"/>
          </w:tcPr>
          <w:p w14:paraId="3A2179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经营者不得编造、传播虚假信息或者误导性信息，损害竞争对手的商业信誉、商品声誉</w:t>
            </w:r>
          </w:p>
        </w:tc>
        <w:tc>
          <w:tcPr>
            <w:tcW w:w="873" w:type="dxa"/>
            <w:noWrap w:val="0"/>
            <w:vAlign w:val="center"/>
          </w:tcPr>
          <w:p w14:paraId="4F85E51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1B35E61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第十一条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经营者不得编造、传播虚假信息或者误导性信息，损害竞争对手的商业信誉、商品声誉。</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第二十三条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经营者违反本法第十一条规定损害竞</w:t>
            </w:r>
            <w:r>
              <w:rPr>
                <w:rFonts w:hint="eastAsia" w:eastAsia="方正仿宋_GBK" w:cs="Times New Roman"/>
                <w:i w:val="0"/>
                <w:color w:val="000000"/>
                <w:kern w:val="0"/>
                <w:sz w:val="24"/>
                <w:szCs w:val="24"/>
                <w:u w:val="none"/>
                <w:lang w:val="en-US" w:eastAsia="zh-CN" w:bidi="ar"/>
              </w:rPr>
              <w:t>争</w:t>
            </w:r>
            <w:r>
              <w:rPr>
                <w:rFonts w:hint="default" w:ascii="Times New Roman" w:hAnsi="Times New Roman" w:eastAsia="方正仿宋_GBK" w:cs="Times New Roman"/>
                <w:i w:val="0"/>
                <w:color w:val="000000"/>
                <w:kern w:val="0"/>
                <w:sz w:val="24"/>
                <w:szCs w:val="24"/>
                <w:u w:val="none"/>
                <w:lang w:val="en-US" w:eastAsia="zh-CN" w:bidi="ar"/>
              </w:rPr>
              <w:t>对手商业信誉、商品声誉的，由监督检查部门责令停止违法行为、消除影响，处十万元以上五十万元以下的罚款；情节严重的，处五十万元以上三百万元以下的罚款。</w:t>
            </w:r>
          </w:p>
        </w:tc>
        <w:tc>
          <w:tcPr>
            <w:tcW w:w="983" w:type="dxa"/>
            <w:shd w:val="clear" w:color="auto" w:fill="auto"/>
            <w:noWrap w:val="0"/>
            <w:vAlign w:val="center"/>
          </w:tcPr>
          <w:p w14:paraId="758399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1E33FA4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0EC721E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经营者是否编造、传播</w:t>
            </w:r>
            <w:r>
              <w:rPr>
                <w:rFonts w:hint="eastAsia" w:eastAsia="方正仿宋_GBK" w:cs="Times New Roman"/>
                <w:i w:val="0"/>
                <w:color w:val="000000"/>
                <w:kern w:val="0"/>
                <w:sz w:val="24"/>
                <w:szCs w:val="24"/>
                <w:u w:val="none"/>
                <w:lang w:val="en-US" w:eastAsia="zh-CN" w:bidi="ar"/>
              </w:rPr>
              <w:t>虚</w:t>
            </w:r>
            <w:r>
              <w:rPr>
                <w:rFonts w:hint="default" w:ascii="Times New Roman" w:hAnsi="Times New Roman" w:eastAsia="方正仿宋_GBK" w:cs="Times New Roman"/>
                <w:i w:val="0"/>
                <w:color w:val="000000"/>
                <w:kern w:val="0"/>
                <w:sz w:val="24"/>
                <w:szCs w:val="24"/>
                <w:u w:val="none"/>
                <w:lang w:val="en-US" w:eastAsia="zh-CN" w:bidi="ar"/>
              </w:rPr>
              <w:t>假信息或者事实虽然真实，但仅陈述部分事实，容易引发错误联想的误导性信息，对竞争对手的商业信誉、商品声誉进行恶意的诋毁、贬低，以破坏竞争对手的交易机会和竞争优势，并为自己谋取不正当利益。</w:t>
            </w:r>
          </w:p>
        </w:tc>
        <w:tc>
          <w:tcPr>
            <w:tcW w:w="650" w:type="dxa"/>
            <w:noWrap w:val="0"/>
            <w:vAlign w:val="center"/>
          </w:tcPr>
          <w:p w14:paraId="55944FD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4466ABB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31CD67A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3D38A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6" w:hRule="atLeast"/>
          <w:jc w:val="center"/>
        </w:trPr>
        <w:tc>
          <w:tcPr>
            <w:tcW w:w="409" w:type="dxa"/>
            <w:noWrap w:val="0"/>
            <w:vAlign w:val="center"/>
          </w:tcPr>
          <w:p w14:paraId="3A20D7F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5</w:t>
            </w:r>
          </w:p>
        </w:tc>
        <w:tc>
          <w:tcPr>
            <w:tcW w:w="1012" w:type="dxa"/>
            <w:noWrap w:val="0"/>
            <w:vAlign w:val="center"/>
          </w:tcPr>
          <w:p w14:paraId="15F4C29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经营者不得利用技术手段，通过影响用户选择或者其他方式，实施妨碍、破坏其他经营者合法提供的网络产品或者服务正常运行的行为。</w:t>
            </w:r>
          </w:p>
        </w:tc>
        <w:tc>
          <w:tcPr>
            <w:tcW w:w="873" w:type="dxa"/>
            <w:noWrap w:val="0"/>
            <w:vAlign w:val="center"/>
          </w:tcPr>
          <w:p w14:paraId="48DEDA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安化县市场监督管理局</w:t>
            </w:r>
          </w:p>
        </w:tc>
        <w:tc>
          <w:tcPr>
            <w:tcW w:w="5268" w:type="dxa"/>
            <w:noWrap w:val="0"/>
            <w:vAlign w:val="center"/>
          </w:tcPr>
          <w:p w14:paraId="766B2DD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《中华人民共和国反不正当竞争法》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983" w:type="dxa"/>
            <w:shd w:val="clear" w:color="auto" w:fill="auto"/>
            <w:noWrap w:val="0"/>
            <w:vAlign w:val="center"/>
          </w:tcPr>
          <w:p w14:paraId="6F0464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公平交易分局</w:t>
            </w:r>
          </w:p>
        </w:tc>
        <w:tc>
          <w:tcPr>
            <w:tcW w:w="1000" w:type="dxa"/>
            <w:noWrap w:val="0"/>
            <w:vAlign w:val="center"/>
          </w:tcPr>
          <w:p w14:paraId="79DBBEB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w:t>
            </w:r>
          </w:p>
        </w:tc>
        <w:tc>
          <w:tcPr>
            <w:tcW w:w="3833" w:type="dxa"/>
            <w:noWrap w:val="0"/>
            <w:vAlign w:val="center"/>
          </w:tcPr>
          <w:p w14:paraId="1969CFB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经营者是否利用技术手段，通过影响用户选择或者其他方式，实施下列妨碍、破坏其他经营者合法提供的网络产品或者服务正常运行的行为：</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未经其他经营者同意，在其合法提供的网络产品或者服务中，插入链接、强制进行目标跳转；</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（二）误导、欺骗、强迫用户修改、关闭、卸载其他经营者合法提供的网络产品或者服务；</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恶意对其他经营者合法提供的网络产品或者服务实施不兼容；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（四）其他妨碍、破坏其他经营者合法提供的网络</w:t>
            </w:r>
            <w:r>
              <w:rPr>
                <w:rFonts w:hint="eastAsia" w:eastAsia="方正仿宋_GBK" w:cs="Times New Roman"/>
                <w:i w:val="0"/>
                <w:color w:val="000000"/>
                <w:kern w:val="0"/>
                <w:sz w:val="24"/>
                <w:szCs w:val="24"/>
                <w:u w:val="none"/>
                <w:lang w:val="en-US" w:eastAsia="zh-CN" w:bidi="ar"/>
              </w:rPr>
              <w:t>产品</w:t>
            </w:r>
            <w:r>
              <w:rPr>
                <w:rFonts w:hint="default" w:ascii="Times New Roman" w:hAnsi="Times New Roman" w:eastAsia="方正仿宋_GBK" w:cs="Times New Roman"/>
                <w:i w:val="0"/>
                <w:color w:val="000000"/>
                <w:kern w:val="0"/>
                <w:sz w:val="24"/>
                <w:szCs w:val="24"/>
                <w:u w:val="none"/>
                <w:lang w:val="en-US" w:eastAsia="zh-CN" w:bidi="ar"/>
              </w:rPr>
              <w:t>或者服务正常运行的行为。</w:t>
            </w:r>
          </w:p>
        </w:tc>
        <w:tc>
          <w:tcPr>
            <w:tcW w:w="650" w:type="dxa"/>
            <w:noWrap w:val="0"/>
            <w:vAlign w:val="center"/>
          </w:tcPr>
          <w:p w14:paraId="2DA006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、非现场</w:t>
            </w:r>
            <w:r>
              <w:rPr>
                <w:rFonts w:hint="eastAsia" w:eastAsia="方正仿宋_GBK" w:cs="Times New Roman"/>
                <w:i w:val="0"/>
                <w:color w:val="000000"/>
                <w:kern w:val="0"/>
                <w:sz w:val="24"/>
                <w:szCs w:val="24"/>
                <w:u w:val="none"/>
                <w:lang w:val="en-US" w:eastAsia="zh-CN" w:bidi="ar"/>
              </w:rPr>
              <w:t>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noWrap w:val="0"/>
            <w:vAlign w:val="center"/>
          </w:tcPr>
          <w:p w14:paraId="66FB0D2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依据投诉举报进行现场核查</w:t>
            </w:r>
          </w:p>
        </w:tc>
        <w:tc>
          <w:tcPr>
            <w:tcW w:w="1175" w:type="dxa"/>
            <w:noWrap w:val="0"/>
            <w:vAlign w:val="center"/>
          </w:tcPr>
          <w:p w14:paraId="6235949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p>
        </w:tc>
      </w:tr>
      <w:tr w14:paraId="4B489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227075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b w:val="0"/>
                <w:bCs w:val="0"/>
                <w:sz w:val="24"/>
                <w:szCs w:val="24"/>
                <w:vertAlign w:val="baseline"/>
                <w:lang w:val="en-US" w:eastAsia="zh-CN"/>
              </w:rPr>
              <w:t>16</w:t>
            </w:r>
          </w:p>
        </w:tc>
        <w:tc>
          <w:tcPr>
            <w:tcW w:w="1012" w:type="dxa"/>
            <w:noWrap w:val="0"/>
            <w:vAlign w:val="center"/>
          </w:tcPr>
          <w:p w14:paraId="5438CD5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vertAlign w:val="baseline"/>
                <w:lang w:val="en-US" w:eastAsia="zh-CN"/>
              </w:rPr>
              <w:t>对电子商务平台经营者的行政检查</w:t>
            </w:r>
          </w:p>
        </w:tc>
        <w:tc>
          <w:tcPr>
            <w:tcW w:w="873" w:type="dxa"/>
            <w:noWrap w:val="0"/>
            <w:vAlign w:val="center"/>
          </w:tcPr>
          <w:p w14:paraId="18FAE4F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b w:val="0"/>
                <w:bCs w:val="0"/>
                <w:sz w:val="24"/>
                <w:szCs w:val="24"/>
                <w:vertAlign w:val="baseline"/>
                <w:lang w:val="en-US" w:eastAsia="zh-CN"/>
              </w:rPr>
              <w:t>安化县市场监督管理局</w:t>
            </w:r>
          </w:p>
        </w:tc>
        <w:tc>
          <w:tcPr>
            <w:tcW w:w="5268" w:type="dxa"/>
            <w:noWrap w:val="0"/>
            <w:vAlign w:val="center"/>
          </w:tcPr>
          <w:p w14:paraId="5E7AAA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val="0"/>
                <w:sz w:val="24"/>
                <w:szCs w:val="24"/>
                <w:vertAlign w:val="baseline"/>
                <w:lang w:val="en-US" w:eastAsia="zh-CN"/>
              </w:rPr>
              <w:t>《电子商务法》第二十七条、第三十一条、第三十二条、第三十三条、第三十四条、第三十六条、第三十七条、第三十九条、第四十条</w:t>
            </w:r>
          </w:p>
        </w:tc>
        <w:tc>
          <w:tcPr>
            <w:tcW w:w="983" w:type="dxa"/>
            <w:noWrap w:val="0"/>
            <w:vAlign w:val="center"/>
          </w:tcPr>
          <w:p w14:paraId="614C3C4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vertAlign w:val="baseline"/>
                <w:lang w:val="en-US" w:eastAsia="zh-CN"/>
              </w:rPr>
              <w:t>网监股</w:t>
            </w:r>
          </w:p>
        </w:tc>
        <w:tc>
          <w:tcPr>
            <w:tcW w:w="1000" w:type="dxa"/>
            <w:noWrap w:val="0"/>
            <w:vAlign w:val="center"/>
          </w:tcPr>
          <w:p w14:paraId="6408772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val="0"/>
                <w:bCs w:val="0"/>
                <w:sz w:val="24"/>
                <w:szCs w:val="24"/>
                <w:vertAlign w:val="baseline"/>
                <w:lang w:val="en-US" w:eastAsia="zh-CN"/>
              </w:rPr>
              <w:t>电子商务平台经营者</w:t>
            </w:r>
          </w:p>
        </w:tc>
        <w:tc>
          <w:tcPr>
            <w:tcW w:w="3833" w:type="dxa"/>
            <w:noWrap w:val="0"/>
            <w:vAlign w:val="center"/>
          </w:tcPr>
          <w:p w14:paraId="630951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val="0"/>
                <w:sz w:val="24"/>
                <w:szCs w:val="24"/>
                <w:vertAlign w:val="baseline"/>
                <w:lang w:val="en-US" w:eastAsia="zh-CN"/>
              </w:rPr>
              <w:t>电子商务平台经营者履行主体责任监督检查</w:t>
            </w:r>
          </w:p>
        </w:tc>
        <w:tc>
          <w:tcPr>
            <w:tcW w:w="650" w:type="dxa"/>
            <w:noWrap w:val="0"/>
            <w:vAlign w:val="center"/>
          </w:tcPr>
          <w:p w14:paraId="096C951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b w:val="0"/>
                <w:bCs w:val="0"/>
                <w:sz w:val="24"/>
                <w:szCs w:val="24"/>
                <w:vertAlign w:val="baseline"/>
                <w:lang w:val="en-US" w:eastAsia="zh-CN"/>
              </w:rPr>
              <w:t>现场检查、</w:t>
            </w:r>
            <w:r>
              <w:rPr>
                <w:rFonts w:hint="default" w:ascii="Times New Roman" w:hAnsi="Times New Roman" w:eastAsia="方正仿宋_GBK" w:cs="Times New Roman"/>
                <w:b w:val="0"/>
                <w:bCs w:val="0"/>
                <w:sz w:val="24"/>
                <w:szCs w:val="24"/>
                <w:vertAlign w:val="baseline"/>
                <w:lang w:val="en-US" w:eastAsia="zh-CN"/>
              </w:rPr>
              <w:t>非</w:t>
            </w:r>
            <w:r>
              <w:rPr>
                <w:rFonts w:hint="eastAsia" w:eastAsia="方正仿宋_GBK" w:cs="Times New Roman"/>
                <w:b w:val="0"/>
                <w:bCs w:val="0"/>
                <w:sz w:val="24"/>
                <w:szCs w:val="24"/>
                <w:vertAlign w:val="baseline"/>
                <w:lang w:val="en-US" w:eastAsia="zh-CN"/>
              </w:rPr>
              <w:t>现场检查</w:t>
            </w:r>
            <w:r>
              <w:rPr>
                <w:rFonts w:hint="default" w:ascii="Times New Roman" w:hAnsi="Times New Roman" w:eastAsia="方正仿宋_GBK" w:cs="Times New Roman"/>
                <w:b w:val="0"/>
                <w:bCs w:val="0"/>
                <w:sz w:val="24"/>
                <w:szCs w:val="24"/>
                <w:vertAlign w:val="baseline"/>
                <w:lang w:val="en-US" w:eastAsia="zh-CN"/>
              </w:rPr>
              <w:t>相结合</w:t>
            </w:r>
          </w:p>
        </w:tc>
        <w:tc>
          <w:tcPr>
            <w:tcW w:w="650" w:type="dxa"/>
            <w:noWrap w:val="0"/>
            <w:vAlign w:val="center"/>
          </w:tcPr>
          <w:p w14:paraId="0A39377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b w:val="0"/>
                <w:bCs w:val="0"/>
                <w:sz w:val="24"/>
                <w:szCs w:val="24"/>
                <w:vertAlign w:val="baseline"/>
                <w:lang w:val="en-US" w:eastAsia="zh-CN"/>
              </w:rPr>
              <w:t>一年一次</w:t>
            </w:r>
          </w:p>
        </w:tc>
        <w:tc>
          <w:tcPr>
            <w:tcW w:w="1175" w:type="dxa"/>
            <w:noWrap w:val="0"/>
            <w:vAlign w:val="center"/>
          </w:tcPr>
          <w:p w14:paraId="1F178A1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0A1A2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FE95D4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sz w:val="24"/>
                <w:szCs w:val="24"/>
                <w:lang w:val="en-US" w:eastAsia="zh-CN"/>
              </w:rPr>
              <w:t>17</w:t>
            </w:r>
          </w:p>
        </w:tc>
        <w:tc>
          <w:tcPr>
            <w:tcW w:w="1012" w:type="dxa"/>
            <w:noWrap w:val="0"/>
            <w:vAlign w:val="center"/>
          </w:tcPr>
          <w:p w14:paraId="50A1B96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lang w:eastAsia="zh-CN"/>
              </w:rPr>
              <w:t>对</w:t>
            </w:r>
            <w:r>
              <w:rPr>
                <w:rFonts w:hint="default" w:ascii="Times New Roman" w:hAnsi="Times New Roman" w:eastAsia="方正仿宋_GBK" w:cs="Times New Roman"/>
                <w:color w:val="auto"/>
                <w:sz w:val="24"/>
                <w:szCs w:val="24"/>
                <w:highlight w:val="none"/>
              </w:rPr>
              <w:t>广播、电视、报刊、期刊等媒体的广告行为</w:t>
            </w:r>
            <w:r>
              <w:rPr>
                <w:rFonts w:hint="default" w:ascii="Times New Roman" w:hAnsi="Times New Roman" w:eastAsia="方正仿宋_GBK" w:cs="Times New Roman"/>
                <w:color w:val="auto"/>
                <w:sz w:val="24"/>
                <w:szCs w:val="24"/>
                <w:highlight w:val="none"/>
                <w:lang w:eastAsia="zh-CN"/>
              </w:rPr>
              <w:t>检查</w:t>
            </w:r>
          </w:p>
        </w:tc>
        <w:tc>
          <w:tcPr>
            <w:tcW w:w="873" w:type="dxa"/>
            <w:noWrap w:val="0"/>
            <w:vAlign w:val="center"/>
          </w:tcPr>
          <w:p w14:paraId="78C3503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b w:val="0"/>
                <w:bCs w:val="0"/>
                <w:sz w:val="24"/>
                <w:szCs w:val="24"/>
                <w:vertAlign w:val="baseline"/>
                <w:lang w:val="en-US" w:eastAsia="zh-CN"/>
              </w:rPr>
            </w:pPr>
            <w:r>
              <w:rPr>
                <w:rFonts w:hint="eastAsia" w:eastAsia="方正仿宋_GBK" w:cs="Times New Roman"/>
                <w:sz w:val="24"/>
                <w:szCs w:val="24"/>
                <w:lang w:eastAsia="zh-CN"/>
              </w:rPr>
              <w:t>安化县市场监督管理局</w:t>
            </w:r>
          </w:p>
        </w:tc>
        <w:tc>
          <w:tcPr>
            <w:tcW w:w="5268" w:type="dxa"/>
            <w:noWrap w:val="0"/>
            <w:vAlign w:val="center"/>
          </w:tcPr>
          <w:p w14:paraId="656F3DC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rPr>
              <w:t>《广告法》第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条、第六条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第二十九条、第</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十条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第四十九条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十</w:t>
            </w:r>
            <w:r>
              <w:rPr>
                <w:rFonts w:hint="default" w:ascii="Times New Roman" w:hAnsi="Times New Roman" w:eastAsia="方正仿宋_GBK" w:cs="Times New Roman"/>
                <w:color w:val="auto"/>
                <w:sz w:val="24"/>
                <w:szCs w:val="24"/>
                <w:highlight w:val="none"/>
                <w:lang w:eastAsia="zh-CN"/>
              </w:rPr>
              <w:t>一</w:t>
            </w:r>
            <w:r>
              <w:rPr>
                <w:rFonts w:hint="default" w:ascii="Times New Roman" w:hAnsi="Times New Roman" w:eastAsia="方正仿宋_GBK" w:cs="Times New Roman"/>
                <w:color w:val="auto"/>
                <w:sz w:val="24"/>
                <w:szCs w:val="24"/>
                <w:highlight w:val="none"/>
              </w:rPr>
              <w:t>条</w:t>
            </w:r>
          </w:p>
        </w:tc>
        <w:tc>
          <w:tcPr>
            <w:tcW w:w="983" w:type="dxa"/>
            <w:noWrap w:val="0"/>
            <w:vAlign w:val="center"/>
          </w:tcPr>
          <w:p w14:paraId="720ACD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eastAsia="zh-CN"/>
              </w:rPr>
              <w:t>广告</w:t>
            </w:r>
            <w:r>
              <w:rPr>
                <w:rFonts w:hint="eastAsia" w:eastAsia="方正仿宋_GBK" w:cs="Times New Roman"/>
                <w:sz w:val="24"/>
                <w:szCs w:val="24"/>
                <w:lang w:eastAsia="zh-CN"/>
              </w:rPr>
              <w:t>股</w:t>
            </w:r>
          </w:p>
        </w:tc>
        <w:tc>
          <w:tcPr>
            <w:tcW w:w="1000" w:type="dxa"/>
            <w:noWrap w:val="0"/>
            <w:vAlign w:val="center"/>
          </w:tcPr>
          <w:p w14:paraId="65DB48E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rPr>
              <w:t>企业、个体工商户及</w:t>
            </w:r>
            <w:r>
              <w:rPr>
                <w:rFonts w:hint="default" w:ascii="Times New Roman" w:hAnsi="Times New Roman" w:eastAsia="方正仿宋_GBK" w:cs="Times New Roman"/>
                <w:sz w:val="24"/>
                <w:szCs w:val="24"/>
                <w:lang w:eastAsia="zh-CN"/>
              </w:rPr>
              <w:t>其他</w:t>
            </w:r>
            <w:r>
              <w:rPr>
                <w:rFonts w:hint="default" w:ascii="Times New Roman" w:hAnsi="Times New Roman" w:eastAsia="方正仿宋_GBK" w:cs="Times New Roman"/>
                <w:sz w:val="24"/>
                <w:szCs w:val="24"/>
              </w:rPr>
              <w:t>经营单位</w:t>
            </w:r>
          </w:p>
        </w:tc>
        <w:tc>
          <w:tcPr>
            <w:tcW w:w="3833" w:type="dxa"/>
            <w:noWrap w:val="0"/>
            <w:vAlign w:val="center"/>
          </w:tcPr>
          <w:p w14:paraId="7C3A2D0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检查广告</w:t>
            </w:r>
            <w:r>
              <w:rPr>
                <w:rFonts w:hint="default" w:ascii="Times New Roman" w:hAnsi="Times New Roman" w:eastAsia="方正仿宋_GBK" w:cs="Times New Roman"/>
                <w:sz w:val="24"/>
                <w:szCs w:val="24"/>
                <w:lang w:eastAsia="zh-CN"/>
              </w:rPr>
              <w:t>媒体</w:t>
            </w:r>
            <w:r>
              <w:rPr>
                <w:rFonts w:hint="default" w:ascii="Times New Roman" w:hAnsi="Times New Roman" w:eastAsia="方正仿宋_GBK" w:cs="Times New Roman"/>
                <w:sz w:val="24"/>
                <w:szCs w:val="24"/>
              </w:rPr>
              <w:t>单位是否违反《广告法》</w:t>
            </w:r>
            <w:r>
              <w:rPr>
                <w:rFonts w:hint="default" w:ascii="Times New Roman" w:hAnsi="Times New Roman" w:eastAsia="方正仿宋_GBK" w:cs="Times New Roman"/>
                <w:sz w:val="24"/>
                <w:szCs w:val="24"/>
                <w:lang w:eastAsia="zh-CN"/>
              </w:rPr>
              <w:t>等法律法规</w:t>
            </w:r>
            <w:r>
              <w:rPr>
                <w:rFonts w:hint="default" w:ascii="Times New Roman" w:hAnsi="Times New Roman" w:eastAsia="方正仿宋_GBK" w:cs="Times New Roman"/>
                <w:sz w:val="24"/>
                <w:szCs w:val="24"/>
              </w:rPr>
              <w:t>涉嫌发布虚假违法广告；</w:t>
            </w:r>
          </w:p>
          <w:p w14:paraId="69631F1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检查广告</w:t>
            </w:r>
            <w:r>
              <w:rPr>
                <w:rFonts w:hint="default" w:ascii="Times New Roman" w:hAnsi="Times New Roman" w:eastAsia="方正仿宋_GBK" w:cs="Times New Roman"/>
                <w:sz w:val="24"/>
                <w:szCs w:val="24"/>
                <w:lang w:eastAsia="zh-CN"/>
              </w:rPr>
              <w:t>媒体</w:t>
            </w:r>
            <w:r>
              <w:rPr>
                <w:rFonts w:hint="default" w:ascii="Times New Roman" w:hAnsi="Times New Roman" w:eastAsia="方正仿宋_GBK" w:cs="Times New Roman"/>
                <w:sz w:val="24"/>
                <w:szCs w:val="24"/>
              </w:rPr>
              <w:t>单位是否建立、健全广告业务的承接登记、审核、档案管理等制度。</w:t>
            </w:r>
          </w:p>
        </w:tc>
        <w:tc>
          <w:tcPr>
            <w:tcW w:w="650" w:type="dxa"/>
            <w:noWrap w:val="0"/>
            <w:vAlign w:val="center"/>
          </w:tcPr>
          <w:p w14:paraId="143569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eastAsia="zh-CN"/>
              </w:rPr>
              <w:t>现场检查</w:t>
            </w:r>
          </w:p>
        </w:tc>
        <w:tc>
          <w:tcPr>
            <w:tcW w:w="650" w:type="dxa"/>
            <w:shd w:val="clear" w:color="auto" w:fill="auto"/>
            <w:noWrap w:val="0"/>
            <w:vAlign w:val="center"/>
          </w:tcPr>
          <w:p w14:paraId="63E2F5C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3D033AF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4E68A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7E5EA74">
            <w:pPr>
              <w:pStyle w:val="9"/>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18</w:t>
            </w:r>
          </w:p>
        </w:tc>
        <w:tc>
          <w:tcPr>
            <w:tcW w:w="1012" w:type="dxa"/>
            <w:noWrap w:val="0"/>
            <w:vAlign w:val="center"/>
          </w:tcPr>
          <w:p w14:paraId="65E08C6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对</w:t>
            </w:r>
            <w:r>
              <w:rPr>
                <w:rFonts w:hint="default" w:ascii="Times New Roman" w:hAnsi="Times New Roman" w:eastAsia="方正仿宋_GBK" w:cs="Times New Roman"/>
                <w:sz w:val="24"/>
                <w:szCs w:val="24"/>
              </w:rPr>
              <w:t>广告经营者、广告发布者的广告业务承接登记、审核、档案管理、统计报表，广告设计、制作、代理、发布等广告行为检查</w:t>
            </w:r>
          </w:p>
        </w:tc>
        <w:tc>
          <w:tcPr>
            <w:tcW w:w="873" w:type="dxa"/>
            <w:shd w:val="clear" w:color="auto" w:fill="auto"/>
            <w:noWrap w:val="0"/>
            <w:vAlign w:val="center"/>
          </w:tcPr>
          <w:p w14:paraId="7453FFF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安化县市场监督管理局</w:t>
            </w:r>
          </w:p>
        </w:tc>
        <w:tc>
          <w:tcPr>
            <w:tcW w:w="5268" w:type="dxa"/>
            <w:noWrap w:val="0"/>
            <w:vAlign w:val="center"/>
          </w:tcPr>
          <w:p w14:paraId="0C06FCA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color w:val="auto"/>
                <w:sz w:val="24"/>
                <w:szCs w:val="24"/>
                <w:highlight w:val="none"/>
              </w:rPr>
              <w:t>《广告法》第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条、第六条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第四十九条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第</w:t>
            </w:r>
            <w:r>
              <w:rPr>
                <w:rFonts w:hint="default" w:ascii="Times New Roman" w:hAnsi="Times New Roman" w:eastAsia="方正仿宋_GBK" w:cs="Times New Roman"/>
                <w:color w:val="auto"/>
                <w:sz w:val="24"/>
                <w:szCs w:val="24"/>
                <w:highlight w:val="none"/>
                <w:lang w:eastAsia="zh-CN"/>
              </w:rPr>
              <w:t>五</w:t>
            </w:r>
            <w:r>
              <w:rPr>
                <w:rFonts w:hint="default" w:ascii="Times New Roman" w:hAnsi="Times New Roman" w:eastAsia="方正仿宋_GBK" w:cs="Times New Roman"/>
                <w:color w:val="auto"/>
                <w:sz w:val="24"/>
                <w:szCs w:val="24"/>
                <w:highlight w:val="none"/>
              </w:rPr>
              <w:t>十</w:t>
            </w:r>
            <w:r>
              <w:rPr>
                <w:rFonts w:hint="default" w:ascii="Times New Roman" w:hAnsi="Times New Roman" w:eastAsia="方正仿宋_GBK" w:cs="Times New Roman"/>
                <w:color w:val="auto"/>
                <w:sz w:val="24"/>
                <w:szCs w:val="24"/>
                <w:highlight w:val="none"/>
                <w:lang w:eastAsia="zh-CN"/>
              </w:rPr>
              <w:t>一</w:t>
            </w:r>
            <w:r>
              <w:rPr>
                <w:rFonts w:hint="default" w:ascii="Times New Roman" w:hAnsi="Times New Roman" w:eastAsia="方正仿宋_GBK" w:cs="Times New Roman"/>
                <w:color w:val="auto"/>
                <w:sz w:val="24"/>
                <w:szCs w:val="24"/>
                <w:highlight w:val="none"/>
              </w:rPr>
              <w:t>条</w:t>
            </w:r>
          </w:p>
        </w:tc>
        <w:tc>
          <w:tcPr>
            <w:tcW w:w="983" w:type="dxa"/>
            <w:noWrap w:val="0"/>
            <w:vAlign w:val="center"/>
          </w:tcPr>
          <w:p w14:paraId="49173FB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sz w:val="24"/>
                <w:szCs w:val="24"/>
                <w:lang w:eastAsia="zh-CN"/>
              </w:rPr>
              <w:t>广告</w:t>
            </w:r>
            <w:r>
              <w:rPr>
                <w:rFonts w:hint="eastAsia" w:eastAsia="方正仿宋_GBK" w:cs="Times New Roman"/>
                <w:sz w:val="24"/>
                <w:szCs w:val="24"/>
                <w:lang w:eastAsia="zh-CN"/>
              </w:rPr>
              <w:t>股</w:t>
            </w:r>
          </w:p>
        </w:tc>
        <w:tc>
          <w:tcPr>
            <w:tcW w:w="1000" w:type="dxa"/>
            <w:noWrap w:val="0"/>
            <w:vAlign w:val="center"/>
          </w:tcPr>
          <w:p w14:paraId="3BAFDE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企业、个体工商户及</w:t>
            </w:r>
            <w:r>
              <w:rPr>
                <w:rFonts w:hint="default" w:ascii="Times New Roman" w:hAnsi="Times New Roman" w:eastAsia="方正仿宋_GBK" w:cs="Times New Roman"/>
                <w:sz w:val="24"/>
                <w:szCs w:val="24"/>
                <w:lang w:eastAsia="zh-CN"/>
              </w:rPr>
              <w:t>其他</w:t>
            </w:r>
            <w:r>
              <w:rPr>
                <w:rFonts w:hint="default" w:ascii="Times New Roman" w:hAnsi="Times New Roman" w:eastAsia="方正仿宋_GBK" w:cs="Times New Roman"/>
                <w:sz w:val="24"/>
                <w:szCs w:val="24"/>
              </w:rPr>
              <w:t>经营单位</w:t>
            </w:r>
          </w:p>
        </w:tc>
        <w:tc>
          <w:tcPr>
            <w:tcW w:w="3833" w:type="dxa"/>
            <w:noWrap w:val="0"/>
            <w:vAlign w:val="center"/>
          </w:tcPr>
          <w:p w14:paraId="769821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1.检查广告经营者、广告发布者是否违反《广告法》等法律法规涉嫌发布虚假违法广告；</w:t>
            </w:r>
          </w:p>
          <w:p w14:paraId="6DBA79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textAlignment w:val="auto"/>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sz w:val="24"/>
                <w:szCs w:val="24"/>
                <w:lang w:val="en-US" w:eastAsia="zh-CN"/>
              </w:rPr>
              <w:t>2.检查广告经营单位是否建立、健全广告业务的承接登记、审核、档案管理等制度。</w:t>
            </w:r>
          </w:p>
        </w:tc>
        <w:tc>
          <w:tcPr>
            <w:tcW w:w="650" w:type="dxa"/>
            <w:noWrap w:val="0"/>
            <w:vAlign w:val="center"/>
          </w:tcPr>
          <w:p w14:paraId="160289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w:t>
            </w:r>
          </w:p>
        </w:tc>
        <w:tc>
          <w:tcPr>
            <w:tcW w:w="650" w:type="dxa"/>
            <w:shd w:val="clear" w:color="auto" w:fill="auto"/>
            <w:noWrap w:val="0"/>
            <w:vAlign w:val="center"/>
          </w:tcPr>
          <w:p w14:paraId="759C57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7968ED0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p>
        </w:tc>
      </w:tr>
      <w:tr w14:paraId="37201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8B2B28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19</w:t>
            </w:r>
          </w:p>
        </w:tc>
        <w:tc>
          <w:tcPr>
            <w:tcW w:w="1012" w:type="dxa"/>
            <w:noWrap w:val="0"/>
            <w:vAlign w:val="center"/>
          </w:tcPr>
          <w:p w14:paraId="290A7A4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i w:val="0"/>
                <w:color w:val="auto"/>
                <w:kern w:val="0"/>
                <w:sz w:val="24"/>
                <w:szCs w:val="24"/>
                <w:u w:val="none"/>
                <w:lang w:val="en-US" w:eastAsia="zh-CN" w:bidi="ar"/>
              </w:rPr>
              <w:t>对产品质量的监督检查</w:t>
            </w:r>
          </w:p>
        </w:tc>
        <w:tc>
          <w:tcPr>
            <w:tcW w:w="873" w:type="dxa"/>
            <w:shd w:val="clear" w:color="auto" w:fill="auto"/>
            <w:noWrap w:val="0"/>
            <w:vAlign w:val="center"/>
          </w:tcPr>
          <w:p w14:paraId="48579DF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sz w:val="24"/>
                <w:szCs w:val="24"/>
                <w:lang w:eastAsia="zh-CN"/>
              </w:rPr>
              <w:t>安化县市场监督管理局</w:t>
            </w:r>
          </w:p>
        </w:tc>
        <w:tc>
          <w:tcPr>
            <w:tcW w:w="5268" w:type="dxa"/>
            <w:noWrap w:val="0"/>
            <w:vAlign w:val="center"/>
          </w:tcPr>
          <w:p w14:paraId="1CC8E6C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i w:val="0"/>
                <w:color w:val="auto"/>
                <w:kern w:val="0"/>
                <w:sz w:val="24"/>
                <w:szCs w:val="24"/>
                <w:u w:val="none"/>
                <w:lang w:val="en-US" w:eastAsia="zh-CN" w:bidi="ar"/>
              </w:rPr>
              <w:t>《中华人民共和国产品质量法》</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第八条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县级以上地方市场监督管理部门主管本行政区域内的产品质量监督工作。县级以上地方人民政府有关部门在各自的职责范围内负责产品质量监督工作。</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《工业产品生产单位落实质量安全主体责任监督管理规定》</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第十四条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市场监督管理部门应当将生产单位建立并落实工业产品质量安全责任制等管理制度,生产单位在日管控、周排查、月调度中发现的工业产品质量安全风险隐患以及整改情况作为监督检查的重要内容。</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《工业产品销售单位落实质量安全主体责任监督管理规定》</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第十四条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市场监督管理部门应当将销售单位建立并落实工业产品质量安全责任制等管理制度,生产单位在日管控、周排查、月调度中发现的工业产品质量安全风险隐患以及整改情况作为监督检查的重要内容。</w:t>
            </w:r>
          </w:p>
        </w:tc>
        <w:tc>
          <w:tcPr>
            <w:tcW w:w="983" w:type="dxa"/>
            <w:noWrap w:val="0"/>
            <w:vAlign w:val="center"/>
          </w:tcPr>
          <w:p w14:paraId="32FB5DC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eastAsia="zh-CN"/>
              </w:rPr>
              <w:t>产品质量与认证认可股</w:t>
            </w:r>
          </w:p>
        </w:tc>
        <w:tc>
          <w:tcPr>
            <w:tcW w:w="1000" w:type="dxa"/>
            <w:noWrap w:val="0"/>
            <w:vAlign w:val="center"/>
          </w:tcPr>
          <w:p w14:paraId="5E5612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color w:val="auto"/>
                <w:kern w:val="0"/>
                <w:sz w:val="24"/>
                <w:szCs w:val="24"/>
                <w:u w:val="none"/>
                <w:lang w:val="en-US" w:eastAsia="zh-CN" w:bidi="ar"/>
              </w:rPr>
              <w:t>工业产品生产企业和销售企业</w:t>
            </w:r>
          </w:p>
        </w:tc>
        <w:tc>
          <w:tcPr>
            <w:tcW w:w="3833" w:type="dxa"/>
            <w:noWrap w:val="0"/>
            <w:vAlign w:val="center"/>
          </w:tcPr>
          <w:p w14:paraId="02BF42D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1</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建立健全产品质量管理制度情况检查；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产品质量情况检查；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产品标识情况检查；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4</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落实质量安全主体责任情况检查。</w:t>
            </w:r>
          </w:p>
        </w:tc>
        <w:tc>
          <w:tcPr>
            <w:tcW w:w="650" w:type="dxa"/>
            <w:noWrap w:val="0"/>
            <w:vAlign w:val="center"/>
          </w:tcPr>
          <w:p w14:paraId="4DAF6EE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rPr>
            </w:pPr>
            <w:r>
              <w:rPr>
                <w:rFonts w:hint="eastAsia" w:eastAsia="方正仿宋_GBK" w:cs="Times New Roman"/>
                <w:i w:val="0"/>
                <w:color w:val="auto"/>
                <w:kern w:val="0"/>
                <w:sz w:val="24"/>
                <w:szCs w:val="24"/>
                <w:u w:val="none"/>
                <w:lang w:val="en-US" w:eastAsia="zh-CN" w:bidi="ar"/>
              </w:rPr>
              <w:t>现场检查</w:t>
            </w:r>
          </w:p>
        </w:tc>
        <w:tc>
          <w:tcPr>
            <w:tcW w:w="650" w:type="dxa"/>
            <w:shd w:val="clear" w:color="auto" w:fill="auto"/>
            <w:noWrap w:val="0"/>
            <w:vAlign w:val="center"/>
          </w:tcPr>
          <w:p w14:paraId="20C76FA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noWrap w:val="0"/>
            <w:vAlign w:val="center"/>
          </w:tcPr>
          <w:p w14:paraId="346B43B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根据质量状况、上级要求、社会舆情、投诉举报等进行评估，可在辖区内组织开展专项监督检查工作</w:t>
            </w:r>
          </w:p>
        </w:tc>
      </w:tr>
      <w:tr w14:paraId="1879C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8D1459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color w:val="auto"/>
                <w:sz w:val="24"/>
                <w:szCs w:val="24"/>
                <w:lang w:val="en-US" w:eastAsia="zh-CN"/>
              </w:rPr>
              <w:t>20</w:t>
            </w:r>
          </w:p>
        </w:tc>
        <w:tc>
          <w:tcPr>
            <w:tcW w:w="1012" w:type="dxa"/>
            <w:noWrap w:val="0"/>
            <w:vAlign w:val="center"/>
          </w:tcPr>
          <w:p w14:paraId="2152682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对获得工业产品生产许可证企业的监督检查</w:t>
            </w:r>
          </w:p>
        </w:tc>
        <w:tc>
          <w:tcPr>
            <w:tcW w:w="873" w:type="dxa"/>
            <w:noWrap w:val="0"/>
            <w:vAlign w:val="center"/>
          </w:tcPr>
          <w:p w14:paraId="5EE7B1A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sz w:val="24"/>
                <w:szCs w:val="24"/>
                <w:lang w:eastAsia="zh-CN"/>
              </w:rPr>
              <w:t>安化县市场监督管理局</w:t>
            </w:r>
          </w:p>
        </w:tc>
        <w:tc>
          <w:tcPr>
            <w:tcW w:w="5268" w:type="dxa"/>
            <w:noWrap w:val="0"/>
            <w:vAlign w:val="center"/>
          </w:tcPr>
          <w:p w14:paraId="0F92416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i w:val="0"/>
                <w:color w:val="auto"/>
                <w:kern w:val="0"/>
                <w:sz w:val="24"/>
                <w:szCs w:val="24"/>
                <w:u w:val="none"/>
                <w:lang w:val="en-US" w:eastAsia="zh-CN" w:bidi="ar"/>
              </w:rPr>
              <w:t>《中华人民共和国行政许可法》</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第六十一条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行政机关应当建立健全监督制度，通过核查反映被许可人从事行政许可事项活动情况的有关材料，履行监督责任。</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《中华人民共和国工业产品生产许可证管理条例》</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第三十六条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国务院工业产品生产许可证主管部门和县级以上地方工业产品生产许可证主管部门依照本条例规定负责对生产列入目录产品的企业以及核查人员、检验机构及其检验人员的相关活动进行监督检查。</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第三十九条</w:t>
            </w:r>
            <w:r>
              <w:rPr>
                <w:rFonts w:hint="eastAsia" w:eastAsia="方正仿宋_GBK" w:cs="Times New Roman"/>
                <w:b w:val="0"/>
                <w:bCs/>
                <w:i w:val="0"/>
                <w:color w:val="auto"/>
                <w:kern w:val="0"/>
                <w:sz w:val="24"/>
                <w:szCs w:val="24"/>
                <w:u w:val="none"/>
                <w:lang w:val="en-US" w:eastAsia="zh-CN" w:bidi="ar"/>
              </w:rPr>
              <w:t xml:space="preserve">  </w:t>
            </w:r>
            <w:r>
              <w:rPr>
                <w:rFonts w:hint="default" w:ascii="Times New Roman" w:hAnsi="Times New Roman" w:eastAsia="方正仿宋_GBK" w:cs="Times New Roman"/>
                <w:b w:val="0"/>
                <w:bCs/>
                <w:i w:val="0"/>
                <w:color w:val="auto"/>
                <w:kern w:val="0"/>
                <w:sz w:val="24"/>
                <w:szCs w:val="24"/>
                <w:u w:val="none"/>
                <w:lang w:val="en-US" w:eastAsia="zh-CN" w:bidi="ar"/>
              </w:rPr>
              <w:t>国务院工业产品生产许可证主管部门和县级以上地方工业产品生产许可证主管部门应当对企业实施定期或者不定期的监督检查。</w:t>
            </w:r>
          </w:p>
        </w:tc>
        <w:tc>
          <w:tcPr>
            <w:tcW w:w="983" w:type="dxa"/>
            <w:noWrap w:val="0"/>
            <w:vAlign w:val="center"/>
          </w:tcPr>
          <w:p w14:paraId="247D0B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color w:val="auto"/>
                <w:sz w:val="24"/>
                <w:szCs w:val="24"/>
                <w:highlight w:val="none"/>
                <w:lang w:eastAsia="zh-CN"/>
              </w:rPr>
              <w:t>产品质量与认证认可股</w:t>
            </w:r>
          </w:p>
        </w:tc>
        <w:tc>
          <w:tcPr>
            <w:tcW w:w="1000" w:type="dxa"/>
            <w:noWrap w:val="0"/>
            <w:vAlign w:val="center"/>
          </w:tcPr>
          <w:p w14:paraId="72CC98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获得工业产品生产许可证的企业</w:t>
            </w:r>
          </w:p>
        </w:tc>
        <w:tc>
          <w:tcPr>
            <w:tcW w:w="3833" w:type="dxa"/>
            <w:noWrap w:val="0"/>
            <w:vAlign w:val="center"/>
          </w:tcPr>
          <w:p w14:paraId="2D06DD9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i w:val="0"/>
                <w:color w:val="auto"/>
                <w:kern w:val="0"/>
                <w:sz w:val="24"/>
                <w:szCs w:val="24"/>
                <w:u w:val="none"/>
                <w:lang w:val="en-US" w:eastAsia="zh-CN" w:bidi="ar"/>
              </w:rPr>
              <w:t>按照产品对应的工业产品生产许可证实施细则执行，通常包括：</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1</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营业执照情况检查；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专业技术人员情况检查；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生产条件和检验检疫手段情况检查；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4</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技术文件和工艺文件检查；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5</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质量管理制度和责任制度检查；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6</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产品质量情况检查；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7</w:t>
            </w:r>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产业政策情况检查。</w:t>
            </w:r>
          </w:p>
        </w:tc>
        <w:tc>
          <w:tcPr>
            <w:tcW w:w="650" w:type="dxa"/>
            <w:noWrap w:val="0"/>
            <w:vAlign w:val="center"/>
          </w:tcPr>
          <w:p w14:paraId="65BD187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sz w:val="24"/>
                <w:szCs w:val="24"/>
                <w:vertAlign w:val="baseline"/>
                <w:lang w:val="en-US" w:eastAsia="zh-CN"/>
              </w:rPr>
            </w:pPr>
            <w:r>
              <w:rPr>
                <w:rFonts w:hint="eastAsia" w:eastAsia="方正仿宋_GBK" w:cs="Times New Roman"/>
                <w:i w:val="0"/>
                <w:color w:val="auto"/>
                <w:kern w:val="0"/>
                <w:sz w:val="24"/>
                <w:szCs w:val="24"/>
                <w:u w:val="none"/>
                <w:lang w:val="en-US" w:eastAsia="zh-CN" w:bidi="ar"/>
              </w:rPr>
              <w:t>现场检查</w:t>
            </w:r>
          </w:p>
        </w:tc>
        <w:tc>
          <w:tcPr>
            <w:tcW w:w="650" w:type="dxa"/>
            <w:shd w:val="clear" w:color="auto" w:fill="auto"/>
            <w:noWrap w:val="0"/>
            <w:vAlign w:val="center"/>
          </w:tcPr>
          <w:p w14:paraId="5F57BA9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bookmarkStart w:id="0" w:name="_GoBack"/>
            <w:bookmarkEnd w:id="0"/>
          </w:p>
        </w:tc>
        <w:tc>
          <w:tcPr>
            <w:tcW w:w="1175" w:type="dxa"/>
            <w:noWrap w:val="0"/>
            <w:vAlign w:val="center"/>
          </w:tcPr>
          <w:p w14:paraId="19A851E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按照省级检查20%、市级检查30%、县级补充全覆盖的原则，通过“双随机、一公开”平台随机抽取检查对象。</w:t>
            </w:r>
          </w:p>
        </w:tc>
      </w:tr>
      <w:tr w14:paraId="14620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409" w:type="dxa"/>
            <w:noWrap w:val="0"/>
            <w:vAlign w:val="center"/>
          </w:tcPr>
          <w:p w14:paraId="530192B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21</w:t>
            </w:r>
          </w:p>
        </w:tc>
        <w:tc>
          <w:tcPr>
            <w:tcW w:w="1012" w:type="dxa"/>
            <w:noWrap w:val="0"/>
            <w:vAlign w:val="center"/>
          </w:tcPr>
          <w:p w14:paraId="5F8100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对食品（食品添加剂）生产者的监督检查</w:t>
            </w:r>
          </w:p>
          <w:p w14:paraId="5CC8704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873" w:type="dxa"/>
            <w:noWrap w:val="0"/>
            <w:vAlign w:val="center"/>
          </w:tcPr>
          <w:p w14:paraId="1C40596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090FFA5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21F70A9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第六条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793D62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480" w:firstLineChars="20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14:paraId="5A8C93B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县级人民政府食品安全监督管理部门可以在乡镇或者特定区域设立派出机构。</w:t>
            </w:r>
          </w:p>
          <w:p w14:paraId="6AAED7E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p>
          <w:p w14:paraId="2426AA2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p>
          <w:p w14:paraId="6F889A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p>
          <w:p w14:paraId="55E504C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0052E08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15ED574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1F6CB9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p>
          <w:p w14:paraId="5386CFE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p w14:paraId="0DDC9FA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《食品生产经营监督检查管理办法》</w:t>
            </w:r>
          </w:p>
          <w:p w14:paraId="13964A3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第八条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省级市场监督管理部门负责监督指导本行政区域内食品生产经营监督检查工作，重点组织和协调对产品风险高、影响区域广的食品生产经营者的监督检查。</w:t>
            </w:r>
          </w:p>
          <w:p w14:paraId="5EE3AE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第九条</w:t>
            </w:r>
            <w:r>
              <w:rPr>
                <w:rFonts w:hint="eastAsia" w:eastAsia="方正仿宋_GBK" w:cs="Times New Roman"/>
                <w:i w:val="0"/>
                <w:color w:val="000000"/>
                <w:kern w:val="0"/>
                <w:sz w:val="24"/>
                <w:szCs w:val="24"/>
                <w:u w:val="none"/>
                <w:lang w:val="en-US" w:eastAsia="zh-CN" w:bidi="ar"/>
              </w:rPr>
              <w:t xml:space="preserve">第一款  </w:t>
            </w:r>
            <w:r>
              <w:rPr>
                <w:rFonts w:hint="default" w:ascii="Times New Roman" w:hAnsi="Times New Roman" w:eastAsia="方正仿宋_GBK" w:cs="Times New Roman"/>
                <w:i w:val="0"/>
                <w:color w:val="000000"/>
                <w:kern w:val="0"/>
                <w:sz w:val="24"/>
                <w:szCs w:val="24"/>
                <w:u w:val="none"/>
                <w:lang w:val="en-US" w:eastAsia="zh-CN" w:bidi="ar"/>
              </w:rPr>
              <w:t>设区的市级（以下简称市级）、县级市场监督管理部门负责本行政区域内食品生产经营监督检查工作。</w:t>
            </w:r>
          </w:p>
        </w:tc>
        <w:tc>
          <w:tcPr>
            <w:tcW w:w="983" w:type="dxa"/>
            <w:noWrap w:val="0"/>
            <w:vAlign w:val="center"/>
          </w:tcPr>
          <w:p w14:paraId="72C39B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食品生产股</w:t>
            </w:r>
          </w:p>
        </w:tc>
        <w:tc>
          <w:tcPr>
            <w:tcW w:w="1000" w:type="dxa"/>
            <w:noWrap w:val="0"/>
            <w:vAlign w:val="center"/>
          </w:tcPr>
          <w:p w14:paraId="7D94B0A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食品（食品添加剂）生产者</w:t>
            </w:r>
          </w:p>
        </w:tc>
        <w:tc>
          <w:tcPr>
            <w:tcW w:w="3833" w:type="dxa"/>
            <w:noWrap w:val="0"/>
            <w:vAlign w:val="center"/>
          </w:tcPr>
          <w:p w14:paraId="37EB555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3D0441A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66581C3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0C8011D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eastAsia" w:eastAsia="方正仿宋_GBK" w:cs="Times New Roman"/>
                <w:i w:val="0"/>
                <w:color w:val="000000"/>
                <w:kern w:val="0"/>
                <w:sz w:val="24"/>
                <w:szCs w:val="24"/>
                <w:u w:val="none"/>
                <w:lang w:val="en-US" w:eastAsia="zh-CN" w:bidi="ar"/>
              </w:rPr>
              <w:t>。</w:t>
            </w:r>
          </w:p>
        </w:tc>
        <w:tc>
          <w:tcPr>
            <w:tcW w:w="650" w:type="dxa"/>
            <w:noWrap w:val="0"/>
            <w:vAlign w:val="center"/>
          </w:tcPr>
          <w:p w14:paraId="0FA680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64C6DD8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color="auto" w:fill="auto"/>
            <w:noWrap w:val="0"/>
            <w:vAlign w:val="center"/>
          </w:tcPr>
          <w:p w14:paraId="21F4119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5F45B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80" w:hRule="atLeast"/>
          <w:jc w:val="center"/>
        </w:trPr>
        <w:tc>
          <w:tcPr>
            <w:tcW w:w="409" w:type="dxa"/>
            <w:noWrap w:val="0"/>
            <w:vAlign w:val="center"/>
          </w:tcPr>
          <w:p w14:paraId="1BA173B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 w:eastAsia="zh-CN" w:bidi="ar"/>
              </w:rPr>
            </w:pPr>
            <w:r>
              <w:rPr>
                <w:rFonts w:hint="eastAsia" w:eastAsia="方正仿宋_GBK" w:cs="Times New Roman"/>
                <w:i w:val="0"/>
                <w:color w:val="000000"/>
                <w:kern w:val="0"/>
                <w:sz w:val="24"/>
                <w:szCs w:val="24"/>
                <w:u w:val="none"/>
                <w:lang w:val="en-US" w:eastAsia="zh-CN" w:bidi="ar"/>
              </w:rPr>
              <w:t>22</w:t>
            </w:r>
          </w:p>
        </w:tc>
        <w:tc>
          <w:tcPr>
            <w:tcW w:w="1012" w:type="dxa"/>
            <w:noWrap w:val="0"/>
            <w:vAlign w:val="center"/>
          </w:tcPr>
          <w:p w14:paraId="60F52C5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对食品生产加工小作坊的监督检查</w:t>
            </w:r>
          </w:p>
        </w:tc>
        <w:tc>
          <w:tcPr>
            <w:tcW w:w="873" w:type="dxa"/>
            <w:shd w:val="clear" w:color="auto" w:fill="auto"/>
            <w:noWrap w:val="0"/>
            <w:vAlign w:val="center"/>
          </w:tcPr>
          <w:p w14:paraId="4FC2A1B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sz w:val="24"/>
                <w:szCs w:val="24"/>
                <w:lang w:eastAsia="zh-CN"/>
              </w:rPr>
              <w:t>安化县市场监督管理局</w:t>
            </w:r>
          </w:p>
        </w:tc>
        <w:tc>
          <w:tcPr>
            <w:tcW w:w="5268" w:type="dxa"/>
            <w:noWrap w:val="0"/>
            <w:vAlign w:val="center"/>
          </w:tcPr>
          <w:p w14:paraId="4C9193D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《湖南省食品生产加工小作坊小餐饮和食品摊贩管理条例》</w:t>
            </w:r>
          </w:p>
          <w:p w14:paraId="0BF1E49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县级以上人民政府市场监督管理部门负责对本行政区域内小作坊、小餐饮和食品摊贩的食品安全进行监督管理和指导。</w:t>
            </w:r>
          </w:p>
          <w:p w14:paraId="624E19A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县级以上人民政府城市管理部门按照法定职责做好食品摊贩的监督管理工作。</w:t>
            </w:r>
          </w:p>
          <w:p w14:paraId="19D6E74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县级以上人民政府发展和改革、卫生健康、农业农村、商务、生态环境等部门按照各自职责，负责本行政区域内小作坊、小餐饮和食品摊贩监督管理相关工作。</w:t>
            </w:r>
          </w:p>
          <w:p w14:paraId="7CE774D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县级以上人民政府市场监督管理等有关部门应当建立健全小作坊、小餐饮和食品摊贩的监督检查制度，通过日常巡查、定期检查和抽样检验等方式加强日常监督检查。</w:t>
            </w:r>
          </w:p>
          <w:p w14:paraId="658CDB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983" w:type="dxa"/>
            <w:noWrap w:val="0"/>
            <w:vAlign w:val="center"/>
          </w:tcPr>
          <w:p w14:paraId="3CC5AE8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食品生产股</w:t>
            </w:r>
          </w:p>
        </w:tc>
        <w:tc>
          <w:tcPr>
            <w:tcW w:w="1000" w:type="dxa"/>
            <w:noWrap w:val="0"/>
            <w:vAlign w:val="center"/>
          </w:tcPr>
          <w:p w14:paraId="379F53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食品生产加工小作坊</w:t>
            </w:r>
          </w:p>
        </w:tc>
        <w:tc>
          <w:tcPr>
            <w:tcW w:w="3833" w:type="dxa"/>
            <w:noWrap w:val="0"/>
            <w:vAlign w:val="center"/>
          </w:tcPr>
          <w:p w14:paraId="3876AF3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p>
          <w:p w14:paraId="5165B72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p>
          <w:p w14:paraId="65FB3FC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p w14:paraId="4C1ABCE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p>
          <w:p w14:paraId="234A219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p w14:paraId="6BF3605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650" w:type="dxa"/>
            <w:noWrap w:val="0"/>
            <w:vAlign w:val="center"/>
          </w:tcPr>
          <w:p w14:paraId="364DAC1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shd w:val="clear" w:color="auto" w:fill="auto"/>
            <w:noWrap w:val="0"/>
            <w:vAlign w:val="center"/>
          </w:tcPr>
          <w:p w14:paraId="2D7E402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color="auto" w:fill="auto"/>
            <w:noWrap w:val="0"/>
            <w:vAlign w:val="center"/>
          </w:tcPr>
          <w:p w14:paraId="651B4E9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08A50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85" w:hRule="atLeast"/>
          <w:jc w:val="center"/>
        </w:trPr>
        <w:tc>
          <w:tcPr>
            <w:tcW w:w="409" w:type="dxa"/>
            <w:noWrap w:val="0"/>
            <w:vAlign w:val="center"/>
          </w:tcPr>
          <w:p w14:paraId="779C770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23</w:t>
            </w:r>
          </w:p>
        </w:tc>
        <w:tc>
          <w:tcPr>
            <w:tcW w:w="1012" w:type="dxa"/>
            <w:noWrap w:val="0"/>
            <w:vAlign w:val="center"/>
          </w:tcPr>
          <w:p w14:paraId="424C68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对餐饮服务经营者的食品安全的行政检查</w:t>
            </w:r>
          </w:p>
        </w:tc>
        <w:tc>
          <w:tcPr>
            <w:tcW w:w="873" w:type="dxa"/>
            <w:shd w:val="clear" w:color="auto" w:fill="auto"/>
            <w:noWrap w:val="0"/>
            <w:vAlign w:val="center"/>
          </w:tcPr>
          <w:p w14:paraId="460B626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0374A29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2BE51EB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983" w:type="dxa"/>
            <w:noWrap w:val="0"/>
            <w:vAlign w:val="center"/>
          </w:tcPr>
          <w:p w14:paraId="578713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1000" w:type="dxa"/>
            <w:noWrap w:val="0"/>
            <w:vAlign w:val="center"/>
          </w:tcPr>
          <w:p w14:paraId="759895F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餐饮服务经营者</w:t>
            </w:r>
          </w:p>
        </w:tc>
        <w:tc>
          <w:tcPr>
            <w:tcW w:w="3833" w:type="dxa"/>
            <w:noWrap w:val="0"/>
            <w:vAlign w:val="center"/>
          </w:tcPr>
          <w:p w14:paraId="075932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650" w:type="dxa"/>
            <w:noWrap w:val="0"/>
            <w:vAlign w:val="center"/>
          </w:tcPr>
          <w:p w14:paraId="764C132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6F0BD7B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color="auto" w:fill="auto"/>
            <w:noWrap w:val="0"/>
            <w:vAlign w:val="center"/>
          </w:tcPr>
          <w:p w14:paraId="3986F62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438FF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2007A8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24</w:t>
            </w:r>
          </w:p>
        </w:tc>
        <w:tc>
          <w:tcPr>
            <w:tcW w:w="1012" w:type="dxa"/>
            <w:noWrap w:val="0"/>
            <w:vAlign w:val="center"/>
          </w:tcPr>
          <w:p w14:paraId="0AD9E24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对学校、养老院等食堂、以学生为主要供餐对象的集体用餐配送单位的行政检查</w:t>
            </w:r>
          </w:p>
        </w:tc>
        <w:tc>
          <w:tcPr>
            <w:tcW w:w="873" w:type="dxa"/>
            <w:shd w:val="clear" w:color="auto" w:fill="auto"/>
            <w:noWrap w:val="0"/>
            <w:vAlign w:val="center"/>
          </w:tcPr>
          <w:p w14:paraId="667FA2C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b w:val="0"/>
                <w:bCs w:val="0"/>
                <w:kern w:val="2"/>
                <w:sz w:val="24"/>
                <w:szCs w:val="24"/>
                <w:vertAlign w:val="baseline"/>
                <w:lang w:val="en-US" w:eastAsia="zh-CN" w:bidi="ar-SA"/>
              </w:rPr>
            </w:pPr>
            <w:r>
              <w:rPr>
                <w:rFonts w:hint="eastAsia" w:eastAsia="方正仿宋_GBK" w:cs="Times New Roman"/>
                <w:sz w:val="24"/>
                <w:szCs w:val="24"/>
                <w:lang w:eastAsia="zh-CN"/>
              </w:rPr>
              <w:t>安化县市场监督管理局</w:t>
            </w:r>
          </w:p>
        </w:tc>
        <w:tc>
          <w:tcPr>
            <w:tcW w:w="5268" w:type="dxa"/>
            <w:noWrap w:val="0"/>
            <w:vAlign w:val="center"/>
          </w:tcPr>
          <w:p w14:paraId="7C49562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30A458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5CADD6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983" w:type="dxa"/>
            <w:noWrap w:val="0"/>
            <w:vAlign w:val="center"/>
          </w:tcPr>
          <w:p w14:paraId="461A87D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1000" w:type="dxa"/>
            <w:noWrap w:val="0"/>
            <w:vAlign w:val="center"/>
          </w:tcPr>
          <w:p w14:paraId="3C3F15F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单位食堂、学生集体用餐配送单位（即校外供餐单位）</w:t>
            </w:r>
          </w:p>
        </w:tc>
        <w:tc>
          <w:tcPr>
            <w:tcW w:w="3833" w:type="dxa"/>
            <w:noWrap w:val="0"/>
            <w:vAlign w:val="center"/>
          </w:tcPr>
          <w:p w14:paraId="134F7D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650" w:type="dxa"/>
            <w:noWrap w:val="0"/>
            <w:vAlign w:val="center"/>
          </w:tcPr>
          <w:p w14:paraId="7F151B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5D2092B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color="auto" w:fill="auto"/>
            <w:noWrap w:val="0"/>
            <w:vAlign w:val="center"/>
          </w:tcPr>
          <w:p w14:paraId="2ABACA4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1D955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490318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25</w:t>
            </w:r>
          </w:p>
        </w:tc>
        <w:tc>
          <w:tcPr>
            <w:tcW w:w="1012" w:type="dxa"/>
            <w:noWrap w:val="0"/>
            <w:vAlign w:val="center"/>
          </w:tcPr>
          <w:p w14:paraId="1B7B292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对食品销售经营者的食品安全行政检查</w:t>
            </w:r>
          </w:p>
        </w:tc>
        <w:tc>
          <w:tcPr>
            <w:tcW w:w="873" w:type="dxa"/>
            <w:shd w:val="clear" w:color="auto" w:fill="auto"/>
            <w:noWrap w:val="0"/>
            <w:vAlign w:val="center"/>
          </w:tcPr>
          <w:p w14:paraId="4B93F1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3430AB86">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9D37AA4">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140E9A87">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line="240" w:lineRule="exact"/>
              <w:ind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p>
        </w:tc>
        <w:tc>
          <w:tcPr>
            <w:tcW w:w="983" w:type="dxa"/>
            <w:noWrap w:val="0"/>
            <w:vAlign w:val="center"/>
          </w:tcPr>
          <w:p w14:paraId="7CA5C8C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1000" w:type="dxa"/>
            <w:noWrap w:val="0"/>
            <w:vAlign w:val="center"/>
          </w:tcPr>
          <w:p w14:paraId="180C088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食品销售经营者</w:t>
            </w:r>
          </w:p>
        </w:tc>
        <w:tc>
          <w:tcPr>
            <w:tcW w:w="3833" w:type="dxa"/>
            <w:noWrap w:val="0"/>
            <w:vAlign w:val="center"/>
          </w:tcPr>
          <w:p w14:paraId="23D5A4E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经营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执行食品安全法律、法规、规章和食品安全标准等情况</w:t>
            </w:r>
          </w:p>
        </w:tc>
        <w:tc>
          <w:tcPr>
            <w:tcW w:w="650" w:type="dxa"/>
            <w:noWrap w:val="0"/>
            <w:vAlign w:val="center"/>
          </w:tcPr>
          <w:p w14:paraId="0C587CF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color="auto" w:fill="auto"/>
            <w:noWrap w:val="0"/>
            <w:vAlign w:val="center"/>
          </w:tcPr>
          <w:p w14:paraId="4BF97AE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color="auto" w:fill="auto"/>
            <w:noWrap w:val="0"/>
            <w:vAlign w:val="center"/>
          </w:tcPr>
          <w:p w14:paraId="17D223B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286ED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15" w:hRule="atLeast"/>
          <w:jc w:val="center"/>
        </w:trPr>
        <w:tc>
          <w:tcPr>
            <w:tcW w:w="409" w:type="dxa"/>
            <w:noWrap w:val="0"/>
            <w:vAlign w:val="center"/>
          </w:tcPr>
          <w:p w14:paraId="04E9E22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26</w:t>
            </w:r>
          </w:p>
        </w:tc>
        <w:tc>
          <w:tcPr>
            <w:tcW w:w="1012" w:type="dxa"/>
            <w:noWrap w:val="0"/>
            <w:vAlign w:val="center"/>
          </w:tcPr>
          <w:p w14:paraId="0B2F35D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对小餐饮的食品安全行政检查</w:t>
            </w:r>
          </w:p>
        </w:tc>
        <w:tc>
          <w:tcPr>
            <w:tcW w:w="873" w:type="dxa"/>
            <w:noWrap w:val="0"/>
            <w:vAlign w:val="center"/>
          </w:tcPr>
          <w:p w14:paraId="3DBBFFA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4777532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《湖南省食品生产加工小作坊小餐饮和食品摊贩管理条例》</w:t>
            </w:r>
          </w:p>
          <w:p w14:paraId="5D816E3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第二十八条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县级以上人民政府应当组织市场监督管理等有关部门制定小作坊、小餐饮和食品摊贩的食品安全监督管理计划，对存在的区域性、普遍性食品安全问题组织专项检查，开展综合治理。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乡镇人民政府、街道办事处应当开展小作坊、小餐饮和食品摊贩食品安全隐患排查。村（居）民委员会确定的食品安全协管员协助开展安全隐患排查和信息报告等工作。</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县级以上人民政府市场监督管理等有关部门应当建立健全小作坊、小餐饮和食品摊贩的监督检查制度，通过日常巡查、定期检查和抽样检验等方式加强日常监督检查。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县级人民政府市场监督管理部门应当建立小作坊、小餐饮食品安全信用档案，依法公布并及时更新；对安全风险隐患较高或者有不良信用记录的小作坊、小餐饮进行重点监管。</w:t>
            </w:r>
          </w:p>
        </w:tc>
        <w:tc>
          <w:tcPr>
            <w:tcW w:w="983" w:type="dxa"/>
            <w:noWrap w:val="0"/>
            <w:vAlign w:val="center"/>
          </w:tcPr>
          <w:p w14:paraId="2391E70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餐饮股</w:t>
            </w:r>
          </w:p>
        </w:tc>
        <w:tc>
          <w:tcPr>
            <w:tcW w:w="1000" w:type="dxa"/>
            <w:noWrap w:val="0"/>
            <w:vAlign w:val="center"/>
          </w:tcPr>
          <w:p w14:paraId="02FC521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小餐饮经营者</w:t>
            </w:r>
          </w:p>
        </w:tc>
        <w:tc>
          <w:tcPr>
            <w:tcW w:w="3833" w:type="dxa"/>
            <w:noWrap w:val="0"/>
            <w:vAlign w:val="center"/>
          </w:tcPr>
          <w:p w14:paraId="4A21FB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执行食品安全法律、法规、规章和食品安全标准等情况</w:t>
            </w:r>
          </w:p>
        </w:tc>
        <w:tc>
          <w:tcPr>
            <w:tcW w:w="650" w:type="dxa"/>
            <w:noWrap w:val="0"/>
            <w:vAlign w:val="center"/>
          </w:tcPr>
          <w:p w14:paraId="00C6704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noWrap w:val="0"/>
            <w:vAlign w:val="center"/>
          </w:tcPr>
          <w:p w14:paraId="1A7D7DB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noWrap w:val="0"/>
            <w:vAlign w:val="center"/>
          </w:tcPr>
          <w:p w14:paraId="3F3998C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06C2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9" w:type="dxa"/>
            <w:noWrap w:val="0"/>
            <w:vAlign w:val="center"/>
          </w:tcPr>
          <w:p w14:paraId="66B7E39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27</w:t>
            </w:r>
          </w:p>
        </w:tc>
        <w:tc>
          <w:tcPr>
            <w:tcW w:w="1012" w:type="dxa"/>
            <w:noWrap w:val="0"/>
            <w:vAlign w:val="center"/>
          </w:tcPr>
          <w:p w14:paraId="18C8755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对市场销售食用农产品经营者的质量安全行政检查</w:t>
            </w:r>
          </w:p>
        </w:tc>
        <w:tc>
          <w:tcPr>
            <w:tcW w:w="873" w:type="dxa"/>
            <w:noWrap w:val="0"/>
            <w:vAlign w:val="center"/>
          </w:tcPr>
          <w:p w14:paraId="148C7C6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25DE78E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D5585E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4C2218F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县级以上人民政府食品药品监督管理、质量监督部门履行各自食品安全监督管理职责，有权采取下列措施，对生产经营者遵守本法的情况进行监督检查：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《食用农产品市场销售质量安全监督管理办法》</w:t>
            </w:r>
          </w:p>
          <w:p w14:paraId="1B5639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（一）对食用农产品销售、贮存等场所、设施、设备，以及信息公示情况等进行现场检查；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（二）向当事人和其他有关人员调查了解与食用农产品销售活动和质量安全有关的情况；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（三）检查食用农产品进货查验记录制度落实情况，查阅、复制与食用农产品质量安全有关的记录、协议、发票以及其他资料；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（六）对食用农产品进行抽样，送有资质的食品检验机构进行检验；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（七）对有证据证明不符合食品安全标准或者有证据证明存在质量安全隐患以及用于违法生产经营的食用农产品，有权查封、扣押、监督销毁；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（八）依法查封违法从事食用农产品销售活动的场所。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集中交易市场开办者、销售者及其委托的贮存服务提供者对市场监督管理部门依法实施的监督检查应当予以配合，不得拒绝、阻挠、干涉。</w:t>
            </w:r>
          </w:p>
        </w:tc>
        <w:tc>
          <w:tcPr>
            <w:tcW w:w="983" w:type="dxa"/>
            <w:noWrap w:val="0"/>
            <w:vAlign w:val="center"/>
          </w:tcPr>
          <w:p w14:paraId="7B08265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1000" w:type="dxa"/>
            <w:noWrap w:val="0"/>
            <w:vAlign w:val="center"/>
          </w:tcPr>
          <w:p w14:paraId="037EC320">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市场销售食用农产品经营者</w:t>
            </w:r>
          </w:p>
        </w:tc>
        <w:tc>
          <w:tcPr>
            <w:tcW w:w="3833" w:type="dxa"/>
            <w:noWrap w:val="0"/>
            <w:vAlign w:val="center"/>
          </w:tcPr>
          <w:p w14:paraId="0A78CF4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销售者一般规定执行、禁止性规定执行、经营场所环境卫生、经营过程控制、进货查验、食用农产品贮存、食用农产品召回、温度控制及记录、不符合食品安全标准食品处置、食品安全自查、从业人员管理、食品安全事故处置、网络食用农产品销售等执行食品安全法律、法规、规章和食品安全标准等情况</w:t>
            </w:r>
          </w:p>
        </w:tc>
        <w:tc>
          <w:tcPr>
            <w:tcW w:w="650" w:type="dxa"/>
            <w:noWrap w:val="0"/>
            <w:vAlign w:val="center"/>
          </w:tcPr>
          <w:p w14:paraId="62B44D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结合</w:t>
            </w:r>
          </w:p>
        </w:tc>
        <w:tc>
          <w:tcPr>
            <w:tcW w:w="650" w:type="dxa"/>
            <w:shd w:val="clear"/>
            <w:noWrap w:val="0"/>
            <w:vAlign w:val="center"/>
          </w:tcPr>
          <w:p w14:paraId="00AC6B9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shd w:val="clear"/>
            <w:noWrap w:val="0"/>
            <w:vAlign w:val="center"/>
          </w:tcPr>
          <w:p w14:paraId="0877D55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1C32B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61" w:hRule="atLeast"/>
          <w:jc w:val="center"/>
        </w:trPr>
        <w:tc>
          <w:tcPr>
            <w:tcW w:w="409" w:type="dxa"/>
            <w:noWrap w:val="0"/>
            <w:vAlign w:val="center"/>
          </w:tcPr>
          <w:p w14:paraId="16D99AC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28</w:t>
            </w:r>
          </w:p>
        </w:tc>
        <w:tc>
          <w:tcPr>
            <w:tcW w:w="1012" w:type="dxa"/>
            <w:noWrap w:val="0"/>
            <w:vAlign w:val="center"/>
          </w:tcPr>
          <w:p w14:paraId="23E3B0F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对食用农产品集中交易市场开办者的行政检查</w:t>
            </w:r>
          </w:p>
        </w:tc>
        <w:tc>
          <w:tcPr>
            <w:tcW w:w="873" w:type="dxa"/>
            <w:noWrap w:val="0"/>
            <w:vAlign w:val="center"/>
          </w:tcPr>
          <w:p w14:paraId="49181BB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559226C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318958C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第一百零九条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县级以上人民政府食品安全监督管理部门根据食品安全风险监测、风险评估结果和食品安全状况等，确定监督管理的重点、方式和频次，实施风险分级管理。</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县级以上地方人民政府组织本级食品安全监督管理、农业行政等部门制定本行政区域的食品安全年度监督管理计划，向社会公布并组织实施。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食品安全年度监督管理计划应当将下列事项作为监督管理的重点：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（三）发生食品安全事故风险较高的食品生产经营者；</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（四）食品安全风险监测结果表明可能存在食品安全隐患的事项。</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509D28F6">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县级以上人民政府食品药品监督管理、质量监督部门履行各自食品安全监督管理职责，有权采取下列措施，对生产经营者遵守本法的情况进行监督检查：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（四）查封、扣押有证据证明不符合食品安全标准或者有证据证明存在安全隐患以及用于违法生产经营的食品、食品添加剂、食品相关产品；</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（五）查封违法从事生产经营活动的场所。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《食用农产品市场销售质量安全监督管理办法》</w:t>
            </w:r>
          </w:p>
          <w:p w14:paraId="4E9F92C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第二十九条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县级以上市场监督管理部门按照本行政区域食品安全年度监督管理计划，对集中交易市场开办者、销售者及其委托的贮存服务提供者遵守本办法情况进行日常监督检查：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（一）对食用农产品销售、贮存等场所、设施、设备，以及信息公示情况等进行现场检查；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（二）向当事人和其他有关人员调查了解与食用农产品销售活动和质量安全有关的情况；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（三）检查食用农产品进货查验记录制度落实情况，查阅、复制与食用农产品质量安全有关的记录、协议、发票以及其他资料；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（四）检查集中交易市场抽样检验情况；</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（五）对集中交易市场的食品安全总监、食品安全员随机进行监督抽查考核并公布考核结果；</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（八）依法查封违法从事食用农产品销售活动的场所。</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集中交易市场开办者、销售者及其委托的贮存服务提供者对市场监督管理部门依法实施的监督检查应当予以配合，不得拒绝、阻挠、干涉。</w:t>
            </w:r>
          </w:p>
        </w:tc>
        <w:tc>
          <w:tcPr>
            <w:tcW w:w="983" w:type="dxa"/>
            <w:noWrap w:val="0"/>
            <w:vAlign w:val="center"/>
          </w:tcPr>
          <w:p w14:paraId="529D3F5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食品流通股</w:t>
            </w:r>
          </w:p>
        </w:tc>
        <w:tc>
          <w:tcPr>
            <w:tcW w:w="1000" w:type="dxa"/>
            <w:noWrap w:val="0"/>
            <w:vAlign w:val="center"/>
          </w:tcPr>
          <w:p w14:paraId="4C11E7A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食用农产品集中交易市场开办者</w:t>
            </w:r>
          </w:p>
        </w:tc>
        <w:tc>
          <w:tcPr>
            <w:tcW w:w="3833" w:type="dxa"/>
            <w:noWrap w:val="0"/>
            <w:vAlign w:val="center"/>
          </w:tcPr>
          <w:p w14:paraId="0781C50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用农产品集中交易市场开办者举办前报告、建立健全食品安全管理制度、履行入场销售者登记建档、签订协议、入场查验、场内检查、信息公示、食品安全违法行为制止及报告、食品安全事故处置、投诉举报处置等执行食品安全法律、法规、规章和食品安全标准等情况，食用农产品批发市场开办者履行抽样检验、统一销售凭证格式以及监督入场销售者开具销售凭证等情况。</w:t>
            </w:r>
          </w:p>
        </w:tc>
        <w:tc>
          <w:tcPr>
            <w:tcW w:w="650" w:type="dxa"/>
            <w:noWrap w:val="0"/>
            <w:vAlign w:val="center"/>
          </w:tcPr>
          <w:p w14:paraId="57FA755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现场检查、非现场检查相结合</w:t>
            </w:r>
          </w:p>
        </w:tc>
        <w:tc>
          <w:tcPr>
            <w:tcW w:w="650" w:type="dxa"/>
            <w:noWrap w:val="0"/>
            <w:vAlign w:val="center"/>
          </w:tcPr>
          <w:p w14:paraId="6A4741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风险分类抽查</w:t>
            </w:r>
          </w:p>
        </w:tc>
        <w:tc>
          <w:tcPr>
            <w:tcW w:w="1175" w:type="dxa"/>
            <w:noWrap w:val="0"/>
            <w:vAlign w:val="center"/>
          </w:tcPr>
          <w:p w14:paraId="73F7248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000000"/>
                <w:w w:val="80"/>
                <w:kern w:val="0"/>
                <w:sz w:val="24"/>
                <w:szCs w:val="24"/>
                <w:u w:val="none"/>
                <w:lang w:val="en-US" w:eastAsia="zh-CN" w:bidi="ar"/>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r>
      <w:tr w14:paraId="555EA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9" w:type="dxa"/>
            <w:noWrap w:val="0"/>
            <w:vAlign w:val="center"/>
          </w:tcPr>
          <w:p w14:paraId="78E950F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29</w:t>
            </w:r>
          </w:p>
        </w:tc>
        <w:tc>
          <w:tcPr>
            <w:tcW w:w="1012" w:type="dxa"/>
            <w:noWrap w:val="0"/>
            <w:vAlign w:val="center"/>
          </w:tcPr>
          <w:p w14:paraId="1325490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对特殊食品经营单位的监督检查</w:t>
            </w:r>
          </w:p>
        </w:tc>
        <w:tc>
          <w:tcPr>
            <w:tcW w:w="873" w:type="dxa"/>
            <w:noWrap w:val="0"/>
            <w:vAlign w:val="center"/>
          </w:tcPr>
          <w:p w14:paraId="2020C1E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1877166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p>
          <w:p w14:paraId="641A91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第一百一十条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县级以上人民政府食品安全监督管理部门履行食品安全监督管理职责，有权采取下列措施，对生产经营者遵守本法的情况进行监督检查：（一）进入生产经营场所实施现场检查；</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（二）对生产经营的食品、食品添加剂、食品相关产品进行抽样检验；</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（三）查阅、复制有关合同、票据、账簿以及其他有关资料；</w:t>
            </w:r>
          </w:p>
        </w:tc>
        <w:tc>
          <w:tcPr>
            <w:tcW w:w="983" w:type="dxa"/>
            <w:noWrap w:val="0"/>
            <w:vAlign w:val="center"/>
          </w:tcPr>
          <w:p w14:paraId="0EF8381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特化股</w:t>
            </w:r>
          </w:p>
        </w:tc>
        <w:tc>
          <w:tcPr>
            <w:tcW w:w="1000" w:type="dxa"/>
            <w:noWrap w:val="0"/>
            <w:vAlign w:val="center"/>
          </w:tcPr>
          <w:p w14:paraId="48D1AF4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特殊食品经营单位</w:t>
            </w:r>
          </w:p>
        </w:tc>
        <w:tc>
          <w:tcPr>
            <w:tcW w:w="3833" w:type="dxa"/>
            <w:noWrap w:val="0"/>
            <w:vAlign w:val="center"/>
          </w:tcPr>
          <w:p w14:paraId="581C1BC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禁止混放要求落实等情况。</w:t>
            </w:r>
          </w:p>
        </w:tc>
        <w:tc>
          <w:tcPr>
            <w:tcW w:w="650" w:type="dxa"/>
            <w:noWrap w:val="0"/>
            <w:vAlign w:val="center"/>
          </w:tcPr>
          <w:p w14:paraId="0DF7A2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1DBC2A1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398201F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DF5B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345EBB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30</w:t>
            </w:r>
          </w:p>
        </w:tc>
        <w:tc>
          <w:tcPr>
            <w:tcW w:w="1012" w:type="dxa"/>
            <w:noWrap w:val="0"/>
            <w:vAlign w:val="center"/>
          </w:tcPr>
          <w:p w14:paraId="607D351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对食盐生产、经营的监督检查</w:t>
            </w:r>
          </w:p>
        </w:tc>
        <w:tc>
          <w:tcPr>
            <w:tcW w:w="873" w:type="dxa"/>
            <w:noWrap w:val="0"/>
            <w:vAlign w:val="center"/>
          </w:tcPr>
          <w:p w14:paraId="4070F15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296E0A8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《食盐专营办法》</w:t>
            </w:r>
          </w:p>
          <w:p w14:paraId="62A3BA7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第四条</w:t>
            </w:r>
            <w:r>
              <w:rPr>
                <w:rFonts w:hint="eastAsia"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国务院盐业主管部门主管全国盐业工作，负责管理全国食盐专营工作。县级以上地方人民政府确定的盐业主管部门负责管理本行政区域的食盐专营工作。</w:t>
            </w:r>
          </w:p>
          <w:p w14:paraId="76431DD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国务院食品药品监督管理部门负责全国食盐质量安全监督管理。县级以上地方人民政府确定的食盐质量安全监督管理部门负责本行政区域的食盐质量安全监督管理。</w:t>
            </w:r>
          </w:p>
        </w:tc>
        <w:tc>
          <w:tcPr>
            <w:tcW w:w="983" w:type="dxa"/>
            <w:noWrap w:val="0"/>
            <w:vAlign w:val="center"/>
          </w:tcPr>
          <w:p w14:paraId="2E226CD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特化股</w:t>
            </w:r>
          </w:p>
        </w:tc>
        <w:tc>
          <w:tcPr>
            <w:tcW w:w="1000" w:type="dxa"/>
            <w:noWrap w:val="0"/>
            <w:vAlign w:val="center"/>
          </w:tcPr>
          <w:p w14:paraId="5175C2A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食盐生产、经营</w:t>
            </w:r>
            <w:r>
              <w:rPr>
                <w:rFonts w:hint="eastAsia" w:eastAsia="方正仿宋_GBK" w:cs="Times New Roman"/>
                <w:i w:val="0"/>
                <w:color w:val="000000"/>
                <w:kern w:val="0"/>
                <w:sz w:val="24"/>
                <w:szCs w:val="24"/>
                <w:u w:val="none"/>
                <w:lang w:val="en-US" w:eastAsia="zh-CN" w:bidi="ar"/>
              </w:rPr>
              <w:t>单位</w:t>
            </w:r>
          </w:p>
        </w:tc>
        <w:tc>
          <w:tcPr>
            <w:tcW w:w="3833" w:type="dxa"/>
            <w:noWrap w:val="0"/>
            <w:vAlign w:val="center"/>
          </w:tcPr>
          <w:p w14:paraId="14B86B1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食盐生产、经营监管</w:t>
            </w:r>
          </w:p>
        </w:tc>
        <w:tc>
          <w:tcPr>
            <w:tcW w:w="650" w:type="dxa"/>
            <w:noWrap w:val="0"/>
            <w:vAlign w:val="center"/>
          </w:tcPr>
          <w:p w14:paraId="12C4F84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p>
        </w:tc>
        <w:tc>
          <w:tcPr>
            <w:tcW w:w="650" w:type="dxa"/>
            <w:shd w:val="clear" w:color="auto" w:fill="auto"/>
            <w:noWrap w:val="0"/>
            <w:vAlign w:val="center"/>
          </w:tcPr>
          <w:p w14:paraId="175BECD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76893C6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311F3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173E28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val="en-US" w:eastAsia="zh-CN"/>
              </w:rPr>
              <w:t>31</w:t>
            </w:r>
          </w:p>
        </w:tc>
        <w:tc>
          <w:tcPr>
            <w:tcW w:w="1012" w:type="dxa"/>
            <w:noWrap w:val="0"/>
            <w:vAlign w:val="center"/>
          </w:tcPr>
          <w:p w14:paraId="1B7911A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对特种设备生产、经营、使用单位和检验、检测机构的行政检查</w:t>
            </w:r>
          </w:p>
        </w:tc>
        <w:tc>
          <w:tcPr>
            <w:tcW w:w="873" w:type="dxa"/>
            <w:noWrap w:val="0"/>
            <w:vAlign w:val="center"/>
          </w:tcPr>
          <w:p w14:paraId="2956D4F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5F0E2DE4">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Style w:val="11"/>
                <w:rFonts w:hint="default" w:ascii="Times New Roman" w:hAnsi="Times New Roman" w:eastAsia="方正仿宋_GBK" w:cs="Times New Roman"/>
                <w:b w:val="0"/>
                <w:bCs/>
                <w:sz w:val="24"/>
                <w:szCs w:val="24"/>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《中华人民共和国特种设备安全法》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第五条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县级以上地方各级人民政府负责特种设备安全监督管理的部门对本行政区域内特种设备实施安全监督管理。</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第五十七条第一款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负责特种设备安全监督管理的部门依照本法规定，对特种设备生产、经营、使用单位和检验、检测机构实施监督检查。</w:t>
            </w:r>
          </w:p>
          <w:p w14:paraId="68EFA87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12"/>
                <w:rFonts w:hint="default" w:ascii="Times New Roman" w:hAnsi="Times New Roman" w:eastAsia="方正仿宋_GBK" w:cs="Times New Roman"/>
                <w:b w:val="0"/>
                <w:bCs/>
                <w:sz w:val="24"/>
                <w:szCs w:val="24"/>
                <w:lang w:val="en-US" w:eastAsia="zh-CN" w:bidi="ar"/>
              </w:rPr>
              <w:t>《特种设备安全监督检查办法》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第二条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市场监督管理部门对特种设备生产（包括设计、制造、安装、改造、修理）、经营、使用（含充装，下同）单位和检验、检测机构实施监督检查，</w:t>
            </w:r>
            <w:r>
              <w:rPr>
                <w:rStyle w:val="11"/>
                <w:rFonts w:hint="eastAsia" w:eastAsia="方正仿宋_GBK" w:cs="Times New Roman"/>
                <w:b w:val="0"/>
                <w:bCs/>
                <w:sz w:val="24"/>
                <w:szCs w:val="24"/>
                <w:lang w:val="en-US" w:eastAsia="zh-CN" w:bidi="ar"/>
              </w:rPr>
              <w:t>适用</w:t>
            </w:r>
            <w:r>
              <w:rPr>
                <w:rStyle w:val="11"/>
                <w:rFonts w:hint="default" w:ascii="Times New Roman" w:hAnsi="Times New Roman" w:eastAsia="方正仿宋_GBK" w:cs="Times New Roman"/>
                <w:b w:val="0"/>
                <w:bCs/>
                <w:sz w:val="24"/>
                <w:szCs w:val="24"/>
                <w:lang w:val="en-US" w:eastAsia="zh-CN" w:bidi="ar"/>
              </w:rPr>
              <w:t>本办法。</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第三条第二款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县级以上市场监督管理部门负责本行政区域内的特种设备安全监督检查工作，依据上级市场监督管理部门部署或者实际工作需要，组织开展监督检查。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第三条第三款</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市场监督管理所依照市场监管法律、法规、规章有关规定以及上级市场监督管理部门确定的权限，承担相关特种设备安全监督检查工作。</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第七条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级市场监督管理部门负责制定年度常规监督检查计划，确定辖区内市场监管部门任务分工，并分级负责实施。年度常规监督检查计划应报告同级人民政府。对特种设备生产单位开展的年度常规监督检查计划还应当同时报告省级市场监督管理部门。</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第十二条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市场监督管理部门对其许可的特种设备生产、充装单位和检验、检测机构是否持续保持许可条件、依法从事许可活动实施证后监督检查。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第十三条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证后监督检查由实施行政许可的市场监督管理部门负责组织实施，或者委托下级市场监督管理部门组织实施。</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第十八条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r>
              <w:rPr>
                <w:rStyle w:val="11"/>
                <w:rFonts w:hint="default" w:ascii="Times New Roman" w:hAnsi="Times New Roman" w:eastAsia="方正仿宋_GBK" w:cs="Times New Roman"/>
                <w:b w:val="0"/>
                <w:bCs/>
                <w:sz w:val="24"/>
                <w:szCs w:val="24"/>
                <w:lang w:val="en-US" w:eastAsia="zh-CN" w:bidi="ar"/>
              </w:rPr>
              <w:br w:type="textWrapping"/>
            </w:r>
            <w:r>
              <w:rPr>
                <w:rStyle w:val="11"/>
                <w:rFonts w:hint="default" w:ascii="Times New Roman" w:hAnsi="Times New Roman" w:eastAsia="方正仿宋_GBK" w:cs="Times New Roman"/>
                <w:b w:val="0"/>
                <w:bCs/>
                <w:sz w:val="24"/>
                <w:szCs w:val="24"/>
                <w:lang w:val="en-US" w:eastAsia="zh-CN" w:bidi="ar"/>
              </w:rPr>
              <w:t>第十九条</w:t>
            </w:r>
            <w:r>
              <w:rPr>
                <w:rStyle w:val="11"/>
                <w:rFonts w:hint="eastAsia" w:eastAsia="方正仿宋_GBK" w:cs="Times New Roman"/>
                <w:b w:val="0"/>
                <w:bCs/>
                <w:sz w:val="24"/>
                <w:szCs w:val="24"/>
                <w:lang w:val="en-US" w:eastAsia="zh-CN" w:bidi="ar"/>
              </w:rPr>
              <w:t xml:space="preserve">  </w:t>
            </w:r>
            <w:r>
              <w:rPr>
                <w:rStyle w:val="11"/>
                <w:rFonts w:hint="default" w:ascii="Times New Roman" w:hAnsi="Times New Roman" w:eastAsia="方正仿宋_GBK" w:cs="Times New Roman"/>
                <w:b w:val="0"/>
                <w:bCs/>
                <w:sz w:val="24"/>
                <w:szCs w:val="24"/>
                <w:lang w:val="en-US" w:eastAsia="zh-CN" w:bidi="ar"/>
              </w:rPr>
              <w:t>市场监督管理部门实施监督检查时，应当有二名以上检查人员参加，出示有效的特种设备安全行政执法证件，并说明检查的任务来源、依据、内容、要求等。</w:t>
            </w:r>
          </w:p>
        </w:tc>
        <w:tc>
          <w:tcPr>
            <w:tcW w:w="983" w:type="dxa"/>
            <w:noWrap w:val="0"/>
            <w:vAlign w:val="center"/>
          </w:tcPr>
          <w:p w14:paraId="6761950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特设股</w:t>
            </w:r>
          </w:p>
        </w:tc>
        <w:tc>
          <w:tcPr>
            <w:tcW w:w="1000" w:type="dxa"/>
            <w:noWrap w:val="0"/>
            <w:vAlign w:val="center"/>
          </w:tcPr>
          <w:p w14:paraId="2F43C30A">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特种设备生产、经营、使用单位和检验、检测机构</w:t>
            </w:r>
          </w:p>
        </w:tc>
        <w:tc>
          <w:tcPr>
            <w:tcW w:w="3833" w:type="dxa"/>
            <w:noWrap w:val="0"/>
            <w:vAlign w:val="center"/>
          </w:tcPr>
          <w:p w14:paraId="1B885C0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《特种设备生产单位常规监督检查项目表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特种设备使用单位常规监督检查项目表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特种设备检验、检测机构专项监督检查项目表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特种设备生产和充装单位许可规则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特种设备检验机构核准规则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特种设备检测机构核准规则》以及特种设备相关的技术规范要求</w:t>
            </w:r>
          </w:p>
        </w:tc>
        <w:tc>
          <w:tcPr>
            <w:tcW w:w="650" w:type="dxa"/>
            <w:noWrap w:val="0"/>
            <w:vAlign w:val="center"/>
          </w:tcPr>
          <w:p w14:paraId="654EE0F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5349262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73350D6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3F9C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409" w:type="dxa"/>
            <w:noWrap w:val="0"/>
            <w:vAlign w:val="center"/>
          </w:tcPr>
          <w:p w14:paraId="2DB82A2B">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val="en-US" w:eastAsia="zh-CN"/>
              </w:rPr>
              <w:t>32</w:t>
            </w:r>
          </w:p>
        </w:tc>
        <w:tc>
          <w:tcPr>
            <w:tcW w:w="1012" w:type="dxa"/>
            <w:noWrap w:val="0"/>
            <w:vAlign w:val="center"/>
          </w:tcPr>
          <w:p w14:paraId="373C540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对特种设备检验、检测机构的检验、检测结果和鉴定结论的行政检查</w:t>
            </w:r>
          </w:p>
        </w:tc>
        <w:tc>
          <w:tcPr>
            <w:tcW w:w="873" w:type="dxa"/>
            <w:noWrap w:val="0"/>
            <w:vAlign w:val="center"/>
          </w:tcPr>
          <w:p w14:paraId="3A3A2DD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sz w:val="24"/>
                <w:szCs w:val="24"/>
                <w:lang w:eastAsia="zh-CN"/>
              </w:rPr>
              <w:t>安化县市场监督管理局</w:t>
            </w:r>
          </w:p>
        </w:tc>
        <w:tc>
          <w:tcPr>
            <w:tcW w:w="5268" w:type="dxa"/>
            <w:noWrap w:val="0"/>
            <w:vAlign w:val="center"/>
          </w:tcPr>
          <w:p w14:paraId="5D4EECA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第五条</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县级以上地方各级人民政府负责特种设备安全监督管理的部门对本行政区域内特种设备实施安全监督管理。</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第五十三条第三款</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负责特种设备安全监督管理的部门应当组织对特种设备检验、检测机构的检验、检测结果和鉴定结论进行监督抽查，但应当防止重复抽查。监督抽查结果应当向社会公布。</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第五十七条第一款</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负责特种设备安全监督管理的部门依照本法规定，对特种设备生产、经营、使用单位和检验、检测机构实施监督检查。</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《特种设备安全监督检查办法》</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第十八条</w:t>
            </w:r>
            <w:r>
              <w:rPr>
                <w:rFonts w:hint="eastAsia" w:eastAsia="方正仿宋_GBK" w:cs="Times New Roman"/>
                <w:b w:val="0"/>
                <w:bCs/>
                <w:i w:val="0"/>
                <w:color w:val="000000"/>
                <w:kern w:val="0"/>
                <w:sz w:val="24"/>
                <w:szCs w:val="24"/>
                <w:u w:val="none"/>
                <w:lang w:val="en-US" w:eastAsia="zh-CN" w:bidi="ar"/>
              </w:rPr>
              <w:t xml:space="preserve">  </w:t>
            </w:r>
            <w:r>
              <w:rPr>
                <w:rFonts w:hint="default" w:ascii="Times New Roman" w:hAnsi="Times New Roman" w:eastAsia="方正仿宋_GBK" w:cs="Times New Roman"/>
                <w:b w:val="0"/>
                <w:bCs/>
                <w:i w:val="0"/>
                <w:color w:val="000000"/>
                <w:kern w:val="0"/>
                <w:sz w:val="24"/>
                <w:szCs w:val="24"/>
                <w:u w:val="none"/>
                <w:lang w:val="en-US" w:eastAsia="zh-CN" w:bidi="ar"/>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p>
        </w:tc>
        <w:tc>
          <w:tcPr>
            <w:tcW w:w="983" w:type="dxa"/>
            <w:noWrap w:val="0"/>
            <w:vAlign w:val="center"/>
          </w:tcPr>
          <w:p w14:paraId="333380C2">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特设股</w:t>
            </w:r>
          </w:p>
        </w:tc>
        <w:tc>
          <w:tcPr>
            <w:tcW w:w="1000" w:type="dxa"/>
            <w:noWrap w:val="0"/>
            <w:vAlign w:val="center"/>
          </w:tcPr>
          <w:p w14:paraId="51AE9881">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特种设备检验、检测机构</w:t>
            </w:r>
          </w:p>
        </w:tc>
        <w:tc>
          <w:tcPr>
            <w:tcW w:w="3833" w:type="dxa"/>
            <w:noWrap w:val="0"/>
            <w:vAlign w:val="center"/>
          </w:tcPr>
          <w:p w14:paraId="2311112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《特种设备检验、检测机构专项监督检查项目表</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特种设备检验机构核准规则</w:t>
            </w:r>
            <w:r>
              <w:rPr>
                <w:rFonts w:hint="eastAsia"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特种设备检测机构核准规则》以及特种设备相关的技术规范要求</w:t>
            </w:r>
          </w:p>
        </w:tc>
        <w:tc>
          <w:tcPr>
            <w:tcW w:w="650" w:type="dxa"/>
            <w:noWrap w:val="0"/>
            <w:vAlign w:val="center"/>
          </w:tcPr>
          <w:p w14:paraId="65CD238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非</w:t>
            </w:r>
            <w:r>
              <w:rPr>
                <w:rFonts w:hint="eastAsia" w:eastAsia="方正仿宋_GBK" w:cs="Times New Roman"/>
                <w:i w:val="0"/>
                <w:color w:val="000000"/>
                <w:kern w:val="0"/>
                <w:sz w:val="24"/>
                <w:szCs w:val="24"/>
                <w:u w:val="none"/>
                <w:lang w:val="en-US" w:eastAsia="zh-CN" w:bidi="ar"/>
              </w:rPr>
              <w:t>现场检查</w:t>
            </w:r>
            <w:r>
              <w:rPr>
                <w:rFonts w:hint="default" w:ascii="Times New Roman" w:hAnsi="Times New Roman" w:eastAsia="方正仿宋_GBK" w:cs="Times New Roman"/>
                <w:i w:val="0"/>
                <w:color w:val="000000"/>
                <w:kern w:val="0"/>
                <w:sz w:val="24"/>
                <w:szCs w:val="24"/>
                <w:u w:val="none"/>
                <w:lang w:val="en-US" w:eastAsia="zh-CN" w:bidi="ar"/>
              </w:rPr>
              <w:t>相结合</w:t>
            </w:r>
          </w:p>
        </w:tc>
        <w:tc>
          <w:tcPr>
            <w:tcW w:w="650" w:type="dxa"/>
            <w:shd w:val="clear" w:color="auto" w:fill="auto"/>
            <w:noWrap w:val="0"/>
            <w:vAlign w:val="center"/>
          </w:tcPr>
          <w:p w14:paraId="1E42265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6F9D409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0ABF1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57C938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 w:eastAsia="zh-CN"/>
              </w:rPr>
            </w:pPr>
            <w:r>
              <w:rPr>
                <w:rFonts w:hint="eastAsia" w:eastAsia="方正仿宋_GBK" w:cs="Times New Roman"/>
                <w:sz w:val="24"/>
                <w:szCs w:val="24"/>
                <w:lang w:val="en-US" w:eastAsia="zh-CN"/>
              </w:rPr>
              <w:t>33</w:t>
            </w:r>
          </w:p>
        </w:tc>
        <w:tc>
          <w:tcPr>
            <w:tcW w:w="1012" w:type="dxa"/>
            <w:noWrap w:val="0"/>
            <w:vAlign w:val="center"/>
          </w:tcPr>
          <w:p w14:paraId="51225AB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在用计量器具监督检查</w:t>
            </w:r>
          </w:p>
        </w:tc>
        <w:tc>
          <w:tcPr>
            <w:tcW w:w="873" w:type="dxa"/>
            <w:noWrap w:val="0"/>
            <w:vAlign w:val="center"/>
          </w:tcPr>
          <w:p w14:paraId="5A4B9FF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color w:val="auto"/>
                <w:sz w:val="24"/>
                <w:szCs w:val="24"/>
                <w:lang w:eastAsia="zh-CN"/>
              </w:rPr>
              <w:t>安化县市场监督管理局</w:t>
            </w:r>
          </w:p>
        </w:tc>
        <w:tc>
          <w:tcPr>
            <w:tcW w:w="5268" w:type="dxa"/>
            <w:noWrap w:val="0"/>
            <w:vAlign w:val="center"/>
          </w:tcPr>
          <w:p w14:paraId="2C1A57C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7BC62E8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《集贸市场计量监督管理办法》</w:t>
            </w:r>
            <w:r>
              <w:rPr>
                <w:rFonts w:hint="default" w:ascii="Times New Roman" w:hAnsi="Times New Roman" w:eastAsia="方正仿宋_GBK" w:cs="Times New Roman"/>
                <w:color w:val="auto"/>
                <w:sz w:val="24"/>
                <w:szCs w:val="24"/>
                <w:lang w:eastAsia="zh-CN"/>
              </w:rPr>
              <w:t>第三条、</w:t>
            </w:r>
            <w:r>
              <w:rPr>
                <w:rFonts w:hint="default" w:ascii="Times New Roman" w:hAnsi="Times New Roman" w:eastAsia="方正仿宋_GBK" w:cs="Times New Roman"/>
                <w:color w:val="auto"/>
                <w:sz w:val="24"/>
                <w:szCs w:val="24"/>
              </w:rPr>
              <w:t>第十一条</w:t>
            </w:r>
          </w:p>
          <w:p w14:paraId="688C6C4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《加油站计量监督管理办法》第</w:t>
            </w:r>
            <w:r>
              <w:rPr>
                <w:rFonts w:hint="default" w:ascii="Times New Roman" w:hAnsi="Times New Roman" w:eastAsia="方正仿宋_GBK" w:cs="Times New Roman"/>
                <w:color w:val="auto"/>
                <w:sz w:val="24"/>
                <w:szCs w:val="24"/>
                <w:lang w:eastAsia="zh-CN"/>
              </w:rPr>
              <w:t>三条、第</w:t>
            </w:r>
            <w:r>
              <w:rPr>
                <w:rFonts w:hint="default" w:ascii="Times New Roman" w:hAnsi="Times New Roman" w:eastAsia="方正仿宋_GBK" w:cs="Times New Roman"/>
                <w:color w:val="auto"/>
                <w:sz w:val="24"/>
                <w:szCs w:val="24"/>
              </w:rPr>
              <w:t>六条</w:t>
            </w:r>
          </w:p>
          <w:p w14:paraId="32DE364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《眼镜制配计量监督管理办法》第</w:t>
            </w:r>
            <w:r>
              <w:rPr>
                <w:rFonts w:hint="default" w:ascii="Times New Roman" w:hAnsi="Times New Roman" w:eastAsia="方正仿宋_GBK" w:cs="Times New Roman"/>
                <w:color w:val="auto"/>
                <w:sz w:val="24"/>
                <w:szCs w:val="24"/>
                <w:lang w:eastAsia="zh-CN"/>
              </w:rPr>
              <w:t>三条、第</w:t>
            </w:r>
            <w:r>
              <w:rPr>
                <w:rFonts w:hint="default" w:ascii="Times New Roman" w:hAnsi="Times New Roman" w:eastAsia="方正仿宋_GBK" w:cs="Times New Roman"/>
                <w:color w:val="auto"/>
                <w:sz w:val="24"/>
                <w:szCs w:val="24"/>
              </w:rPr>
              <w:t>七条</w:t>
            </w:r>
          </w:p>
        </w:tc>
        <w:tc>
          <w:tcPr>
            <w:tcW w:w="983" w:type="dxa"/>
            <w:noWrap w:val="0"/>
            <w:vAlign w:val="center"/>
          </w:tcPr>
          <w:p w14:paraId="1679FF7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0964EAC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粮食购销领域、加油站、眼镜制配场所、集贸市场等在用强检计量器具使用单位</w:t>
            </w:r>
          </w:p>
        </w:tc>
        <w:tc>
          <w:tcPr>
            <w:tcW w:w="3833" w:type="dxa"/>
            <w:noWrap w:val="0"/>
            <w:vAlign w:val="center"/>
          </w:tcPr>
          <w:p w14:paraId="13884C8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检查在用强检计量器具使用单位是否有完善的计量管理制度；是否配备专（兼）职计量人员；是否按照规定将其使用的强制检定工作计量器具登记造册，报当地市场监管部门备案，并向其指定的计量检定机构申请周期检定；是否存在使用未经检定、超过检定周期或检定不合格的计量器具；是否存在使用以欺骗消费者为目的的计量器具或者破坏计量器具准确度、伪造数据；是否存在使用未经型式批准的计量具。</w:t>
            </w:r>
          </w:p>
        </w:tc>
        <w:tc>
          <w:tcPr>
            <w:tcW w:w="650" w:type="dxa"/>
            <w:noWrap w:val="0"/>
            <w:vAlign w:val="center"/>
          </w:tcPr>
          <w:p w14:paraId="1D1A736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7D4AEF6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2F724F0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21DC5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5BE687F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sz w:val="24"/>
                <w:szCs w:val="24"/>
                <w:lang w:val="en-US" w:eastAsia="zh-CN"/>
              </w:rPr>
            </w:pPr>
            <w:r>
              <w:rPr>
                <w:rFonts w:hint="eastAsia" w:eastAsia="方正仿宋_GBK" w:cs="Times New Roman"/>
                <w:color w:val="auto"/>
                <w:sz w:val="24"/>
                <w:szCs w:val="24"/>
                <w:lang w:val="en-US" w:eastAsia="zh-CN"/>
              </w:rPr>
              <w:t>34</w:t>
            </w:r>
          </w:p>
        </w:tc>
        <w:tc>
          <w:tcPr>
            <w:tcW w:w="1012" w:type="dxa"/>
            <w:noWrap w:val="0"/>
            <w:vAlign w:val="center"/>
          </w:tcPr>
          <w:p w14:paraId="32CE213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法定计量检定机构专项监督检查</w:t>
            </w:r>
          </w:p>
        </w:tc>
        <w:tc>
          <w:tcPr>
            <w:tcW w:w="873" w:type="dxa"/>
            <w:noWrap w:val="0"/>
            <w:vAlign w:val="center"/>
          </w:tcPr>
          <w:p w14:paraId="579C73E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color w:val="auto"/>
                <w:sz w:val="24"/>
                <w:szCs w:val="24"/>
                <w:lang w:eastAsia="zh-CN"/>
              </w:rPr>
              <w:t>安化县市场监督管理局</w:t>
            </w:r>
          </w:p>
        </w:tc>
        <w:tc>
          <w:tcPr>
            <w:tcW w:w="5268" w:type="dxa"/>
            <w:noWrap w:val="0"/>
            <w:vAlign w:val="center"/>
          </w:tcPr>
          <w:p w14:paraId="7D84E36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6EC3FED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《计量法实施细则》第二十八条</w:t>
            </w:r>
          </w:p>
          <w:p w14:paraId="654CE0E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《法定计量检定机构监督管理办法》</w:t>
            </w:r>
            <w:r>
              <w:rPr>
                <w:rFonts w:hint="default" w:ascii="Times New Roman" w:hAnsi="Times New Roman" w:eastAsia="方正仿宋_GBK" w:cs="Times New Roman"/>
                <w:color w:val="auto"/>
                <w:spacing w:val="-6"/>
                <w:sz w:val="24"/>
                <w:szCs w:val="24"/>
                <w:lang w:eastAsia="zh-CN"/>
              </w:rPr>
              <w:t>第四条</w:t>
            </w:r>
            <w:r>
              <w:rPr>
                <w:rFonts w:hint="default" w:ascii="Times New Roman" w:hAnsi="Times New Roman" w:eastAsia="方正仿宋_GBK" w:cs="Times New Roman"/>
                <w:color w:val="auto"/>
                <w:spacing w:val="-6"/>
                <w:sz w:val="24"/>
                <w:szCs w:val="24"/>
              </w:rPr>
              <w:t>、十</w:t>
            </w:r>
            <w:r>
              <w:rPr>
                <w:rFonts w:hint="default" w:ascii="Times New Roman" w:hAnsi="Times New Roman" w:eastAsia="方正仿宋_GBK" w:cs="Times New Roman"/>
                <w:color w:val="auto"/>
                <w:spacing w:val="-6"/>
                <w:sz w:val="24"/>
                <w:szCs w:val="24"/>
                <w:lang w:eastAsia="zh-CN"/>
              </w:rPr>
              <w:t>九</w:t>
            </w:r>
            <w:r>
              <w:rPr>
                <w:rFonts w:hint="default" w:ascii="Times New Roman" w:hAnsi="Times New Roman" w:eastAsia="方正仿宋_GBK" w:cs="Times New Roman"/>
                <w:color w:val="auto"/>
                <w:spacing w:val="-6"/>
                <w:sz w:val="24"/>
                <w:szCs w:val="24"/>
              </w:rPr>
              <w:t>条</w:t>
            </w:r>
          </w:p>
          <w:p w14:paraId="767CFAD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《专业计量站管理办法》第十</w:t>
            </w:r>
            <w:r>
              <w:rPr>
                <w:rFonts w:hint="default" w:ascii="Times New Roman" w:hAnsi="Times New Roman" w:eastAsia="方正仿宋_GBK" w:cs="Times New Roman"/>
                <w:color w:val="auto"/>
                <w:sz w:val="24"/>
                <w:szCs w:val="24"/>
                <w:lang w:eastAsia="zh-CN"/>
              </w:rPr>
              <w:t>七</w:t>
            </w:r>
            <w:r>
              <w:rPr>
                <w:rFonts w:hint="default" w:ascii="Times New Roman" w:hAnsi="Times New Roman" w:eastAsia="方正仿宋_GBK" w:cs="Times New Roman"/>
                <w:color w:val="auto"/>
                <w:sz w:val="24"/>
                <w:szCs w:val="24"/>
              </w:rPr>
              <w:t>条</w:t>
            </w:r>
          </w:p>
        </w:tc>
        <w:tc>
          <w:tcPr>
            <w:tcW w:w="983" w:type="dxa"/>
            <w:noWrap w:val="0"/>
            <w:vAlign w:val="center"/>
          </w:tcPr>
          <w:p w14:paraId="360C715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5429F42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法定计量检定机构</w:t>
            </w:r>
            <w:r>
              <w:rPr>
                <w:rFonts w:hint="default" w:ascii="Times New Roman" w:hAnsi="Times New Roman" w:eastAsia="方正仿宋_GBK" w:cs="Times New Roman"/>
                <w:color w:val="auto"/>
                <w:sz w:val="24"/>
                <w:szCs w:val="24"/>
                <w:lang w:eastAsia="zh-CN"/>
              </w:rPr>
              <w:t>（含计量授权检定机构）</w:t>
            </w:r>
          </w:p>
        </w:tc>
        <w:tc>
          <w:tcPr>
            <w:tcW w:w="3833" w:type="dxa"/>
            <w:noWrap w:val="0"/>
            <w:vAlign w:val="center"/>
          </w:tcPr>
          <w:p w14:paraId="2D2A32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rPr>
              <w:t>对法定计量检定机构（含计量授权检定机构）的人员情况、标准情况、机构管理情况及工作运行情况开展现场监督检查。</w:t>
            </w:r>
          </w:p>
        </w:tc>
        <w:tc>
          <w:tcPr>
            <w:tcW w:w="650" w:type="dxa"/>
            <w:noWrap w:val="0"/>
            <w:vAlign w:val="center"/>
          </w:tcPr>
          <w:p w14:paraId="0B47D4E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55DFBAD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33DD182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2A1F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95EF39C">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 w:eastAsia="zh-CN"/>
              </w:rPr>
            </w:pPr>
            <w:r>
              <w:rPr>
                <w:rFonts w:hint="eastAsia" w:eastAsia="方正仿宋_GBK" w:cs="Times New Roman"/>
                <w:color w:val="auto"/>
                <w:sz w:val="24"/>
                <w:szCs w:val="24"/>
                <w:lang w:val="en-US" w:eastAsia="zh-CN"/>
              </w:rPr>
              <w:t>35</w:t>
            </w:r>
          </w:p>
        </w:tc>
        <w:tc>
          <w:tcPr>
            <w:tcW w:w="1012" w:type="dxa"/>
            <w:noWrap w:val="0"/>
            <w:vAlign w:val="center"/>
          </w:tcPr>
          <w:p w14:paraId="5082201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计量单位使用情况专项监督检查</w:t>
            </w:r>
          </w:p>
        </w:tc>
        <w:tc>
          <w:tcPr>
            <w:tcW w:w="873" w:type="dxa"/>
            <w:noWrap w:val="0"/>
            <w:vAlign w:val="center"/>
          </w:tcPr>
          <w:p w14:paraId="0E61919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5D54830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3EEE8C6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《全面推行我国法定计量单位的意见》</w:t>
            </w:r>
          </w:p>
          <w:p w14:paraId="75D8D62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非法定计量单位限制使用管理办法</w:t>
            </w:r>
            <w:r>
              <w:rPr>
                <w:rFonts w:hint="default" w:ascii="Times New Roman" w:hAnsi="Times New Roman" w:eastAsia="方正仿宋_GBK" w:cs="Times New Roman"/>
                <w:color w:val="auto"/>
                <w:sz w:val="24"/>
                <w:szCs w:val="24"/>
                <w:lang w:eastAsia="zh-CN"/>
              </w:rPr>
              <w:t>》第四条、第九条</w:t>
            </w:r>
          </w:p>
        </w:tc>
        <w:tc>
          <w:tcPr>
            <w:tcW w:w="983" w:type="dxa"/>
            <w:noWrap w:val="0"/>
            <w:vAlign w:val="center"/>
          </w:tcPr>
          <w:p w14:paraId="0BD15EA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5693320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宣传出版、文化教育、市场交易等领域</w:t>
            </w:r>
            <w:r>
              <w:rPr>
                <w:rFonts w:hint="default" w:ascii="Times New Roman" w:hAnsi="Times New Roman" w:eastAsia="方正仿宋_GBK" w:cs="Times New Roman"/>
                <w:color w:val="auto"/>
                <w:sz w:val="24"/>
                <w:szCs w:val="24"/>
                <w:lang w:eastAsia="zh-CN"/>
              </w:rPr>
              <w:t>有关单位或组织</w:t>
            </w:r>
          </w:p>
        </w:tc>
        <w:tc>
          <w:tcPr>
            <w:tcW w:w="3833" w:type="dxa"/>
            <w:noWrap w:val="0"/>
            <w:vAlign w:val="center"/>
          </w:tcPr>
          <w:p w14:paraId="3ED04E7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对</w:t>
            </w:r>
            <w:r>
              <w:rPr>
                <w:rFonts w:hint="default" w:ascii="Times New Roman" w:hAnsi="Times New Roman" w:eastAsia="方正仿宋_GBK" w:cs="Times New Roman"/>
                <w:color w:val="auto"/>
                <w:sz w:val="24"/>
                <w:szCs w:val="24"/>
              </w:rPr>
              <w:t>计量单位使用情况是否符合《中华人民共和国计量法》等相关法律法规的规定组织开展监督检查</w:t>
            </w:r>
            <w:r>
              <w:rPr>
                <w:rFonts w:hint="default" w:ascii="Times New Roman" w:hAnsi="Times New Roman" w:eastAsia="方正仿宋_GBK" w:cs="Times New Roman"/>
                <w:color w:val="auto"/>
                <w:sz w:val="24"/>
                <w:szCs w:val="24"/>
                <w:lang w:eastAsia="zh-CN"/>
              </w:rPr>
              <w:t>。</w:t>
            </w:r>
          </w:p>
        </w:tc>
        <w:tc>
          <w:tcPr>
            <w:tcW w:w="650" w:type="dxa"/>
            <w:noWrap w:val="0"/>
            <w:vAlign w:val="center"/>
          </w:tcPr>
          <w:p w14:paraId="352AB61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06A559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28B93FC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6E5E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7DC5DA79">
            <w:pPr>
              <w:pStyle w:val="9"/>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36</w:t>
            </w:r>
          </w:p>
        </w:tc>
        <w:tc>
          <w:tcPr>
            <w:tcW w:w="1012" w:type="dxa"/>
            <w:noWrap w:val="0"/>
            <w:vAlign w:val="center"/>
          </w:tcPr>
          <w:p w14:paraId="6F66A1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定量包装商品净含量国家计量监督专项抽查</w:t>
            </w:r>
          </w:p>
        </w:tc>
        <w:tc>
          <w:tcPr>
            <w:tcW w:w="873" w:type="dxa"/>
            <w:noWrap w:val="0"/>
            <w:vAlign w:val="center"/>
          </w:tcPr>
          <w:p w14:paraId="1E0D212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42F281B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4AB2535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《定量包装商品计量监督管理办法》</w:t>
            </w:r>
            <w:r>
              <w:rPr>
                <w:rFonts w:hint="default" w:ascii="Times New Roman" w:hAnsi="Times New Roman" w:eastAsia="方正仿宋_GBK" w:cs="Times New Roman"/>
                <w:color w:val="auto"/>
                <w:sz w:val="24"/>
                <w:szCs w:val="24"/>
                <w:lang w:eastAsia="zh-CN"/>
              </w:rPr>
              <w:t>第三条、第十二条</w:t>
            </w:r>
          </w:p>
        </w:tc>
        <w:tc>
          <w:tcPr>
            <w:tcW w:w="983" w:type="dxa"/>
            <w:noWrap w:val="0"/>
            <w:vAlign w:val="center"/>
          </w:tcPr>
          <w:p w14:paraId="1181A83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706A4DC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定量包装商品生产、销售企业（门店）</w:t>
            </w:r>
          </w:p>
        </w:tc>
        <w:tc>
          <w:tcPr>
            <w:tcW w:w="3833" w:type="dxa"/>
            <w:noWrap w:val="0"/>
            <w:vAlign w:val="center"/>
          </w:tcPr>
          <w:p w14:paraId="0F1C5B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检查</w:t>
            </w:r>
            <w:r>
              <w:rPr>
                <w:rFonts w:hint="default" w:ascii="Times New Roman" w:hAnsi="Times New Roman" w:eastAsia="方正仿宋_GBK" w:cs="Times New Roman"/>
                <w:color w:val="auto"/>
                <w:sz w:val="24"/>
                <w:szCs w:val="24"/>
              </w:rPr>
              <w:t>定量包装商品净含量、净含量标注情况。</w:t>
            </w:r>
          </w:p>
        </w:tc>
        <w:tc>
          <w:tcPr>
            <w:tcW w:w="650" w:type="dxa"/>
            <w:noWrap w:val="0"/>
            <w:vAlign w:val="center"/>
          </w:tcPr>
          <w:p w14:paraId="274AF5F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239AA69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3489C7A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97BA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6FEB9A5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37</w:t>
            </w:r>
          </w:p>
        </w:tc>
        <w:tc>
          <w:tcPr>
            <w:tcW w:w="1012" w:type="dxa"/>
            <w:noWrap w:val="0"/>
            <w:vAlign w:val="center"/>
          </w:tcPr>
          <w:p w14:paraId="3AB1B9F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型式批准监督检查</w:t>
            </w:r>
          </w:p>
        </w:tc>
        <w:tc>
          <w:tcPr>
            <w:tcW w:w="873" w:type="dxa"/>
            <w:noWrap w:val="0"/>
            <w:vAlign w:val="center"/>
          </w:tcPr>
          <w:p w14:paraId="0EA6BEA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2958B10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《计量法》第十八条</w:t>
            </w:r>
          </w:p>
          <w:p w14:paraId="34ADB84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《计量法实施细则》第十八条</w:t>
            </w:r>
          </w:p>
          <w:p w14:paraId="5C3C5CE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《计量器具新产品管理办法》第十</w:t>
            </w:r>
            <w:r>
              <w:rPr>
                <w:rFonts w:hint="default" w:ascii="Times New Roman" w:hAnsi="Times New Roman" w:eastAsia="方正仿宋_GBK" w:cs="Times New Roman"/>
                <w:color w:val="auto"/>
                <w:sz w:val="24"/>
                <w:szCs w:val="24"/>
                <w:lang w:eastAsia="zh-CN"/>
              </w:rPr>
              <w:t>九</w:t>
            </w:r>
            <w:r>
              <w:rPr>
                <w:rFonts w:hint="default" w:ascii="Times New Roman" w:hAnsi="Times New Roman" w:eastAsia="方正仿宋_GBK" w:cs="Times New Roman"/>
                <w:color w:val="auto"/>
                <w:sz w:val="24"/>
                <w:szCs w:val="24"/>
              </w:rPr>
              <w:t>条</w:t>
            </w:r>
          </w:p>
        </w:tc>
        <w:tc>
          <w:tcPr>
            <w:tcW w:w="983" w:type="dxa"/>
            <w:noWrap w:val="0"/>
            <w:vAlign w:val="center"/>
          </w:tcPr>
          <w:p w14:paraId="6C3A224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6DA4181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型式批准获证企业</w:t>
            </w:r>
          </w:p>
        </w:tc>
        <w:tc>
          <w:tcPr>
            <w:tcW w:w="3833" w:type="dxa"/>
            <w:noWrap w:val="0"/>
            <w:vAlign w:val="center"/>
          </w:tcPr>
          <w:p w14:paraId="78ABAC3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检查获证企业是否持续符合型式批准条件，具有与所制造的计量器具相适应的设施、人员和检定仪器设备；是否存在制造、销售未经型式批准的计量器具的行为；是否未经出厂检定或者经检定不合格仍出厂；是否擅自改变原批准的型式等。</w:t>
            </w:r>
          </w:p>
        </w:tc>
        <w:tc>
          <w:tcPr>
            <w:tcW w:w="650" w:type="dxa"/>
            <w:noWrap w:val="0"/>
            <w:vAlign w:val="center"/>
          </w:tcPr>
          <w:p w14:paraId="1ABDEA4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现场检查、</w:t>
            </w:r>
            <w:r>
              <w:rPr>
                <w:rFonts w:hint="eastAsia" w:eastAsia="方正仿宋_GBK" w:cs="Times New Roman"/>
                <w:sz w:val="24"/>
                <w:szCs w:val="24"/>
                <w:lang w:eastAsia="zh-CN"/>
              </w:rPr>
              <w:t>非现场检查相结合</w:t>
            </w:r>
          </w:p>
        </w:tc>
        <w:tc>
          <w:tcPr>
            <w:tcW w:w="650" w:type="dxa"/>
            <w:shd w:val="clear" w:color="auto" w:fill="auto"/>
            <w:noWrap w:val="0"/>
            <w:vAlign w:val="center"/>
          </w:tcPr>
          <w:p w14:paraId="33089EB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2151E3F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2C81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0BBE9DA8">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38</w:t>
            </w:r>
          </w:p>
        </w:tc>
        <w:tc>
          <w:tcPr>
            <w:tcW w:w="1012" w:type="dxa"/>
            <w:noWrap w:val="0"/>
            <w:vAlign w:val="center"/>
          </w:tcPr>
          <w:p w14:paraId="05ED779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能效标识计量专项监督检查</w:t>
            </w:r>
          </w:p>
        </w:tc>
        <w:tc>
          <w:tcPr>
            <w:tcW w:w="873" w:type="dxa"/>
            <w:noWrap w:val="0"/>
            <w:vAlign w:val="center"/>
          </w:tcPr>
          <w:p w14:paraId="0B6F18F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eastAsia="zh-CN"/>
              </w:rPr>
              <w:t>安化县市场监督管理局</w:t>
            </w:r>
          </w:p>
        </w:tc>
        <w:tc>
          <w:tcPr>
            <w:tcW w:w="5268" w:type="dxa"/>
            <w:noWrap w:val="0"/>
            <w:vAlign w:val="center"/>
          </w:tcPr>
          <w:p w14:paraId="4C1EA7E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《节约能源法》</w:t>
            </w:r>
            <w:r>
              <w:rPr>
                <w:rFonts w:hint="default" w:ascii="Times New Roman" w:hAnsi="Times New Roman" w:eastAsia="方正仿宋_GBK" w:cs="Times New Roman"/>
                <w:color w:val="auto"/>
                <w:sz w:val="24"/>
                <w:szCs w:val="24"/>
                <w:lang w:eastAsia="zh-CN"/>
              </w:rPr>
              <w:t>第十二条、</w:t>
            </w:r>
            <w:r>
              <w:rPr>
                <w:rFonts w:hint="default" w:ascii="Times New Roman" w:hAnsi="Times New Roman" w:eastAsia="方正仿宋_GBK" w:cs="Times New Roman"/>
                <w:color w:val="auto"/>
                <w:sz w:val="24"/>
                <w:szCs w:val="24"/>
              </w:rPr>
              <w:t>第七十三条</w:t>
            </w:r>
          </w:p>
          <w:p w14:paraId="011865B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《能源计量监督管理办法》第十六条</w:t>
            </w:r>
          </w:p>
          <w:p w14:paraId="2B39186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《能源效率标识管理办法》</w:t>
            </w:r>
            <w:r>
              <w:rPr>
                <w:rFonts w:hint="default" w:ascii="Times New Roman" w:hAnsi="Times New Roman" w:eastAsia="方正仿宋_GBK" w:cs="Times New Roman"/>
                <w:color w:val="auto"/>
                <w:sz w:val="24"/>
                <w:szCs w:val="24"/>
                <w:lang w:eastAsia="zh-CN"/>
              </w:rPr>
              <w:t>第四条、</w:t>
            </w:r>
            <w:r>
              <w:rPr>
                <w:rFonts w:hint="default" w:ascii="Times New Roman" w:hAnsi="Times New Roman" w:eastAsia="方正仿宋_GBK" w:cs="Times New Roman"/>
                <w:color w:val="auto"/>
                <w:sz w:val="24"/>
                <w:szCs w:val="24"/>
              </w:rPr>
              <w:t>第十八条</w:t>
            </w:r>
          </w:p>
        </w:tc>
        <w:tc>
          <w:tcPr>
            <w:tcW w:w="983" w:type="dxa"/>
            <w:noWrap w:val="0"/>
            <w:vAlign w:val="center"/>
          </w:tcPr>
          <w:p w14:paraId="5536A37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77FCF4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能效标识产品生产企业、销售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tc>
        <w:tc>
          <w:tcPr>
            <w:tcW w:w="3833" w:type="dxa"/>
            <w:noWrap w:val="0"/>
            <w:vAlign w:val="center"/>
          </w:tcPr>
          <w:p w14:paraId="100B046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检查列入《中华人民共和国实行能源效率标识的产品目录》的产品是否按有关标准和实施规则的要求标注能效标识；使用的能效标识是否符合有关样式、规格等标注规定（包括是否符合网络交易产品能效标识展示要求）；是否办理能效标识备案；是否存在伪造冒用能效标识或者利用能效标识进行虚假宣传的行为。</w:t>
            </w:r>
          </w:p>
        </w:tc>
        <w:tc>
          <w:tcPr>
            <w:tcW w:w="650" w:type="dxa"/>
            <w:noWrap w:val="0"/>
            <w:vAlign w:val="center"/>
          </w:tcPr>
          <w:p w14:paraId="244CE9A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2AC7D13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1D992A9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4045E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848BCA3">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39</w:t>
            </w:r>
          </w:p>
        </w:tc>
        <w:tc>
          <w:tcPr>
            <w:tcW w:w="1012" w:type="dxa"/>
            <w:noWrap w:val="0"/>
            <w:vAlign w:val="center"/>
          </w:tcPr>
          <w:p w14:paraId="150C444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水效标识计量专项监督检查</w:t>
            </w:r>
          </w:p>
        </w:tc>
        <w:tc>
          <w:tcPr>
            <w:tcW w:w="873" w:type="dxa"/>
            <w:noWrap w:val="0"/>
            <w:vAlign w:val="center"/>
          </w:tcPr>
          <w:p w14:paraId="33D63B9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720C3B2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《水效标识管理办法》</w:t>
            </w:r>
            <w:r>
              <w:rPr>
                <w:rFonts w:hint="default" w:ascii="Times New Roman" w:hAnsi="Times New Roman" w:eastAsia="方正仿宋_GBK" w:cs="Times New Roman"/>
                <w:color w:val="auto"/>
                <w:sz w:val="24"/>
                <w:szCs w:val="24"/>
                <w:lang w:eastAsia="zh-CN"/>
              </w:rPr>
              <w:t>第五条、</w:t>
            </w:r>
            <w:r>
              <w:rPr>
                <w:rFonts w:hint="default" w:ascii="Times New Roman" w:hAnsi="Times New Roman" w:eastAsia="方正仿宋_GBK" w:cs="Times New Roman"/>
                <w:color w:val="auto"/>
                <w:sz w:val="24"/>
                <w:szCs w:val="24"/>
              </w:rPr>
              <w:t>第十七条</w:t>
            </w:r>
          </w:p>
        </w:tc>
        <w:tc>
          <w:tcPr>
            <w:tcW w:w="983" w:type="dxa"/>
            <w:noWrap w:val="0"/>
            <w:vAlign w:val="center"/>
          </w:tcPr>
          <w:p w14:paraId="79C795BF">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09200C3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水效标识产品生产企业、销售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tc>
        <w:tc>
          <w:tcPr>
            <w:tcW w:w="3833" w:type="dxa"/>
            <w:noWrap w:val="0"/>
            <w:vAlign w:val="center"/>
          </w:tcPr>
          <w:p w14:paraId="6AAC357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列入《中华人民共和国实行水效标识的产品目录》的产品是否按有关标准和实施规则的要求标注水效标识；使用的水效标识是否符合有关样式、规格等标注规定（包括是否符合网络交易产品水效标识展示要求）；是否办理水效标识备案；是否存在伪造冒用水效标识或者利用水效标识进行虚假宣传的行为。</w:t>
            </w:r>
          </w:p>
        </w:tc>
        <w:tc>
          <w:tcPr>
            <w:tcW w:w="650" w:type="dxa"/>
            <w:noWrap w:val="0"/>
            <w:vAlign w:val="center"/>
          </w:tcPr>
          <w:p w14:paraId="2DC4CA8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非现场检查</w:t>
            </w:r>
          </w:p>
        </w:tc>
        <w:tc>
          <w:tcPr>
            <w:tcW w:w="650" w:type="dxa"/>
            <w:shd w:val="clear" w:color="auto" w:fill="auto"/>
            <w:noWrap w:val="0"/>
            <w:vAlign w:val="center"/>
          </w:tcPr>
          <w:p w14:paraId="019EAA8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7815C4B0">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656B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30E857AE">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40</w:t>
            </w:r>
          </w:p>
        </w:tc>
        <w:tc>
          <w:tcPr>
            <w:tcW w:w="1012" w:type="dxa"/>
            <w:noWrap w:val="0"/>
            <w:vAlign w:val="center"/>
          </w:tcPr>
          <w:p w14:paraId="283BF2B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对能源计量情况的行政检查</w:t>
            </w:r>
          </w:p>
        </w:tc>
        <w:tc>
          <w:tcPr>
            <w:tcW w:w="873" w:type="dxa"/>
            <w:noWrap w:val="0"/>
            <w:vAlign w:val="center"/>
          </w:tcPr>
          <w:p w14:paraId="2837ED4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7903397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《能源计量监督管理办法》</w:t>
            </w:r>
          </w:p>
          <w:p w14:paraId="1A891815">
            <w:pPr>
              <w:keepNext w:val="0"/>
              <w:keepLines w:val="0"/>
              <w:pageBreakBefore w:val="0"/>
              <w:widowControl w:val="0"/>
              <w:numPr>
                <w:ilvl w:val="0"/>
                <w:numId w:val="2"/>
              </w:numPr>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市场监督管理部门应当对用能单位能源计量工作情况、列入国家能源效率标识管理产品目录的用能产品能源效率实施监督检查。任何单位和个人不得拒绝、阻碍依法开展的能源计量监督检查。</w:t>
            </w:r>
          </w:p>
          <w:p w14:paraId="38C655BD">
            <w:pPr>
              <w:keepNext w:val="0"/>
              <w:keepLines w:val="0"/>
              <w:pageBreakBefore w:val="0"/>
              <w:widowControl w:val="0"/>
              <w:numPr>
                <w:ilvl w:val="0"/>
                <w:numId w:val="0"/>
              </w:numPr>
              <w:kinsoku w:val="0"/>
              <w:wordWrap/>
              <w:overflowPunct/>
              <w:topLinePunct w:val="0"/>
              <w:autoSpaceDE/>
              <w:autoSpaceDN/>
              <w:bidi w:val="0"/>
              <w:adjustRightInd w:val="0"/>
              <w:snapToGrid w:val="0"/>
              <w:spacing w:line="240" w:lineRule="exact"/>
              <w:ind w:left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第十七条</w:t>
            </w:r>
            <w:r>
              <w:rPr>
                <w:rFonts w:hint="eastAsia"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市场监督管理部门应当对重点用能单位的能源计量器具配备和使用，计量数据管理以及能源计量工作人员配备和培训等能源计量工作情况开展定期审查。</w:t>
            </w:r>
          </w:p>
        </w:tc>
        <w:tc>
          <w:tcPr>
            <w:tcW w:w="983" w:type="dxa"/>
            <w:noWrap w:val="0"/>
            <w:vAlign w:val="center"/>
          </w:tcPr>
          <w:p w14:paraId="3B561785">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计量股</w:t>
            </w:r>
          </w:p>
        </w:tc>
        <w:tc>
          <w:tcPr>
            <w:tcW w:w="1000" w:type="dxa"/>
            <w:noWrap w:val="0"/>
            <w:vAlign w:val="center"/>
          </w:tcPr>
          <w:p w14:paraId="30BC58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lang w:eastAsia="zh-CN"/>
              </w:rPr>
              <w:t>标识产品生产企业、销售</w:t>
            </w:r>
            <w:r>
              <w:rPr>
                <w:rFonts w:hint="default" w:ascii="Times New Roman" w:hAnsi="Times New Roman" w:eastAsia="方正仿宋_GBK" w:cs="Times New Roman"/>
                <w:color w:val="auto"/>
                <w:sz w:val="24"/>
                <w:szCs w:val="24"/>
              </w:rPr>
              <w:t>企业</w:t>
            </w:r>
            <w:r>
              <w:rPr>
                <w:rFonts w:hint="default" w:ascii="Times New Roman" w:hAnsi="Times New Roman" w:eastAsia="方正仿宋_GBK" w:cs="Times New Roman"/>
                <w:color w:val="auto"/>
                <w:sz w:val="24"/>
                <w:szCs w:val="24"/>
                <w:lang w:eastAsia="zh-CN"/>
              </w:rPr>
              <w:t>（门店）</w:t>
            </w:r>
          </w:p>
        </w:tc>
        <w:tc>
          <w:tcPr>
            <w:tcW w:w="3833" w:type="dxa"/>
            <w:noWrap w:val="0"/>
            <w:vAlign w:val="center"/>
          </w:tcPr>
          <w:p w14:paraId="3BCF12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检查列入《能源计量监督管理办法》的产品是否按有关标准和实施规则的要求标注</w:t>
            </w:r>
            <w:r>
              <w:rPr>
                <w:rFonts w:hint="eastAsia" w:eastAsia="方正仿宋_GBK" w:cs="Times New Roman"/>
                <w:color w:val="auto"/>
                <w:sz w:val="24"/>
                <w:szCs w:val="24"/>
                <w:lang w:eastAsia="zh-CN"/>
              </w:rPr>
              <w:t>能源</w:t>
            </w:r>
            <w:r>
              <w:rPr>
                <w:rFonts w:hint="default" w:ascii="Times New Roman" w:hAnsi="Times New Roman" w:eastAsia="方正仿宋_GBK" w:cs="Times New Roman"/>
                <w:color w:val="auto"/>
                <w:sz w:val="24"/>
                <w:szCs w:val="24"/>
              </w:rPr>
              <w:t>标识；使用的能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标识是否符合有关样式、规格等标注规定（包括是否符合网络交易产品能效标识展示要求）；是否办理能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标识备案；是否存在伪造冒用能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标识或者利用能</w:t>
            </w:r>
            <w:r>
              <w:rPr>
                <w:rFonts w:hint="eastAsia" w:eastAsia="方正仿宋_GBK" w:cs="Times New Roman"/>
                <w:color w:val="auto"/>
                <w:sz w:val="24"/>
                <w:szCs w:val="24"/>
                <w:lang w:eastAsia="zh-CN"/>
              </w:rPr>
              <w:t>源</w:t>
            </w:r>
            <w:r>
              <w:rPr>
                <w:rFonts w:hint="default" w:ascii="Times New Roman" w:hAnsi="Times New Roman" w:eastAsia="方正仿宋_GBK" w:cs="Times New Roman"/>
                <w:color w:val="auto"/>
                <w:sz w:val="24"/>
                <w:szCs w:val="24"/>
              </w:rPr>
              <w:t>标识进行虚假宣传的行为。</w:t>
            </w:r>
          </w:p>
        </w:tc>
        <w:tc>
          <w:tcPr>
            <w:tcW w:w="650" w:type="dxa"/>
            <w:noWrap w:val="0"/>
            <w:vAlign w:val="center"/>
          </w:tcPr>
          <w:p w14:paraId="2474951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抽样检测</w:t>
            </w:r>
          </w:p>
        </w:tc>
        <w:tc>
          <w:tcPr>
            <w:tcW w:w="650" w:type="dxa"/>
            <w:shd w:val="clear" w:color="auto" w:fill="auto"/>
            <w:noWrap w:val="0"/>
            <w:vAlign w:val="center"/>
          </w:tcPr>
          <w:p w14:paraId="6841C1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2F06C3F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168F6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45550E77">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41</w:t>
            </w:r>
          </w:p>
        </w:tc>
        <w:tc>
          <w:tcPr>
            <w:tcW w:w="1012" w:type="dxa"/>
            <w:noWrap w:val="0"/>
            <w:vAlign w:val="center"/>
          </w:tcPr>
          <w:p w14:paraId="468CA13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rPr>
            </w:pPr>
            <w:r>
              <w:rPr>
                <w:rFonts w:hint="eastAsia" w:ascii="Times New Roman" w:hAnsi="Times New Roman" w:eastAsia="方正仿宋_GBK" w:cs="方正仿宋_GBK"/>
                <w:color w:val="auto"/>
                <w:sz w:val="24"/>
                <w:szCs w:val="24"/>
                <w:highlight w:val="none"/>
              </w:rPr>
              <w:t>企业</w:t>
            </w:r>
            <w:r>
              <w:rPr>
                <w:rFonts w:hint="eastAsia" w:eastAsia="方正仿宋_GBK" w:cs="方正仿宋_GBK"/>
                <w:color w:val="auto"/>
                <w:sz w:val="24"/>
                <w:szCs w:val="24"/>
                <w:highlight w:val="none"/>
                <w:lang w:eastAsia="zh-CN"/>
              </w:rPr>
              <w:t>、社会团体</w:t>
            </w:r>
            <w:r>
              <w:rPr>
                <w:rFonts w:hint="eastAsia" w:ascii="Times New Roman" w:hAnsi="Times New Roman" w:eastAsia="方正仿宋_GBK" w:cs="方正仿宋_GBK"/>
                <w:color w:val="auto"/>
                <w:sz w:val="24"/>
                <w:szCs w:val="24"/>
                <w:highlight w:val="none"/>
              </w:rPr>
              <w:t>标准自我声明监督检查</w:t>
            </w:r>
          </w:p>
        </w:tc>
        <w:tc>
          <w:tcPr>
            <w:tcW w:w="873" w:type="dxa"/>
            <w:noWrap w:val="0"/>
            <w:vAlign w:val="center"/>
          </w:tcPr>
          <w:p w14:paraId="3D860B7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安化县市场监督管理局</w:t>
            </w:r>
          </w:p>
        </w:tc>
        <w:tc>
          <w:tcPr>
            <w:tcW w:w="5268" w:type="dxa"/>
            <w:noWrap w:val="0"/>
            <w:vAlign w:val="center"/>
          </w:tcPr>
          <w:p w14:paraId="15C1137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color w:val="auto"/>
                <w:sz w:val="24"/>
                <w:szCs w:val="24"/>
              </w:rPr>
            </w:pPr>
            <w:r>
              <w:rPr>
                <w:rFonts w:hint="eastAsia" w:ascii="Times New Roman" w:hAnsi="Times New Roman" w:eastAsia="方正仿宋_GBK" w:cs="方正仿宋_GBK"/>
                <w:color w:val="auto"/>
                <w:sz w:val="24"/>
                <w:szCs w:val="24"/>
                <w:highlight w:val="none"/>
              </w:rPr>
              <w:t>《标准化法》第二十七条、第三十八条、第三十九条、第四十二条</w:t>
            </w:r>
          </w:p>
        </w:tc>
        <w:tc>
          <w:tcPr>
            <w:tcW w:w="983" w:type="dxa"/>
            <w:noWrap w:val="0"/>
            <w:vAlign w:val="center"/>
          </w:tcPr>
          <w:p w14:paraId="13390D4D">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center"/>
              <w:rPr>
                <w:rFonts w:hint="default"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标质股</w:t>
            </w:r>
          </w:p>
        </w:tc>
        <w:tc>
          <w:tcPr>
            <w:tcW w:w="1000" w:type="dxa"/>
            <w:noWrap w:val="0"/>
            <w:vAlign w:val="center"/>
          </w:tcPr>
          <w:p w14:paraId="4FD457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color w:val="auto"/>
                <w:sz w:val="24"/>
                <w:szCs w:val="24"/>
                <w:lang w:eastAsia="zh-CN"/>
              </w:rPr>
            </w:pPr>
            <w:r>
              <w:rPr>
                <w:rFonts w:hint="eastAsia" w:eastAsia="方正仿宋_GBK" w:cs="Times New Roman"/>
                <w:color w:val="auto"/>
                <w:sz w:val="24"/>
                <w:szCs w:val="24"/>
                <w:lang w:eastAsia="zh-CN"/>
              </w:rPr>
              <w:t>企业、社会团体</w:t>
            </w:r>
          </w:p>
        </w:tc>
        <w:tc>
          <w:tcPr>
            <w:tcW w:w="3833" w:type="dxa"/>
            <w:noWrap w:val="0"/>
            <w:vAlign w:val="center"/>
          </w:tcPr>
          <w:p w14:paraId="2141912D">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团体标准、企业标准自我声明公开和监督制度</w:t>
            </w:r>
            <w:r>
              <w:rPr>
                <w:rFonts w:hint="eastAsia" w:eastAsia="方正仿宋_GBK" w:cs="Times New Roman"/>
                <w:color w:val="auto"/>
                <w:sz w:val="24"/>
                <w:szCs w:val="24"/>
                <w:lang w:eastAsia="zh-CN"/>
              </w:rPr>
              <w:t>检查</w:t>
            </w:r>
          </w:p>
        </w:tc>
        <w:tc>
          <w:tcPr>
            <w:tcW w:w="650" w:type="dxa"/>
            <w:noWrap w:val="0"/>
            <w:vAlign w:val="center"/>
          </w:tcPr>
          <w:p w14:paraId="57C7B97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方正仿宋_GBK"/>
                <w:color w:val="auto"/>
                <w:sz w:val="24"/>
                <w:szCs w:val="24"/>
                <w:highlight w:val="none"/>
                <w:lang w:eastAsia="zh-CN"/>
              </w:rPr>
              <w:t>非现场检查</w:t>
            </w:r>
          </w:p>
        </w:tc>
        <w:tc>
          <w:tcPr>
            <w:tcW w:w="650" w:type="dxa"/>
            <w:shd w:val="clear" w:color="auto" w:fill="auto"/>
            <w:noWrap w:val="0"/>
            <w:vAlign w:val="center"/>
          </w:tcPr>
          <w:p w14:paraId="1705401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2E56FA9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685C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09" w:type="dxa"/>
            <w:noWrap w:val="0"/>
            <w:vAlign w:val="center"/>
          </w:tcPr>
          <w:p w14:paraId="177A989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42</w:t>
            </w:r>
          </w:p>
        </w:tc>
        <w:tc>
          <w:tcPr>
            <w:tcW w:w="1012" w:type="dxa"/>
            <w:noWrap w:val="0"/>
            <w:vAlign w:val="center"/>
          </w:tcPr>
          <w:p w14:paraId="51F3A2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对检验检测机构的行政检查</w:t>
            </w:r>
          </w:p>
        </w:tc>
        <w:tc>
          <w:tcPr>
            <w:tcW w:w="873" w:type="dxa"/>
            <w:noWrap w:val="0"/>
            <w:vAlign w:val="center"/>
          </w:tcPr>
          <w:p w14:paraId="48471C0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安化县市场监督管理局</w:t>
            </w:r>
          </w:p>
        </w:tc>
        <w:tc>
          <w:tcPr>
            <w:tcW w:w="5268" w:type="dxa"/>
            <w:noWrap w:val="0"/>
            <w:vAlign w:val="center"/>
          </w:tcPr>
          <w:p w14:paraId="365BB32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《检验检测机构监督管理办法》</w:t>
            </w:r>
          </w:p>
          <w:p w14:paraId="4C51E72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第四条第三款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地（市）、县级市场监督管理部门负责本行政区域内检验检测机构监督检查工作。</w:t>
            </w:r>
          </w:p>
          <w:p w14:paraId="5B0207B2">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第十七条第一款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县级以上市场监督管理部门应当依据检验检测机构年度监督检查计划，随机抽取检查对象、随机选派执法检查人员开展监督检查工作；</w:t>
            </w:r>
          </w:p>
          <w:p w14:paraId="05DC6D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第二款</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因应对突发事件等需要，县级以上市场监督管理部门可以应急开展相关监督检查工作；</w:t>
            </w:r>
          </w:p>
          <w:p w14:paraId="63F9357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第十九条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省级市场监督管理部门可以结合风险程度、能力验证及监督检查结果、投诉举报情况等，对本行政区域内检验检测机构进行分类监管。</w:t>
            </w:r>
          </w:p>
          <w:p w14:paraId="29B9107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第二十条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市场监督管理部门可以依法行使下列职权：</w:t>
            </w:r>
          </w:p>
          <w:p w14:paraId="5C76803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（一）进入检验检测机构进行现场检查；</w:t>
            </w:r>
          </w:p>
          <w:p w14:paraId="78E7D40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（二）向检验检测机构、委托人等有关单位及人员询问、调查有关情况或者验证相关检验检测活动；</w:t>
            </w:r>
          </w:p>
          <w:p w14:paraId="15C6938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（三）查阅、复制有关检验检测原始记录、报告、发票、账簿及其他相关资料；</w:t>
            </w:r>
          </w:p>
          <w:p w14:paraId="2CF988D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（四）法律、行政法规规定的其他职权。</w:t>
            </w:r>
          </w:p>
        </w:tc>
        <w:tc>
          <w:tcPr>
            <w:tcW w:w="983" w:type="dxa"/>
            <w:noWrap w:val="0"/>
            <w:vAlign w:val="center"/>
          </w:tcPr>
          <w:p w14:paraId="5467144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sz w:val="24"/>
                <w:szCs w:val="24"/>
                <w:lang w:eastAsia="zh-CN"/>
              </w:rPr>
              <w:t>产品质量认证认可股</w:t>
            </w:r>
          </w:p>
        </w:tc>
        <w:tc>
          <w:tcPr>
            <w:tcW w:w="1000" w:type="dxa"/>
            <w:noWrap w:val="0"/>
            <w:vAlign w:val="center"/>
          </w:tcPr>
          <w:p w14:paraId="7980F1D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检验检测机构</w:t>
            </w:r>
          </w:p>
        </w:tc>
        <w:tc>
          <w:tcPr>
            <w:tcW w:w="3833" w:type="dxa"/>
            <w:noWrap w:val="0"/>
            <w:vAlign w:val="center"/>
          </w:tcPr>
          <w:p w14:paraId="6C5092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1.对机构持续保持资质认定条件的监督检查；</w:t>
            </w:r>
          </w:p>
          <w:p w14:paraId="152007C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2.对机构从事检验检测活动的监督检查。</w:t>
            </w:r>
          </w:p>
        </w:tc>
        <w:tc>
          <w:tcPr>
            <w:tcW w:w="650" w:type="dxa"/>
            <w:noWrap w:val="0"/>
            <w:vAlign w:val="center"/>
          </w:tcPr>
          <w:p w14:paraId="2A3AF67F">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现场检查、非现场检查相结合</w:t>
            </w:r>
          </w:p>
        </w:tc>
        <w:tc>
          <w:tcPr>
            <w:tcW w:w="650" w:type="dxa"/>
            <w:shd w:val="clear" w:color="auto" w:fill="auto"/>
            <w:noWrap w:val="0"/>
            <w:vAlign w:val="center"/>
          </w:tcPr>
          <w:p w14:paraId="391A36C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6676F37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47961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09" w:type="dxa"/>
            <w:noWrap w:val="0"/>
            <w:vAlign w:val="center"/>
          </w:tcPr>
          <w:p w14:paraId="4BA0195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43</w:t>
            </w:r>
          </w:p>
        </w:tc>
        <w:tc>
          <w:tcPr>
            <w:tcW w:w="1012" w:type="dxa"/>
            <w:noWrap w:val="0"/>
            <w:vAlign w:val="center"/>
          </w:tcPr>
          <w:p w14:paraId="65F4089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对认证活动和认证结果的行政检查</w:t>
            </w:r>
          </w:p>
        </w:tc>
        <w:tc>
          <w:tcPr>
            <w:tcW w:w="873" w:type="dxa"/>
            <w:noWrap w:val="0"/>
            <w:vAlign w:val="center"/>
          </w:tcPr>
          <w:p w14:paraId="5063B05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安化县市场监督管理局</w:t>
            </w:r>
          </w:p>
        </w:tc>
        <w:tc>
          <w:tcPr>
            <w:tcW w:w="5268" w:type="dxa"/>
            <w:noWrap w:val="0"/>
            <w:vAlign w:val="center"/>
          </w:tcPr>
          <w:p w14:paraId="5091C4A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《中华人民共和国认证认可条例》</w:t>
            </w:r>
          </w:p>
          <w:p w14:paraId="7917A2D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第五十四条</w:t>
            </w:r>
            <w:r>
              <w:rPr>
                <w:rFonts w:hint="eastAsia" w:ascii="Times New Roman" w:hAnsi="Times New Roman" w:eastAsia="方正仿宋_GBK" w:cs="Times New Roman"/>
                <w:b w:val="0"/>
                <w:bCs/>
                <w:sz w:val="24"/>
                <w:szCs w:val="24"/>
                <w:lang w:val="en-US" w:eastAsia="zh-CN"/>
              </w:rPr>
              <w:t xml:space="preserve"> </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县级以上地方人民政府市场监督管理部门在国务院认证认可监督管理部门的授权范围内，依照本条例的规定对认证活动实施监督管理。</w:t>
            </w:r>
          </w:p>
          <w:p w14:paraId="1DBDE069">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《认证机构管理办法》</w:t>
            </w:r>
          </w:p>
          <w:p w14:paraId="035C6A8B">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第四条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国务院认证认可监督管理部门主管认证机构的资质审批及监督管理工作。县级以上地方认证监督管理部门依照本办法的规定，负责所辖区域内认证机构从事认证活动的监督管理。</w:t>
            </w:r>
          </w:p>
          <w:p w14:paraId="020EBA2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《强制性产品认证管理规定》</w:t>
            </w:r>
          </w:p>
          <w:p w14:paraId="4CA3B9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both"/>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第三十七条</w:t>
            </w:r>
            <w:r>
              <w:rPr>
                <w:rFonts w:hint="eastAsia" w:eastAsia="方正仿宋_GBK" w:cs="Times New Roman"/>
                <w:b w:val="0"/>
                <w:bCs/>
                <w:sz w:val="24"/>
                <w:szCs w:val="24"/>
                <w:lang w:val="en-US" w:eastAsia="zh-CN"/>
              </w:rPr>
              <w:t xml:space="preserve">  </w:t>
            </w:r>
            <w:r>
              <w:rPr>
                <w:rFonts w:hint="default" w:ascii="Times New Roman" w:hAnsi="Times New Roman" w:eastAsia="方正仿宋_GBK" w:cs="Times New Roman"/>
                <w:b w:val="0"/>
                <w:bCs/>
                <w:sz w:val="24"/>
                <w:szCs w:val="24"/>
              </w:rPr>
              <w:t>县级以上地方市场监督管理部门负责对所辖区域内强制性产品认证活动实施监督检查，对违法行为进行查处。</w:t>
            </w:r>
          </w:p>
        </w:tc>
        <w:tc>
          <w:tcPr>
            <w:tcW w:w="983" w:type="dxa"/>
            <w:noWrap w:val="0"/>
            <w:vAlign w:val="center"/>
          </w:tcPr>
          <w:p w14:paraId="152980C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eastAsia" w:eastAsia="方正仿宋_GBK" w:cs="Times New Roman"/>
                <w:sz w:val="24"/>
                <w:szCs w:val="24"/>
                <w:lang w:eastAsia="zh-CN"/>
              </w:rPr>
              <w:t>产品质量认证认可股</w:t>
            </w:r>
          </w:p>
        </w:tc>
        <w:tc>
          <w:tcPr>
            <w:tcW w:w="1000" w:type="dxa"/>
            <w:noWrap w:val="0"/>
            <w:vAlign w:val="center"/>
          </w:tcPr>
          <w:p w14:paraId="1DA8C267">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获证组织</w:t>
            </w:r>
          </w:p>
        </w:tc>
        <w:tc>
          <w:tcPr>
            <w:tcW w:w="3833" w:type="dxa"/>
            <w:noWrap w:val="0"/>
            <w:vAlign w:val="center"/>
          </w:tcPr>
          <w:p w14:paraId="2625B4A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认证活动及结果合规性、有效性的检查。</w:t>
            </w:r>
          </w:p>
        </w:tc>
        <w:tc>
          <w:tcPr>
            <w:tcW w:w="650" w:type="dxa"/>
            <w:noWrap w:val="0"/>
            <w:vAlign w:val="center"/>
          </w:tcPr>
          <w:p w14:paraId="79AADEA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现场检查</w:t>
            </w:r>
          </w:p>
        </w:tc>
        <w:tc>
          <w:tcPr>
            <w:tcW w:w="650" w:type="dxa"/>
            <w:shd w:val="clear" w:color="auto" w:fill="auto"/>
            <w:noWrap w:val="0"/>
            <w:vAlign w:val="center"/>
          </w:tcPr>
          <w:p w14:paraId="0E78626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454A746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E31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409" w:type="dxa"/>
            <w:noWrap w:val="0"/>
            <w:vAlign w:val="center"/>
          </w:tcPr>
          <w:p w14:paraId="42F0F488">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44</w:t>
            </w:r>
          </w:p>
        </w:tc>
        <w:tc>
          <w:tcPr>
            <w:tcW w:w="1012" w:type="dxa"/>
            <w:noWrap w:val="0"/>
            <w:vAlign w:val="center"/>
          </w:tcPr>
          <w:p w14:paraId="52748FB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sz w:val="24"/>
                <w:szCs w:val="24"/>
                <w:lang w:eastAsia="zh-CN"/>
              </w:rPr>
              <w:t>商标代理机构主体资格、执业行为进行检查</w:t>
            </w:r>
          </w:p>
        </w:tc>
        <w:tc>
          <w:tcPr>
            <w:tcW w:w="873" w:type="dxa"/>
            <w:noWrap w:val="0"/>
            <w:vAlign w:val="center"/>
          </w:tcPr>
          <w:p w14:paraId="2A1801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color w:val="auto"/>
                <w:sz w:val="24"/>
                <w:szCs w:val="24"/>
                <w:lang w:eastAsia="zh-CN"/>
              </w:rPr>
              <w:t>安化县市场监督管理局</w:t>
            </w:r>
          </w:p>
        </w:tc>
        <w:tc>
          <w:tcPr>
            <w:tcW w:w="5268" w:type="dxa"/>
            <w:noWrap w:val="0"/>
            <w:vAlign w:val="center"/>
          </w:tcPr>
          <w:p w14:paraId="7E49C93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sz w:val="24"/>
                <w:szCs w:val="24"/>
                <w:lang w:eastAsia="zh-CN"/>
              </w:rPr>
              <w:t>《商标法》第十九条、第六十八条、《商标法实施条例》第八十四条、第八十八条，</w:t>
            </w:r>
            <w:r>
              <w:rPr>
                <w:rFonts w:hint="default" w:ascii="Times New Roman" w:hAnsi="Times New Roman" w:eastAsia="方正仿宋_GBK" w:cs="Times New Roman"/>
                <w:color w:val="auto"/>
                <w:sz w:val="24"/>
                <w:szCs w:val="24"/>
                <w:highlight w:val="none"/>
              </w:rPr>
              <w:t>第八十九条</w:t>
            </w:r>
          </w:p>
        </w:tc>
        <w:tc>
          <w:tcPr>
            <w:tcW w:w="983" w:type="dxa"/>
            <w:noWrap w:val="0"/>
            <w:vAlign w:val="center"/>
          </w:tcPr>
          <w:p w14:paraId="3C6BE1F9">
            <w:pPr>
              <w:keepNext w:val="0"/>
              <w:keepLines w:val="0"/>
              <w:pageBreakBefore w:val="0"/>
              <w:widowControl w:val="0"/>
              <w:suppressLineNumbers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spacing w:val="0"/>
                <w:kern w:val="0"/>
                <w:sz w:val="24"/>
                <w:szCs w:val="24"/>
                <w:shd w:val="clear" w:color="auto" w:fill="FFFFFF"/>
                <w:lang w:val="en-US" w:eastAsia="zh-CN" w:bidi="ar"/>
              </w:rPr>
              <w:t>知识产权</w:t>
            </w:r>
            <w:r>
              <w:rPr>
                <w:rFonts w:hint="eastAsia" w:eastAsia="方正仿宋_GBK" w:cs="Times New Roman"/>
                <w:i w:val="0"/>
                <w:caps w:val="0"/>
                <w:spacing w:val="0"/>
                <w:kern w:val="0"/>
                <w:sz w:val="24"/>
                <w:szCs w:val="24"/>
                <w:shd w:val="clear" w:color="auto" w:fill="FFFFFF"/>
                <w:lang w:val="en-US" w:eastAsia="zh-CN" w:bidi="ar"/>
              </w:rPr>
              <w:t>股</w:t>
            </w:r>
          </w:p>
        </w:tc>
        <w:tc>
          <w:tcPr>
            <w:tcW w:w="1000" w:type="dxa"/>
            <w:noWrap w:val="0"/>
            <w:vAlign w:val="center"/>
          </w:tcPr>
          <w:p w14:paraId="6DD5C4C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商标代理机构</w:t>
            </w:r>
          </w:p>
        </w:tc>
        <w:tc>
          <w:tcPr>
            <w:tcW w:w="3833" w:type="dxa"/>
            <w:noWrap w:val="0"/>
            <w:vAlign w:val="center"/>
          </w:tcPr>
          <w:p w14:paraId="64DBF65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商标代理机构主体资格、执业行为进行检查</w:t>
            </w:r>
          </w:p>
        </w:tc>
        <w:tc>
          <w:tcPr>
            <w:tcW w:w="650" w:type="dxa"/>
            <w:noWrap w:val="0"/>
            <w:vAlign w:val="center"/>
          </w:tcPr>
          <w:p w14:paraId="1078AEF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eastAsia="zh-CN"/>
              </w:rPr>
              <w:t>现场检查、非现场检查相结合</w:t>
            </w:r>
          </w:p>
        </w:tc>
        <w:tc>
          <w:tcPr>
            <w:tcW w:w="650" w:type="dxa"/>
            <w:shd w:val="clear" w:color="auto" w:fill="auto"/>
            <w:noWrap w:val="0"/>
            <w:vAlign w:val="center"/>
          </w:tcPr>
          <w:p w14:paraId="4AC350AC">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7F2C6A1E">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ABC8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09" w:type="dxa"/>
            <w:noWrap w:val="0"/>
            <w:vAlign w:val="center"/>
          </w:tcPr>
          <w:p w14:paraId="39D69B21">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45</w:t>
            </w:r>
          </w:p>
        </w:tc>
        <w:tc>
          <w:tcPr>
            <w:tcW w:w="1012" w:type="dxa"/>
            <w:noWrap w:val="0"/>
            <w:vAlign w:val="center"/>
          </w:tcPr>
          <w:p w14:paraId="27131A3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专利代理机构主体资格和执业资质检查</w:t>
            </w:r>
          </w:p>
        </w:tc>
        <w:tc>
          <w:tcPr>
            <w:tcW w:w="873" w:type="dxa"/>
            <w:noWrap w:val="0"/>
            <w:vAlign w:val="center"/>
          </w:tcPr>
          <w:p w14:paraId="1D7AA3E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eastAsia" w:eastAsia="方正仿宋_GBK" w:cs="Times New Roman"/>
                <w:color w:val="auto"/>
                <w:sz w:val="24"/>
                <w:szCs w:val="24"/>
                <w:lang w:eastAsia="zh-CN"/>
              </w:rPr>
              <w:t>安化县市场监督管理局</w:t>
            </w:r>
          </w:p>
        </w:tc>
        <w:tc>
          <w:tcPr>
            <w:tcW w:w="5268" w:type="dxa"/>
            <w:noWrap w:val="0"/>
            <w:vAlign w:val="center"/>
          </w:tcPr>
          <w:p w14:paraId="6CA264D7">
            <w:pPr>
              <w:keepNext w:val="0"/>
              <w:keepLines w:val="0"/>
              <w:pageBreakBefore w:val="0"/>
              <w:widowControl w:val="0"/>
              <w:shd w:val="clear" w:color="auto" w:fill="auto"/>
              <w:kinsoku w:val="0"/>
              <w:wordWrap/>
              <w:overflowPunct/>
              <w:topLinePunct w:val="0"/>
              <w:autoSpaceDE/>
              <w:autoSpaceDN/>
              <w:bidi w:val="0"/>
              <w:adjustRightInd w:val="0"/>
              <w:snapToGrid w:val="0"/>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《专利代理条例》第四条、第五条、第六条</w:t>
            </w:r>
          </w:p>
          <w:p w14:paraId="431874A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管理办法》第九条、第十条、第十一条、第十二条、第十三条、第十八条、第二十条、第二十六条、第二十一条、第三十七条第四十一条第三十五条、第三十七条、第三十八条、第三十九条、第四十条、第四十一条、第四十二条、第四十五条。</w:t>
            </w:r>
          </w:p>
        </w:tc>
        <w:tc>
          <w:tcPr>
            <w:tcW w:w="983" w:type="dxa"/>
            <w:noWrap w:val="0"/>
            <w:vAlign w:val="center"/>
          </w:tcPr>
          <w:p w14:paraId="46AB51F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spacing w:val="0"/>
                <w:kern w:val="0"/>
                <w:sz w:val="24"/>
                <w:szCs w:val="24"/>
                <w:shd w:val="clear" w:color="auto" w:fill="FFFFFF"/>
                <w:lang w:val="en-US" w:eastAsia="zh-CN" w:bidi="ar"/>
              </w:rPr>
              <w:t>知识产权</w:t>
            </w:r>
            <w:r>
              <w:rPr>
                <w:rFonts w:hint="eastAsia" w:eastAsia="方正仿宋_GBK" w:cs="Times New Roman"/>
                <w:i w:val="0"/>
                <w:caps w:val="0"/>
                <w:spacing w:val="0"/>
                <w:kern w:val="0"/>
                <w:sz w:val="24"/>
                <w:szCs w:val="24"/>
                <w:shd w:val="clear" w:color="auto" w:fill="FFFFFF"/>
                <w:lang w:val="en-US" w:eastAsia="zh-CN" w:bidi="ar"/>
              </w:rPr>
              <w:t>股</w:t>
            </w:r>
          </w:p>
        </w:tc>
        <w:tc>
          <w:tcPr>
            <w:tcW w:w="1000" w:type="dxa"/>
            <w:noWrap w:val="0"/>
            <w:vAlign w:val="center"/>
          </w:tcPr>
          <w:p w14:paraId="78222B0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专利代理机构</w:t>
            </w:r>
          </w:p>
        </w:tc>
        <w:tc>
          <w:tcPr>
            <w:tcW w:w="3833" w:type="dxa"/>
            <w:noWrap w:val="0"/>
            <w:vAlign w:val="center"/>
          </w:tcPr>
          <w:p w14:paraId="1AFBC906">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auto"/>
                <w:sz w:val="24"/>
                <w:szCs w:val="24"/>
                <w:highlight w:val="none"/>
              </w:rPr>
              <w:t>专利代理机构主体资格和执业资质检查</w:t>
            </w:r>
          </w:p>
        </w:tc>
        <w:tc>
          <w:tcPr>
            <w:tcW w:w="650" w:type="dxa"/>
            <w:noWrap w:val="0"/>
            <w:vAlign w:val="center"/>
          </w:tcPr>
          <w:p w14:paraId="20427CC3">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z w:val="24"/>
                <w:szCs w:val="24"/>
                <w:lang w:eastAsia="zh-CN"/>
              </w:rPr>
            </w:pPr>
            <w:r>
              <w:rPr>
                <w:rFonts w:hint="eastAsia" w:eastAsia="方正仿宋_GBK" w:cs="Times New Roman"/>
                <w:sz w:val="24"/>
                <w:szCs w:val="24"/>
                <w:lang w:eastAsia="zh-CN"/>
              </w:rPr>
              <w:t>现场检查、非现场检查相结合</w:t>
            </w:r>
          </w:p>
        </w:tc>
        <w:tc>
          <w:tcPr>
            <w:tcW w:w="650" w:type="dxa"/>
            <w:shd w:val="clear" w:color="auto" w:fill="auto"/>
            <w:noWrap w:val="0"/>
            <w:vAlign w:val="center"/>
          </w:tcPr>
          <w:p w14:paraId="748B32A4">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eastAsia" w:eastAsia="方正仿宋_GBK" w:cs="Times New Roman"/>
                <w:b w:val="0"/>
                <w:bCs w:val="0"/>
                <w:sz w:val="24"/>
                <w:szCs w:val="24"/>
                <w:vertAlign w:val="baseline"/>
                <w:lang w:val="en-US" w:eastAsia="zh-CN"/>
              </w:rPr>
              <w:t>一年一次</w:t>
            </w:r>
          </w:p>
        </w:tc>
        <w:tc>
          <w:tcPr>
            <w:tcW w:w="1175" w:type="dxa"/>
            <w:shd w:val="clear" w:color="auto" w:fill="auto"/>
            <w:noWrap w:val="0"/>
            <w:vAlign w:val="center"/>
          </w:tcPr>
          <w:p w14:paraId="15A91E6A">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p>
        </w:tc>
      </w:tr>
      <w:tr w14:paraId="7EC67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15853" w:type="dxa"/>
            <w:gridSpan w:val="10"/>
            <w:noWrap w:val="0"/>
            <w:vAlign w:val="center"/>
          </w:tcPr>
          <w:p w14:paraId="4AADB455">
            <w:pPr>
              <w:keepNext w:val="0"/>
              <w:keepLines w:val="0"/>
              <w:pageBreakBefore w:val="0"/>
              <w:widowControl w:val="0"/>
              <w:kinsoku w:val="0"/>
              <w:wordWrap/>
              <w:overflowPunct/>
              <w:topLinePunct w:val="0"/>
              <w:autoSpaceDE/>
              <w:autoSpaceDN/>
              <w:bidi w:val="0"/>
              <w:adjustRightInd w:val="0"/>
              <w:snapToGrid w:val="0"/>
              <w:spacing w:line="240" w:lineRule="exact"/>
              <w:ind w:left="0" w:leftChars="0" w:firstLine="0" w:firstLineChars="0"/>
              <w:rPr>
                <w:rFonts w:hint="default" w:ascii="Times New Roman" w:hAnsi="Times New Roman" w:eastAsia="方正仿宋_GBK" w:cs="Times New Roman"/>
                <w:i w:val="0"/>
                <w:color w:val="auto"/>
                <w:kern w:val="0"/>
                <w:sz w:val="24"/>
                <w:szCs w:val="24"/>
                <w:u w:val="none"/>
                <w:lang w:val="en-US" w:eastAsia="zh-CN" w:bidi="ar"/>
              </w:rPr>
            </w:pPr>
            <w:r>
              <w:rPr>
                <w:rFonts w:hint="eastAsia" w:ascii="仿宋_GB2312" w:hAnsi="宋体" w:eastAsia="仿宋_GB2312" w:cs="仿宋_GB2312"/>
                <w:b/>
                <w:color w:val="000000"/>
                <w:sz w:val="24"/>
                <w:szCs w:val="24"/>
                <w:u w:val="none"/>
                <w:lang w:val="en-US" w:eastAsia="zh-CN" w:bidi="ar"/>
              </w:rPr>
              <w:t>说明：</w:t>
            </w:r>
            <w:r>
              <w:rPr>
                <w:rStyle w:val="13"/>
                <w:rFonts w:hAnsi="宋体"/>
                <w:lang w:val="en-US" w:eastAsia="zh-CN" w:bidi="ar"/>
              </w:rPr>
              <w:br w:type="textWrapping"/>
            </w:r>
            <w:r>
              <w:rPr>
                <w:rFonts w:hint="eastAsia" w:ascii="仿宋_GB2312" w:hAnsi="宋体" w:eastAsia="仿宋_GB2312" w:cs="仿宋_GB2312"/>
                <w:b/>
                <w:color w:val="000000"/>
                <w:sz w:val="24"/>
                <w:szCs w:val="24"/>
                <w:u w:val="none"/>
                <w:lang w:val="en-US" w:eastAsia="zh-CN" w:bidi="ar"/>
              </w:rPr>
              <w:t>1.本清单根据有关法律法规规章立改废情况进行动态调整。</w:t>
            </w:r>
            <w:r>
              <w:rPr>
                <w:rFonts w:hint="eastAsia" w:ascii="仿宋_GB2312" w:hAnsi="宋体" w:eastAsia="仿宋_GB2312" w:cs="仿宋_GB2312"/>
                <w:b/>
                <w:color w:val="000000"/>
                <w:sz w:val="24"/>
                <w:szCs w:val="24"/>
                <w:u w:val="none"/>
                <w:lang w:val="en-US" w:eastAsia="zh-CN" w:bidi="ar"/>
              </w:rPr>
              <w:br w:type="textWrapping"/>
            </w:r>
            <w:r>
              <w:rPr>
                <w:rFonts w:hint="eastAsia" w:ascii="仿宋_GB2312" w:hAnsi="宋体" w:eastAsia="仿宋_GB2312" w:cs="仿宋_GB2312"/>
                <w:b/>
                <w:color w:val="000000"/>
                <w:sz w:val="24"/>
                <w:szCs w:val="24"/>
                <w:u w:val="none"/>
                <w:lang w:val="en-US" w:eastAsia="zh-CN" w:bidi="ar"/>
              </w:rPr>
              <w:t>2.严禁行政执法机关（含所属法律法规授权组织）对同一检查对象进行重复行政检查。</w:t>
            </w:r>
            <w:r>
              <w:rPr>
                <w:rFonts w:hint="eastAsia" w:ascii="仿宋_GB2312" w:hAnsi="宋体" w:eastAsia="仿宋_GB2312" w:cs="仿宋_GB2312"/>
                <w:b/>
                <w:color w:val="000000"/>
                <w:sz w:val="24"/>
                <w:szCs w:val="24"/>
                <w:u w:val="none"/>
                <w:lang w:val="en-US" w:eastAsia="zh-CN" w:bidi="ar"/>
              </w:rPr>
              <w:br w:type="textWrapping"/>
            </w:r>
            <w:r>
              <w:rPr>
                <w:rFonts w:hint="eastAsia" w:ascii="仿宋_GB2312" w:hAnsi="宋体" w:eastAsia="仿宋_GB2312" w:cs="仿宋_GB2312"/>
                <w:b/>
                <w:color w:val="000000"/>
                <w:sz w:val="24"/>
                <w:szCs w:val="24"/>
                <w:u w:val="none"/>
                <w:lang w:val="en-US" w:eastAsia="zh-CN" w:bidi="ar"/>
              </w:rPr>
              <w:t>3.本单位对于未列入清单的涉企行政检查事项一律不得实施行政检查；违规实施的，企业有权拒绝接受检查，并可以向本单位行政执法监督机构（电话：0737-7821609，邮箱：397019560@qq.com）和县司法局（联系电话：0737-7221990，电子邮箱：ahxzzfjd@126.com）举报。</w:t>
            </w:r>
          </w:p>
        </w:tc>
      </w:tr>
    </w:tbl>
    <w:p w14:paraId="25164D6E">
      <w:pPr>
        <w:rPr>
          <w:rFonts w:hint="eastAsia" w:ascii="方正仿宋_GBK" w:hAnsi="方正仿宋_GBK" w:eastAsia="方正仿宋_GBK" w:cs="方正仿宋_GBK"/>
          <w:sz w:val="24"/>
          <w:szCs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29CC151-3963-4200-830E-DDA5F34B19D6}"/>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C8654A58-D314-402E-9405-7C644A034F04}"/>
  </w:font>
  <w:font w:name="方正仿宋_GBK">
    <w:panose1 w:val="02000000000000000000"/>
    <w:charset w:val="86"/>
    <w:family w:val="auto"/>
    <w:pitch w:val="default"/>
    <w:sig w:usb0="A00002BF" w:usb1="38CF7CFA" w:usb2="00082016" w:usb3="00000000" w:csb0="00040001" w:csb1="00000000"/>
    <w:embedRegular r:id="rId3" w:fontKey="{0C05A448-0D5D-4319-966B-9BD7EF6FA0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CADC">
    <w:pPr>
      <w:pStyle w:val="5"/>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89A53"/>
    <w:multiLevelType w:val="singleLevel"/>
    <w:tmpl w:val="EA589A53"/>
    <w:lvl w:ilvl="0" w:tentative="0">
      <w:start w:val="1"/>
      <w:numFmt w:val="chineseCounting"/>
      <w:suff w:val="nothing"/>
      <w:lvlText w:val="（%1）"/>
      <w:lvlJc w:val="left"/>
      <w:rPr>
        <w:rFonts w:hint="eastAsia"/>
      </w:rPr>
    </w:lvl>
  </w:abstractNum>
  <w:abstractNum w:abstractNumId="1">
    <w:nsid w:val="F15EE439"/>
    <w:multiLevelType w:val="singleLevel"/>
    <w:tmpl w:val="F15EE439"/>
    <w:lvl w:ilvl="0" w:tentative="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9C53"/>
    <w:rsid w:val="05EF21A1"/>
    <w:rsid w:val="05F03837"/>
    <w:rsid w:val="0D775A2D"/>
    <w:rsid w:val="1A927ABA"/>
    <w:rsid w:val="1DF73DB0"/>
    <w:rsid w:val="27D8770A"/>
    <w:rsid w:val="2A3A46D1"/>
    <w:rsid w:val="30B61724"/>
    <w:rsid w:val="317E6691"/>
    <w:rsid w:val="379D86E0"/>
    <w:rsid w:val="38784E8A"/>
    <w:rsid w:val="47549769"/>
    <w:rsid w:val="47FF014C"/>
    <w:rsid w:val="4FAB1E47"/>
    <w:rsid w:val="50F96FFC"/>
    <w:rsid w:val="5178776B"/>
    <w:rsid w:val="56B50C7C"/>
    <w:rsid w:val="5B5B0767"/>
    <w:rsid w:val="5C59054A"/>
    <w:rsid w:val="5DDDCDBF"/>
    <w:rsid w:val="5EBB1D95"/>
    <w:rsid w:val="5EECB9D5"/>
    <w:rsid w:val="5F5B93D8"/>
    <w:rsid w:val="627D0275"/>
    <w:rsid w:val="667F5CD4"/>
    <w:rsid w:val="69F57042"/>
    <w:rsid w:val="6C954F2D"/>
    <w:rsid w:val="70335974"/>
    <w:rsid w:val="73D21956"/>
    <w:rsid w:val="7DAE4844"/>
    <w:rsid w:val="BA7B23C6"/>
    <w:rsid w:val="BF3FD328"/>
    <w:rsid w:val="DBDF9C53"/>
    <w:rsid w:val="F65FEB46"/>
    <w:rsid w:val="FBEEFE7F"/>
    <w:rsid w:val="FE734873"/>
    <w:rsid w:val="FFB7C97D"/>
    <w:rsid w:val="FFF7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rFonts w:ascii="仿宋_GB2312" w:hAnsi="Times New Roman" w:eastAsia="仿宋_GB2312"/>
      <w:sz w:val="32"/>
      <w:szCs w:val="20"/>
    </w:rPr>
  </w:style>
  <w:style w:type="paragraph" w:styleId="4">
    <w:name w:val="Normal Indent"/>
    <w:basedOn w:val="1"/>
    <w:unhideWhenUsed/>
    <w:qFormat/>
    <w:uiPriority w:val="99"/>
    <w:pPr>
      <w:ind w:firstLine="420" w:firstLineChars="200"/>
    </w:pPr>
    <w:rPr>
      <w:rFonts w:eastAsia="仿宋"/>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5"/>
    <w:basedOn w:val="1"/>
    <w:qFormat/>
    <w:uiPriority w:val="0"/>
    <w:pPr>
      <w:ind w:firstLine="200" w:firstLineChars="200"/>
    </w:pPr>
    <w:rPr>
      <w:sz w:val="24"/>
    </w:rPr>
  </w:style>
  <w:style w:type="paragraph" w:customStyle="1" w:styleId="10">
    <w:name w:val="Table Paragraph"/>
    <w:basedOn w:val="1"/>
    <w:qFormat/>
    <w:uiPriority w:val="0"/>
    <w:pPr>
      <w:jc w:val="left"/>
    </w:pPr>
    <w:rPr>
      <w:rFonts w:ascii="Calibri" w:hAnsi="Calibri" w:eastAsia="宋体"/>
      <w:kern w:val="0"/>
      <w:sz w:val="22"/>
      <w:szCs w:val="22"/>
      <w:lang w:eastAsia="en-US"/>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01"/>
    <w:basedOn w:val="8"/>
    <w:qFormat/>
    <w:uiPriority w:val="0"/>
    <w:rPr>
      <w:rFonts w:hint="eastAsia" w:ascii="宋体" w:hAnsi="宋体" w:eastAsia="宋体" w:cs="宋体"/>
      <w:b/>
      <w:color w:val="000000"/>
      <w:sz w:val="28"/>
      <w:szCs w:val="28"/>
      <w:u w:val="none"/>
    </w:rPr>
  </w:style>
  <w:style w:type="character" w:customStyle="1" w:styleId="13">
    <w:name w:val="font3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19516</Words>
  <Characters>19673</Characters>
  <Lines>0</Lines>
  <Paragraphs>0</Paragraphs>
  <TotalTime>4</TotalTime>
  <ScaleCrop>false</ScaleCrop>
  <LinksUpToDate>false</LinksUpToDate>
  <CharactersWithSpaces>19826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2025-02-14T01:35:00Z</dcterms:created>
  <dc:creator>kylin</dc:creator>
  <cp:lastModifiedBy>小五</cp:lastModifiedBy>
  <cp:lastPrinted>2025-02-15T00:42:00Z</cp:lastPrinted>
  <dcterms:modified xsi:type="dcterms:W3CDTF">2025-04-03T06:41:19Z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eyJoZGlkIjoiMGFlM2NhMjJiN2EzZGMzNzA0YzA0ZmY0NDczNjUyNGQiLCJ1c2VySWQiOiI1MTI2MTczMjUifQ==</vt:lpwstr>
  </property>
  <property fmtid="{D5CDD505-2E9C-101B-9397-08002B2CF9AE}" pid="4" name="ICV">
    <vt:lpwstr>793C25C24E9A40C2933013CC33F78418_13</vt:lpwstr>
  </property>
</Properties>
</file>