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96225">
      <w:pPr>
        <w:pStyle w:val="7"/>
        <w:jc w:val="left"/>
        <w:rPr>
          <w:rFonts w:ascii="方正公文小标宋" w:eastAsia="方正公文小标宋"/>
          <w:b w:val="0"/>
          <w:sz w:val="84"/>
          <w:szCs w:val="84"/>
          <w:lang w:eastAsia="zh-CN"/>
        </w:rPr>
      </w:pPr>
    </w:p>
    <w:p w14:paraId="4B37175A">
      <w:pPr>
        <w:pStyle w:val="7"/>
        <w:jc w:val="left"/>
        <w:rPr>
          <w:rFonts w:ascii="方正公文小标宋" w:eastAsia="方正公文小标宋"/>
          <w:b w:val="0"/>
          <w:sz w:val="84"/>
          <w:szCs w:val="84"/>
          <w:lang w:eastAsia="zh-CN"/>
        </w:rPr>
      </w:pPr>
    </w:p>
    <w:p w14:paraId="79B52E5E">
      <w:pPr>
        <w:adjustRightInd/>
        <w:snapToGrid/>
        <w:spacing w:before="0" w:beforeLines="0" w:after="0" w:afterLines="0"/>
        <w:jc w:val="center"/>
        <w:rPr>
          <w:rFonts w:hint="eastAsia" w:ascii="Times New Roman" w:hAnsi="方正公文小标宋" w:eastAsia="方正公文小标宋"/>
          <w:snapToGrid/>
          <w:color w:val="auto"/>
          <w:kern w:val="0"/>
          <w:sz w:val="84"/>
          <w:szCs w:val="84"/>
        </w:rPr>
      </w:pPr>
      <w:r>
        <w:rPr>
          <w:rFonts w:hint="eastAsia" w:ascii="Times New Roman" w:hAnsi="方正公文小标宋" w:eastAsia="方正公文小标宋"/>
          <w:snapToGrid/>
          <w:color w:val="auto"/>
          <w:kern w:val="0"/>
          <w:sz w:val="84"/>
          <w:szCs w:val="84"/>
        </w:rPr>
        <w:t>湖南省益阳市安</w:t>
      </w:r>
      <w:r>
        <w:rPr>
          <w:rFonts w:hint="eastAsia" w:ascii="Times New Roman" w:hAnsi="方正公文小标宋" w:eastAsia="方正公文小标宋"/>
          <w:snapToGrid/>
          <w:kern w:val="0"/>
          <w:sz w:val="84"/>
          <w:szCs w:val="84"/>
        </w:rPr>
        <w:t>化县</w:t>
      </w:r>
      <w:r>
        <w:rPr>
          <w:rFonts w:hint="eastAsia" w:ascii="Times New Roman" w:hAnsi="方正公文小标宋" w:eastAsia="方正公文小标宋"/>
          <w:snapToGrid/>
          <w:kern w:val="0"/>
          <w:sz w:val="84"/>
          <w:szCs w:val="84"/>
          <w:lang w:eastAsia="zh-CN"/>
        </w:rPr>
        <w:t>滔</w:t>
      </w:r>
      <w:r>
        <w:rPr>
          <w:rFonts w:hint="eastAsia" w:ascii="Times New Roman" w:hAnsi="方正公文小标宋" w:eastAsia="方正公文小标宋"/>
          <w:snapToGrid/>
          <w:kern w:val="0"/>
          <w:sz w:val="84"/>
          <w:szCs w:val="84"/>
        </w:rPr>
        <w:t>溪</w:t>
      </w:r>
      <w:r>
        <w:rPr>
          <w:rFonts w:hint="eastAsia" w:ascii="Times New Roman" w:hAnsi="方正公文小标宋" w:eastAsia="方正公文小标宋"/>
          <w:snapToGrid/>
          <w:color w:val="auto"/>
          <w:kern w:val="0"/>
          <w:sz w:val="84"/>
          <w:szCs w:val="84"/>
        </w:rPr>
        <w:t>镇履行</w:t>
      </w:r>
    </w:p>
    <w:p w14:paraId="556779F9">
      <w:pPr>
        <w:adjustRightInd/>
        <w:snapToGrid/>
        <w:spacing w:before="0" w:beforeLines="0" w:after="0" w:afterLines="0"/>
        <w:jc w:val="center"/>
        <w:rPr>
          <w:rFonts w:hint="eastAsia" w:ascii="Times New Roman" w:hAnsi="方正公文小标宋" w:eastAsia="方正公文小标宋"/>
          <w:snapToGrid/>
          <w:color w:val="auto"/>
          <w:kern w:val="0"/>
          <w:sz w:val="84"/>
          <w:szCs w:val="84"/>
        </w:rPr>
      </w:pPr>
      <w:r>
        <w:rPr>
          <w:rFonts w:hint="eastAsia" w:ascii="Times New Roman" w:hAnsi="方正公文小标宋" w:eastAsia="方正公文小标宋"/>
          <w:snapToGrid/>
          <w:color w:val="auto"/>
          <w:kern w:val="0"/>
          <w:sz w:val="84"/>
          <w:szCs w:val="84"/>
        </w:rPr>
        <w:t>职责事项清单</w:t>
      </w:r>
    </w:p>
    <w:p w14:paraId="5E641074">
      <w:pPr>
        <w:rPr>
          <w:rFonts w:ascii="方正公文小标宋" w:eastAsia="方正公文小标宋"/>
          <w:sz w:val="84"/>
          <w:szCs w:val="84"/>
          <w:lang w:eastAsia="zh-CN"/>
        </w:rPr>
      </w:pPr>
    </w:p>
    <w:p w14:paraId="4AB9B067">
      <w:pPr>
        <w:rPr>
          <w:rFonts w:ascii="方正公文小标宋" w:eastAsia="方正公文小标宋"/>
          <w:sz w:val="84"/>
          <w:szCs w:val="84"/>
          <w:lang w:eastAsia="zh-CN"/>
        </w:rPr>
      </w:pPr>
    </w:p>
    <w:p w14:paraId="2657FE65">
      <w:pPr>
        <w:pStyle w:val="19"/>
        <w:jc w:val="center"/>
        <w:rPr>
          <w:rFonts w:ascii="Times New Roman" w:hAnsi="Times New Roman" w:eastAsia="Arial" w:cs="Times New Roman"/>
          <w:snapToGrid w:val="0"/>
          <w:color w:val="000000"/>
          <w:sz w:val="21"/>
          <w:szCs w:val="21"/>
          <w:lang w:val="zh-CN" w:eastAsia="en-US"/>
        </w:rPr>
        <w:sectPr>
          <w:footerReference r:id="rId3" w:type="default"/>
          <w:pgSz w:w="16837" w:h="11905" w:orient="landscape"/>
          <w:pgMar w:top="1418" w:right="1418" w:bottom="1418" w:left="1418" w:header="851" w:footer="907" w:gutter="0"/>
          <w:pgNumType w:fmt="decimal" w:start="1"/>
          <w:cols w:space="720" w:num="1"/>
          <w:docGrid w:linePitch="312" w:charSpace="0"/>
        </w:sectPr>
      </w:pPr>
    </w:p>
    <w:sdt>
      <w:sdtPr>
        <w:rPr>
          <w:rFonts w:ascii="宋体" w:hAnsi="宋体" w:eastAsia="宋体" w:cs="Arial"/>
          <w:snapToGrid w:val="0"/>
          <w:color w:val="000000"/>
          <w:kern w:val="0"/>
          <w:sz w:val="21"/>
          <w:szCs w:val="21"/>
          <w:lang w:val="en-US" w:eastAsia="en-US" w:bidi="ar-SA"/>
        </w:rPr>
        <w:id w:val="147471627"/>
        <w15:color w:val="DBDBDB"/>
        <w:docPartObj>
          <w:docPartGallery w:val="Table of Contents"/>
          <w:docPartUnique/>
        </w:docPartObj>
      </w:sdtPr>
      <w:sdtEndPr>
        <w:rPr>
          <w:rFonts w:hint="default" w:ascii="Times New Roman" w:hAnsi="Times New Roman" w:eastAsia="方正小标宋_GBK" w:cs="Times New Roman"/>
          <w:b/>
          <w:snapToGrid w:val="0"/>
          <w:color w:val="auto"/>
          <w:spacing w:val="7"/>
          <w:kern w:val="0"/>
          <w:sz w:val="32"/>
          <w:szCs w:val="44"/>
          <w:lang w:val="en-US" w:eastAsia="zh-CN" w:bidi="ar-SA"/>
        </w:rPr>
      </w:sdtEndPr>
      <w:sdtContent>
        <w:p w14:paraId="199E6880">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目录</w:t>
          </w:r>
        </w:p>
        <w:p w14:paraId="134C91CC">
          <w:pPr>
            <w:pStyle w:val="6"/>
            <w:tabs>
              <w:tab w:val="left" w:pos="327"/>
              <w:tab w:val="right" w:leader="dot" w:pos="14001"/>
            </w:tabs>
            <w:jc w:val="both"/>
          </w:pPr>
          <w:r>
            <w:rPr>
              <w:rFonts w:hint="default" w:ascii="Times New Roman" w:hAnsi="Times New Roman" w:eastAsia="方正小标宋_GBK" w:cs="Times New Roman"/>
              <w:color w:val="auto"/>
              <w:spacing w:val="7"/>
              <w:sz w:val="44"/>
              <w:szCs w:val="44"/>
              <w:lang w:val="en-US" w:eastAsia="zh-CN"/>
            </w:rPr>
            <w:fldChar w:fldCharType="begin"/>
          </w:r>
          <w:r>
            <w:rPr>
              <w:rFonts w:hint="default" w:ascii="Times New Roman" w:hAnsi="Times New Roman" w:eastAsia="方正小标宋_GBK" w:cs="Times New Roman"/>
              <w:color w:val="auto"/>
              <w:spacing w:val="7"/>
              <w:sz w:val="44"/>
              <w:szCs w:val="44"/>
              <w:lang w:val="en-US" w:eastAsia="zh-CN"/>
            </w:rPr>
            <w:instrText xml:space="preserve">TOC \o "1-1" \h \u </w:instrText>
          </w:r>
          <w:r>
            <w:rPr>
              <w:rFonts w:hint="default" w:ascii="Times New Roman" w:hAnsi="Times New Roman" w:eastAsia="方正小标宋_GBK" w:cs="Times New Roman"/>
              <w:color w:val="auto"/>
              <w:spacing w:val="7"/>
              <w:sz w:val="44"/>
              <w:szCs w:val="44"/>
              <w:lang w:val="en-US" w:eastAsia="zh-CN"/>
            </w:rPr>
            <w:fldChar w:fldCharType="separate"/>
          </w:r>
          <w:r>
            <w:rPr>
              <w:rFonts w:hint="default" w:ascii="Times New Roman" w:hAnsi="Times New Roman" w:eastAsia="方正小标宋_GBK" w:cs="Times New Roman"/>
              <w:color w:val="auto"/>
              <w:spacing w:val="7"/>
              <w:szCs w:val="44"/>
              <w:lang w:val="en-US" w:eastAsia="zh-CN"/>
            </w:rPr>
            <w:fldChar w:fldCharType="begin"/>
          </w:r>
          <w:r>
            <w:rPr>
              <w:rFonts w:hint="default" w:ascii="Times New Roman" w:hAnsi="Times New Roman" w:eastAsia="方正小标宋_GBK" w:cs="Times New Roman"/>
              <w:spacing w:val="7"/>
              <w:szCs w:val="44"/>
              <w:lang w:val="en-US" w:eastAsia="zh-CN"/>
            </w:rPr>
            <w:instrText xml:space="preserve"> HYPERLINK \l _Toc18828 </w:instrText>
          </w:r>
          <w:r>
            <w:rPr>
              <w:rFonts w:hint="default" w:ascii="Times New Roman" w:hAnsi="Times New Roman" w:eastAsia="方正小标宋_GBK" w:cs="Times New Roman"/>
              <w:spacing w:val="7"/>
              <w:szCs w:val="44"/>
              <w:lang w:val="en-US"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rPr>
              <w:rFonts w:hint="eastAsia"/>
              <w:lang w:val="en-US" w:eastAsia="zh-CN"/>
            </w:rPr>
            <w:t>1</w:t>
          </w:r>
          <w:r>
            <w:rPr>
              <w:rFonts w:hint="default" w:ascii="Times New Roman" w:hAnsi="Times New Roman" w:eastAsia="方正小标宋_GBK" w:cs="Times New Roman"/>
              <w:color w:val="auto"/>
              <w:spacing w:val="7"/>
              <w:szCs w:val="44"/>
              <w:lang w:val="en-US" w:eastAsia="zh-CN"/>
            </w:rPr>
            <w:fldChar w:fldCharType="end"/>
          </w:r>
        </w:p>
        <w:p w14:paraId="33FECE0C">
          <w:pPr>
            <w:pStyle w:val="6"/>
            <w:tabs>
              <w:tab w:val="left" w:pos="286"/>
              <w:tab w:val="right" w:leader="dot" w:pos="14001"/>
            </w:tabs>
          </w:pPr>
          <w:r>
            <w:rPr>
              <w:rFonts w:hint="default" w:ascii="Times New Roman" w:hAnsi="Times New Roman" w:eastAsia="方正小标宋_GBK" w:cs="Times New Roman"/>
              <w:color w:val="auto"/>
              <w:spacing w:val="7"/>
              <w:szCs w:val="44"/>
              <w:lang w:val="en-US" w:eastAsia="zh-CN"/>
            </w:rPr>
            <w:fldChar w:fldCharType="begin"/>
          </w:r>
          <w:r>
            <w:rPr>
              <w:rFonts w:hint="default" w:ascii="Times New Roman" w:hAnsi="Times New Roman" w:eastAsia="方正小标宋_GBK" w:cs="Times New Roman"/>
              <w:spacing w:val="7"/>
              <w:szCs w:val="44"/>
              <w:lang w:val="en-US" w:eastAsia="zh-CN"/>
            </w:rPr>
            <w:instrText xml:space="preserve"> HYPERLINK \l _Toc10751 </w:instrText>
          </w:r>
          <w:r>
            <w:rPr>
              <w:rFonts w:hint="default" w:ascii="Times New Roman" w:hAnsi="Times New Roman" w:eastAsia="方正小标宋_GBK" w:cs="Times New Roman"/>
              <w:spacing w:val="7"/>
              <w:szCs w:val="44"/>
              <w:lang w:val="en-US"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_Toc10751 \h </w:instrText>
          </w:r>
          <w:r>
            <w:fldChar w:fldCharType="separate"/>
          </w:r>
          <w:r>
            <w:t>13</w:t>
          </w:r>
          <w:r>
            <w:fldChar w:fldCharType="end"/>
          </w:r>
          <w:r>
            <w:rPr>
              <w:rFonts w:hint="default" w:ascii="Times New Roman" w:hAnsi="Times New Roman" w:eastAsia="方正小标宋_GBK" w:cs="Times New Roman"/>
              <w:color w:val="auto"/>
              <w:spacing w:val="7"/>
              <w:szCs w:val="44"/>
              <w:lang w:val="en-US" w:eastAsia="zh-CN"/>
            </w:rPr>
            <w:fldChar w:fldCharType="end"/>
          </w:r>
        </w:p>
        <w:p w14:paraId="15A5E556">
          <w:pPr>
            <w:pStyle w:val="6"/>
            <w:tabs>
              <w:tab w:val="left" w:pos="299"/>
              <w:tab w:val="left" w:pos="409"/>
              <w:tab w:val="right" w:leader="dot" w:pos="14001"/>
            </w:tabs>
          </w:pPr>
          <w:r>
            <w:rPr>
              <w:rFonts w:hint="default" w:ascii="Times New Roman" w:hAnsi="Times New Roman" w:eastAsia="方正小标宋_GBK" w:cs="Times New Roman"/>
              <w:color w:val="auto"/>
              <w:spacing w:val="7"/>
              <w:szCs w:val="44"/>
              <w:lang w:val="en-US" w:eastAsia="zh-CN"/>
            </w:rPr>
            <w:fldChar w:fldCharType="begin"/>
          </w:r>
          <w:r>
            <w:rPr>
              <w:rFonts w:hint="default" w:ascii="Times New Roman" w:hAnsi="Times New Roman" w:eastAsia="方正小标宋_GBK" w:cs="Times New Roman"/>
              <w:spacing w:val="7"/>
              <w:szCs w:val="44"/>
              <w:lang w:val="en-US" w:eastAsia="zh-CN"/>
            </w:rPr>
            <w:instrText xml:space="preserve"> HYPERLINK \l _Toc9372 </w:instrText>
          </w:r>
          <w:r>
            <w:rPr>
              <w:rFonts w:hint="default" w:ascii="Times New Roman" w:hAnsi="Times New Roman" w:eastAsia="方正小标宋_GBK" w:cs="Times New Roman"/>
              <w:spacing w:val="7"/>
              <w:szCs w:val="44"/>
              <w:lang w:val="en-US"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_Toc9372 \h </w:instrText>
          </w:r>
          <w:r>
            <w:fldChar w:fldCharType="separate"/>
          </w:r>
          <w:r>
            <w:t>50</w:t>
          </w:r>
          <w:r>
            <w:fldChar w:fldCharType="end"/>
          </w:r>
          <w:r>
            <w:rPr>
              <w:rFonts w:hint="default" w:ascii="Times New Roman" w:hAnsi="Times New Roman" w:eastAsia="方正小标宋_GBK" w:cs="Times New Roman"/>
              <w:color w:val="auto"/>
              <w:spacing w:val="7"/>
              <w:szCs w:val="44"/>
              <w:lang w:val="en-US" w:eastAsia="zh-CN"/>
            </w:rPr>
            <w:fldChar w:fldCharType="end"/>
          </w:r>
        </w:p>
        <w:p w14:paraId="536950D4">
          <w:pPr>
            <w:pStyle w:val="7"/>
            <w:jc w:val="both"/>
            <w:rPr>
              <w:rFonts w:hint="default" w:ascii="Times New Roman" w:hAnsi="Times New Roman" w:eastAsia="方正小标宋_GBK" w:cs="Times New Roman"/>
              <w:b/>
              <w:snapToGrid w:val="0"/>
              <w:color w:val="auto"/>
              <w:spacing w:val="7"/>
              <w:kern w:val="0"/>
              <w:sz w:val="32"/>
              <w:szCs w:val="44"/>
              <w:lang w:val="en-US" w:eastAsia="zh-CN" w:bidi="ar-SA"/>
            </w:rPr>
          </w:pPr>
          <w:r>
            <w:rPr>
              <w:rFonts w:hint="default" w:ascii="Times New Roman" w:hAnsi="Times New Roman" w:eastAsia="方正小标宋_GBK" w:cs="Times New Roman"/>
              <w:color w:val="auto"/>
              <w:spacing w:val="7"/>
              <w:szCs w:val="44"/>
              <w:lang w:val="en-US" w:eastAsia="zh-CN"/>
            </w:rPr>
            <w:fldChar w:fldCharType="end"/>
          </w:r>
        </w:p>
      </w:sdtContent>
    </w:sdt>
    <w:p w14:paraId="36896E71">
      <w:pPr>
        <w:rPr>
          <w:rFonts w:hint="default"/>
          <w:lang w:val="en-US" w:eastAsia="zh-CN"/>
        </w:rPr>
      </w:pPr>
    </w:p>
    <w:p w14:paraId="4A7DCF33">
      <w:pPr>
        <w:bidi w:val="0"/>
        <w:rPr>
          <w:rStyle w:val="11"/>
          <w:rFonts w:hint="eastAsia" w:ascii="Times New Roman" w:hAnsi="Times New Roman" w:eastAsia="方正公文小标宋" w:cs="Times New Roman"/>
          <w:color w:val="auto"/>
          <w:sz w:val="32"/>
          <w:u w:val="none"/>
          <w:lang w:eastAsia="zh-CN"/>
        </w:rPr>
      </w:pPr>
    </w:p>
    <w:p w14:paraId="2197B015">
      <w:pPr>
        <w:tabs>
          <w:tab w:val="left" w:pos="2578"/>
        </w:tabs>
        <w:bidi w:val="0"/>
        <w:rPr>
          <w:rStyle w:val="11"/>
          <w:rFonts w:hint="eastAsia" w:ascii="Times New Roman" w:hAnsi="Times New Roman" w:eastAsia="方正公文小标宋" w:cs="Times New Roman"/>
          <w:color w:val="auto"/>
          <w:sz w:val="32"/>
          <w:u w:val="none"/>
          <w:lang w:eastAsia="zh-CN"/>
        </w:rPr>
      </w:pPr>
      <w:r>
        <w:rPr>
          <w:rStyle w:val="11"/>
          <w:rFonts w:hint="eastAsia" w:ascii="Times New Roman" w:hAnsi="Times New Roman" w:eastAsia="方正公文小标宋" w:cs="Times New Roman"/>
          <w:color w:val="auto"/>
          <w:sz w:val="32"/>
          <w:u w:val="none"/>
          <w:lang w:eastAsia="zh-CN"/>
        </w:rPr>
        <w:tab/>
      </w:r>
    </w:p>
    <w:p w14:paraId="6F676C94">
      <w:pPr>
        <w:bidi w:val="0"/>
        <w:rPr>
          <w:rStyle w:val="11"/>
          <w:rFonts w:hint="eastAsia" w:ascii="Times New Roman" w:hAnsi="Times New Roman" w:eastAsia="方正公文小标宋" w:cs="Times New Roman"/>
          <w:color w:val="auto"/>
          <w:sz w:val="32"/>
          <w:u w:val="none"/>
          <w:lang w:eastAsia="zh-CN"/>
        </w:rPr>
      </w:pPr>
    </w:p>
    <w:p w14:paraId="117E9B83">
      <w:pPr>
        <w:bidi w:val="0"/>
        <w:rPr>
          <w:rStyle w:val="11"/>
          <w:rFonts w:hint="eastAsia" w:ascii="Times New Roman" w:hAnsi="Times New Roman" w:eastAsia="方正公文小标宋" w:cs="Times New Roman"/>
          <w:color w:val="auto"/>
          <w:sz w:val="32"/>
          <w:u w:val="none"/>
          <w:lang w:eastAsia="zh-CN"/>
        </w:rPr>
      </w:pPr>
    </w:p>
    <w:p w14:paraId="7CF5664B">
      <w:pPr>
        <w:bidi w:val="0"/>
        <w:rPr>
          <w:rStyle w:val="11"/>
          <w:rFonts w:hint="eastAsia" w:ascii="Times New Roman" w:hAnsi="Times New Roman" w:eastAsia="方正公文小标宋" w:cs="Times New Roman"/>
          <w:color w:val="auto"/>
          <w:sz w:val="32"/>
          <w:u w:val="none"/>
          <w:lang w:eastAsia="zh-CN"/>
        </w:rPr>
      </w:pPr>
    </w:p>
    <w:p w14:paraId="0A58F902">
      <w:pPr>
        <w:bidi w:val="0"/>
        <w:rPr>
          <w:rStyle w:val="11"/>
          <w:rFonts w:hint="eastAsia" w:ascii="Times New Roman" w:hAnsi="Times New Roman" w:eastAsia="方正公文小标宋" w:cs="Times New Roman"/>
          <w:color w:val="auto"/>
          <w:sz w:val="32"/>
          <w:u w:val="none"/>
          <w:lang w:eastAsia="zh-CN"/>
        </w:rPr>
      </w:pPr>
    </w:p>
    <w:p w14:paraId="6DCA7178">
      <w:pPr>
        <w:bidi w:val="0"/>
        <w:rPr>
          <w:rStyle w:val="11"/>
          <w:rFonts w:hint="eastAsia" w:ascii="Times New Roman" w:hAnsi="Times New Roman" w:eastAsia="方正公文小标宋" w:cs="Times New Roman"/>
          <w:color w:val="auto"/>
          <w:sz w:val="32"/>
          <w:u w:val="none"/>
          <w:lang w:eastAsia="zh-CN"/>
        </w:rPr>
      </w:pPr>
    </w:p>
    <w:p w14:paraId="0E3A65CC">
      <w:pPr>
        <w:bidi w:val="0"/>
        <w:rPr>
          <w:rStyle w:val="11"/>
          <w:rFonts w:hint="eastAsia" w:ascii="Times New Roman" w:hAnsi="Times New Roman" w:eastAsia="方正公文小标宋" w:cs="Times New Roman"/>
          <w:color w:val="auto"/>
          <w:sz w:val="32"/>
          <w:u w:val="none"/>
          <w:lang w:eastAsia="zh-CN"/>
        </w:rPr>
      </w:pPr>
    </w:p>
    <w:p w14:paraId="5245E74E">
      <w:pPr>
        <w:bidi w:val="0"/>
        <w:rPr>
          <w:rStyle w:val="11"/>
          <w:rFonts w:hint="eastAsia" w:ascii="Times New Roman" w:hAnsi="Times New Roman" w:eastAsia="方正公文小标宋" w:cs="Times New Roman"/>
          <w:color w:val="auto"/>
          <w:sz w:val="32"/>
          <w:u w:val="none"/>
          <w:lang w:eastAsia="zh-CN"/>
        </w:rPr>
      </w:pPr>
    </w:p>
    <w:p w14:paraId="58D92304">
      <w:pPr>
        <w:bidi w:val="0"/>
        <w:rPr>
          <w:rStyle w:val="11"/>
          <w:rFonts w:hint="eastAsia" w:ascii="Times New Roman" w:hAnsi="Times New Roman" w:eastAsia="方正公文小标宋" w:cs="Times New Roman"/>
          <w:color w:val="auto"/>
          <w:sz w:val="32"/>
          <w:u w:val="none"/>
          <w:lang w:eastAsia="zh-CN"/>
        </w:rPr>
      </w:pPr>
    </w:p>
    <w:p w14:paraId="54F72336">
      <w:pPr>
        <w:bidi w:val="0"/>
        <w:rPr>
          <w:rStyle w:val="11"/>
          <w:rFonts w:hint="eastAsia" w:ascii="Times New Roman" w:hAnsi="Times New Roman" w:eastAsia="方正公文小标宋" w:cs="Times New Roman"/>
          <w:color w:val="auto"/>
          <w:sz w:val="32"/>
          <w:u w:val="none"/>
          <w:lang w:eastAsia="zh-CN"/>
        </w:rPr>
      </w:pPr>
    </w:p>
    <w:p w14:paraId="7298D12C">
      <w:pPr>
        <w:bidi w:val="0"/>
        <w:rPr>
          <w:rStyle w:val="11"/>
          <w:rFonts w:hint="eastAsia" w:ascii="Times New Roman" w:hAnsi="Times New Roman" w:eastAsia="方正公文小标宋" w:cs="Times New Roman"/>
          <w:color w:val="auto"/>
          <w:sz w:val="32"/>
          <w:u w:val="none"/>
          <w:lang w:eastAsia="zh-CN"/>
        </w:rPr>
      </w:pPr>
    </w:p>
    <w:p w14:paraId="07499DB5">
      <w:pPr>
        <w:bidi w:val="0"/>
        <w:rPr>
          <w:rStyle w:val="11"/>
          <w:rFonts w:hint="eastAsia" w:ascii="Times New Roman" w:hAnsi="Times New Roman" w:eastAsia="方正公文小标宋" w:cs="Times New Roman"/>
          <w:color w:val="auto"/>
          <w:sz w:val="32"/>
          <w:u w:val="none"/>
          <w:lang w:eastAsia="zh-CN"/>
        </w:rPr>
      </w:pPr>
    </w:p>
    <w:p w14:paraId="751C0836">
      <w:pPr>
        <w:bidi w:val="0"/>
        <w:rPr>
          <w:rStyle w:val="11"/>
          <w:rFonts w:hint="eastAsia" w:ascii="Times New Roman" w:hAnsi="Times New Roman" w:eastAsia="方正公文小标宋" w:cs="Times New Roman"/>
          <w:color w:val="auto"/>
          <w:sz w:val="32"/>
          <w:u w:val="none"/>
          <w:lang w:eastAsia="zh-CN"/>
        </w:rPr>
      </w:pPr>
    </w:p>
    <w:p w14:paraId="1D38ABE9">
      <w:pPr>
        <w:tabs>
          <w:tab w:val="center" w:pos="7000"/>
        </w:tabs>
        <w:bidi w:val="0"/>
        <w:jc w:val="left"/>
        <w:rPr>
          <w:rStyle w:val="11"/>
          <w:rFonts w:hint="default" w:ascii="Times New Roman" w:hAnsi="Times New Roman" w:eastAsia="方正公文小标宋" w:cs="Times New Roman"/>
          <w:color w:val="auto"/>
          <w:sz w:val="32"/>
          <w:u w:val="none"/>
          <w:lang w:val="en-US" w:eastAsia="zh-CN"/>
        </w:rPr>
        <w:sectPr>
          <w:footerReference r:id="rId4" w:type="default"/>
          <w:pgSz w:w="16837" w:h="11905" w:orient="landscape"/>
          <w:pgMar w:top="1418" w:right="1418" w:bottom="1418" w:left="1418" w:header="851" w:footer="907" w:gutter="0"/>
          <w:pgNumType w:fmt="decimal" w:start="1"/>
          <w:cols w:space="720" w:num="1"/>
          <w:docGrid w:linePitch="312" w:charSpace="0"/>
        </w:sectPr>
      </w:pPr>
      <w:r>
        <w:rPr>
          <w:rStyle w:val="11"/>
          <w:rFonts w:hint="eastAsia" w:ascii="Times New Roman" w:hAnsi="Times New Roman" w:eastAsia="方正公文小标宋" w:cs="Times New Roman"/>
          <w:color w:val="auto"/>
          <w:sz w:val="32"/>
          <w:u w:val="none"/>
          <w:lang w:eastAsia="zh-CN"/>
        </w:rPr>
        <w:tab/>
      </w:r>
    </w:p>
    <w:p w14:paraId="5116AE68">
      <w:pPr>
        <w:pStyle w:val="2"/>
        <w:spacing w:before="0" w:after="0" w:line="240" w:lineRule="auto"/>
        <w:jc w:val="center"/>
        <w:rPr>
          <w:rFonts w:ascii="Times New Roman" w:hAnsi="Times New Roman" w:eastAsia="方正公文小标宋" w:cs="Times New Roman"/>
          <w:b w:val="0"/>
          <w:color w:val="auto"/>
          <w:spacing w:val="7"/>
          <w:lang w:eastAsia="zh-CN"/>
        </w:rPr>
      </w:pPr>
      <w:bookmarkStart w:id="0" w:name="_Toc18828"/>
      <w:bookmarkStart w:id="1" w:name="_Toc172077551"/>
      <w:bookmarkStart w:id="2" w:name="_Toc172077949"/>
      <w:bookmarkStart w:id="3"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5F7364E9">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F5DA">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96687">
            <w:pPr>
              <w:jc w:val="center"/>
              <w:textAlignment w:val="center"/>
              <w:rPr>
                <w:rFonts w:ascii="Times New Roman" w:hAnsi="Times New Roman" w:eastAsia="方正公文黑体"/>
                <w:color w:val="auto"/>
                <w:lang w:eastAsia="zh-CN"/>
              </w:rPr>
            </w:pPr>
            <w:r>
              <w:rPr>
                <w:rFonts w:hint="eastAsia" w:ascii="Times New Roman" w:hAnsi="Times New Roman" w:eastAsia="方正公文黑体"/>
                <w:color w:val="auto"/>
                <w:lang w:eastAsia="zh-CN" w:bidi="ar"/>
              </w:rPr>
              <w:t>事项</w:t>
            </w:r>
            <w:r>
              <w:rPr>
                <w:rFonts w:ascii="Times New Roman" w:hAnsi="Times New Roman" w:eastAsia="方正公文黑体"/>
                <w:color w:val="auto"/>
                <w:lang w:eastAsia="zh-CN" w:bidi="ar"/>
              </w:rPr>
              <w:t>名称</w:t>
            </w:r>
          </w:p>
        </w:tc>
      </w:tr>
      <w:tr w14:paraId="050F02E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0DE42">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一、党的建设（27项）</w:t>
            </w:r>
          </w:p>
        </w:tc>
      </w:tr>
      <w:tr w14:paraId="176CC6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502F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D5FA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4BDA360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A0D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8C6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按照党中央部署开展党内集中学习教育，加强党的政治建设，深刻领悟“两个确立”的决定性意义，增强“四个意识”、坚定“四个自信”、做到“两个维护”。</w:t>
            </w:r>
          </w:p>
        </w:tc>
      </w:tr>
      <w:tr w14:paraId="3D665C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522E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0227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B37F70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37C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4D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34C87C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C25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D87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开展监督执纪执法，加强对遵守党章党规党纪、贯彻执行党的路线方针政策决议情况的监督检查，受理办理信访举报和问题线索。</w:t>
            </w:r>
          </w:p>
        </w:tc>
      </w:tr>
      <w:tr w14:paraId="49E44A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863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007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开展清廉安化建设，推进清廉机关、清廉社区、清廉乡村、清廉家庭建设。</w:t>
            </w:r>
          </w:p>
        </w:tc>
      </w:tr>
      <w:tr w14:paraId="46505D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CDF9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88BB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落实党建引领基层治理工作，做实片长、组长、邻长 “三长制”工作，推进基层减负赋能，提升基层治理效能。</w:t>
            </w:r>
          </w:p>
        </w:tc>
      </w:tr>
      <w:tr w14:paraId="1432035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CF7E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6F53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负责村（社区）党组织以及其他隶属镇党委的党组织建设，负责下辖基层党组织的成立、撤销、调整、换届等工作，做好软弱涣散党组织排查整顿工作。</w:t>
            </w:r>
          </w:p>
        </w:tc>
      </w:tr>
      <w:tr w14:paraId="7B13B8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CC14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4E5B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严格落实“三会一课”、主题党日等党内组织生活制度，抓好“双述双评”工作，深入开展党内关怀帮扶，统筹做好党内统计、党费收缴使用管理等工作。</w:t>
            </w:r>
          </w:p>
        </w:tc>
      </w:tr>
      <w:tr w14:paraId="0025CCF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CA50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D25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加强村（社区）干部队伍建设和教育培训，负责村级班子运行评估、后备力量培养储备，落实村（社区）干部、卸任村干部待遇发放、激励保障等工作。</w:t>
            </w:r>
          </w:p>
        </w:tc>
      </w:tr>
      <w:tr w14:paraId="75E412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0ABC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6ED4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加强党员队伍建设，做好党员发展、教育、管理、监督和服务工作，组织引导党员发挥先锋模范作用，依规审慎稳妥处置不合格党员。</w:t>
            </w:r>
          </w:p>
        </w:tc>
      </w:tr>
      <w:tr w14:paraId="237838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940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260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落实乡镇党员代表大会代表任期制，做好党代表换届选举工作，推动党代表履职尽责。</w:t>
            </w:r>
          </w:p>
        </w:tc>
      </w:tr>
      <w:tr w14:paraId="5B02714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C0EF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526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坚持党管人才工作制度，做好人才培养和服务工作。</w:t>
            </w:r>
          </w:p>
        </w:tc>
      </w:tr>
      <w:tr w14:paraId="292ECC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1A5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8C0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按照干部管理权限，做好干部日常管理、教育培训、考核监督、评先评优、待遇保障、队伍建设等工作。</w:t>
            </w:r>
          </w:p>
        </w:tc>
      </w:tr>
      <w:tr w14:paraId="5D444E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C62F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D0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负责离退休干部党的建设工作和服务管理工作。</w:t>
            </w:r>
          </w:p>
        </w:tc>
      </w:tr>
      <w:tr w14:paraId="59D693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104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D35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发挥老干部、老战士、老专家、老教师、老模范“五老”作用，做好关心下一代工作。</w:t>
            </w:r>
          </w:p>
        </w:tc>
      </w:tr>
      <w:tr w14:paraId="3FAEF2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018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2968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0A5DAC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FC7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0F3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负责党报党刊征订任务和理论书籍采购，组织开展学习活动。</w:t>
            </w:r>
          </w:p>
        </w:tc>
      </w:tr>
      <w:tr w14:paraId="594657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EF7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EF2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落实统战工作责任制，开展无党派人士、党外知识分子、非公有制经济人士、新的社会阶层人士、港澳台同胞、华侨归侨侨眷等统一战线工作对象的服务联络工作。</w:t>
            </w:r>
          </w:p>
        </w:tc>
      </w:tr>
      <w:tr w14:paraId="4B8D71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D07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63A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加强基层政权建设，建立健全村（居）民委员会、村（居）务监督委员会组织，支持保障依法开展自治活动，指导换届选举、补选工作，规范村（居）务公开。</w:t>
            </w:r>
          </w:p>
        </w:tc>
      </w:tr>
      <w:tr w14:paraId="02C92C8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07A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33FE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落实新兴领域党建工作要求，建立健全党建指导员联络制度，推动新兴领域党组织建设提质增效。</w:t>
            </w:r>
          </w:p>
        </w:tc>
      </w:tr>
      <w:tr w14:paraId="7035DBD5">
        <w:tblPrEx>
          <w:tblCellMar>
            <w:top w:w="0" w:type="dxa"/>
            <w:left w:w="108" w:type="dxa"/>
            <w:bottom w:w="0" w:type="dxa"/>
            <w:right w:w="108" w:type="dxa"/>
          </w:tblCellMar>
        </w:tblPrEx>
        <w:trPr>
          <w:cantSplit/>
          <w:trHeight w:val="9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206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4A4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4FC39E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08B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D36E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落实政治协商制度，负责委员工作室建设，定期开展委员履职活动，做好委员联络服务、宣传推介、提案办理工作。</w:t>
            </w:r>
          </w:p>
        </w:tc>
      </w:tr>
      <w:tr w14:paraId="06CA2A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31B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0BE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负责基层工会的组建，强化职工思想政治引领，引导职工建功立业，搞好职工维权服务。</w:t>
            </w:r>
          </w:p>
        </w:tc>
      </w:tr>
      <w:tr w14:paraId="3D860F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459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C8E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负责团员的发展教育、服务联系和日常管理等工作，加强基层团组织建设，服务青少年成长发展。</w:t>
            </w:r>
          </w:p>
        </w:tc>
      </w:tr>
      <w:tr w14:paraId="25CD8B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B20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1F9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负责妇联组织建设、管理、服务，开展家庭教育、关爱帮扶等工作，维护妇女儿童合法权益，促进妇女全面发展。</w:t>
            </w:r>
          </w:p>
        </w:tc>
      </w:tr>
      <w:tr w14:paraId="0F10B6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86F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11D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负责计生协组织建设工作，开展政策宣传服务工作，指导基层计生协组织履行职能。</w:t>
            </w:r>
          </w:p>
        </w:tc>
      </w:tr>
      <w:tr w14:paraId="7C90978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E9398">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二、经济发展（8项）</w:t>
            </w:r>
          </w:p>
        </w:tc>
      </w:tr>
      <w:tr w14:paraId="529F17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782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D17B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负责推动村级集体经济发展，指导制定村级集体经济“一村一策”规划，促进村级集体经济发展壮大。</w:t>
            </w:r>
          </w:p>
        </w:tc>
      </w:tr>
      <w:tr w14:paraId="561DA2B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CFD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FAC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优化营商环境，协助解决企业面临的水、电、路、网、气、地等方面的问题，调处涉企矛盾纠纷，积极开展代办事务，帮助对接市场，服务企业发展的项目建设。</w:t>
            </w:r>
          </w:p>
        </w:tc>
      </w:tr>
      <w:tr w14:paraId="7A59C1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97E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CBB8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推动滔溪镇文旅产业发展，打造百花寨特色文旅品牌，推进其他文旅产业项目建设。</w:t>
            </w:r>
          </w:p>
        </w:tc>
      </w:tr>
      <w:tr w14:paraId="385A30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B63B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BC60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做好争资立项、招商引资的政策宣传，负责项目招引，开展项目准入、落地、建设、投产等服务工作。</w:t>
            </w:r>
          </w:p>
        </w:tc>
      </w:tr>
      <w:tr w14:paraId="113DFA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F75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04A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负责编制并实施乡镇经济社会发展规划和年度计划。</w:t>
            </w:r>
          </w:p>
        </w:tc>
      </w:tr>
      <w:tr w14:paraId="1E1E87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47EC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58B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指导村级组织、村级集体经济组织资金、资产、资源“三资”监督管理，做好“村账镇代理”、农村经营管理信息化工作。</w:t>
            </w:r>
          </w:p>
        </w:tc>
      </w:tr>
      <w:tr w14:paraId="1D2E76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5165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B10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落实粮食安全责任制，稳定粮食播种面积，完成粮食生产目标任务。</w:t>
            </w:r>
          </w:p>
        </w:tc>
      </w:tr>
      <w:tr w14:paraId="3D02E1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22E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A3DA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推进统计基层基础规范化建设，开展常规统计调查工作，组织实施人口普查、经济普查、农业普查等重大国情国力调查工作，做好统计资料的归档管理。</w:t>
            </w:r>
          </w:p>
        </w:tc>
      </w:tr>
      <w:tr w14:paraId="5E42000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4203DE">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三、民生服务（14项）</w:t>
            </w:r>
          </w:p>
        </w:tc>
      </w:tr>
      <w:tr w14:paraId="7B2F1B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321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58D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摸排困难群众、特困人员、人均收入低于当地最低生活保障标准的家庭，按照规定给予最低生活保障。</w:t>
            </w:r>
          </w:p>
        </w:tc>
      </w:tr>
      <w:tr w14:paraId="578BE0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8452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41EE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针对突发事件、意外伤害、重大疾病或其他特殊原因导致基本生活陷入困境的对象，给予临时救助。</w:t>
            </w:r>
          </w:p>
        </w:tc>
      </w:tr>
      <w:tr w14:paraId="26D9B36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500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FEA5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为生活困难的精神障碍患者家庭提供帮助。</w:t>
            </w:r>
          </w:p>
        </w:tc>
      </w:tr>
      <w:tr w14:paraId="1B3AEF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B883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9D0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建立好独居、空巢、失能、重残特殊家庭老年人台账，提供探访关爱服务。</w:t>
            </w:r>
          </w:p>
        </w:tc>
      </w:tr>
      <w:tr w14:paraId="366F28B9">
        <w:tblPrEx>
          <w:tblCellMar>
            <w:top w:w="0" w:type="dxa"/>
            <w:left w:w="108" w:type="dxa"/>
            <w:bottom w:w="0" w:type="dxa"/>
            <w:right w:w="108" w:type="dxa"/>
          </w:tblCellMar>
        </w:tblPrEx>
        <w:trPr>
          <w:cantSplit/>
          <w:trHeight w:val="80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38B7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37C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摸排孤儿、留守儿童、事实无人抚养儿童，建立信息台账，做好基本生活保障。</w:t>
            </w:r>
          </w:p>
        </w:tc>
      </w:tr>
      <w:tr w14:paraId="6AAA9B7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22A0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0AA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负责困难残疾人生活补贴、重度残疾人护理补贴的申请受理工作。</w:t>
            </w:r>
          </w:p>
        </w:tc>
      </w:tr>
      <w:tr w14:paraId="4180C8A0">
        <w:tblPrEx>
          <w:tblCellMar>
            <w:top w:w="0" w:type="dxa"/>
            <w:left w:w="108" w:type="dxa"/>
            <w:bottom w:w="0" w:type="dxa"/>
            <w:right w:w="108" w:type="dxa"/>
          </w:tblCellMar>
        </w:tblPrEx>
        <w:trPr>
          <w:cantSplit/>
          <w:trHeight w:val="77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DE9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48E9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负责走访入户，建立就业困难人员台账，开展就业创业政策宣传，引导申请创业就业补贴。</w:t>
            </w:r>
          </w:p>
        </w:tc>
      </w:tr>
      <w:tr w14:paraId="6F23ECF0">
        <w:tblPrEx>
          <w:tblCellMar>
            <w:top w:w="0" w:type="dxa"/>
            <w:left w:w="108" w:type="dxa"/>
            <w:bottom w:w="0" w:type="dxa"/>
            <w:right w:w="108" w:type="dxa"/>
          </w:tblCellMar>
        </w:tblPrEx>
        <w:trPr>
          <w:cantSplit/>
          <w:trHeight w:val="763"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8EBC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6AD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组织人员参加就业创业技能培训，做好就业供需对接相关工作。</w:t>
            </w:r>
          </w:p>
        </w:tc>
      </w:tr>
      <w:tr w14:paraId="1A03792B">
        <w:tblPrEx>
          <w:tblCellMar>
            <w:top w:w="0" w:type="dxa"/>
            <w:left w:w="108" w:type="dxa"/>
            <w:bottom w:w="0" w:type="dxa"/>
            <w:right w:w="108" w:type="dxa"/>
          </w:tblCellMar>
        </w:tblPrEx>
        <w:trPr>
          <w:cantSplit/>
          <w:trHeight w:val="791"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5ED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383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针对就业困难人员引导申报公益性岗位。</w:t>
            </w:r>
          </w:p>
        </w:tc>
      </w:tr>
      <w:tr w14:paraId="273D6BF1">
        <w:tblPrEx>
          <w:tblCellMar>
            <w:top w:w="0" w:type="dxa"/>
            <w:left w:w="108" w:type="dxa"/>
            <w:bottom w:w="0" w:type="dxa"/>
            <w:right w:w="108" w:type="dxa"/>
          </w:tblCellMar>
        </w:tblPrEx>
        <w:trPr>
          <w:cantSplit/>
          <w:trHeight w:val="791"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6E5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511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开展农村饮水安全管理工作，负责农村饮水安全的组织领导、制度保障、运行监管工作。</w:t>
            </w:r>
          </w:p>
        </w:tc>
      </w:tr>
      <w:tr w14:paraId="489C9D2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23BF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478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负责退役军人服务站建设管理工作，指导村（社区）退役军人服务站相关业务。</w:t>
            </w:r>
          </w:p>
        </w:tc>
      </w:tr>
      <w:tr w14:paraId="2C918A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875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CF0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落实退役军人及其他优抚对象的抚恤优待政策，开展就业创业扶持、走访慰问、权益维护等服务保障工作。</w:t>
            </w:r>
          </w:p>
        </w:tc>
      </w:tr>
      <w:tr w14:paraId="47B2E5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1A64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6A13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做好残疾人服务和关心关爱，帮助残疾人申请更换辅具等。</w:t>
            </w:r>
          </w:p>
        </w:tc>
      </w:tr>
      <w:tr w14:paraId="50D23DD5">
        <w:tblPrEx>
          <w:tblCellMar>
            <w:top w:w="0" w:type="dxa"/>
            <w:left w:w="108" w:type="dxa"/>
            <w:bottom w:w="0" w:type="dxa"/>
            <w:right w:w="108" w:type="dxa"/>
          </w:tblCellMar>
        </w:tblPrEx>
        <w:trPr>
          <w:cantSplit/>
          <w:trHeight w:val="84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546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679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负责红十字会组织建设工作，宣传红十字会精神，指导红十字会基层组织履行职责。</w:t>
            </w:r>
          </w:p>
        </w:tc>
      </w:tr>
      <w:tr w14:paraId="22BF12C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83D16">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四、平安法治（15项）</w:t>
            </w:r>
          </w:p>
        </w:tc>
      </w:tr>
      <w:tr w14:paraId="20B2E4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EF3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EA3B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贯彻总体国家安全观，开展国家安全教育。</w:t>
            </w:r>
          </w:p>
        </w:tc>
      </w:tr>
      <w:tr w14:paraId="747196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14EA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8B1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坚持和发展新时代“枫桥经验”，依法成立乡镇人民调解委员会，统筹派出所、司法所、人民法庭等力量，开展人民调解工作。</w:t>
            </w:r>
          </w:p>
        </w:tc>
      </w:tr>
      <w:tr w14:paraId="40827E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085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E7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落实平安建设领导责任制，做好群防群治等工作。</w:t>
            </w:r>
          </w:p>
        </w:tc>
      </w:tr>
      <w:tr w14:paraId="57302A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EAD7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954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健全社会治理网格化服务管理体系，做好网格员选配、培训、管理等工作。</w:t>
            </w:r>
          </w:p>
        </w:tc>
      </w:tr>
      <w:tr w14:paraId="104725C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DD6A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4B3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负责社区戒毒、社区康复人员管控教育和关爱服务工作。</w:t>
            </w:r>
          </w:p>
        </w:tc>
      </w:tr>
      <w:tr w14:paraId="3E71F9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A21A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307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摸清摸透各类矛盾纠纷，坚持主动靠前、化早化小。</w:t>
            </w:r>
          </w:p>
        </w:tc>
      </w:tr>
      <w:tr w14:paraId="42B41B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34B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9B4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依法受理调解申请，组织开展调解，邀请当事人面对面陈述事实，调解员依法依规调和争议。</w:t>
            </w:r>
          </w:p>
        </w:tc>
      </w:tr>
      <w:tr w14:paraId="38ADFC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7A8F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7645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做好矛盾纠纷调解协议书签订；调解不成的向上级矛盾调解处理机构报告，指导双方到上级机构调解、申请仲裁或诉讼。</w:t>
            </w:r>
          </w:p>
        </w:tc>
      </w:tr>
      <w:tr w14:paraId="7116F0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FF49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EBC8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定期回访跟踪矛盾纠纷调解协议履行情况，防止矛盾反弹。</w:t>
            </w:r>
          </w:p>
        </w:tc>
      </w:tr>
      <w:tr w14:paraId="6837123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A3B1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B9CA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做好涉毒刑满释放人员安置帮教和社会救助相关工作。</w:t>
            </w:r>
          </w:p>
        </w:tc>
      </w:tr>
      <w:tr w14:paraId="6319E7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1EE0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F38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组织落实禁毒工作要求，开展多种形式禁毒宣传工作。</w:t>
            </w:r>
          </w:p>
        </w:tc>
      </w:tr>
      <w:tr w14:paraId="53E56A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AF7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CC26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加强社会主义法治文化建设，开展全面普法宣传，推动普法与依法治理有机结合。</w:t>
            </w:r>
          </w:p>
        </w:tc>
      </w:tr>
      <w:tr w14:paraId="4898579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F6C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99A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落实法治国家、法治政府、法治社会一体建设，推进更高水平的平安法治乡村建设。</w:t>
            </w:r>
          </w:p>
        </w:tc>
      </w:tr>
      <w:tr w14:paraId="318C09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B5EF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E9F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主动排查涉访矛盾，受理群众来信、来电、网上信访等事项，接待群众来访，承办上级党委、政府直接交办的信访事项，做好信访事项的办理回复。</w:t>
            </w:r>
          </w:p>
        </w:tc>
      </w:tr>
      <w:tr w14:paraId="777C80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A7BD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AFB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建立健全信访应急预案，联动协同处置突发事件。</w:t>
            </w:r>
          </w:p>
        </w:tc>
      </w:tr>
      <w:tr w14:paraId="63CE9A8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09FA0E">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五、乡村振兴（11项）</w:t>
            </w:r>
          </w:p>
        </w:tc>
      </w:tr>
      <w:tr w14:paraId="2B45A1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658C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2A9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开展帮扶救助，综合运用临时救助、低保、医疗等政策，保障脱贫人口和监测对象基本生活。</w:t>
            </w:r>
          </w:p>
        </w:tc>
      </w:tr>
      <w:tr w14:paraId="2DCFFC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D5C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F3F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负责农业、林业、移民、农机、畜牧等惠农惠民补贴信息初审和录入工作。</w:t>
            </w:r>
          </w:p>
        </w:tc>
      </w:tr>
      <w:tr w14:paraId="7ED485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2FB4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3A6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负责农村土地（含林地）承包、经营、流转、管理和相关纠纷调解工作。</w:t>
            </w:r>
          </w:p>
        </w:tc>
      </w:tr>
      <w:tr w14:paraId="320081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14E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5427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负责畜禽水产生产的调查和规模养殖信息的采集，并及时上报。</w:t>
            </w:r>
          </w:p>
        </w:tc>
      </w:tr>
      <w:tr w14:paraId="7B085D9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7D7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9601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开展农作物病虫草鼠等有害生物的监测与防控。</w:t>
            </w:r>
          </w:p>
        </w:tc>
      </w:tr>
      <w:tr w14:paraId="0BBDCA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B34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88D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通过网格员排查、群众申报、部门筛查等预警方式，及时发现因病、因灾、突发事故、经营亏损等导致家庭收入严重下降生活困难的农户，并纳入监测对象。</w:t>
            </w:r>
          </w:p>
        </w:tc>
      </w:tr>
      <w:tr w14:paraId="572DB0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B1C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D5C1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帮助指导就业创业，根据发展需求，制定“一户一策”帮扶措施，稳定脱贫人口收入。</w:t>
            </w:r>
          </w:p>
        </w:tc>
      </w:tr>
      <w:tr w14:paraId="1DB27A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C42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C305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负责脱贫攻坚和乡村振兴有效衔接项目入库摸底、实地指导、项目验收、资料审核、资产移交及后续管理工作，审核经营性项目的利益分配。</w:t>
            </w:r>
          </w:p>
        </w:tc>
      </w:tr>
      <w:tr w14:paraId="7F56E6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48CA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9302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负责化肥及农药减量增效、农膜回收利用工作。</w:t>
            </w:r>
          </w:p>
        </w:tc>
      </w:tr>
      <w:tr w14:paraId="278E32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A13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16A8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负责农业（含农业机械、畜牧水产养殖）技术的宣传和推广工作。</w:t>
            </w:r>
          </w:p>
        </w:tc>
      </w:tr>
      <w:tr w14:paraId="1862F3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23F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8B3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围绕“一乡一特”，打造新联村、莫徭岭中药材、上马村苎麻产业、乐坪村竹笋特色产业，提高产品附加值，助力“滔”字号品牌广泛传播。</w:t>
            </w:r>
          </w:p>
        </w:tc>
      </w:tr>
      <w:tr w14:paraId="24BB6C3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14BCD">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六、精神文明建设（4项）</w:t>
            </w:r>
          </w:p>
        </w:tc>
      </w:tr>
      <w:tr w14:paraId="0FECE9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1591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0A08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培育和践行社会主义核心价值观，推进移风易俗，加强公共文化服务和公民思想道德建设，巩固文明建设成果。</w:t>
            </w:r>
          </w:p>
        </w:tc>
      </w:tr>
      <w:tr w14:paraId="171774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3FB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4963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加强精神文明建设，做好新时代文明实践阵地建设和日常运营。</w:t>
            </w:r>
          </w:p>
        </w:tc>
      </w:tr>
      <w:tr w14:paraId="53E3C9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10E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396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开展新时代爱国主义教育，采取多种形式开展教育活动</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负责爱国主义教育基地的日常管理。</w:t>
            </w:r>
          </w:p>
        </w:tc>
      </w:tr>
      <w:tr w14:paraId="0BCDBC2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65F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1C9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负责社会工作者和志愿服务人才队伍建设，组织、指导开展社会工作和志愿服务。</w:t>
            </w:r>
          </w:p>
        </w:tc>
      </w:tr>
      <w:tr w14:paraId="5870C5E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22C994">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七、社会管理（1项）</w:t>
            </w:r>
          </w:p>
        </w:tc>
      </w:tr>
      <w:tr w14:paraId="4AC5CC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BF2E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D4FA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推动人民建议征集办理和转化落实工作。</w:t>
            </w:r>
          </w:p>
        </w:tc>
      </w:tr>
      <w:tr w14:paraId="18C8E86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AC9003">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八、社会保障（3项）</w:t>
            </w:r>
          </w:p>
        </w:tc>
      </w:tr>
      <w:tr w14:paraId="4B07E6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F6B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C65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开展城乡居民基本养老保险政策宣传，承办城乡居民养老保险参保登记、暂停、终止、人员信息修正、待遇认证、信息核查等业务。</w:t>
            </w:r>
          </w:p>
        </w:tc>
      </w:tr>
      <w:tr w14:paraId="3F1F60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F9D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4ED9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负责被征地农民社会保障政策宣传、信息采集录入，组织被征地农民参加基本养老保险。</w:t>
            </w:r>
          </w:p>
        </w:tc>
      </w:tr>
      <w:tr w14:paraId="670D206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C419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E49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负责组织居民医保的参保登记、缴费续保、政策宣传、社会公示等工作。</w:t>
            </w:r>
          </w:p>
        </w:tc>
      </w:tr>
      <w:tr w14:paraId="29D2982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DAAF9">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九、自然资源（3项）</w:t>
            </w:r>
          </w:p>
        </w:tc>
      </w:tr>
      <w:tr w14:paraId="5EA664D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4FB4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341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负责设施农用地建设申报资料的收集、审查和日常监管。</w:t>
            </w:r>
          </w:p>
        </w:tc>
      </w:tr>
      <w:tr w14:paraId="6FC9D2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501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B563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负责田长制工作，开展耕地保护，落实耕地“非粮化</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非农化”摸排和上报工作，遏制耕地抛荒、撂荒。</w:t>
            </w:r>
          </w:p>
        </w:tc>
      </w:tr>
      <w:tr w14:paraId="2296EE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49CA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EA1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落实林长制工作责任，组织镇村林长开展日常巡查和宣传。</w:t>
            </w:r>
          </w:p>
        </w:tc>
      </w:tr>
      <w:tr w14:paraId="5812CD8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D482F">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十、生态环保（3项）</w:t>
            </w:r>
          </w:p>
        </w:tc>
      </w:tr>
      <w:tr w14:paraId="76F59F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D0DB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19C5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落实河长制，组织开展河道、小型水渠日常巡查，及时制止破坏河道的行为并上报。</w:t>
            </w:r>
          </w:p>
        </w:tc>
      </w:tr>
      <w:tr w14:paraId="36CEC00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1B7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9AA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负责秸秆综合利用和露天焚烧组织实施工作。</w:t>
            </w:r>
          </w:p>
        </w:tc>
      </w:tr>
      <w:tr w14:paraId="01E337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8443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0F2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推进农村人居环境整治工作。</w:t>
            </w:r>
          </w:p>
        </w:tc>
      </w:tr>
      <w:tr w14:paraId="77E8EE2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0D66F">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十一、城乡建设（6项）</w:t>
            </w:r>
          </w:p>
        </w:tc>
      </w:tr>
      <w:tr w14:paraId="5B353F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1E43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A2C1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负责公共基础设施选址规划、建设实施、运营管理及日常监管工作。</w:t>
            </w:r>
          </w:p>
        </w:tc>
      </w:tr>
      <w:tr w14:paraId="5812C69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CBD7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4C3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负责农村居民未经批准或者违反规划的规定建住宅行为的日常监管。</w:t>
            </w:r>
          </w:p>
        </w:tc>
      </w:tr>
      <w:tr w14:paraId="54611E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E22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44E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对在村庄、集镇规划区内的街道、广场、市场和车站等场所修建临时建筑物、构筑物和其他设施的审批和日常监管。</w:t>
            </w:r>
          </w:p>
        </w:tc>
      </w:tr>
      <w:tr w14:paraId="6F742E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7E3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4336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对损坏村庄和集镇的房屋、公共设施，破坏村容镇貌和环境卫生行为的日常监管。</w:t>
            </w:r>
          </w:p>
        </w:tc>
      </w:tr>
      <w:tr w14:paraId="6DB0FA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9B2C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06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负责村（居）民建房“一件事”工作，发放《乡村建设规划许可证》《农村宅基地批准书》。</w:t>
            </w:r>
          </w:p>
        </w:tc>
      </w:tr>
      <w:tr w14:paraId="5151EB2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AEE6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A92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负责非住宅类房屋摸排工作。</w:t>
            </w:r>
          </w:p>
        </w:tc>
      </w:tr>
      <w:tr w14:paraId="0B99A2D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0949B6">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十二、交通运输（1项）</w:t>
            </w:r>
          </w:p>
        </w:tc>
      </w:tr>
      <w:tr w14:paraId="0D1B1C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B04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DA1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负责乡、村道的规划编制、建设、养护和管理工作。</w:t>
            </w:r>
          </w:p>
        </w:tc>
      </w:tr>
      <w:tr w14:paraId="03B54FB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2F1D5">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十三、文化和旅游（3项）</w:t>
            </w:r>
          </w:p>
        </w:tc>
      </w:tr>
      <w:tr w14:paraId="186955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8D5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C0E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负责文化体育阵地建设等工作。</w:t>
            </w:r>
          </w:p>
        </w:tc>
      </w:tr>
      <w:tr w14:paraId="08B852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7089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CC5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做好乡村旅游工作，丰富旅游业态，做好游客服务相关工作，利用媒体平台开展文化旅游宣传，加强乡村旅游安全监督管理。</w:t>
            </w:r>
          </w:p>
        </w:tc>
      </w:tr>
      <w:tr w14:paraId="3CF72A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732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A38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大力推动文化振兴发展，挖掘推介游傩狮、打三星等传统民俗文化。</w:t>
            </w:r>
          </w:p>
        </w:tc>
      </w:tr>
      <w:tr w14:paraId="5EED8E0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9E2B9E">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十四、卫生健康（2项）</w:t>
            </w:r>
          </w:p>
        </w:tc>
      </w:tr>
      <w:tr w14:paraId="19E908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7394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00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开展爱国卫生运动及健康促进工作，巩固省级卫生乡镇创建成果。</w:t>
            </w:r>
          </w:p>
        </w:tc>
      </w:tr>
      <w:tr w14:paraId="077077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8BD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2A1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开展传染病预防和其他公共卫生服务的宣传教育工作。</w:t>
            </w:r>
          </w:p>
        </w:tc>
      </w:tr>
      <w:tr w14:paraId="077F463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67FE28">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十五、人民武装（2项）</w:t>
            </w:r>
          </w:p>
        </w:tc>
      </w:tr>
      <w:tr w14:paraId="7971E7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E296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85E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负责兵役登记、兵役征集、国防动员等工作。</w:t>
            </w:r>
          </w:p>
        </w:tc>
      </w:tr>
      <w:tr w14:paraId="41E175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767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C09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坚持党管武装，开展国防教育，推进基层武装部规范化建设，负责民兵组织建设、日常管理、教育培训工作。</w:t>
            </w:r>
          </w:p>
        </w:tc>
      </w:tr>
      <w:tr w14:paraId="665D3C9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B24820">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十六、综合政务（10项）</w:t>
            </w:r>
          </w:p>
        </w:tc>
      </w:tr>
      <w:tr w14:paraId="35D016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9CB1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0A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1F4F7CC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141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9E63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负责档案法律法规宣传、镇志编写和本级档案收集、整理、归档、移交等工作，指导和监督所属单位和村（社区）开展档案工作。</w:t>
            </w:r>
          </w:p>
        </w:tc>
      </w:tr>
      <w:tr w14:paraId="327662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B5E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BF2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落实上级督查交办事项的办理，承办12345政务服务便民热线和省长、市长、县长等三级信箱转办的诉求事项，做好值班值守工作。</w:t>
            </w:r>
          </w:p>
        </w:tc>
      </w:tr>
      <w:tr w14:paraId="30A18CF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28D2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F3CD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负责公文拟制、印发、办理、管理，规范性文件备案和会议管理等日常性事务。</w:t>
            </w:r>
          </w:p>
        </w:tc>
      </w:tr>
      <w:tr w14:paraId="6EE6FE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856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D47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负责做好机关公共机构节能、办公用房和后勤服务保障等日常管理工作。</w:t>
            </w:r>
          </w:p>
        </w:tc>
      </w:tr>
      <w:tr w14:paraId="571393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DFE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A5A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67E71A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B93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F4D1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负责政务公开、政府信息公开、政务新媒体工作，推进政务服务标准化、规范化、便利化建设。</w:t>
            </w:r>
          </w:p>
        </w:tc>
      </w:tr>
      <w:tr w14:paraId="3828AF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1E9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92A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792F93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287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1389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负责国有资产的管理和维护，助推国有资产的保值增值。</w:t>
            </w:r>
          </w:p>
        </w:tc>
      </w:tr>
      <w:tr w14:paraId="6AEC1F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357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A18C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负责政府采购及固定资产管理等工作。</w:t>
            </w:r>
          </w:p>
        </w:tc>
      </w:tr>
    </w:tbl>
    <w:p w14:paraId="5FC021F3">
      <w:pPr>
        <w:pStyle w:val="2"/>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077417"/>
      <w:bookmarkStart w:id="6" w:name="_Toc10751"/>
      <w:bookmarkStart w:id="7" w:name="_Toc172077552"/>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677B26F4">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F389">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306D">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3A090">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48B2">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22213">
            <w:pPr>
              <w:jc w:val="center"/>
              <w:textAlignment w:val="center"/>
              <w:rPr>
                <w:rFonts w:ascii="Times New Roman" w:hAnsi="Times New Roman" w:eastAsia="方正公文黑体"/>
                <w:color w:val="auto"/>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6BFDFFC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81611D">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一、党的建设（12项）</w:t>
            </w:r>
          </w:p>
        </w:tc>
      </w:tr>
      <w:tr w14:paraId="55906B8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9654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EC4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7EC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A23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1.执纪审查和依法调查处置；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2.向监察对象所在单位提出监察建议；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4C2D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1.开展片区交叉监督检查；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2.开展“室组地”联动办案；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3.协助收集证据材料。</w:t>
            </w:r>
          </w:p>
        </w:tc>
      </w:tr>
      <w:tr w14:paraId="76E2B2F2">
        <w:tblPrEx>
          <w:tblCellMar>
            <w:top w:w="0" w:type="dxa"/>
            <w:left w:w="108" w:type="dxa"/>
            <w:bottom w:w="0" w:type="dxa"/>
            <w:right w:w="108" w:type="dxa"/>
          </w:tblCellMar>
        </w:tblPrEx>
        <w:trPr>
          <w:cantSplit/>
          <w:trHeight w:val="14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535D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C173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AED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1F0A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1.登记群众相关问题的投诉；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2.系统管理维护；</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05A5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1.受理群众问题投诉；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2.线索收集、核实；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3.违法违规问题查处。</w:t>
            </w:r>
          </w:p>
        </w:tc>
      </w:tr>
      <w:tr w14:paraId="2FF73E3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65A1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088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2E1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C9A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1.组织开展县级及以上党代表推选，负责人选的资格审查、考察等工作；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县委统战部：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2.会商有关部门，负责人大代表、人大常委会组成人员中的党外候选人的推荐提名工作；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3.负责党外政协委员人选提名，负责汇总政协委员建议名单并征求有关方面意见；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县人大：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4.组织开展县级及以上人大代表推选，负责人选的资格审查、考察等工作；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县政协：</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62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1.开展“两代表一委员”资源摸底工作，并上报；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2.参与“两代表一委员”考察工作；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3.组织选举县人大代表和县党代表，推荐县政协委员。</w:t>
            </w:r>
          </w:p>
        </w:tc>
      </w:tr>
      <w:tr w14:paraId="3712E5F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F3D1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1155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FED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BA15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1.对乡镇摸底上报人员进行资格审查；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2.组织公开比选、考察、体检等工作；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3.研究提出人选建议名单，报市委组织部审核；</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4.提请县委常委会研究决定；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1F1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1.做好比选摸底、研判、推荐、比选考核考察相关服务工作；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2.做好比选入职入编相关资料收集上报。</w:t>
            </w:r>
          </w:p>
        </w:tc>
      </w:tr>
      <w:tr w14:paraId="79F86BB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9732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3BF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524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1D40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1.负责组织考察考核大会推荐述职测评工作；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2.负责考察考核个别谈话、定等、通报表彰工作；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12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1.对县管领导班子、领导干部选拔任用提出建议；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2.做好领导班子、领导干部考察考核相关准备和联络服务工作。</w:t>
            </w:r>
          </w:p>
        </w:tc>
      </w:tr>
      <w:tr w14:paraId="2CAD53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7F8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688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B20E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BAA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1.组织开展县级及以上“两优一先”等党内功勋荣誉表彰工作；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2.组织开展县级及以上“两优一先”等党内功勋荣誉表彰对象推荐工作；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3.负责发放“光荣在党50年”纪念章；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918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1.培育“两优一先”典型；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2.组织推荐上报县级及以上“两优一先”等表彰激励对象；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3.摸底排查党龄50周年以上的党员，上报申领“光荣在党50年”纪念章；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4.召开会议或上门颁发“光荣在党50年”纪念章。</w:t>
            </w:r>
          </w:p>
        </w:tc>
      </w:tr>
      <w:tr w14:paraId="14979C2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680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CC80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69C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114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1.负责制定与实施干部因私出国（境）管理制度；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2.负责干部因私出国（境）审批（备案）；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3C5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1.负责本单位相关人员出国（境）证件核实、摸底和一般干部的证件集中管理；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2.对本单位管理权限人员证件办理和因私出国（境）初审；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3.统计本单位因私出国（境）情况，每季度汇总上报。</w:t>
            </w:r>
          </w:p>
        </w:tc>
      </w:tr>
      <w:tr w14:paraId="53ECAC8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8CFB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5C90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530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7F18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1.组织县直部门对上报人选进行资格审查；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2.派出指导组监督指导考核招聘工作；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3.组织体检、考察等工作；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4.研究提出拟聘人选建议名单，报市委组织部、省委组织部审核；</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5.提请县委常委会研究决定招聘人选；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县委编办、县人力资源和社会保障局：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317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1.开展摸底工作并上报；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2.开展资格初审，做好合格人员公示工作；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3.组织开展推荐工作；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4.做好从村（社区）党组织书记中考核招聘乡镇事业编制人员的入职入编相关资料收集上报。</w:t>
            </w:r>
          </w:p>
        </w:tc>
      </w:tr>
      <w:tr w14:paraId="784CDFB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86A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603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F6D3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977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val="en-US" w:eastAsia="zh-CN" w:bidi="ar"/>
              </w:rPr>
              <w:t>1.</w:t>
            </w:r>
            <w:r>
              <w:rPr>
                <w:rFonts w:hint="eastAsia" w:ascii="Times New Roman" w:hAnsi="方正公文仿宋" w:eastAsia="方正公文仿宋"/>
                <w:color w:val="auto"/>
                <w:kern w:val="0"/>
                <w:szCs w:val="21"/>
                <w:lang w:bidi="ar"/>
              </w:rPr>
              <w:t>建立健全干部人事档案工作规章制度和工作机制，开展培训、指导和监督</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D0CF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2.及时收集本乡镇人员的各类零散材料，分别向组织部和人社局移交并进行整理；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3.对由本单位管理的人事档案做好保管、整理和专项审核工作。</w:t>
            </w:r>
          </w:p>
        </w:tc>
      </w:tr>
      <w:tr w14:paraId="1A16414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AA8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7901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41BC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33D0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1.制定职务与职级晋升、职称晋升工作方案；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2.负责对拟晋升人员进行资格审查；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3.负责组织开展考察工作；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429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1.开展信息摸底、资格初审工作；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2.确定拟晋升人选，并向县级上报启动职务职级晋升请示；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3.组织相关人员召开会议、开展测评和访谈工作；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4.负责在岗位职数内择优推荐拟参加职称评定的事业单位专业技术人员；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5.开展聘用、工资调整、资料归档工作。</w:t>
            </w:r>
          </w:p>
        </w:tc>
      </w:tr>
      <w:tr w14:paraId="5CE4941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30A5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FA1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73B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9C71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1.组织实施政治巡察工作，完成巡察全覆盖任务；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0BF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1.自觉接受巡察监督；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2.承担对村（社区）巡察统筹协调工作；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3.负责本级巡察整改及指导监督村（社区）巡察整改工作。</w:t>
            </w:r>
          </w:p>
        </w:tc>
      </w:tr>
      <w:tr w14:paraId="1284B34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E5E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0ABF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3AC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82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1.为困难青少年提供全面且持续的支持，助力困难青少年健康成长；</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2.为大学生提供丰富多样、安全有序且富有成效的实践机会，助力大学生成长成才；</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3.推动青年志愿服务事业蓬勃发展，凝聚青年力量服务社会；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C2C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1.收集、统计、核实辖区内困难青少年名单，上报相关资料申请慰问；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2.收集并上报社会实践和志愿服务岗位需求、人员需求，负责人员管理、工作对接、信息宣传等</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为大学生提供必要的工作餐和购买意外险；</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3.按要求开展青年志愿服务工作，做好人员的组织管理、信息宣传等；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4.宣传青少年权益保护法律法规，协调解决青少年权益受侵害问题。</w:t>
            </w:r>
          </w:p>
        </w:tc>
      </w:tr>
      <w:tr w14:paraId="64705C1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B1A392">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二、经济发展（7项）</w:t>
            </w:r>
          </w:p>
        </w:tc>
      </w:tr>
      <w:tr w14:paraId="10A8D6D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14D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7D0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9D4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624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841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1.参与五年规划编制工作并提出建议；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2.参与五年规划的中期评估和总结评估工作。</w:t>
            </w:r>
          </w:p>
        </w:tc>
      </w:tr>
      <w:tr w14:paraId="415886D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7A0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70F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349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77C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F01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1.做好项目谋划、申报工作；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2.优化重点项目实施环境，配合业主单位做好项目有关工作；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3.上报重点项目有关数据。</w:t>
            </w:r>
          </w:p>
        </w:tc>
      </w:tr>
      <w:tr w14:paraId="072F7C8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C1B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6B9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9457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B516F">
            <w:pPr>
              <w:widowControl/>
              <w:numPr>
                <w:ilvl w:val="0"/>
                <w:numId w:val="0"/>
              </w:numPr>
              <w:kinsoku/>
              <w:spacing w:before="0" w:beforeLines="0" w:after="0" w:afterLines="0"/>
              <w:textAlignment w:val="auto"/>
              <w:rPr>
                <w:rFonts w:hint="eastAsia" w:ascii="Times New Roman" w:hAnsi="方正公文仿宋" w:eastAsia="方正公文仿宋"/>
                <w:color w:val="auto"/>
                <w:kern w:val="0"/>
                <w:szCs w:val="21"/>
                <w:lang w:val="en-US" w:eastAsia="zh-CN" w:bidi="ar"/>
              </w:rPr>
            </w:pPr>
            <w:r>
              <w:rPr>
                <w:rFonts w:hint="eastAsia" w:ascii="Times New Roman" w:hAnsi="方正公文仿宋" w:eastAsia="方正公文仿宋"/>
                <w:color w:val="auto"/>
                <w:kern w:val="0"/>
                <w:szCs w:val="21"/>
                <w:lang w:val="en-US" w:eastAsia="zh-CN" w:bidi="ar"/>
              </w:rPr>
              <w:t>1.科协负责统筹全县做好宣传全民科学素质科普工作；</w:t>
            </w:r>
          </w:p>
          <w:p w14:paraId="40B8E4A7">
            <w:pPr>
              <w:widowControl/>
              <w:kinsoku/>
              <w:spacing w:before="0" w:beforeLines="0" w:after="0" w:afterLines="0"/>
              <w:textAlignment w:val="auto"/>
              <w:rPr>
                <w:rFonts w:hint="default" w:ascii="Times New Roman" w:hAnsi="方正公文仿宋" w:eastAsia="方正公文仿宋"/>
                <w:color w:val="auto"/>
                <w:kern w:val="0"/>
                <w:szCs w:val="21"/>
                <w:lang w:val="en-US" w:eastAsia="zh-CN" w:bidi="ar"/>
              </w:rPr>
            </w:pPr>
            <w:r>
              <w:rPr>
                <w:rFonts w:hint="eastAsia" w:ascii="Times New Roman" w:hAnsi="方正公文仿宋" w:eastAsia="方正公文仿宋"/>
                <w:color w:val="auto"/>
                <w:kern w:val="0"/>
                <w:szCs w:val="21"/>
                <w:lang w:val="en-US" w:eastAsia="zh-CN" w:bidi="ar"/>
              </w:rPr>
              <w:t>2.科协、科工局通过各种方式和渠道，向青少年传播科学知识和科学方法；</w:t>
            </w:r>
          </w:p>
          <w:p w14:paraId="3CA1BF3A">
            <w:pPr>
              <w:widowControl/>
              <w:kinsoku/>
              <w:spacing w:before="0" w:beforeLines="0" w:after="0" w:afterLines="0"/>
              <w:textAlignment w:val="auto"/>
              <w:rPr>
                <w:rFonts w:hint="default" w:ascii="Times New Roman" w:hAnsi="方正公文仿宋" w:eastAsia="方正公文仿宋"/>
                <w:color w:val="auto"/>
                <w:kern w:val="0"/>
                <w:szCs w:val="21"/>
                <w:lang w:val="en-US" w:eastAsia="zh-CN" w:bidi="ar"/>
              </w:rPr>
            </w:pPr>
            <w:r>
              <w:rPr>
                <w:rFonts w:hint="eastAsia" w:ascii="Times New Roman" w:hAnsi="方正公文仿宋" w:eastAsia="方正公文仿宋"/>
                <w:color w:val="auto"/>
                <w:kern w:val="0"/>
                <w:szCs w:val="21"/>
                <w:lang w:val="en-US" w:eastAsia="zh-CN" w:bidi="ar"/>
              </w:rPr>
              <w:t>3.围绕科技创新主题，选树一批先进典型；</w:t>
            </w:r>
          </w:p>
          <w:p w14:paraId="56C1082E">
            <w:pPr>
              <w:widowControl/>
              <w:kinsoku/>
              <w:spacing w:before="0" w:beforeLines="0" w:after="0" w:afterLines="0"/>
              <w:textAlignment w:val="auto"/>
              <w:rPr>
                <w:rFonts w:hint="eastAsia" w:ascii="Times New Roman" w:hAnsi="方正公文仿宋" w:eastAsia="方正公文仿宋"/>
                <w:color w:val="auto"/>
                <w:kern w:val="0"/>
                <w:szCs w:val="21"/>
                <w:lang w:val="en-US" w:eastAsia="zh-CN" w:bidi="ar"/>
              </w:rPr>
            </w:pPr>
            <w:r>
              <w:rPr>
                <w:rFonts w:hint="eastAsia" w:ascii="Times New Roman" w:hAnsi="方正公文仿宋" w:eastAsia="方正公文仿宋"/>
                <w:color w:val="auto"/>
                <w:kern w:val="0"/>
                <w:szCs w:val="21"/>
                <w:lang w:val="en-US" w:eastAsia="zh-CN" w:bidi="ar"/>
              </w:rPr>
              <w:t>4.为科学技术服务、培训和指导提供场地。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9634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1.健全乡镇科协组织，提供办公场所、人员、经费保障；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2.加强科普宣传。</w:t>
            </w:r>
          </w:p>
        </w:tc>
      </w:tr>
      <w:tr w14:paraId="5831D2B5">
        <w:tblPrEx>
          <w:tblCellMar>
            <w:top w:w="0" w:type="dxa"/>
            <w:left w:w="108" w:type="dxa"/>
            <w:bottom w:w="0" w:type="dxa"/>
            <w:right w:w="108" w:type="dxa"/>
          </w:tblCellMar>
        </w:tblPrEx>
        <w:trPr>
          <w:cantSplit/>
          <w:trHeight w:val="202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9CD8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E23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B76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79F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1.对企业做好入规宣传工作；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2.做好企业入规资料的审核工作；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A2DE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1.宣传企业入规政策；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2.组织辖区符合条件的企业开展入规工作；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3.收集企业入规资料并上报；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4.收集投资项目入库资料并上报。</w:t>
            </w:r>
          </w:p>
        </w:tc>
      </w:tr>
      <w:tr w14:paraId="04AAA91E">
        <w:tblPrEx>
          <w:tblCellMar>
            <w:top w:w="0" w:type="dxa"/>
            <w:left w:w="108" w:type="dxa"/>
            <w:bottom w:w="0" w:type="dxa"/>
            <w:right w:w="108" w:type="dxa"/>
          </w:tblCellMar>
        </w:tblPrEx>
        <w:trPr>
          <w:cantSplit/>
          <w:trHeight w:val="198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80BF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452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6698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FD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1.负责对批零住餐企业、个体户进行销售额、收入数据的监测分析；</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BF8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1.宣传入库政策；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2.指导企业及个体户按时报送统计数据；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3.配合上级对相关企业的调查行动。</w:t>
            </w:r>
          </w:p>
        </w:tc>
      </w:tr>
      <w:tr w14:paraId="6B273FC7">
        <w:tblPrEx>
          <w:tblCellMar>
            <w:top w:w="0" w:type="dxa"/>
            <w:left w:w="108" w:type="dxa"/>
            <w:bottom w:w="0" w:type="dxa"/>
            <w:right w:w="108" w:type="dxa"/>
          </w:tblCellMar>
        </w:tblPrEx>
        <w:trPr>
          <w:cantSplit/>
          <w:trHeight w:val="195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2909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645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0F0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748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1.做好税费政策宣传和专业知识培训；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F49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1.培植税源；</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2.进行政策宣传；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3.提供辖区内涉税信息；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4.落实协税护税制度。</w:t>
            </w:r>
          </w:p>
        </w:tc>
      </w:tr>
      <w:tr w14:paraId="232CAFE7">
        <w:tblPrEx>
          <w:tblCellMar>
            <w:top w:w="0" w:type="dxa"/>
            <w:left w:w="108" w:type="dxa"/>
            <w:bottom w:w="0" w:type="dxa"/>
            <w:right w:w="108" w:type="dxa"/>
          </w:tblCellMar>
        </w:tblPrEx>
        <w:trPr>
          <w:cantSplit/>
          <w:trHeight w:val="19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9A5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45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5613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99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1.收集整理全县茶产业相关数据；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2.加大茶叶产业机械补贴力度；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3.加大茶产业的科研投资；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6194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1.协调茶企纠纷；</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2.报送茶产业数据；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3.推广茶叶机械化采摘。</w:t>
            </w:r>
          </w:p>
        </w:tc>
      </w:tr>
      <w:tr w14:paraId="16FECE8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F5026D">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三、民生服务（16项）</w:t>
            </w:r>
          </w:p>
        </w:tc>
      </w:tr>
      <w:tr w14:paraId="7B58439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82BF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C3AE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690F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4ED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1.牵头开展文化、卫生、科技“三下乡”集中示范活动；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2.负责对全县文化艺术工作的宏观指导协调和文艺队伍建设；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3.组织协调文艺产品创作生产的引导和管理；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600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1.协助宣传部门开展集中示范活动；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2.根据地区实际，举办“三下乡”活动，每年在村开展活动不得少于1场次；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3.积极开展文艺活动；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4.积极组织申报相关活动，做好活动报备；</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5.协助宣传部门开展农村公益电影放映活动。</w:t>
            </w:r>
          </w:p>
        </w:tc>
      </w:tr>
      <w:tr w14:paraId="78262D71">
        <w:tblPrEx>
          <w:tblCellMar>
            <w:top w:w="0" w:type="dxa"/>
            <w:left w:w="108" w:type="dxa"/>
            <w:bottom w:w="0" w:type="dxa"/>
            <w:right w:w="108" w:type="dxa"/>
          </w:tblCellMar>
        </w:tblPrEx>
        <w:trPr>
          <w:cantSplit/>
          <w:trHeight w:val="25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4428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9D5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EFB8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3B20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县教育局：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1.负责统筹落实义务教育入学复学、控辍保学等有关要求，完善工作机制，加强监督和指导；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县民政局：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2.负责将符合条件的家庭经济困难学生纳入社会救助政策保障范围；</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县司法局：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AF39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1.开展控辍保学宣传、督促工作；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2.摸排、核实义务教育阶段适龄儿童以及失学辍学人员情况，开展劝返工作。</w:t>
            </w:r>
          </w:p>
        </w:tc>
      </w:tr>
      <w:tr w14:paraId="3D03CFE6">
        <w:tblPrEx>
          <w:tblCellMar>
            <w:top w:w="0" w:type="dxa"/>
            <w:left w:w="108" w:type="dxa"/>
            <w:bottom w:w="0" w:type="dxa"/>
            <w:right w:w="108" w:type="dxa"/>
          </w:tblCellMar>
        </w:tblPrEx>
        <w:trPr>
          <w:cantSplit/>
          <w:trHeight w:val="24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47A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FC77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0EAC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C8D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1.负责预防中小学生溺水工作协调机制日常工作；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2.建立健全预防中小学生溺水安全管理制度；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3.指导督促中小学校落实预防溺水措施</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86B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1.督促村（社区）开展防溺水宣传教育，督促学生家长履行监护责任</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2.对区域内的水域实行网格化管理</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按照规定设置安全防护设施和警示标志</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配备应急救生物品</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开展预防溺水巡查和劝导</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3.建立留守学生、困境学生的信息台账</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并与中小学校共享</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4.制定应急预案</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建立应急救援机制。</w:t>
            </w:r>
          </w:p>
        </w:tc>
      </w:tr>
      <w:tr w14:paraId="6B681C6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E162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778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CD36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9AF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县教育局：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1.负责牵头实施校车使用许可审查；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2.负责管理学生乘车需求并监督需求的落实；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4.参与校车服务提供者监管；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6.负责校车行驶线路上道路交通秩序管理；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7.依法查处有关违法行为；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县交通运输局：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8.参与校车运营单位的安全监管；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9.配合做好统一规划、设置校车停靠站点及其预告标识、站点标牌和标线等工作；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347E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1.开展校车安全宣传；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2.参与校车行驶路线、停靠站点的勘查工作。</w:t>
            </w:r>
          </w:p>
        </w:tc>
      </w:tr>
      <w:tr w14:paraId="5D034AF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9AB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1DB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62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247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1.负责乡镇社会工作服务平台管理制度建设；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2.负责社工人员日常管理、业务指导、教育培训和绩效考核工作；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8368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1.参加县派社工人员组织开展的各类民政相关社工活动；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2.为乡镇社会工作服务平台提供办公场地、活动场所；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3.对县派社工人员日常出勤、服务成效进行评定；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4.配合县民政局对县派社工人员进行考核。</w:t>
            </w:r>
          </w:p>
        </w:tc>
      </w:tr>
      <w:tr w14:paraId="285C235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BBFD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58E8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1B5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2F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1.负责殡仪馆发展的规划编制、设施建设、管理维护及殡仪馆所属公墓的管理；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2.开展殡葬领域突出问题排查整治工作；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3.加强殡葬设施建设，推进殡葬改革；</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4.开展对殡葬领域违法违规行为的执法检查；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81CB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1.负责做好丧事简办、提倡火化、厚养礼葬、清明文明祭扫等移风易俗的宣传工作；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2.负责困难群众殡葬补助的申报、受理和初审上报工作。</w:t>
            </w:r>
          </w:p>
        </w:tc>
      </w:tr>
      <w:tr w14:paraId="6A7F628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D183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0C9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F5F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9BB9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A3BF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承担公益性公墓的选址、筹建、管理等工作。</w:t>
            </w:r>
          </w:p>
        </w:tc>
      </w:tr>
      <w:tr w14:paraId="2070CCD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578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0CB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688C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6605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1.负责困难老年人高龄津贴的业务指导、监督、审核、确认、资金发放工作；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334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2.参与居家养老服务和适老化改造项目实施。</w:t>
            </w:r>
          </w:p>
        </w:tc>
      </w:tr>
      <w:tr w14:paraId="0EF12FC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F2E3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5095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3833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DB3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1.负责养老服务工作，做好养老机构监督管理；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3858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1.对辖区内养老服务机构进行排查摸底及日常巡查；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2.对辖区内养老服务机构运营、维护情况进行日常巡查，发现安全隐患及时上报；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3.负责村（社区）居家养老服务站建设及补贴申报的资料审核、上报；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4.督促指导村（社区）建设居家基本养老服务、村（社区）养老服务点、日间照料中心，参与县民政局验收。</w:t>
            </w:r>
          </w:p>
        </w:tc>
      </w:tr>
      <w:tr w14:paraId="7DEFD38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6AB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06F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95CC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843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1.负责慈善募捐的收缴；</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8948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1.负责慈善募捐宣传发动、核实金额并上报；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2.开展慈善走访慰问、助学活动。</w:t>
            </w:r>
          </w:p>
        </w:tc>
      </w:tr>
      <w:tr w14:paraId="4532A63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A144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94A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3590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BB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1.指导生活无着流浪乞讨人员救助管理工作；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CB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1.协助流浪乞讨人员身份信息核查；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3.参与返乡流浪乞讨人员的源头治理工作。</w:t>
            </w:r>
          </w:p>
        </w:tc>
      </w:tr>
      <w:tr w14:paraId="28D50F9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C5DA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698C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6708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D9EC">
            <w:pPr>
              <w:widowControl/>
              <w:kinsoku/>
              <w:spacing w:before="0" w:beforeLines="0" w:after="0" w:afterLines="0"/>
              <w:textAlignment w:val="auto"/>
              <w:rPr>
                <w:rFonts w:hint="eastAsia" w:ascii="Times New Roman" w:hAnsi="方正公文仿宋" w:eastAsia="方正公文仿宋"/>
                <w:color w:val="auto"/>
                <w:szCs w:val="21"/>
                <w:lang w:eastAsia="zh-CN"/>
              </w:rPr>
            </w:pPr>
            <w:r>
              <w:rPr>
                <w:rFonts w:hint="eastAsia" w:ascii="Times New Roman" w:hAnsi="方正公文仿宋" w:eastAsia="方正公文仿宋"/>
                <w:color w:val="auto"/>
                <w:kern w:val="0"/>
                <w:szCs w:val="21"/>
                <w:lang w:bidi="ar"/>
              </w:rPr>
              <w:t>1.掌握全县范围内劳动者就业失业情况</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掌握离校未就业高校毕业生、失业人员、就业困难人员等群体的就业服务需求，定期调查辖区内用人单位用工需求</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3.及时发布就业法规政策、市场工资指导价位、招聘岗位、职业培训、就业见习、创业培训等信息</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5.开展人力资源市场开发建设工作，指导零工市场（驿站）建设和运行工作</w:t>
            </w:r>
            <w:r>
              <w:rPr>
                <w:rFonts w:hint="eastAsia" w:ascii="Times New Roman" w:hAnsi="方正公文仿宋" w:eastAsia="方正公文仿宋"/>
                <w:color w:val="auto"/>
                <w:kern w:val="0"/>
                <w:szCs w:val="21"/>
                <w:lang w:eastAsia="zh-CN" w:bidi="ar"/>
              </w:rPr>
              <w:t>。</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51ED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2.为辖区内劳动者和用人单位提供就业失业登记、求职招聘登记、就业扶持政策申领等宣传指导</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3.及时转发就业法规政策、市场工资指导价位、招聘岗位、职业培训、就业见习、创业培训等信息</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5.负责《就业创业证》申领、复核工作。</w:t>
            </w:r>
          </w:p>
        </w:tc>
      </w:tr>
      <w:tr w14:paraId="0369A6E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D0E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16C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AD7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EF4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1.组织实施农业水利设施建设、管理、维护工作；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E3E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1.组织各村</w:t>
            </w:r>
            <w:r>
              <w:rPr>
                <w:rFonts w:hint="eastAsia" w:ascii="Times New Roman" w:hAnsi="方正公文仿宋" w:eastAsia="方正公文仿宋"/>
                <w:color w:val="auto"/>
                <w:kern w:val="0"/>
                <w:szCs w:val="21"/>
                <w:lang w:eastAsia="zh-CN" w:bidi="ar"/>
              </w:rPr>
              <w:t>（社区）</w:t>
            </w:r>
            <w:r>
              <w:rPr>
                <w:rFonts w:hint="eastAsia" w:ascii="Times New Roman" w:hAnsi="方正公文仿宋" w:eastAsia="方正公文仿宋"/>
                <w:color w:val="auto"/>
                <w:kern w:val="0"/>
                <w:szCs w:val="21"/>
                <w:lang w:bidi="ar"/>
              </w:rPr>
              <w:t>申报项目；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2.初审项目资料。</w:t>
            </w:r>
          </w:p>
        </w:tc>
      </w:tr>
      <w:tr w14:paraId="51356D5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58E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0A7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BA0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76A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1.制定“两癌”免费筛查送检下乡方案；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2.与县妇幼保健院和乡镇妇联进行对接；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3.制定中央专项彩票公益金支持低收入群体工作方案；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4.审核并确定救助名单；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A10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1.宣传发动辖区内符合条件的妇女参与两癌筛查；                                      2.组织开展集中筛查，向村（社区）反馈筛查结果；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3.传达上级关于两癌救助的工作通知并开展摸底；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4.对符合条件的妇女进行初审、申报，报上级妇联复审；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5.将信息录入阳光系统；开展救助资金发放及回访。</w:t>
            </w:r>
          </w:p>
        </w:tc>
      </w:tr>
      <w:tr w14:paraId="427220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60C7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37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238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EAB1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1E6C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1.负责辖区内医疗救助申请受理、调查核实和基础资料审核；</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2.收集医疗救助零星报销资料；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3.负责再救助制度资料的收集与申请。</w:t>
            </w:r>
          </w:p>
        </w:tc>
      </w:tr>
      <w:tr w14:paraId="521BCB8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8734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2E4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A8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A9E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4237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1.负责残疾人基本状况调查和动态管理；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2.负责残疾人康复救助和教育资助的申报；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3.负责残疾人证件的申请受理；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4.负责残疾人就业创业服务；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5.负责残疾人文体宣传；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6.负责残疾人燃油补贴申报；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7.负责精神障碍患者管理与服务工作；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8.负责困难残疾人家庭无障碍改造申报、初验、监管；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9.负责残疾人专职委员管理。</w:t>
            </w:r>
          </w:p>
        </w:tc>
      </w:tr>
      <w:tr w14:paraId="71EEF48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F9422C">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四、平安法治（8项）</w:t>
            </w:r>
          </w:p>
        </w:tc>
      </w:tr>
      <w:tr w14:paraId="239F1DD1">
        <w:tblPrEx>
          <w:tblCellMar>
            <w:top w:w="0" w:type="dxa"/>
            <w:left w:w="108" w:type="dxa"/>
            <w:bottom w:w="0" w:type="dxa"/>
            <w:right w:w="108" w:type="dxa"/>
          </w:tblCellMar>
        </w:tblPrEx>
        <w:trPr>
          <w:cantSplit/>
          <w:trHeight w:val="51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3EE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C71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EA8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65E0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县委政法委：</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县政府办：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3.负责查处、打击金融、通信、网络等领域违法犯罪行为；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县市场监督管理局：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4.查处企业食品、药品安全的违法违规行为；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国家金融监督管理总局安化监管支局：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FC9F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1.做好各领域宣传教育工作；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2.做好舆情信息收集、反馈、初步处置和上报工作。</w:t>
            </w:r>
          </w:p>
        </w:tc>
      </w:tr>
      <w:tr w14:paraId="446BC001">
        <w:tblPrEx>
          <w:tblCellMar>
            <w:top w:w="0" w:type="dxa"/>
            <w:left w:w="108" w:type="dxa"/>
            <w:bottom w:w="0" w:type="dxa"/>
            <w:right w:w="108" w:type="dxa"/>
          </w:tblCellMar>
        </w:tblPrEx>
        <w:trPr>
          <w:cantSplit/>
          <w:trHeight w:val="197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651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6B8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E1A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55A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1.做好《中华人民共和国反有组织犯罪法》的贯彻落实；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2.推动协调案件线索核查、重点行业领域乱象整治工作；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0A2E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1.做好线索摸排、信息收集工作；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2.开展常态化扫黑除恶宣传工作。</w:t>
            </w:r>
          </w:p>
        </w:tc>
      </w:tr>
      <w:tr w14:paraId="3FE5F6F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D181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D22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B3F0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7D0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A80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做好“见义勇为”等先进典型的摸底、申报、走访慰问和困难帮扶工作。</w:t>
            </w:r>
          </w:p>
        </w:tc>
      </w:tr>
      <w:tr w14:paraId="1E71D02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5E3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5AD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7ED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944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1.组织开展政法宣传工作，制作发放宣传资料，统筹群众安全感满意度双提升工作；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2.制定工作方案、完善工作机制</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协调各方力量</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A3B4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1.开展平安建设正面宣传活动；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2.开展矛盾纠纷排查化解工作</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3.开展科级干部下访接访工作。</w:t>
            </w:r>
          </w:p>
        </w:tc>
      </w:tr>
      <w:tr w14:paraId="67D30EB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AFB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046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FEB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4132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56F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1.负责组织本镇公职人员进行检测；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2.组织对检测情况有异常的干职工进行初步调查。</w:t>
            </w:r>
          </w:p>
        </w:tc>
      </w:tr>
      <w:tr w14:paraId="1D83883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4475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084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2377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FC88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县教育局：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1.负责校园安全管理及监督；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2.处置校园突发事件；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县市场监督管理局</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890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1.做好校园安全知识宣传教育；</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2.开展校园周边商铺的安全隐患排查。</w:t>
            </w:r>
          </w:p>
        </w:tc>
      </w:tr>
      <w:tr w14:paraId="5211B9C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6BC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777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6B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729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1.严格实行行政执法人员资格管理和持证上岗；</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2.落实执法退出机制，对不符合执法要求的人员，依法暂扣、收回、注销其行政执法证件；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3.统一组织全县拟从事行政执法工作人员进行资格考试；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B14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1.对行政执法人员和证件进行管理；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2.组织相关人员参加考试；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3.报送相关数据。</w:t>
            </w:r>
          </w:p>
        </w:tc>
      </w:tr>
      <w:tr w14:paraId="314D62C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FC0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0795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274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CC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县卫生健康局：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1.负责基层医疗卫生机构的精神病防治政策宣传和业务指导</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2.教育指导监护人履行监护管理责任</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3.做好对疑似患者的诊断复核和严重精神障碍患者的随访管理</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4.及时对患者危险性评估认定；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5.配合相关部门做好监护奖励工作；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243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1.负责严重精神障碍患者、有肇事肇祸倾向人员的排查、登记、上报、监管服务等工作；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2.督促精神障碍患者和有肇事肇祸倾向人员的监护人做好监护工作；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3.协助监护人办理监护奖励申请工作。</w:t>
            </w:r>
          </w:p>
        </w:tc>
      </w:tr>
      <w:tr w14:paraId="4030700C">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4E2318">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五、乡村振兴（18项）</w:t>
            </w:r>
          </w:p>
        </w:tc>
      </w:tr>
      <w:tr w14:paraId="31FC0FD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96E5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46C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B48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D7E4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1.选派驻村工作队员；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2.组织开展驻村工作队业务培训；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3.监督管理驻村工作队队员；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4.指导督促驻村工作队队员经费以及保险、体检等保障的落实；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B2A4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1.任命驻村第一书记；</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2.负责驻村工作队员日常管理；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3.对驻村工作队员进行培训；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4.参与驻村工作队员考核。</w:t>
            </w:r>
          </w:p>
        </w:tc>
      </w:tr>
      <w:tr w14:paraId="51BDE217">
        <w:tblPrEx>
          <w:tblCellMar>
            <w:top w:w="0" w:type="dxa"/>
            <w:left w:w="108" w:type="dxa"/>
            <w:bottom w:w="0" w:type="dxa"/>
            <w:right w:w="108" w:type="dxa"/>
          </w:tblCellMar>
        </w:tblPrEx>
        <w:trPr>
          <w:cantSplit/>
          <w:trHeight w:val="20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A47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336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845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1971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1.制定后续帮扶实施方案，明确帮扶措施和标准，统筹安排专项资金；</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7C5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1.建立搬迁户信息台账，动态监测管理，定期走访排查；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2.组织参加技能培训，协助办理各类补贴，落实社会保障政策。</w:t>
            </w:r>
          </w:p>
        </w:tc>
      </w:tr>
      <w:tr w14:paraId="0A9486E8">
        <w:tblPrEx>
          <w:tblCellMar>
            <w:top w:w="0" w:type="dxa"/>
            <w:left w:w="108" w:type="dxa"/>
            <w:bottom w:w="0" w:type="dxa"/>
            <w:right w:w="108" w:type="dxa"/>
          </w:tblCellMar>
        </w:tblPrEx>
        <w:trPr>
          <w:cantSplit/>
          <w:trHeight w:val="39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AD3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1D9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906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F97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结合实际组织本行政区域监督抽查；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3.负责建立健全粮食质量安全事故应急预案，建立和完善粮食应急供应网络。按照国家和省市要求，充分利用和整合现有资源</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EA6D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1.参与上级部门开展粮食质量安全监督检查工作；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2.参与开展种粮人身份信息、联系方式、种植面积、品种、产量、售粮数量等核准工作；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57B50A4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6AD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7377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3FE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1E4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1.负责项目审批；</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71B9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1.进行项目申报；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2.参与验收。</w:t>
            </w:r>
          </w:p>
        </w:tc>
      </w:tr>
      <w:tr w14:paraId="494DCED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CB8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1B1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1B27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3F0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0B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1.上报投保名单及信息；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2.上报受灾情况。</w:t>
            </w:r>
          </w:p>
        </w:tc>
      </w:tr>
      <w:tr w14:paraId="2E7020D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BD45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8C7A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9718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EDC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负责水利项目纳规</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8C0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开展水利项目调查、规划、报批等项目前期工作。</w:t>
            </w:r>
          </w:p>
        </w:tc>
      </w:tr>
      <w:tr w14:paraId="4B209CB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A448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CF15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C01A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45DC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1.负责生猪屠宰场的设置规划指导；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2.负责生猪屠宰场的建设许可；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3.负责生猪屠宰场日常巡查及规范化管理；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4.调查私屠乱宰窝点</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18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1.加强生猪定点屠宰宣传；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2.配合调查私屠乱宰窝点</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val="en-US" w:eastAsia="zh-CN" w:bidi="ar"/>
              </w:rPr>
              <w:t>3</w:t>
            </w:r>
            <w:r>
              <w:rPr>
                <w:rFonts w:hint="eastAsia" w:ascii="Times New Roman" w:hAnsi="方正公文仿宋" w:eastAsia="方正公文仿宋"/>
                <w:color w:val="auto"/>
                <w:kern w:val="0"/>
                <w:szCs w:val="21"/>
                <w:lang w:bidi="ar"/>
              </w:rPr>
              <w:t>.参与私屠乱宰违法行为的查处。</w:t>
            </w:r>
          </w:p>
        </w:tc>
      </w:tr>
      <w:tr w14:paraId="42DE7F7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DDB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9680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0ED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6F4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1.负责农药包装废弃物回收处理义务的监督管理；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2.指导建立农药包装废弃物回收体系；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3.合理布设农药包装废弃物回收站</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点</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AAB7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1.开展农药包装废弃物回收处理的宣传和教育；</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2.督促农药生产者、经营者、使用者履行农药包装废弃物回收义务；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3.督促农药经营者和农药包装废弃物回收站</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点</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建立好回收台账。</w:t>
            </w:r>
          </w:p>
        </w:tc>
      </w:tr>
      <w:tr w14:paraId="52BFECD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874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EE4F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D88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6D6A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1.负责兽药生产、经营许可；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234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1.加强兽药、饲料和农药、种子等有关法律法规的宣传；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2.负责日常巡查和信息上报工作。</w:t>
            </w:r>
          </w:p>
        </w:tc>
      </w:tr>
      <w:tr w14:paraId="32AC841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10B8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8F3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DCC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9364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33A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负责家庭农场认定初审工作。</w:t>
            </w:r>
          </w:p>
        </w:tc>
      </w:tr>
      <w:tr w14:paraId="55847DB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5E1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6B2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16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8FF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1.审核项目服务主体；</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2.分配项目任务；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3.监督项目实施；</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4.开展验收抽核；</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5.拨付项目资金；</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98B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1.负责摸底、上报本镇服务主体相关信息，并确定当年度项目实施的服务主体；</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2.对本乡镇项目实施情况进行现场跟踪检查；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3.参与县级验收和抽核工作；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4.建立本乡镇服务主体名录库。</w:t>
            </w:r>
          </w:p>
        </w:tc>
      </w:tr>
      <w:tr w14:paraId="172051E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F684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3F9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2EA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2C61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1.负责农产品抽样检测；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2.指导、督促生产经营主体开展农产品质量安全追溯管理；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0F52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1.开展农产品安全普法宣传；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2.协助上级部门开展农产品抽样检测工作；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3.开展日常巡查并建立监管台账。</w:t>
            </w:r>
          </w:p>
        </w:tc>
      </w:tr>
      <w:tr w14:paraId="48D93AC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4BF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C87D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742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CF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1.对动物防疫工作实行统一领导；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2.负责动物疫病的监测、检测、诊断；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3.负责组织开展流行病学调查、疫情报告以及其他预防、控制等技术工作；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D1A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1.开展动物防疫宣传；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2.开展动物防疫标识及疫苗申领、发放；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3.开展村级动物防疫员招募、管理、免疫效果评估工作，组织村级防疫员入户进行免疫注射；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4.组织饲养动物的单位和个人做好强制免疫，协助做好监督检查；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5.入户采集样品送检；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6.负责养殖档案的建立与督导；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7.负责对养殖场动物防疫条件合格证的申请进行初审；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8.负责对在城市公共场所和乡村发现的死亡畜禽组织进行收集、处理，协助开展溯源；</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9.负责动物防疫信息的报送，协助开展疫情处置；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10.负责农村地区饲养犬只的防疫管理及流浪犬、猫的控制和处置。</w:t>
            </w:r>
          </w:p>
        </w:tc>
      </w:tr>
      <w:tr w14:paraId="6BF8A89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F2A2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E8A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083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16F9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1.制定农民负担监管实施细则；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2.开展专项检查；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265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2.发现问题及时上报。</w:t>
            </w:r>
          </w:p>
        </w:tc>
      </w:tr>
      <w:tr w14:paraId="3E0EC86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9BFE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087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ACE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7E2A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781C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1.开展改厕政策宣传、确定改厕计划；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2.指导监督改厕项目实施、初步验收；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3.完成“厕所革命业务子系统”采集数据录入更新，落实农村改厕奖补。</w:t>
            </w:r>
          </w:p>
        </w:tc>
      </w:tr>
      <w:tr w14:paraId="2C4A5C1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0BC0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0DB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13E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6EA6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D752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参与项目选址、图纸设计、验收，开展纠纷矛盾调解及后期管护。</w:t>
            </w:r>
          </w:p>
        </w:tc>
      </w:tr>
      <w:tr w14:paraId="01B3338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AB1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1B64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857B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3C86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1.负责制定实施方案；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2.发放宣传资料；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2146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1.农业安全生产政策宣传；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2.进行日常巡查，建立台账；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3.发现违法线索及时上报。</w:t>
            </w:r>
          </w:p>
        </w:tc>
      </w:tr>
      <w:tr w14:paraId="61B75E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1963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6DAF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56F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0761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490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开展养殖场项目建设相关政策宣传、项目初审，参与养殖场规划选址、项目竣工验收。</w:t>
            </w:r>
          </w:p>
        </w:tc>
      </w:tr>
      <w:tr w14:paraId="3F598CA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FC86B9">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六、精神文明建设（2项）</w:t>
            </w:r>
          </w:p>
        </w:tc>
      </w:tr>
      <w:tr w14:paraId="28D7578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7390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1F8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5A6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185B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县委宣传部：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1.协调指导全县“扫黄打非”工作；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2.做好“扫黄打非”案件查处工作；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县文化旅游广电体育局：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CAD4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1.做好宣传教育工作；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2.做好信息摸底上报，配合案件查处工作。</w:t>
            </w:r>
          </w:p>
        </w:tc>
      </w:tr>
      <w:tr w14:paraId="4785002A">
        <w:tblPrEx>
          <w:tblCellMar>
            <w:top w:w="0" w:type="dxa"/>
            <w:left w:w="108" w:type="dxa"/>
            <w:bottom w:w="0" w:type="dxa"/>
            <w:right w:w="108" w:type="dxa"/>
          </w:tblCellMar>
        </w:tblPrEx>
        <w:trPr>
          <w:cantSplit/>
          <w:trHeight w:val="11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533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FEC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AD8C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DEF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1.制定评选方案；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2.审核推荐资料；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0CD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1.开展劳动模范和先进工作者的人选摸底；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2.收集并报送申报资料。</w:t>
            </w:r>
          </w:p>
        </w:tc>
      </w:tr>
      <w:tr w14:paraId="36672E2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659160">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七、社会管理（1项）</w:t>
            </w:r>
          </w:p>
        </w:tc>
      </w:tr>
      <w:tr w14:paraId="34FD27A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0928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6B9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CCB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7C88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2.按照管理权限承担行政区划设立、命名、变更和政府驻地迁移等审核、报批工作；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3.组织全县行政区域界线勘定和维护、界桩管理、纠纷调处、档案管理和法规宣传工作；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770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1.负责地名的命名、更名申请及备案工作；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2.对行政区域界线界桩进行摸排并上报，配合上级部门的调查和纠纷调处工作；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3.对行政区域界线界桩进行管理和维护。</w:t>
            </w:r>
          </w:p>
        </w:tc>
      </w:tr>
      <w:tr w14:paraId="1185C8C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08F4D5">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八、民族宗教（1项）</w:t>
            </w:r>
          </w:p>
        </w:tc>
      </w:tr>
      <w:tr w14:paraId="207A5A77">
        <w:tblPrEx>
          <w:tblCellMar>
            <w:top w:w="0" w:type="dxa"/>
            <w:left w:w="108" w:type="dxa"/>
            <w:bottom w:w="0" w:type="dxa"/>
            <w:right w:w="108" w:type="dxa"/>
          </w:tblCellMar>
        </w:tblPrEx>
        <w:trPr>
          <w:cantSplit/>
          <w:trHeight w:val="333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0914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DFE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A66F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DAD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1.依法管理宗教事务；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2.防范化解涉宗教矛盾纠纷；</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3.依法打击非法宗教活动；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757F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1.宣传党的民族理论政策宣传和方针政策；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4.配合有关部门做好大型宗教活动管理，做好秩序维护、突发事件处置等工作；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5.协助上级部门查处非法宗教活动，防范宗教极端思想渗透；</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6.负责促进民族团结工作，开展少数民族群众的服务工作。</w:t>
            </w:r>
          </w:p>
        </w:tc>
      </w:tr>
      <w:tr w14:paraId="0E1A4E4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4D320F">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九、社会保障（2项）</w:t>
            </w:r>
          </w:p>
        </w:tc>
      </w:tr>
      <w:tr w14:paraId="457FF84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D727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FA06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91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CD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1.落实补助政策；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2.审核、拨付补助资金；</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514D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1.摸底老放映员名单；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2.收集资料、进行资格初审并上报；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3.按照上级部署摸底上报老放映员死亡、户籍迁出等退出补贴范围的情况。</w:t>
            </w:r>
          </w:p>
        </w:tc>
      </w:tr>
      <w:tr w14:paraId="465D923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F8B7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74A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193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490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3.负责对多发或误发社保信息进行核实；</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4.负责对多发或误发企业社保</w:t>
            </w:r>
            <w:r>
              <w:rPr>
                <w:rFonts w:hint="eastAsia" w:ascii="Times New Roman" w:hAnsi="方正公文仿宋" w:eastAsia="方正公文仿宋"/>
                <w:color w:val="auto"/>
                <w:kern w:val="0"/>
                <w:szCs w:val="21"/>
                <w:lang w:val="en-US" w:eastAsia="zh-CN" w:bidi="ar"/>
              </w:rPr>
              <w:t>（</w:t>
            </w:r>
            <w:r>
              <w:rPr>
                <w:rFonts w:hint="eastAsia" w:ascii="Times New Roman" w:hAnsi="方正公文仿宋" w:eastAsia="方正公文仿宋"/>
                <w:color w:val="auto"/>
                <w:kern w:val="0"/>
                <w:szCs w:val="21"/>
                <w:lang w:bidi="ar"/>
              </w:rPr>
              <w:t>养老、失业、工伤</w:t>
            </w:r>
            <w:r>
              <w:rPr>
                <w:rFonts w:hint="eastAsia" w:ascii="Times New Roman" w:hAnsi="方正公文仿宋" w:eastAsia="方正公文仿宋"/>
                <w:color w:val="auto"/>
                <w:kern w:val="0"/>
                <w:szCs w:val="21"/>
                <w:lang w:val="en-US" w:eastAsia="zh-CN" w:bidi="ar"/>
              </w:rPr>
              <w:t>）</w:t>
            </w:r>
            <w:r>
              <w:rPr>
                <w:rFonts w:hint="eastAsia" w:ascii="Times New Roman" w:hAnsi="方正公文仿宋" w:eastAsia="方正公文仿宋"/>
                <w:color w:val="auto"/>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BCDB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2.协助上级部门数据比对下发的疑似死亡、服刑、假人、身份不符等信息的入户核准、信息反馈工作；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3.参与核查多发或误发社保资金；</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4.参与追缴违规领取的社保资金。</w:t>
            </w:r>
          </w:p>
        </w:tc>
      </w:tr>
      <w:tr w14:paraId="694EDC3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63F28A">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十、自然资源（12项）</w:t>
            </w:r>
          </w:p>
        </w:tc>
      </w:tr>
      <w:tr w14:paraId="6833C5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FB2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72E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BDC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0AA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1.制定耕地占补平衡实施方案和计划；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2.组织资源调查，根据实际情况优先选择面积大、集中连片的地块进行整治；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158E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1.开展耕地占补平衡政策宣传；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2.督促村（社区）落实好占补平衡地块耕种；</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3.提供补充耕地地块。</w:t>
            </w:r>
          </w:p>
        </w:tc>
      </w:tr>
      <w:tr w14:paraId="44CBB67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95AB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CB8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CC1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793E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1.负责统筹协调违法图斑整治工作，制定业务培训计划并指导乡镇制定整改方案；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2.对违法违规用地行为进行查处；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74A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1.现场核实违法图斑情况，并负责举证销号；</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2.开展日常巡查，及时发现制止新增违法用地，并进行处理。</w:t>
            </w:r>
          </w:p>
        </w:tc>
      </w:tr>
      <w:tr w14:paraId="5388AD1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BD24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C58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49E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EF983">
            <w:pPr>
              <w:widowControl/>
              <w:kinsoku/>
              <w:spacing w:before="0" w:beforeLines="0" w:after="0" w:afterLines="0"/>
              <w:textAlignment w:val="auto"/>
              <w:rPr>
                <w:rFonts w:hint="eastAsia" w:ascii="Times New Roman" w:hAnsi="方正公文仿宋" w:eastAsia="方正公文仿宋"/>
                <w:color w:val="auto"/>
                <w:kern w:val="0"/>
                <w:szCs w:val="21"/>
                <w:lang w:bidi="ar"/>
              </w:rPr>
            </w:pPr>
            <w:r>
              <w:rPr>
                <w:rFonts w:hint="eastAsia" w:ascii="Times New Roman" w:hAnsi="方正公文仿宋" w:eastAsia="方正公文仿宋"/>
                <w:color w:val="auto"/>
                <w:kern w:val="0"/>
                <w:szCs w:val="21"/>
                <w:lang w:bidi="ar"/>
              </w:rPr>
              <w:t>1.组织实施全民所有自然资源资产配置和土地储备工作；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2.负责自然资源市场管理和动态监测；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3.建立自然资源价格体系，组织开展自然资源分等定级价格评估；</w:t>
            </w:r>
          </w:p>
          <w:p w14:paraId="0ADB22D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4.组织编制土地供应年度计划；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6EA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1.配合开展全民所有自然资源资产划拨、出让、作价出资和土地储备等工作；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3.参与自然资源分等定级价格体系编制，协调用地单位配合进行价值评估；</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4.提交乡镇用地计划，保障乡镇重点项目用地需求；</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5.提交集体建设用地相关审批资料。</w:t>
            </w:r>
          </w:p>
        </w:tc>
      </w:tr>
      <w:tr w14:paraId="694DF52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F9C1">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5C4E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AAB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B9AC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2.组织相关部门对编制内容进行意见征求，对编制成果组织咨询论证；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3.组织各部门、各乡镇对已完成的乡镇规划编制成果进行审查审议，对修改的成果进行审核；</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4.组织乡镇对审查通过的成果在政府门户网站、当地公示栏进行公示；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5.组织乡镇对成果上报至县人民政府审批</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AC4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1.组织开展基础调研和资料收集工作；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2.协同自然资源主管部门召开镇村咨询论证会，梳理反馈）镇村意见；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3.对修改完善的镇规划成果进行审议；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4.协同自然资源局对审查通过的规划进行公示；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5.拟草批复申请，将修改完善成果提交空间规划委员会，报请县人民政府审批；</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6.协同自然资源主管部门对规划实施进行监管，巡察，预防违法违规建设行为。</w:t>
            </w:r>
          </w:p>
        </w:tc>
      </w:tr>
      <w:tr w14:paraId="060A588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4787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3E0A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5977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868A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1.依据有关规定对矿产资源规划进行审查，组织专家进行论证，征求有关部门的意见；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4D4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1.对辖区内矿产资源进行日常巡查；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2.组织镇村两级召开矿产资源规划会议，收集镇村两级对规划编制的意见及建议；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3.开展矿权投放前期土地流转、维稳等工作。</w:t>
            </w:r>
          </w:p>
        </w:tc>
      </w:tr>
      <w:tr w14:paraId="111F785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D8DB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AB8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061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232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1.做好测量标志保护；</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2.开展测量标志巡查、维护、委托保管、迁建等日常业务工作；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282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安排专人负责，制定巡查计划，对测量标志点的标石、标志附属物、警示标志的完好性以及周围环境的稳定性进行查看 。</w:t>
            </w:r>
          </w:p>
        </w:tc>
      </w:tr>
      <w:tr w14:paraId="1CAA16D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142C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A0E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9CBF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3943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1.依据土地利用现状调查成果等，开展登记单位内各类自然资源调查工作；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6B4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1.负责本地自然资源基础数据调查等相关工作并提出相关意见；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2.负责权籍调查资料收集整理、填报工作。</w:t>
            </w:r>
          </w:p>
        </w:tc>
      </w:tr>
      <w:tr w14:paraId="6718CA3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73F0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11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B3B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0007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r>
              <w:rPr>
                <w:rFonts w:hint="eastAsia" w:ascii="Times New Roman" w:hAnsi="方正公文仿宋" w:eastAsia="方正公文仿宋"/>
                <w:color w:val="auto"/>
                <w:kern w:val="0"/>
                <w:szCs w:val="21"/>
                <w:lang w:bidi="ar"/>
              </w:rPr>
              <w:t xml:space="preserve">  </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1392">
            <w:pPr>
              <w:widowControl/>
              <w:kinsoku/>
              <w:spacing w:before="0" w:beforeLines="0" w:after="0" w:afterLines="0"/>
              <w:textAlignment w:val="auto"/>
              <w:rPr>
                <w:rFonts w:hint="eastAsia" w:ascii="Times New Roman" w:hAnsi="方正公文仿宋" w:eastAsia="方正公文仿宋"/>
                <w:color w:val="auto"/>
                <w:kern w:val="0"/>
                <w:szCs w:val="21"/>
                <w:lang w:bidi="ar"/>
              </w:rPr>
            </w:pPr>
            <w:r>
              <w:rPr>
                <w:rFonts w:hint="eastAsia" w:ascii="Times New Roman" w:hAnsi="方正公文仿宋" w:eastAsia="方正公文仿宋"/>
                <w:color w:val="auto"/>
                <w:kern w:val="0"/>
                <w:szCs w:val="21"/>
                <w:lang w:val="en-US" w:eastAsia="zh-CN" w:bidi="ar"/>
              </w:rPr>
              <w:t>1.</w:t>
            </w:r>
            <w:r>
              <w:rPr>
                <w:rFonts w:hint="eastAsia" w:ascii="Times New Roman" w:hAnsi="方正公文仿宋" w:eastAsia="方正公文仿宋"/>
                <w:color w:val="auto"/>
                <w:kern w:val="0"/>
                <w:szCs w:val="21"/>
                <w:lang w:bidi="ar"/>
              </w:rPr>
              <w:t>负责农业设施“大棚房”日常巡查、摸排上报工作；</w:t>
            </w:r>
          </w:p>
          <w:p w14:paraId="4BC0BC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val="en-US" w:eastAsia="zh-CN" w:bidi="ar"/>
              </w:rPr>
              <w:t>2.</w:t>
            </w:r>
            <w:r>
              <w:rPr>
                <w:rFonts w:hint="eastAsia" w:ascii="Times New Roman" w:hAnsi="方正公文仿宋" w:eastAsia="方正公文仿宋"/>
                <w:color w:val="auto"/>
                <w:kern w:val="0"/>
                <w:szCs w:val="21"/>
                <w:lang w:bidi="ar"/>
              </w:rPr>
              <w:t>及时制止并上报违法行为，协助开展专项整治工作。</w:t>
            </w:r>
          </w:p>
        </w:tc>
      </w:tr>
      <w:tr w14:paraId="4F4B3B4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D0C7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186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4E0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8091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1.制定年度计划，指导项目建设；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FC6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1.开展造林绿化、恢复森林植被工作宣传；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2.组织村（社区）申报项目。</w:t>
            </w:r>
          </w:p>
        </w:tc>
      </w:tr>
      <w:tr w14:paraId="70D07D97">
        <w:tblPrEx>
          <w:tblCellMar>
            <w:top w:w="0" w:type="dxa"/>
            <w:left w:w="108" w:type="dxa"/>
            <w:bottom w:w="0" w:type="dxa"/>
            <w:right w:w="108" w:type="dxa"/>
          </w:tblCellMar>
        </w:tblPrEx>
        <w:trPr>
          <w:cantSplit/>
          <w:trHeight w:val="20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830C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2C24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E6D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85D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1.开展森林物种多样性保护工作和执法检查、督查；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870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1.开展森林资源保护宣传；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2.对林木采伐进行日常巡查。</w:t>
            </w:r>
          </w:p>
        </w:tc>
      </w:tr>
      <w:tr w14:paraId="73F88FBE">
        <w:tblPrEx>
          <w:tblCellMar>
            <w:top w:w="0" w:type="dxa"/>
            <w:left w:w="108" w:type="dxa"/>
            <w:bottom w:w="0" w:type="dxa"/>
            <w:right w:w="108" w:type="dxa"/>
          </w:tblCellMar>
        </w:tblPrEx>
        <w:trPr>
          <w:cantSplit/>
          <w:trHeight w:val="232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7581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F78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4F3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C78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1.负责野生动植物、古树名木保护的宣传教育和科学知识普及工作；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2.组织制定并实施保护规划和措施，建立健全野生动物资源保护管理体系；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3.负责古树名木的确定、挂牌及日常养护；</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03E1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1.负责野生动植物、古树名木保护的宣传教育工作；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2.开展日常巡查工作，发现违法、违规行为及时制止并上报。</w:t>
            </w:r>
          </w:p>
        </w:tc>
      </w:tr>
      <w:tr w14:paraId="2D0DF511">
        <w:tblPrEx>
          <w:tblCellMar>
            <w:top w:w="0" w:type="dxa"/>
            <w:left w:w="108" w:type="dxa"/>
            <w:bottom w:w="0" w:type="dxa"/>
            <w:right w:w="108" w:type="dxa"/>
          </w:tblCellMar>
        </w:tblPrEx>
        <w:trPr>
          <w:cantSplit/>
          <w:trHeight w:val="355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7091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F19A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630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193A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1.组织研究制定征地拆迁补偿安置方案；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2.负责征地拆迁征拆政策解释和法制宣传工作；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3.负责开展集体土地现状调查工作；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4.发布相关公告并对实物量进行公示；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F9A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1.指导村（社区）做好征地拆迁工作和征收政策宣传工作；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2.参与拟征收土地涉及农户的用地面积、地类及青苗和地上附着物数据的初审、公示、确认和上报；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3.参与土地征收、房屋拆迁</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坟山迁移等征地拆迁数据收集，为征拆协议的签订提供支持；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4.提供涉及拟征收土地村组耕地人口调查数据；参与各项补偿（收购）款的统计、公示等工作；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5.上报请示各征地拆迁项目补偿款，及时将土地补偿资金拨付至集体经济组织并进行监督；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6.参与被征地户安置地选址、放线等相关工作。</w:t>
            </w:r>
          </w:p>
        </w:tc>
      </w:tr>
      <w:tr w14:paraId="5EA2EE9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C0417E">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十一、生态环保（10项）</w:t>
            </w:r>
          </w:p>
        </w:tc>
      </w:tr>
      <w:tr w14:paraId="1701A76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B0DC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8FFF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8509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755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2EB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1.开展节能降碳宣传和教育等工作；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2.依法履行辖区能源项目建设和运行的属地管理职责，主动协调处理矛盾纠纷。</w:t>
            </w:r>
          </w:p>
        </w:tc>
      </w:tr>
      <w:tr w14:paraId="005228B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0ED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A6E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904F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0DE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1.对使用炸鱼、毒鱼、电鱼等破坏渔业资源方法进行捕捞的行为进行处罚；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9850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1.开展渔业资源保护的宣传和教育工作；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2.开展日常巡查工作，发现违法、违规行为及时制止并上报。</w:t>
            </w:r>
          </w:p>
        </w:tc>
      </w:tr>
      <w:tr w14:paraId="3AB1278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5611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4E5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ABCE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16D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2.控制和减少农业面源污染，保护饮用水水源地自然生态；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县水利局：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44B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1.做好宣传、普及法律法规和科学知识；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2.对饮用水水源保护开展日常巡查；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3.确定山塘、渠道、井（泉）水等分散式饮用水水源的保护范围，设定地理界标和警示标志。</w:t>
            </w:r>
          </w:p>
        </w:tc>
      </w:tr>
      <w:tr w14:paraId="71088F1B">
        <w:tblPrEx>
          <w:tblCellMar>
            <w:top w:w="0" w:type="dxa"/>
            <w:left w:w="108" w:type="dxa"/>
            <w:bottom w:w="0" w:type="dxa"/>
            <w:right w:w="108" w:type="dxa"/>
          </w:tblCellMar>
        </w:tblPrEx>
        <w:trPr>
          <w:cantSplit/>
          <w:trHeight w:val="642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465FC">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479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3252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6135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县发展和改革局：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2.负责节能、绿色低碳发展和清洁能源保障工作；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3.协同相关部门开展柴油货车等移动源污染和烟花爆竹污染管控；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县住房和城乡建设局：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4.负责建筑工程扬尘污染防治；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县交通运输局：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5.负责交通领域职责范围内大气污染防治；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县商务局：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7.负责加油站、油库、油品等大气污染防治工作；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县城市管理和综合执法局：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8.负责县城区面源、扬尘、烟花爆竹燃放等大气污染防治；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县市场监督管理局：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1A5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1.加强宣传，普及法律法规和科学知识；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2.开展日常巡查，及时制止、上报涉嫌环境违法情况；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3.参与大气污染物减排工作，落实气候变化、污染天气应对措施；</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4.受理投诉，调处初信初访和矛盾纠纷。</w:t>
            </w:r>
          </w:p>
        </w:tc>
      </w:tr>
      <w:tr w14:paraId="78532DCD">
        <w:tblPrEx>
          <w:tblCellMar>
            <w:top w:w="0" w:type="dxa"/>
            <w:left w:w="108" w:type="dxa"/>
            <w:bottom w:w="0" w:type="dxa"/>
            <w:right w:w="108" w:type="dxa"/>
          </w:tblCellMar>
        </w:tblPrEx>
        <w:trPr>
          <w:cantSplit/>
          <w:trHeight w:val="105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DD8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B5FE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59D7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8D3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1.负责辖区内水污染防治统一监督管理；负责水环境质量监督管理；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2.负责农村黑臭水体治理，水污染环境事件应急处置；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县水利局：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3.落实河长制，负责水资源监督管理、水生态安全管理，保障饮用水安全；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F82B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1.负责加强水环境保护宣传，普及水污染防治法律法规和科学知识；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2.对水污染防治开展日常巡查；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3.参与开展水污染物减排工作；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4.及时制止水环境污染和生态破坏行为，及时上报涉嫌环境违法情况；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5.受理破坏水环境投诉，调处环境初信初访和矛盾纠纷。</w:t>
            </w:r>
          </w:p>
        </w:tc>
      </w:tr>
      <w:tr w14:paraId="063C012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C08B5">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4C7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47E7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591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1.负责土壤和地下水污染防治统一监督管理，牵头落实建设用地安全利用和污染地块风险管控；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2.负责土壤和地下水环境污染事件处置；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县自然资源局：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3.协同落实建设用地安全利用和污染地块风险管控；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4.负责农业领域土壤污染防治，牵头落实受污染耕地的安全利用；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县林业局：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4C5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1.加强宣传，普及法律法规和科学知识；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2.开展日常巡查，及时制止、上报涉嫌环境违法情况；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3.受理投诉，调处初信初访和矛盾纠纷。</w:t>
            </w:r>
          </w:p>
        </w:tc>
      </w:tr>
      <w:tr w14:paraId="11E8F3E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106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F64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8618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D4A7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1.负责噪声污染防治统一监督管理，负责声环境质量监督管理；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2.负责开展禁止鸣笛区域机动车辆鸣笛管控；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县住房和城乡建设局：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3.负责建筑施工噪声污染防治；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县交通运输局：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4.负责交通领域职责范围内噪声污染防治；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县城市管理和综合执法局：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87F9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1.负责宣传、普及法律法规和科学知识；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2.开展日常巡查，核实群众举报线索，发现问题及时上报；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3.受理噪声污染环境投诉，调处环境初信初访和矛盾纠纷。</w:t>
            </w:r>
          </w:p>
        </w:tc>
      </w:tr>
      <w:tr w14:paraId="121D4C17">
        <w:tblPrEx>
          <w:tblCellMar>
            <w:top w:w="0" w:type="dxa"/>
            <w:left w:w="108" w:type="dxa"/>
            <w:bottom w:w="0" w:type="dxa"/>
            <w:right w:w="108" w:type="dxa"/>
          </w:tblCellMar>
        </w:tblPrEx>
        <w:trPr>
          <w:cantSplit/>
          <w:trHeight w:val="338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D0A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158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B54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C1E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1.负责畜禽养殖污染防治情况进行统一监督管理检查，并加强对畜禽养殖环境污染的监测；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2.对环境违法行为进行查处；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3.会同农业农村局编制养殖环保规划，管理和指导完善环保台账；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4.负责编制本行政区域畜牧业发展规划；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5.负责畜禽养殖废弃物综合利用和病死畜禽无害化处理的指导与服务，指导畜禽标准化养殖；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B944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1.对养殖户做好畜禽养殖污染防治宣传教育；</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2.开展畜禽养殖废弃物、废水、污水排放的日常巡查，发现违法违规行为及时制止并上报；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3.负责畜禽养殖场环保台账、养殖档案的管理、指导和检查。</w:t>
            </w:r>
          </w:p>
        </w:tc>
      </w:tr>
      <w:tr w14:paraId="7105A4ED">
        <w:tblPrEx>
          <w:tblCellMar>
            <w:top w:w="0" w:type="dxa"/>
            <w:left w:w="108" w:type="dxa"/>
            <w:bottom w:w="0" w:type="dxa"/>
            <w:right w:w="108" w:type="dxa"/>
          </w:tblCellMar>
        </w:tblPrEx>
        <w:trPr>
          <w:cantSplit/>
          <w:trHeight w:val="455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F63F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BF3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B12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4759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1.负责辖区内固体废弃物、危险废弃物的宣传、防治和监督管理；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县自然资源局：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2.负责矿山复绿和综合利用；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县住房和城乡建设局：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3.负责在建工程和物业管理小区建筑垃圾的管理，建筑垃圾再生产品的推广利用；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4.负责废弃农膜、农药瓶等农业废弃物管理和综合利用；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县卫生健康局：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5.负责医疗废物的收集管理；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县林业局：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7B0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1.防治固体废弃物污染环境的宣传教育工作；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2.开展巡查，及时制止并上报固体废弃物污染环境行为；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3.参与监督管理辖区内固体废弃物转移、堆放、贮存；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4.负责生活垃圾的收集、运输、处置。</w:t>
            </w:r>
          </w:p>
        </w:tc>
      </w:tr>
      <w:tr w14:paraId="41AF851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A3F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804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EC8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E85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1.对本行政区域环境保护工作实施统一监督管理；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2.开展环境执法、处置突发环境事件；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A72E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1.组织开展环境保护宣传；</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2.进行环境保护日常巡查，核实群众举报线索，发现问题及时上报；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3.协助开展环境执法，处置突发环境事件。</w:t>
            </w:r>
          </w:p>
        </w:tc>
      </w:tr>
      <w:tr w14:paraId="44503E8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E2C2EB">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十二、城乡建设（6项）</w:t>
            </w:r>
          </w:p>
        </w:tc>
      </w:tr>
      <w:tr w14:paraId="200E893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9EE2E">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FFC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33E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14D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1.县农业农村局负责开展宅基地测绘；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2.县自然资源局审定村庄规划；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3.县林业局出具林地批复；</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4.县自然资源局负责耕地占补平衡挂钩备案；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C2C7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1.核实土地性质，负责农用地转用组卷；</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2.召开乡镇规划例会；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3.发放农村宅基地批准书和乡村建设规划许可证；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4.放线；</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5.负责相关系统资料报送；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6.负责村民自建房相关APP数据录入；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7.提供补充耕地补充地块。</w:t>
            </w:r>
          </w:p>
        </w:tc>
      </w:tr>
      <w:tr w14:paraId="26C7667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A84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B58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2A77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12B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04DD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1.向村（居）民普及城乡规划法律法规，引导依法依规建设；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2.对违反城乡规划的行为及时制止并上报；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3.协助解决执法过程中的矛盾纠纷。</w:t>
            </w:r>
          </w:p>
        </w:tc>
      </w:tr>
      <w:tr w14:paraId="2C4EFFB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D99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B405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4D3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6075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1.统筹推进农村危房改造工作，制定年度农村危房改造实施方案，确定年度任务；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2.督促指导做好危房改造实施，确保质量安全，做好竣工验收；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869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1.开展农村低收入群体住房安全日常巡查；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2.收集危房改造申报材料并进行初审，上报危房改造计划；</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3.督促村（居）民开展危房改造实施；</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4.参与危房改造项目的验收；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5.申报危房改造资金。</w:t>
            </w:r>
          </w:p>
        </w:tc>
      </w:tr>
      <w:tr w14:paraId="3AAE80F7">
        <w:tblPrEx>
          <w:tblCellMar>
            <w:top w:w="0" w:type="dxa"/>
            <w:left w:w="108" w:type="dxa"/>
            <w:bottom w:w="0" w:type="dxa"/>
            <w:right w:w="108" w:type="dxa"/>
          </w:tblCellMar>
        </w:tblPrEx>
        <w:trPr>
          <w:cantSplit/>
          <w:trHeight w:val="296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1273">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2E0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5EF4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A5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1.负责研判房屋安全等级，指导乡镇对C级、D级危房进行管控；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2.负责组织领导和协调规划，做好经费保障、隐患排查及整改、基础设施建设和审核工作；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3.加强对农村住房建设施工质量和安全的监督管理，指导乡镇及业主进行隐患销号；</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4FB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1.组织开展村（社区）自建房、危旧房入户排查及系统录入工作；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2.做好在建房屋安全巡查；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3.组织危房居住人员撤离，负责临时安置，做好群众思想工作，督促隐患整改、销号资料的初审、上报。</w:t>
            </w:r>
          </w:p>
        </w:tc>
      </w:tr>
      <w:tr w14:paraId="6FBA419D">
        <w:tblPrEx>
          <w:tblCellMar>
            <w:top w:w="0" w:type="dxa"/>
            <w:left w:w="108" w:type="dxa"/>
            <w:bottom w:w="0" w:type="dxa"/>
            <w:right w:w="108" w:type="dxa"/>
          </w:tblCellMar>
        </w:tblPrEx>
        <w:trPr>
          <w:cantSplit/>
          <w:trHeight w:val="218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764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AD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F0F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CF2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1.组织开展业务指导；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2.负责开展乡村建设工匠从业行为监督检查；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3.建立乡村建设工匠信用档案制度；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6F8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1.摸底上报乡村建设工匠培训意向人员名单；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2.组织意向人员和已取得乡村建设工匠证人员参加上级业务培训；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3.建立乡村建设工匠名录库。</w:t>
            </w:r>
          </w:p>
        </w:tc>
      </w:tr>
      <w:tr w14:paraId="096CC9A3">
        <w:tblPrEx>
          <w:tblCellMar>
            <w:top w:w="0" w:type="dxa"/>
            <w:left w:w="108" w:type="dxa"/>
            <w:bottom w:w="0" w:type="dxa"/>
            <w:right w:w="108" w:type="dxa"/>
          </w:tblCellMar>
        </w:tblPrEx>
        <w:trPr>
          <w:cantSplit/>
          <w:trHeight w:val="29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E3A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7280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C815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893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1.组织制定拟征收范围公告，研究拟定征收补偿方案，经批准后督促、检查、指导相关单位组织实施；</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2.组织对全县国有土地上征收范围内房屋进行调查登记和认定；</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3.监督拆迁补偿安置协议的签订、执行；</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4.负责补偿资金的调度和管理；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5.负责组织被征收人协商确定房地产价格评估机构；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4C17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1.负责国有土地上房屋征收补偿政策宣传工作；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2.参与房屋征收评估、数据公示、协议签订等工作。</w:t>
            </w:r>
          </w:p>
        </w:tc>
      </w:tr>
      <w:tr w14:paraId="3CA3E843">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0E38F4">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十三、交通运输（2项）</w:t>
            </w:r>
          </w:p>
        </w:tc>
      </w:tr>
      <w:tr w14:paraId="5E3FFEB3">
        <w:tblPrEx>
          <w:tblCellMar>
            <w:top w:w="0" w:type="dxa"/>
            <w:left w:w="108" w:type="dxa"/>
            <w:bottom w:w="0" w:type="dxa"/>
            <w:right w:w="108" w:type="dxa"/>
          </w:tblCellMar>
        </w:tblPrEx>
        <w:trPr>
          <w:cantSplit/>
          <w:trHeight w:val="55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FE2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2F2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626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E4F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1.负责交通秩序管理，查处各类道路交通安全违法行为；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2.负责交通事故处理及预防，调查处理道路交通事故，参与事故救援、损害、赔偿调解；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3.负责安全隐患、事故多发路段的排查、推送、监督整改；</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4.参与交通规划、道路建设；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5.负责车辆登记和机动车驾驶员的管理；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6.负责交通安全宣传，提升道路交通参与者的交通安全意识；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7.负责交警系统装备计划及后期管理；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县交通运输局：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8.加强道路运输企业</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客货运站场</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的行业源头管理；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9.加强道路运输车辆、驾驶员的日常监督；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10.实施国省干线的公路巡查、养护和管理；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E43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1.将道路交通安全纳入社会安全稳定总体工作；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2.开展道路交通安全宣传教育；</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2EC87932">
        <w:tblPrEx>
          <w:tblCellMar>
            <w:top w:w="0" w:type="dxa"/>
            <w:left w:w="108" w:type="dxa"/>
            <w:bottom w:w="0" w:type="dxa"/>
            <w:right w:w="108" w:type="dxa"/>
          </w:tblCellMar>
        </w:tblPrEx>
        <w:trPr>
          <w:cantSplit/>
          <w:trHeight w:val="202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ECB3F">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72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CBC6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4B2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1.负责进行勘验</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467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1.负责前期辖区道路运输初步规划；协助运输企业取得线路运营资质；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2.配合开展线路通行条件勘验工作。</w:t>
            </w:r>
          </w:p>
        </w:tc>
      </w:tr>
      <w:tr w14:paraId="094B1C11">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25D16B">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十四、文化和旅游（3项）</w:t>
            </w:r>
          </w:p>
        </w:tc>
      </w:tr>
      <w:tr w14:paraId="73E9CF28">
        <w:tblPrEx>
          <w:tblCellMar>
            <w:top w:w="0" w:type="dxa"/>
            <w:left w:w="108" w:type="dxa"/>
            <w:bottom w:w="0" w:type="dxa"/>
            <w:right w:w="108" w:type="dxa"/>
          </w:tblCellMar>
        </w:tblPrEx>
        <w:trPr>
          <w:cantSplit/>
          <w:trHeight w:val="85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099B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F10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669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810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6A8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1.做好应急广播使用、管理和安全播出工作；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2.做好联络群众与解释工作，协调安装及收集整理问题上报。</w:t>
            </w:r>
          </w:p>
        </w:tc>
      </w:tr>
      <w:tr w14:paraId="7B4DFE1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4BE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B43E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3B6C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E52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1.负责文化体育规划统计工作；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2.组织实施全县文化体育重大公益工程、公益活动和公共服务；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3.协调指导乡镇综合文化服务平台业务工作；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5.推动羽毛球、举重、武术等传统项目的开展；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827D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1.负责挖掘、申报、保护乡村非遗工作；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2.协助做好文化体育统计工作；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3.参加上级文化体育部门举办的文化体育活动；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4.参加上级组织开展的各项文体赛事；</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5.协助国民体质监测工作。</w:t>
            </w:r>
          </w:p>
        </w:tc>
      </w:tr>
      <w:tr w14:paraId="09BF12F5">
        <w:tblPrEx>
          <w:tblCellMar>
            <w:top w:w="0" w:type="dxa"/>
            <w:left w:w="108" w:type="dxa"/>
            <w:bottom w:w="0" w:type="dxa"/>
            <w:right w:w="108" w:type="dxa"/>
          </w:tblCellMar>
        </w:tblPrEx>
        <w:trPr>
          <w:cantSplit/>
          <w:trHeight w:val="240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D2AF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F6F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306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F15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1.对文物保护实施监督管理；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2.负责文物保护的宣传教育，组织开展文物展览活动；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3.负责全县文物的保护利用、考古调查、规划编制、项目申报及实施等工作；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4.制定文物保护单位和未核定为文物保护单位的不可移动文物的具体保护措施，并公告施行；</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994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1.负责本行政区域内的文物保护摸底调查；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2.对文物开展日常巡查。</w:t>
            </w:r>
          </w:p>
        </w:tc>
      </w:tr>
      <w:tr w14:paraId="60A2A6FC">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9A491E">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十五、卫生健康（3项）</w:t>
            </w:r>
          </w:p>
        </w:tc>
      </w:tr>
      <w:tr w14:paraId="2434B027">
        <w:tblPrEx>
          <w:tblCellMar>
            <w:top w:w="0" w:type="dxa"/>
            <w:left w:w="108" w:type="dxa"/>
            <w:bottom w:w="0" w:type="dxa"/>
            <w:right w:w="108" w:type="dxa"/>
          </w:tblCellMar>
        </w:tblPrEx>
        <w:trPr>
          <w:cantSplit/>
          <w:trHeight w:val="17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A7E8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5369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4018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D21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1.落实人口和计划生育工作相关法律法规和政策；</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2.开展“生育关怀”行动</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开展新型婚育文化、优生优育宣传工作；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1FC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1.负责计划生育家庭奖励扶助金初审申报资料录入和人口信息采集工作；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3.负责计生特殊家庭对象重病大病住院护理补贴资料收集、系统录入和理赔资料收集上传。</w:t>
            </w:r>
          </w:p>
        </w:tc>
      </w:tr>
      <w:tr w14:paraId="47BD4DAC">
        <w:tblPrEx>
          <w:tblCellMar>
            <w:top w:w="0" w:type="dxa"/>
            <w:left w:w="108" w:type="dxa"/>
            <w:bottom w:w="0" w:type="dxa"/>
            <w:right w:w="108" w:type="dxa"/>
          </w:tblCellMar>
        </w:tblPrEx>
        <w:trPr>
          <w:cantSplit/>
          <w:trHeight w:val="144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5D18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D24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1484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C40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1.负责传染病监测、流调、风险研判、宣传、应急处置等工作；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2.指导做好传染病防控工作；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7D6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1.发现辖区内出现疫情，及时上报疾控部门；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2.做好村（社区）防控工作，配合做好流调、处置工作，必要时开展人员摸排、管控工作。</w:t>
            </w:r>
          </w:p>
        </w:tc>
      </w:tr>
      <w:tr w14:paraId="52F023DB">
        <w:tblPrEx>
          <w:tblCellMar>
            <w:top w:w="0" w:type="dxa"/>
            <w:left w:w="108" w:type="dxa"/>
            <w:bottom w:w="0" w:type="dxa"/>
            <w:right w:w="108" w:type="dxa"/>
          </w:tblCellMar>
        </w:tblPrEx>
        <w:trPr>
          <w:cantSplit/>
          <w:trHeight w:val="118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CC44">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1B2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328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7D4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BD6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1.负责无偿献血的宣传和动员；</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2.指导镇属单位和村（社区）组织人员参加献血活动。</w:t>
            </w:r>
          </w:p>
        </w:tc>
      </w:tr>
      <w:tr w14:paraId="6478B03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642BFB">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十六、应急管理及消防（8项）</w:t>
            </w:r>
          </w:p>
        </w:tc>
      </w:tr>
      <w:tr w14:paraId="783A375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E20D">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C335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A57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AE4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县林业局：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1.做好森林火灾的预防；</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2.制定森林防火系统及生物防火林带项目建设计划，实施项目建设并组织验收；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县应急管理局：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3.组织开展森林火灾扑救工作；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AA3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1.开展森林防灭火知识宣传普及；</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2.制定森林防灭火应急预案，开展演练，做好值班值守；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3.划分网格，组建护林员队伍和防火灭火力量，储备必要的灭火物资；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4.发现火情，立即上报火灾地点、火势大小以及是否有人员被困等信息；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5.在火势较小、保证安全的前提下，先行组织进行初期扑救。</w:t>
            </w:r>
          </w:p>
        </w:tc>
      </w:tr>
      <w:tr w14:paraId="3D9816C4">
        <w:tblPrEx>
          <w:tblCellMar>
            <w:top w:w="0" w:type="dxa"/>
            <w:left w:w="108" w:type="dxa"/>
            <w:bottom w:w="0" w:type="dxa"/>
            <w:right w:w="108" w:type="dxa"/>
          </w:tblCellMar>
        </w:tblPrEx>
        <w:trPr>
          <w:cantSplit/>
          <w:trHeight w:val="92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58240">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C1F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376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3747">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1.指导协调低温雨雪冰冻天气预防工作；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3.及时发送预警信息，并对灾后恢复生产出具指导意见；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4.提供资金、物资保障；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5.出现重大自然</w:t>
            </w:r>
            <w:bookmarkStart w:id="12" w:name="_GoBack"/>
            <w:bookmarkEnd w:id="12"/>
            <w:r>
              <w:rPr>
                <w:rFonts w:hint="eastAsia" w:ascii="Times New Roman" w:hAnsi="方正公文仿宋" w:eastAsia="方正公文仿宋"/>
                <w:color w:val="auto"/>
                <w:kern w:val="0"/>
                <w:szCs w:val="21"/>
                <w:lang w:bidi="ar"/>
              </w:rPr>
              <w:t>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88FE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1.编制本级低温雨雪冰冻天气的防范应急预案；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2.组织辖区内开展低温雨雪冰冻天气防范的宣传和应急演练；</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3.雨雪冰冻天气时做好24小时应急值守和信息报送工作；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4.指导村（社区）开展低温雨雪冰冻天气防范有关工作；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5.做好低温雨雪冰冻天气灾害突发事件的第一时间上报；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6.协助做好群众安置、灾后恢复等工作；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7.收集上报受灾信息和资料；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8.及时接收和传递低温雨雪冰冻天气预报预警信息。</w:t>
            </w:r>
          </w:p>
        </w:tc>
      </w:tr>
      <w:tr w14:paraId="4478D6F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233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7F0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3F2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B9A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县应急管理局：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1.组织指导全县地质灾害应急救援；</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2.组织协调地质灾害救助，指导监督管理地质灾害应急救灾款物分配和发放；</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3.开展地质灾害突发事件调查评估；</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县自然资源局：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4.组织开展地质灾害防治宣传、培训、演练等；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5.组织开展地质灾害隐患点、斜坡单元等各类风险隐患点三查工作；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6.做好值班值守，出现险情时，组织、协调乡镇做好人员转移工作、报送突发事件信息；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220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1.开展宣传教育，提升群众自救能力，制定应急预案和调度方案，建立辖区风险隐患点清单；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2.组建乡镇抢险救援力量，组织开展日常演练，做好人防、物防、技防等准备工作；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3.开展辖区内地质灾害危险区等各类风险隐患点巡查巡护、隐患排查；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4.做好值班值守、信息报送、转发气象预警信息；</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5.出现险情时，及时组织受灾害威胁的居民及其他人员转移到安全地带；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7.组织开展灾后受灾群众的生产生活恢复工作。</w:t>
            </w:r>
          </w:p>
        </w:tc>
      </w:tr>
      <w:tr w14:paraId="65DE60A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EA26">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059C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7A7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DFC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县应急管理局：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县水利局：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390A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1.开展防汛抗旱宣传教育，制定防汛抗旱各类应急预案和调度方案，建立防汛风险隐患点清单；</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2.组织镇和村（社区）抢险救援队伍，开展防汛演练，清点现有及上级下发各项物资并登记造册；</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4.组织汛期值班值守、信息报送、转发气象预警，上报洪涝、积水情况；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5.转移安置受灾群众，做好受灾群众生活安排，及时发放上级下拨救助经费和物资，组织开展灾后受灾群众生产、生活恢复工作。</w:t>
            </w:r>
          </w:p>
        </w:tc>
      </w:tr>
      <w:tr w14:paraId="6990D00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DA9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957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42D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ED12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县应急管理局：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1.依法监督检查相关行业贯彻执行安全生产法律法规情况；</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县科学技术和工业信息化局：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2.配合有关部门做好小商店、小餐饮、小旅馆、小美容洗浴场所的行业安全管理；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县住房和城乡建设局：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4.负责依法实施“九小场所”设计审查、验收、备案抽查；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县文化旅游广电体育局：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5.负责小网吧和小歌舞娱乐场所安全管理；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县卫生健康局：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6.负责医疗机构（诊所）的行业安全管理；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县消防救援大队：</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016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1.组织开展安全生产知识普及，按照乡镇综合应急预案组织开展演练；</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3.安全生产事故发生后，迅速启动应急预案，并组织群众疏散撤离。</w:t>
            </w:r>
            <w:r>
              <w:rPr>
                <w:rFonts w:hint="eastAsia" w:ascii="Times New Roman" w:hAnsi="方正公文仿宋" w:eastAsia="方正公文仿宋"/>
                <w:color w:val="auto"/>
                <w:kern w:val="0"/>
                <w:szCs w:val="21"/>
                <w:lang w:bidi="ar"/>
              </w:rPr>
              <w:br w:type="textWrapping"/>
            </w:r>
          </w:p>
        </w:tc>
      </w:tr>
      <w:tr w14:paraId="1A0331B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5A7A">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D451A">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1355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C95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1.负责建立健全辖区应急管理体系和应急救援机制；</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2.制定突发应急事件预案；</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7D6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1.负责基层应急救援队伍的组建；</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2.组织开展演练；</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3.保障应急救援物资和设备。</w:t>
            </w:r>
          </w:p>
        </w:tc>
      </w:tr>
      <w:tr w14:paraId="3E0D3B0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1044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F600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8069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4C68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C1F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1.督促辖区单位落实好电动自行车的消防安全责任；</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2.督促开展电动车入户、飞线充电、空中缆线隐患排查。</w:t>
            </w:r>
          </w:p>
        </w:tc>
      </w:tr>
      <w:tr w14:paraId="34CC5E0B">
        <w:tblPrEx>
          <w:tblCellMar>
            <w:top w:w="0" w:type="dxa"/>
            <w:left w:w="108" w:type="dxa"/>
            <w:bottom w:w="0" w:type="dxa"/>
            <w:right w:w="108" w:type="dxa"/>
          </w:tblCellMar>
        </w:tblPrEx>
        <w:trPr>
          <w:cantSplit/>
          <w:trHeight w:val="620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E7D2">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65CC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10D2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88B6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县消防救援大队：</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1.承担城乡综合性消防救援工作，负责相关灾害事故救援行动的现场指挥调度；</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县公安局：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县住房和城乡建设局：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县应急管理局：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D004B">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1.开展消防安全知识宣传普及；</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2.按照镇综合应急预案，开展消防演练，做好消防物资和车辆的维护工作；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4.发生火情及时组织群众疏散。</w:t>
            </w:r>
          </w:p>
        </w:tc>
      </w:tr>
      <w:tr w14:paraId="37A49F6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FEBED5">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十七、市场监管（2项）</w:t>
            </w:r>
          </w:p>
        </w:tc>
      </w:tr>
      <w:tr w14:paraId="5ABA24C0">
        <w:tblPrEx>
          <w:tblCellMar>
            <w:top w:w="0" w:type="dxa"/>
            <w:left w:w="108" w:type="dxa"/>
            <w:bottom w:w="0" w:type="dxa"/>
            <w:right w:w="108" w:type="dxa"/>
          </w:tblCellMar>
        </w:tblPrEx>
        <w:trPr>
          <w:cantSplit/>
          <w:trHeight w:val="225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C85CB">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336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02426">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A37C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1.对食品生产经营主体进行定级；</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2.协助县级领导做好食品生产经营B级主体的包保、督导；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3.指导、协调乡镇做好食品生产经营C、D级主体的包保、督导；</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7CE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负责食品生产经营C、D级主体的食品安全进行包保、督导工作。</w:t>
            </w:r>
          </w:p>
        </w:tc>
      </w:tr>
      <w:tr w14:paraId="16BF1947">
        <w:tblPrEx>
          <w:tblCellMar>
            <w:top w:w="0" w:type="dxa"/>
            <w:left w:w="108" w:type="dxa"/>
            <w:bottom w:w="0" w:type="dxa"/>
            <w:right w:w="108" w:type="dxa"/>
          </w:tblCellMar>
        </w:tblPrEx>
        <w:trPr>
          <w:cantSplit/>
          <w:trHeight w:val="292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E1A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48A35">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C3BE">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37832">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县市场监督管理局：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1.牵头制定培训计划，组织开展业务培训；</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县城市管理和综合执法局：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3.征求各方意见，确定城区范围内食品摊贩的经营区域和经营时段，并向社会公布；</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835F">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1.指定临时食品摊贩经营路段、时间；</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2.合理安排摊位申请人数和实际可容纳；</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3.核发食品摊贩登记证；</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4.开展隐患排查，依法查处食品摊贩食品安全、不按规定从事经营活动等问题。</w:t>
            </w:r>
          </w:p>
        </w:tc>
      </w:tr>
      <w:tr w14:paraId="121B7C1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76BF6F">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十八、人民武装（1项）</w:t>
            </w:r>
          </w:p>
        </w:tc>
      </w:tr>
      <w:tr w14:paraId="41FFC07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EA087">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49CD">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CB0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D92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1.组织人民武装干部政治考核、教育培训、选拔任用；</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A92C">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1.配合开展人员调整工作；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2.定期参加军事训练。</w:t>
            </w:r>
          </w:p>
        </w:tc>
      </w:tr>
      <w:tr w14:paraId="0CA573B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40FB6D">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十九、综合政务（1项）</w:t>
            </w:r>
          </w:p>
        </w:tc>
      </w:tr>
      <w:tr w14:paraId="515F85A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A228">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6354">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6388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9959">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县审计局：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1.组织相关单位人员开展审计工作</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2.负责实地查阅账目和相关资料、进行个别谈话、召开座谈会、跟踪审计、公示审计结果等；</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县农业农村局：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1F9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1.收集、审核、上报审计和检查所需的资料；</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2.向审计组如实反映情况，配合做好个别谈话、座谈会等工作；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3.负责落实相关问题的整改工作。</w:t>
            </w:r>
          </w:p>
        </w:tc>
      </w:tr>
      <w:tr w14:paraId="6B2BEE6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D0BCC2">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二十、教育培训监管（1项）</w:t>
            </w:r>
          </w:p>
        </w:tc>
      </w:tr>
      <w:tr w14:paraId="7AD0F01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F8BD9">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4C30">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9698">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3321">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县教育局：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1.负责校外培训机构监管；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2.对违法违规办学的校外培训机构开展执法整治工作；</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县市场监督管理局：</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3.负责校外托管机构监管；</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AEA3">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1.开展校外培训与校外托管机构安全宣传和安全隐患的初步排查；</w:t>
            </w:r>
            <w:r>
              <w:rPr>
                <w:rFonts w:hint="eastAsia" w:ascii="Times New Roman" w:hAnsi="方正公文仿宋" w:eastAsia="方正公文仿宋"/>
                <w:color w:val="auto"/>
                <w:kern w:val="0"/>
                <w:szCs w:val="21"/>
                <w:lang w:bidi="ar"/>
              </w:rPr>
              <w:br w:type="textWrapping"/>
            </w:r>
            <w:r>
              <w:rPr>
                <w:rFonts w:hint="eastAsia" w:ascii="Times New Roman" w:hAnsi="方正公文仿宋" w:eastAsia="方正公文仿宋"/>
                <w:color w:val="auto"/>
                <w:kern w:val="0"/>
                <w:szCs w:val="21"/>
                <w:lang w:bidi="ar"/>
              </w:rPr>
              <w:t>2.开展违法违规校外培训与校外托管机构摸排、上报工作。</w:t>
            </w:r>
          </w:p>
        </w:tc>
      </w:tr>
    </w:tbl>
    <w:p w14:paraId="7CFF31F1">
      <w:pPr>
        <w:pStyle w:val="2"/>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418"/>
      <w:bookmarkStart w:id="9" w:name="_Toc172077951"/>
      <w:bookmarkStart w:id="10" w:name="_Toc172077553"/>
      <w:bookmarkStart w:id="11" w:name="_Toc9372"/>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3D8F240B">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B3F7C">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751B1">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7DEA">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07C2F19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8F1B7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528189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46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1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F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23F1FD6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3AB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21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5C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626F2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15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42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6DE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4E6593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435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AB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B7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6D4582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89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1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6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03B4413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3CA79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95D25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EA5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B8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D3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EBD3C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CC7E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82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E8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0CE2D9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BC7E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94A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0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6E5264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049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28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72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CBD6D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3C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B3F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61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5FD959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E2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70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2A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212E3D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CFD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2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BE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2387511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A9D31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1CBB87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7C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4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B3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480372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F7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EA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1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258C26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68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12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DA0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61586B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1B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FFE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C6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4F8E2B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263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5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30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3D62E0D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97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A9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2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2CA9BF0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72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0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4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549C103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E6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30B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A1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4B8C72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D8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905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FEF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27779E2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7A633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016B32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F6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FF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FE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6A4415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EE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0D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16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089F8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13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7B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3F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184B3B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BA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117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1B6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2B4122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17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A2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70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68A1C7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B4D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F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1D9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74A822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AD3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143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F95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2EB33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72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728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C3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7FB8A7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CC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F59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BE8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192B84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C7249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29681D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051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6F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4E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2DFAEA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A0E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DB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64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2C85AC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A0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997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646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15E3CE7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2D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0E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326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72CB4AA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4ED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C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2E3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3B8D17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249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6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22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7C54C6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CD3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6D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577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1B6F1F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183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6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2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04E579B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F041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545E96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9F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78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C6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69C21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2AC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EEC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CB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F701D4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92B6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651B28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30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B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5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7F9895F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7730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6D400B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F12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19B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46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599890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F0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02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91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4B571B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01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69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681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346762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FF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60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EE3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C5155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84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357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97C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842EA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C07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75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F2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42BAA8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3F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0DB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DA9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6D7483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1D6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C0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CC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263B2F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ED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B6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CAB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6D3ABA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429B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6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68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27AA0B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84E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65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D3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1D041A0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D7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1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A5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28ED37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61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48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DC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70AEB5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10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2C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282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7919139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C3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663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71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0C47EA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B86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A9F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6D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492B1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B3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FF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B6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34A89F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97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B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99B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96A0B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40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72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F5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75DE1C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22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20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3B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17C199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21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B2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5D5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A6FA0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8BA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1D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B9C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2B2828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3E2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A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1A9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5CB98D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14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56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18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71EF3E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6D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5C4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ECA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285ACB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DE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80F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CB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5AE4A2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74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C4B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C8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6565D5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83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A3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F9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7B2E75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8BA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A5E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6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2B9B86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DA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DE1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F0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0D30BE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BFA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50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0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58506B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2A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A0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AD0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7E7FC87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4A0DF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2AC9BD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B0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250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F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3443628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446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50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A1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1BDE37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B4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12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C3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79EC386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E95AD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0456B3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B4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76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DF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201A31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75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0B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999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24F0C5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39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0C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35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711250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30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28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BB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347D553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2C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47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2D4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4CF280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B9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01B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09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1CC6F0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B6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BC6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BF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1E3C294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A9688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18E631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924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96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7BA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2B5B0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FF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C1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26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3DFB9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62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432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057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EA5AF0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7F0F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69123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0D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7A4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1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7538D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EA9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4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13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DA055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71F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4B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31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18EA434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083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A7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0D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1F9D06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AD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5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43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5F517D9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9FF7A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07BA9EC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F91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F8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155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38D3D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95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351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795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7DE33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BA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FB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44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318197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C7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2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CB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998D1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03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EA1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15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08E583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385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1B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8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7BB2BB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19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95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EA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1F059E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36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E7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1D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BCB462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287BB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25608A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52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3A7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F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74390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D3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6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C17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4D3B3D8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BD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CC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5D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110E30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1B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21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7FF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65B3546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7865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2015B8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EC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3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7C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41CDAD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F29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78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B44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77E12A68">
      <w:pPr>
        <w:pStyle w:val="2"/>
        <w:spacing w:before="0" w:after="0" w:line="240" w:lineRule="auto"/>
        <w:jc w:val="center"/>
        <w:rPr>
          <w:rFonts w:ascii="Times New Roman" w:hAnsi="Times New Roman" w:eastAsia="方正小标宋_GBK" w:cs="Times New Roman"/>
          <w:color w:val="auto"/>
          <w:spacing w:val="7"/>
          <w:lang w:eastAsia="zh-CN"/>
        </w:rPr>
      </w:pPr>
    </w:p>
    <w:p w14:paraId="04A4161D">
      <w:pPr>
        <w:rPr>
          <w:rFonts w:ascii="Times New Roman" w:hAnsi="Times New Roman" w:cs="Times New Roman" w:eastAsiaTheme="minorEastAsia"/>
          <w:lang w:eastAsia="zh-CN"/>
        </w:rPr>
      </w:pPr>
    </w:p>
    <w:sectPr>
      <w:footerReference r:id="rId5" w:type="default"/>
      <w:pgSz w:w="16837" w:h="11905" w:orient="landscape"/>
      <w:pgMar w:top="1418" w:right="1418" w:bottom="1418" w:left="1418" w:header="851" w:footer="90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7E02B">
    <w:pPr>
      <w:pStyle w:val="4"/>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69EA9272">
                          <w:pPr>
                            <w:pStyle w:val="4"/>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69EA9272">
                    <w:pPr>
                      <w:pStyle w:val="4"/>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CD729">
    <w:pPr>
      <w:pStyle w:val="4"/>
      <w:ind w:right="360" w:firstLine="360"/>
      <w:rPr>
        <w:rFonts w:ascii="宋体" w:hAnsi="宋体" w:eastAsia="宋体"/>
      </w:rPr>
    </w:pPr>
    <w:r>
      <w:rPr>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230505"/>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75EF541B">
                          <w:pPr>
                            <w:pStyle w:val="4"/>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61312;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CcNjgSCQ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VcnnnFlhqOHHH9+Pd7+O&#10;P7+xebSnc76grFtHeaF/DT0NTZLq3Q3IL55ZuG6E3aorROgaJSqiN40vs3tPBxwfQTbdO6iojtgF&#10;SEB9jSZ6R24wQqfWHM6tUX1gMpacPn91QRQlXc0u8nmeuGWiGB879OGNAsNiUHKkzidwsb/xIZIR&#10;xZgSa1lY67ZN3W/tXweUGE8S+ch3YB76TX8yYwPVgWQgDMNEX4mCBvArZx0NUskt/RvO2reWjIgz&#10;NwY4BpsxEFbSw5IHzobwOgyzuXOotw3hjlZfkVlrnYREVwcOJ5Y0GknfaYzj7N3fp6w/X3f5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r277vRAAAAAwEAAA8AAAAAAAAAAQAgAAAAIgAAAGRycy9k&#10;b3ducmV2LnhtbFBLAQIUABQAAAAIAIdO4kCcNjgSCQIAAAIEAAAOAAAAAAAAAAEAIAAAACABAABk&#10;cnMvZTJvRG9jLnhtbFBLBQYAAAAABgAGAFkBAACbBQAAAAA=&#10;">
              <v:fill on="f" focussize="0,0"/>
              <v:stroke on="f"/>
              <v:imagedata o:title=""/>
              <o:lock v:ext="edit" aspectratio="f"/>
              <v:textbox inset="0mm,0mm,0mm,0mm" style="mso-fit-shape-to-text:t;">
                <w:txbxContent>
                  <w:p w14:paraId="75EF541B">
                    <w:pPr>
                      <w:pStyle w:val="4"/>
                      <w:rPr>
                        <w:rStyle w:val="10"/>
                        <w:rFonts w:ascii="宋体" w:hAnsi="宋体" w:eastAsia="宋体"/>
                        <w:sz w:val="28"/>
                        <w:szCs w:val="2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74121">
    <w:pPr>
      <w:pStyle w:val="4"/>
      <w:jc w:val="center"/>
      <w:rPr>
        <w:rFonts w:ascii="方正仿宋简体" w:hAnsi="方正仿宋简体" w:eastAsia="方正仿宋简体" w:cs="方正仿宋简体"/>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31573F">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631573F">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6"/>
      <w:lvlText w:val="%1."/>
      <w:lvlJc w:val="left"/>
      <w:pPr>
        <w:ind w:left="420" w:hanging="420"/>
      </w:pPr>
      <w:rPr>
        <w:rFonts w:hint="default" w:ascii="方正小标宋简体" w:hAnsi="方正小标宋简体" w:eastAsia="方正小标宋简体" w:cs="方正小标宋简体"/>
        <w:b w:val="0"/>
        <w:bCs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4005B87"/>
    <w:rsid w:val="073F5011"/>
    <w:rsid w:val="0D8B33EC"/>
    <w:rsid w:val="0E4E4B27"/>
    <w:rsid w:val="12E3308D"/>
    <w:rsid w:val="165718E4"/>
    <w:rsid w:val="1C8431EB"/>
    <w:rsid w:val="20690D64"/>
    <w:rsid w:val="28ED76D3"/>
    <w:rsid w:val="2E650EC0"/>
    <w:rsid w:val="3B3B6D13"/>
    <w:rsid w:val="3B613E23"/>
    <w:rsid w:val="3DE43692"/>
    <w:rsid w:val="3DFD8990"/>
    <w:rsid w:val="3F081602"/>
    <w:rsid w:val="401F30A7"/>
    <w:rsid w:val="40401E9D"/>
    <w:rsid w:val="448B2AB9"/>
    <w:rsid w:val="47F87A80"/>
    <w:rsid w:val="4BCF19D4"/>
    <w:rsid w:val="4D390750"/>
    <w:rsid w:val="4D58621E"/>
    <w:rsid w:val="536E0556"/>
    <w:rsid w:val="5C3EB329"/>
    <w:rsid w:val="5E610746"/>
    <w:rsid w:val="629078B7"/>
    <w:rsid w:val="6720278B"/>
    <w:rsid w:val="6729343A"/>
    <w:rsid w:val="7036571F"/>
    <w:rsid w:val="75FB5E13"/>
    <w:rsid w:val="767F7E19"/>
    <w:rsid w:val="776E409A"/>
    <w:rsid w:val="78B10039"/>
    <w:rsid w:val="790B532B"/>
    <w:rsid w:val="7CFDF301"/>
    <w:rsid w:val="7F1A8B1D"/>
    <w:rsid w:val="7FA58767"/>
    <w:rsid w:val="7FBB658B"/>
    <w:rsid w:val="7FDF2F12"/>
    <w:rsid w:val="AFAF3F47"/>
    <w:rsid w:val="B6FA291D"/>
    <w:rsid w:val="DAFE30C3"/>
    <w:rsid w:val="EDFFB426"/>
    <w:rsid w:val="F47BB8C3"/>
    <w:rsid w:val="FF0B544D"/>
    <w:rsid w:val="FFE7FF05"/>
    <w:rsid w:val="FFFF8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semiHidden/>
    <w:qFormat/>
    <w:uiPriority w:val="0"/>
  </w:style>
  <w:style w:type="paragraph" w:styleId="4">
    <w:name w:val="footer"/>
    <w:basedOn w:val="1"/>
    <w:link w:val="14"/>
    <w:qFormat/>
    <w:uiPriority w:val="0"/>
    <w:pPr>
      <w:tabs>
        <w:tab w:val="center" w:pos="4153"/>
        <w:tab w:val="right" w:pos="8306"/>
      </w:tabs>
    </w:pPr>
    <w:rPr>
      <w:sz w:val="18"/>
      <w:szCs w:val="18"/>
    </w:rPr>
  </w:style>
  <w:style w:type="paragraph" w:styleId="5">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6">
    <w:name w:val="toc 1"/>
    <w:basedOn w:val="1"/>
    <w:next w:val="1"/>
    <w:autoRedefine/>
    <w:unhideWhenUsed/>
    <w:qFormat/>
    <w:uiPriority w:val="39"/>
    <w:pPr>
      <w:numPr>
        <w:ilvl w:val="0"/>
        <w:numId w:val="1"/>
      </w:numPr>
    </w:pPr>
    <w:rPr>
      <w:rFonts w:ascii="Times New Roman" w:hAnsi="Times New Roman" w:eastAsia="方正公文仿宋"/>
      <w:sz w:val="32"/>
    </w:rPr>
  </w:style>
  <w:style w:type="paragraph" w:styleId="7">
    <w:name w:val="Title"/>
    <w:basedOn w:val="1"/>
    <w:next w:val="1"/>
    <w:link w:val="12"/>
    <w:qFormat/>
    <w:uiPriority w:val="0"/>
    <w:pPr>
      <w:spacing w:before="240" w:after="60"/>
      <w:jc w:val="center"/>
      <w:outlineLvl w:val="0"/>
    </w:pPr>
    <w:rPr>
      <w:b/>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7"/>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3"/>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4"/>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2"/>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2"/>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5"/>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c16ac="http://schemas.microsoft.com/office/drawing/2014/chart/ac" xmlns:we="http://schemas.microsoft.com/office/webextensions/webextension/2010/11" xmlns:an18="http://schemas.microsoft.com/office/drawing/2018/animation" xmlns:wp="http://schemas.openxmlformats.org/drawingml/2006/wordprocessingDrawing" xmlns:sl="http://schemas.openxmlformats.org/schemaLibrary/2006/main" xmlns:a14="http://schemas.microsoft.com/office/drawing/2010/main" xmlns:a15="http://schemas.microsoft.com/office/drawing/2012/main" xmlns:a16="http://schemas.microsoft.com/office/drawing/2014/main" xmlns:dsp="http://schemas.microsoft.com/office/drawing/2008/diagram" xmlns:dgm1611="http://schemas.microsoft.com/office/drawing/2016/11/diagram" xmlns:dgm1612="http://schemas.microsoft.com/office/drawing/2016/12/diagram" xmlns:oda="http://opendope.org/answers" xmlns:odc="http://opendope.org/conditions" xmlns:msink="http://schemas.microsoft.com/ink/2010/main" xmlns:iact="http://schemas.microsoft.com/office/powerpoint/2014/inkAction" xmlns:odi="http://opendope.org/components" xmlns:adec="http://schemas.microsoft.com/office/drawing/2017/decorative" xmlns:wne="http://schemas.microsoft.com/office/word/2006/wordml" xmlns:cdr="http://schemas.openxmlformats.org/drawingml/2006/chartDrawing" xmlns:dgm="http://schemas.openxmlformats.org/drawingml/2006/diagram" xmlns:odq="http://opendope.org/questions" xmlns:a16svg="http://schemas.microsoft.com/office/drawing/2016/SVG/main" xmlns:wetp="http://schemas.microsoft.com/office/webextensions/taskpanes/2010/11" xmlns:cs="http://schemas.microsoft.com/office/drawing/2012/chartStyle" xmlns:lc="http://schemas.openxmlformats.org/drawingml/2006/lockedCanvas" xmlns:xdr="http://schemas.openxmlformats.org/drawingml/2006/spreadsheetDrawing" xmlns:a="http://schemas.openxmlformats.org/drawingml/2006/main" xmlns:cx="http://schemas.microsoft.com/office/drawing/2014/chartex" xmlns:odx="http://opendope.org/xpaths" xmlns:c="http://schemas.openxmlformats.org/drawingml/2006/chart" xmlns:cdr14="http://schemas.microsoft.com/office/drawing/2010/chartDrawing" xmlns:w10="urn:schemas-microsoft-com:office:word" xmlns:m="http://schemas.openxmlformats.org/officeDocument/2006/math" xmlns:pvml="urn:schemas-microsoft-com:office:powerpoint" xmlns:w14="http://schemas.microsoft.com/office/word/2010/wordml" xmlns:am3d="http://schemas.microsoft.com/office/drawing/2017/model3d" xmlns:o="urn:schemas-microsoft-com:office:office" xmlns:w15="http://schemas.microsoft.com/office/word/2012/wordml" xmlns:r="http://schemas.openxmlformats.org/officeDocument/2006/relationships" xmlns:ns38="http://www.w3.org/1998/Math/MathML" xmlns:ns39="http://www.w3.org/2003/InkML" xmlns:v="urn:schemas-microsoft-com:vml" xmlns:w="http://schemas.openxmlformats.org/wordprocessingml/2006/main" xmlns:pic14="http://schemas.microsoft.com/office/drawing/2010/picture" xmlns:a13cmd="http://schemas.microsoft.com/office/drawing/2013/main/command" xmlns:mc="http://schemas.openxmlformats.org/markup-compatibility/2006" xmlns:odgm="http://opendope.org/SmartArt/DataHierarchy" xmlns:thm15="http://schemas.microsoft.com/office/thememl/2012/main" xmlns:anam3d="http://schemas.microsoft.com/office/drawing/2018/animation/model3d" xmlns:a1611="http://schemas.microsoft.com/office/drawing/2016/11/main" xmlns:wp14="http://schemas.microsoft.com/office/word/2010/wordprocessingDrawing" xmlns:wp15="http://schemas.microsoft.com/office/word/2012/wordprocessingDrawing" xmlns:c173="http://schemas.microsoft.com/office/drawing/2017/03/chart" xmlns:a18hc="http://schemas.microsoft.com/office/drawing/2018/hyperlinkcolor" xmlns:pic="http://schemas.openxmlformats.org/drawingml/2006/picture" xmlns:wpc="http://schemas.microsoft.com/office/word/2010/wordprocessingCanvas" xmlns:dgm14="http://schemas.microsoft.com/office/drawing/2010/diagram" xmlns:c14="http://schemas.microsoft.com/office/drawing/2007/8/2/chart" xmlns:xvml="urn:schemas-microsoft-com:office:excel" xmlns:c15="http://schemas.microsoft.com/office/drawing/2012/chart" xmlns:wpg="http://schemas.microsoft.com/office/word/2010/wordprocessingGroup" xmlns:c16="http://schemas.microsoft.com/office/drawing/2014/chart" xmlns:comp="http://schemas.openxmlformats.org/drawingml/2006/compatibility" xmlns:w16se="http://schemas.microsoft.com/office/word/2015/wordml/symex" xmlns:cppr="http://schemas.microsoft.com/office/2006/coverPageProps" xmlns:wps="http://schemas.microsoft.com/office/word/2010/wordprocessingShape" xmlns:w16cid="http://schemas.microsoft.com/office/word/2016/wordml/cid"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64</Pages>
  <Words>75</Words>
  <Characters>78</Characters>
  <Lines>1</Lines>
  <Paragraphs>1</Paragraphs>
  <TotalTime>12</TotalTime>
  <ScaleCrop>false</ScaleCrop>
  <LinksUpToDate>false</LinksUpToDate>
  <CharactersWithSpaces>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2024-07-16T20:59:00Z</dcterms:created>
  <dc:creator>liuhl</dc:creator>
  <cp:lastModifiedBy>悟荣</cp:lastModifiedBy>
  <cp:lastPrinted>2025-07-26T03:10:00Z</cp:lastPrinted>
  <dcterms:modified xsi:type="dcterms:W3CDTF">2025-08-01T02:21:05Z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D5277BBD7B2ABBD718E689684CA0E9FE_43</vt:lpwstr>
  </property>
  <property fmtid="{D5CDD505-2E9C-101B-9397-08002B2CF9AE}" pid="4" name="KSOTemplateDocerSaveRecord">
    <vt:lpwstr>eyJoZGlkIjoiYjFlOTU2N2JjYTdjYTg4NjE5NDcwOTkxN2JmNTNhZmEiLCJ1c2VySWQiOiI0MzA5MTk2MTEifQ==</vt:lpwstr>
  </property>
</Properties>
</file>