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7347A9D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2024年度安化县看守所</w:t>
      </w: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5"/>
      </w:pPr>
    </w:p>
    <w:p w14:paraId="311F1E4D">
      <w:pPr>
        <w:widowControl/>
        <w:ind w:firstLine="361" w:firstLineChars="100"/>
        <w:rPr>
          <w:rFonts w:hint="eastAsia" w:ascii="楷体" w:hAnsi="楷体" w:eastAsia="楷体" w:cs="楷体"/>
          <w:b/>
          <w:bCs/>
          <w:kern w:val="0"/>
          <w:sz w:val="36"/>
          <w:szCs w:val="36"/>
        </w:rPr>
      </w:pPr>
    </w:p>
    <w:p w14:paraId="7D7DCF73">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14:paraId="70454183">
      <w:pPr>
        <w:widowControl/>
        <w:rPr>
          <w:rFonts w:hint="eastAsia" w:ascii="黑体" w:hAnsi="黑体" w:eastAsia="黑体" w:cs="黑体"/>
          <w:b w:val="0"/>
          <w:bCs w:val="0"/>
          <w:kern w:val="0"/>
          <w:sz w:val="48"/>
          <w:szCs w:val="48"/>
          <w:u w:val="single"/>
        </w:rPr>
      </w:pP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7186672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14:paraId="4CC09CA5">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eastAsia="zh-CN"/>
        </w:rPr>
      </w:pPr>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年度安化县</w:t>
      </w:r>
      <w:r>
        <w:rPr>
          <w:rFonts w:hint="eastAsia" w:ascii="微软雅黑" w:hAnsi="仿宋" w:eastAsia="微软雅黑" w:cs="宋体"/>
          <w:b w:val="0"/>
          <w:bCs/>
          <w:kern w:val="0"/>
          <w:sz w:val="44"/>
          <w:szCs w:val="44"/>
          <w:lang w:eastAsia="zh-CN"/>
        </w:rPr>
        <w:t>看守所</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整体支出绩效自评报告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101E564F">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1、负责对被逮捕、刑事拘留的犯罪嫌疑人、被告人的羁押、管教工作，保证侦查、预审、起诉、审判工作的顺利进行；</w:t>
      </w:r>
    </w:p>
    <w:p w14:paraId="1FD1ABBF">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2、管理在押人员的生活和卫生；负责对余刑三个月以下留所人犯强制劳动改造管教工作，对判处有期徒刑（余刑三个月以上）、无期徒刑、死刑的罪犯，武装押解、交付执行；</w:t>
      </w:r>
    </w:p>
    <w:p w14:paraId="586B5CD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lang w:val="en-US" w:eastAsia="zh-CN"/>
        </w:rPr>
      </w:pPr>
      <w:r>
        <w:rPr>
          <w:rFonts w:hint="eastAsia" w:ascii="仿宋" w:hAnsi="仿宋" w:eastAsia="仿宋" w:cs="仿宋"/>
          <w:b w:val="0"/>
          <w:bCs w:val="0"/>
          <w:i w:val="0"/>
          <w:iCs w:val="0"/>
          <w:caps w:val="0"/>
          <w:color w:val="3D3D3D"/>
          <w:spacing w:val="0"/>
          <w:sz w:val="32"/>
          <w:szCs w:val="32"/>
          <w:shd w:val="clear" w:color="auto" w:fill="FFFFFF"/>
          <w:lang w:val="en-US" w:eastAsia="zh-CN"/>
        </w:rPr>
        <w:t>3、开展在押人员坦白、检举线索的收集、传递和查证反馈工作。</w:t>
      </w:r>
    </w:p>
    <w:p w14:paraId="0AB67CC8">
      <w:pPr>
        <w:pStyle w:val="6"/>
        <w:shd w:val="clear" w:color="auto" w:fill="FFFFFF"/>
        <w:spacing w:before="0" w:beforeAutospacing="0" w:after="0" w:afterAutospacing="0" w:line="594" w:lineRule="exact"/>
        <w:ind w:firstLine="640" w:firstLineChars="200"/>
        <w:jc w:val="both"/>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03817F0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2024年度整体支出总额632.15万元，其中财政拨款收入632.15万元，占总收入的100%。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基本支出348.11万元，是为保障各部门正常运转、完成日常工作任务而发生的各项支出，主要包括工资福利支出308.48万元，商品和服务支出24.88万元，对个人和家庭支出14.75万元。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“三公”经费支出情况：2024年“三公”经费完成0.15万元，比上年减少0.06万元。主要原因是：厉行节俭，减少开支。</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项目支出284.04万元，包含：</w:t>
      </w:r>
      <w:r>
        <w:rPr>
          <w:rFonts w:hint="eastAsia" w:ascii="仿宋_GB2312" w:eastAsia="仿宋_GB2312"/>
          <w:sz w:val="32"/>
          <w:szCs w:val="32"/>
          <w:lang w:eastAsia="zh-CN"/>
        </w:rPr>
        <w:t>业务工作</w:t>
      </w:r>
      <w:r>
        <w:rPr>
          <w:rFonts w:hint="eastAsia" w:ascii="仿宋_GB2312" w:eastAsia="仿宋_GB2312"/>
          <w:sz w:val="32"/>
          <w:szCs w:val="32"/>
        </w:rPr>
        <w:t>经费</w:t>
      </w:r>
      <w:r>
        <w:rPr>
          <w:rFonts w:hint="eastAsia" w:ascii="仿宋_GB2312" w:eastAsia="仿宋_GB2312"/>
          <w:sz w:val="32"/>
          <w:szCs w:val="32"/>
          <w:lang w:eastAsia="zh-CN"/>
        </w:rPr>
        <w:t>以及运行维护经费、协警及临时工工资等。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default" w:eastAsia="仿宋_GB2312"/>
          <w:lang w:val="en-US" w:eastAsia="zh-CN"/>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6C2E81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2024年度支出总额</w:t>
      </w:r>
      <w:r>
        <w:rPr>
          <w:rFonts w:hint="eastAsia" w:ascii="仿宋" w:hAnsi="仿宋" w:eastAsia="仿宋" w:cs="仿宋"/>
          <w:b w:val="0"/>
          <w:bCs w:val="0"/>
          <w:i w:val="0"/>
          <w:iCs w:val="0"/>
          <w:caps w:val="0"/>
          <w:color w:val="3D3D3D"/>
          <w:spacing w:val="0"/>
          <w:sz w:val="32"/>
          <w:szCs w:val="32"/>
          <w:shd w:val="clear" w:color="auto" w:fill="FFFFFF"/>
          <w:lang w:val="en-US" w:eastAsia="zh-CN"/>
        </w:rPr>
        <w:t>632.15</w:t>
      </w:r>
      <w:r>
        <w:rPr>
          <w:rFonts w:hint="eastAsia" w:ascii="Times New Roman" w:hAnsi="Times New Roman" w:eastAsia="仿宋_GB2312" w:cs="Times New Roman"/>
          <w:bCs/>
          <w:color w:val="auto"/>
          <w:kern w:val="2"/>
          <w:sz w:val="32"/>
          <w:szCs w:val="32"/>
          <w:highlight w:val="none"/>
          <w:lang w:val="en-US" w:eastAsia="zh-CN" w:bidi="ar-SA"/>
        </w:rPr>
        <w:t>万元，其中基本支出</w:t>
      </w:r>
      <w:r>
        <w:rPr>
          <w:rFonts w:hint="eastAsia" w:ascii="仿宋" w:hAnsi="仿宋" w:eastAsia="仿宋" w:cs="Times New Roman"/>
          <w:kern w:val="2"/>
          <w:sz w:val="32"/>
          <w:szCs w:val="24"/>
          <w:u w:val="none"/>
          <w:shd w:val="clear" w:color="auto" w:fill="auto"/>
          <w:lang w:val="en-US" w:eastAsia="zh-CN" w:bidi="ar-SA"/>
        </w:rPr>
        <w:t>348.11</w:t>
      </w:r>
      <w:r>
        <w:rPr>
          <w:rFonts w:hint="eastAsia" w:ascii="Times New Roman" w:hAnsi="Times New Roman" w:eastAsia="仿宋_GB2312" w:cs="Times New Roman"/>
          <w:bCs/>
          <w:color w:val="auto"/>
          <w:kern w:val="2"/>
          <w:sz w:val="32"/>
          <w:szCs w:val="32"/>
          <w:highlight w:val="none"/>
          <w:lang w:val="en-US" w:eastAsia="zh-CN" w:bidi="ar-SA"/>
        </w:rPr>
        <w:t>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284.04</w:t>
      </w:r>
      <w:r>
        <w:rPr>
          <w:rFonts w:hint="eastAsia" w:ascii="Times New Roman" w:hAnsi="Times New Roman" w:eastAsia="仿宋_GB2312" w:cs="Times New Roman"/>
          <w:bCs/>
          <w:color w:val="auto"/>
          <w:kern w:val="2"/>
          <w:sz w:val="32"/>
          <w:szCs w:val="32"/>
          <w:highlight w:val="none"/>
          <w:lang w:val="en-US" w:eastAsia="zh-CN" w:bidi="ar-SA"/>
        </w:rPr>
        <w:t>万元。</w:t>
      </w:r>
    </w:p>
    <w:p w14:paraId="19C9F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14:paraId="38786B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2024年，在县委、县政府和上级部门的正确领导下，我们紧紧围绕年度目标任务，团结拼搏，全面完成了各项工作任务。在押人员伙食费按照260元每人/每月的标准完成，杂费60元每人/每月的标准完成，我所2024年保障了在押人员伙食安全足量供给。监所医疗卫生专业化为我所提供了一年的专业化医疗保障，我所2024年无一例医疗意外事故发生，全面完成项目预期目标。协警及临时工工资按时发放，2024</w:t>
      </w:r>
      <w:bookmarkStart w:id="0" w:name="_GoBack"/>
      <w:bookmarkEnd w:id="0"/>
      <w:r>
        <w:rPr>
          <w:rFonts w:hint="eastAsia" w:ascii="Times New Roman" w:hAnsi="Times New Roman" w:eastAsia="仿宋_GB2312" w:cs="Times New Roman"/>
          <w:bCs/>
          <w:color w:val="auto"/>
          <w:kern w:val="2"/>
          <w:sz w:val="32"/>
          <w:szCs w:val="32"/>
          <w:highlight w:val="none"/>
          <w:lang w:val="en-US" w:eastAsia="zh-CN" w:bidi="ar-SA"/>
        </w:rPr>
        <w:t>年为社会提供了25个就业岗位，并按时足额发放协警及临时工工资福利。</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62E653A6">
      <w:pPr>
        <w:keepNext w:val="0"/>
        <w:keepLines w:val="0"/>
        <w:widowControl/>
        <w:suppressLineNumbers w:val="0"/>
        <w:ind w:firstLine="640" w:firstLineChars="200"/>
        <w:jc w:val="left"/>
        <w:rPr>
          <w:kern w:val="0"/>
          <w:szCs w:val="32"/>
        </w:rPr>
      </w:pP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33625343">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14:paraId="696474B6">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1、加强财务管理，严格财务审核。</w:t>
      </w:r>
    </w:p>
    <w:p w14:paraId="047BDF44">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2、对相关人员加强培训，切实提高</w:t>
      </w:r>
      <w:r>
        <w:rPr>
          <w:rFonts w:hint="eastAsia" w:ascii="仿宋_GB2312" w:hAnsi="仿宋" w:cs="Times New Roman"/>
          <w:sz w:val="32"/>
          <w:szCs w:val="32"/>
          <w:lang w:val="en-US" w:eastAsia="zh-CN"/>
        </w:rPr>
        <w:t>财务</w:t>
      </w:r>
      <w:r>
        <w:rPr>
          <w:rFonts w:hint="eastAsia" w:ascii="仿宋_GB2312" w:hAnsi="仿宋" w:eastAsia="仿宋_GB2312" w:cs="Times New Roman"/>
          <w:sz w:val="32"/>
          <w:szCs w:val="32"/>
          <w:lang w:val="en-US" w:eastAsia="zh-CN"/>
        </w:rPr>
        <w:t>人员业务水平。</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2"/>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029228E1"/>
    <w:rsid w:val="074B01AA"/>
    <w:rsid w:val="14FF1319"/>
    <w:rsid w:val="257D691C"/>
    <w:rsid w:val="321D5575"/>
    <w:rsid w:val="33357B76"/>
    <w:rsid w:val="4FFB6594"/>
    <w:rsid w:val="53246BC3"/>
    <w:rsid w:val="58057740"/>
    <w:rsid w:val="5E1C1B39"/>
    <w:rsid w:val="64B56C4A"/>
    <w:rsid w:val="6D445020"/>
    <w:rsid w:val="720A579D"/>
    <w:rsid w:val="72AE7F16"/>
    <w:rsid w:val="7CD7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qFormat/>
    <w:uiPriority w:val="99"/>
    <w:pPr>
      <w:ind w:firstLine="640" w:firstLineChars="200"/>
    </w:pPr>
    <w:rPr>
      <w:sz w:val="32"/>
      <w:szCs w:val="32"/>
    </w:rPr>
  </w:style>
  <w:style w:type="paragraph" w:styleId="4">
    <w:name w:val="toc 5"/>
    <w:basedOn w:val="1"/>
    <w:next w:val="1"/>
    <w:unhideWhenUsed/>
    <w:qFormat/>
    <w:uiPriority w:val="39"/>
    <w:pPr>
      <w:ind w:left="1680" w:leftChars="800"/>
    </w:pPr>
    <w:rPr>
      <w:rFonts w:ascii="等线" w:hAnsi="等线" w:eastAsia="等线" w:cs="Times New Roman"/>
      <w:szCs w:val="22"/>
    </w:rPr>
  </w:style>
  <w:style w:type="paragraph" w:styleId="5">
    <w:name w:val="toc 1"/>
    <w:basedOn w:val="1"/>
    <w:next w:val="1"/>
    <w:unhideWhenUsed/>
    <w:qFormat/>
    <w:uiPriority w:val="99"/>
    <w:pPr>
      <w:spacing w:beforeLines="0" w:afterLines="0"/>
    </w:pPr>
    <w:rPr>
      <w:rFonts w:hint="default"/>
      <w:sz w:val="21"/>
      <w:szCs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1511</Words>
  <Characters>1616</Characters>
  <Lines>0</Lines>
  <Paragraphs>0</Paragraphs>
  <TotalTime>4</TotalTime>
  <ScaleCrop>false</ScaleCrop>
  <LinksUpToDate>false</LinksUpToDate>
  <CharactersWithSpaces>1635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啦啦啦啦</cp:lastModifiedBy>
  <dcterms:modified xsi:type="dcterms:W3CDTF">2025-04-26T10:34:33Z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1B05778175264BB6AEF87F20CA143FB7_13</vt:lpwstr>
  </property>
  <property fmtid="{D5CDD505-2E9C-101B-9397-08002B2CF9AE}" pid="4" name="KSOTemplateDocerSaveRecord">
    <vt:lpwstr>eyJoZGlkIjoiOTI4YmQ5Y2MzMGVhMDY4NDkwNTBhM2FiMTI1OTFmZTEiLCJ1c2VySWQiOiIyMDUwMzE0MDYifQ==</vt:lpwstr>
  </property>
</Properties>
</file>