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BA434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1810A5D5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240B885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6310FC17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0298A05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24666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2024年度安化县委统战部</w:t>
      </w:r>
      <w:r>
        <w:rPr>
          <w:rFonts w:hint="eastAsia" w:ascii="黑体" w:hAnsi="黑体" w:eastAsia="黑体" w:cs="黑体"/>
          <w:sz w:val="52"/>
          <w:szCs w:val="52"/>
        </w:rPr>
        <w:t>整体支出</w:t>
      </w:r>
    </w:p>
    <w:p w14:paraId="40BF1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绩效自评报告</w:t>
      </w:r>
    </w:p>
    <w:p w14:paraId="4BB99519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7EF9A01"/>
    <w:p w14:paraId="39CAB061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2453DF51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D857AD5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A1F86BE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F8F8C77">
      <w:pPr>
        <w:pStyle w:val="3"/>
      </w:pPr>
    </w:p>
    <w:p w14:paraId="5CD37124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5C83E839"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  <w:lang w:eastAsia="zh-CN"/>
        </w:rPr>
        <w:t>中共安化县委统战部</w:t>
      </w:r>
    </w:p>
    <w:p w14:paraId="1D537087"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 w14:paraId="12B5958A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月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日</w:t>
      </w:r>
    </w:p>
    <w:p w14:paraId="2FF3B310">
      <w:pPr>
        <w:spacing w:line="594" w:lineRule="exact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（此页为封面）</w:t>
      </w:r>
    </w:p>
    <w:p w14:paraId="3267A5BF">
      <w:pPr>
        <w:spacing w:line="594" w:lineRule="exact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</w:p>
    <w:p w14:paraId="59E34099">
      <w:pPr>
        <w:spacing w:line="594" w:lineRule="exact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</w:p>
    <w:p w14:paraId="651D4D25">
      <w:pPr>
        <w:spacing w:line="594" w:lineRule="exact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</w:p>
    <w:p w14:paraId="4E978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安化县委统战部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整体支出</w:t>
      </w:r>
    </w:p>
    <w:p w14:paraId="24BA2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绩效自评报告</w:t>
      </w:r>
    </w:p>
    <w:p w14:paraId="462A5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44EA1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部门(单位)基本情况</w:t>
      </w:r>
    </w:p>
    <w:p w14:paraId="0D618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eastAsia="黑体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年度重点工作</w:t>
      </w:r>
    </w:p>
    <w:p w14:paraId="4E62B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1.宣传引领工作有热度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79C760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2.民族宗教工作有力度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3F69ED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3.助力乡村振兴有深度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</w:p>
    <w:p w14:paraId="0E60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服务民营经济有温度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001746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5.网络统战工作有广度。</w:t>
      </w:r>
    </w:p>
    <w:p w14:paraId="4F814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kern w:val="0"/>
          <w:szCs w:val="32"/>
        </w:rPr>
        <w:t>部门整体支出规模、使用方向和主要内容、涉及范围</w:t>
      </w:r>
    </w:p>
    <w:p w14:paraId="43F653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54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kern w:val="0"/>
          <w:szCs w:val="32"/>
          <w:lang w:val="en-US" w:eastAsia="zh-CN"/>
        </w:rPr>
        <w:t xml:space="preserve">   </w:t>
      </w:r>
      <w:r>
        <w:rPr>
          <w:rFonts w:hint="eastAsia"/>
          <w:color w:val="auto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本年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收入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合计499.15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万元。其中一般公共预算财政拨款收入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499.15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万元,政府性基金预算财政拨款收入0万元。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本年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合计499.15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万元。其中，基本支出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201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 ，项目支出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298.15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</w:t>
      </w:r>
    </w:p>
    <w:p w14:paraId="6299F4F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基本支出主要是人员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工资、机关事业单位基本养老保险、职工医疗保险、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工伤保险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、住房公积金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公务接待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、乡镇振兴帮扶及机关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办公费、电费、差旅费、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会议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费、培训费、工会经费、其他交通费用、其他商品和服务支出等；项目支出主要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是开展民族宗教、侨务侨联、同心美丽乡村创建、宗教中国化建设、民主党派对接服务、少数民族发展任务等工作开支</w:t>
      </w:r>
      <w:r>
        <w:rPr>
          <w:rFonts w:hint="eastAsia"/>
          <w:lang w:val="en-US" w:eastAsia="zh-CN"/>
        </w:rPr>
        <w:t>。</w:t>
      </w:r>
    </w:p>
    <w:p w14:paraId="00219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等产生的经费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情况</w:t>
      </w:r>
    </w:p>
    <w:p w14:paraId="3DC04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rPr>
          <w:rFonts w:hint="eastAsia" w:eastAsia="楷体_GB2312"/>
          <w:kern w:val="0"/>
          <w:szCs w:val="32"/>
          <w:lang w:eastAsia="zh-CN"/>
        </w:rPr>
      </w:pPr>
      <w:r>
        <w:rPr>
          <w:rFonts w:eastAsia="楷体_GB2312"/>
          <w:kern w:val="0"/>
          <w:szCs w:val="32"/>
        </w:rPr>
        <w:t>（一）基本支出</w:t>
      </w:r>
      <w:r>
        <w:rPr>
          <w:rFonts w:hint="eastAsia" w:eastAsia="楷体_GB2312"/>
          <w:kern w:val="0"/>
          <w:szCs w:val="32"/>
          <w:lang w:eastAsia="zh-CN"/>
        </w:rPr>
        <w:t>情况</w:t>
      </w:r>
    </w:p>
    <w:p w14:paraId="0595D920">
      <w:pPr>
        <w:keepNext w:val="0"/>
        <w:keepLines w:val="0"/>
        <w:pageBreakBefore w:val="0"/>
        <w:widowControl/>
        <w:tabs>
          <w:tab w:val="left" w:pos="3396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基本支出预算严格按照预算管理标准编制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支出合计为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201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是为保障各部门正常运转、完成日常工作任务而发生的各项支出，主要包括人员经费178.75万元，公用经费22.25万元。2024公务接待费支出2.94万元，比上年减少0.25万元,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zh-CN" w:eastAsia="zh-CN" w:bidi="ar-SA"/>
        </w:rPr>
        <w:t>公务用车购置及运行维护费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0万元。基本支出严格按照预算项目及金额使用，执行国库集中支付制度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，财务资料完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整，证据详实，手续齐全，符合财务管理相关规定。</w:t>
      </w:r>
    </w:p>
    <w:p w14:paraId="214CFD51">
      <w:pPr>
        <w:keepNext w:val="0"/>
        <w:keepLines w:val="0"/>
        <w:pageBreakBefore w:val="0"/>
        <w:tabs>
          <w:tab w:val="left" w:pos="3396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（二）项目支出</w:t>
      </w:r>
      <w:r>
        <w:rPr>
          <w:rFonts w:eastAsia="楷体_GB2312"/>
          <w:kern w:val="0"/>
          <w:szCs w:val="32"/>
        </w:rPr>
        <w:tab/>
      </w:r>
    </w:p>
    <w:p w14:paraId="0447D1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部门项目支出预算依据相关政策、政府文件，结合部门重点工作进行编制，设定了目标详细，评价清晰，标准可行的绩效目标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年度项目支出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298.15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万元，资金到位率100%，截止2024年12月底项目资金支出执行率达到100%。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专项资金支出符合相关规定，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上级专项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资金的使用做到了专款专用。</w:t>
      </w:r>
    </w:p>
    <w:p w14:paraId="5A56665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024F9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left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本单位无此项支出</w:t>
      </w:r>
    </w:p>
    <w:p w14:paraId="096822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2DCAE2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本单位无此项支出</w:t>
      </w:r>
    </w:p>
    <w:p w14:paraId="3D481E6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0D3BBE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本单位次此项支出</w:t>
      </w:r>
    </w:p>
    <w:p w14:paraId="40D9A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、部门整体支出绩效情况</w:t>
      </w:r>
    </w:p>
    <w:p w14:paraId="1266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2024年度整体支出绩效目标设定指标完整，目标清晰、标准合理、阈值明确，符合统战工作特点。资金支出严格按照预算批复项目支出，符合相关规定，手续齐全，资料完整，支出及时，资金支付率100%，预算控制率100%。财务管理制度健全，监督管理制度完备，重视预算执行进度，严控“三公”经费支出，加强政府采购管理，资金使用效率较好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全年统战工作完成较好，梅城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镇完小通过湖南省铸牢中华民族共同体意识教育示范学校评审。做好了县道教协会换届工作。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“侨爱之家”因致力乡村振兴有成效被统战部向上推荐并成功评选“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2023-2024年度全国侨联系统侨胞之家典型选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帮助园区企业申请贷款1000万元。为白沙溪茶厂、高马二溪等5家边销茶定点企业申请贷款贴息368万元。精心策划并开辟“铸牢中华民族共同体意识主题征文”“党外知识分子谈‘五个新安化’”专栏，发表紧扣民族团结进步主旋律的优秀征文22篇，发表针对安化经济社会发展的建议4篇。</w:t>
      </w:r>
    </w:p>
    <w:p w14:paraId="7B789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rPr>
          <w:rFonts w:eastAsia="黑体"/>
          <w:bCs/>
          <w:kern w:val="0"/>
          <w:szCs w:val="32"/>
        </w:rPr>
      </w:pPr>
      <w:r>
        <w:rPr>
          <w:rFonts w:hint="eastAsia" w:eastAsia="黑体"/>
          <w:bCs/>
          <w:kern w:val="0"/>
          <w:szCs w:val="32"/>
          <w:lang w:eastAsia="zh-CN"/>
        </w:rPr>
        <w:t>七、</w:t>
      </w:r>
      <w:r>
        <w:rPr>
          <w:rFonts w:eastAsia="黑体"/>
          <w:bCs/>
          <w:kern w:val="0"/>
          <w:szCs w:val="32"/>
        </w:rPr>
        <w:t>存在的主要问题</w:t>
      </w:r>
    </w:p>
    <w:p w14:paraId="600627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绩效目标的设定有待进一步优化。在申报部门预算时，中心绩效目标设定指向不够明确，目标选用重点不突出，定性指标较多，定量指标较少。单位在实际运转过程中，会有一些突发事情等不可预见因素，造成支出预算不精细。在实际工作中的资金需求与在预算编制时的资金安排上存在出入，预算执行监督力度不够。</w:t>
      </w:r>
    </w:p>
    <w:p w14:paraId="11B689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Cs w:val="32"/>
          <w:lang w:val="en-US" w:eastAsia="zh-CN"/>
        </w:rPr>
        <w:t>八、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0EF9DB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leftChars="0"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进一步增强绩效管理理念。在管理和使用预算资金的过程中，我单位将更加突出资金使用绩效，按照绩效评价原则，开展资金安全性、规范性的监督，确保专项资金的使用符合绩效管理要求。进一步加强财务素养和专业技能培训。</w:t>
      </w:r>
    </w:p>
    <w:p w14:paraId="45F2F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九、绩效自评结果拟应用和公开情况</w:t>
      </w:r>
    </w:p>
    <w:p w14:paraId="55DB1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  已按规定执行。</w:t>
      </w:r>
    </w:p>
    <w:p w14:paraId="407689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eastAsia="宋体"/>
          <w:kern w:val="0"/>
          <w:sz w:val="2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  <w:r>
        <w:rPr>
          <w:rFonts w:hint="eastAsia" w:eastAsia="宋体"/>
          <w:kern w:val="0"/>
          <w:sz w:val="22"/>
          <w:lang w:val="en-US" w:eastAsia="zh-CN"/>
        </w:rPr>
        <w:t xml:space="preserve"> </w:t>
      </w:r>
    </w:p>
    <w:p w14:paraId="4C151A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无</w:t>
      </w:r>
    </w:p>
    <w:sectPr>
      <w:footerReference r:id="rId3" w:type="default"/>
      <w:footerReference r:id="rId4" w:type="even"/>
      <w:pgSz w:w="11907" w:h="16840"/>
      <w:pgMar w:top="1440" w:right="1418" w:bottom="1440" w:left="1588" w:header="851" w:footer="1304" w:gutter="0"/>
      <w:cols w:space="720" w:num="1"/>
      <w:docGrid w:type="lines" w:linePitch="534" w:charSpace="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C0366">
    <w:pPr>
      <w:pStyle w:val="2"/>
      <w:framePr w:w="1701" w:wrap="around" w:vAnchor="text" w:hAnchor="margin" w:xAlign="outside" w:y="1"/>
      <w:jc w:val="center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—</w:t>
    </w:r>
  </w:p>
  <w:p w14:paraId="7DEA8799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91F6F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002AF91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6D72D"/>
    <w:multiLevelType w:val="singleLevel"/>
    <w:tmpl w:val="9966D7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YWQxYmJkZTBjNDYxZjM2ZmU1MjlkZDRkMTE4MjgifQ=="/>
  </w:docVars>
  <w:rsids>
    <w:rsidRoot w:val="3CBC6800"/>
    <w:rsid w:val="19C052DC"/>
    <w:rsid w:val="33871E33"/>
    <w:rsid w:val="39057369"/>
    <w:rsid w:val="3C000448"/>
    <w:rsid w:val="3CBC6800"/>
    <w:rsid w:val="3D386EBE"/>
    <w:rsid w:val="59612C6C"/>
    <w:rsid w:val="738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semiHidden/>
    <w:qFormat/>
    <w:uiPriority w:val="99"/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OC1"/>
    <w:basedOn w:val="1"/>
    <w:next w:val="1"/>
    <w:qFormat/>
    <w:uiPriority w:val="0"/>
    <w:pPr>
      <w:jc w:val="both"/>
      <w:textAlignment w:val="baseline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1435</Words>
  <Characters>1537</Characters>
  <Lines>0</Lines>
  <Paragraphs>0</Paragraphs>
  <TotalTime>5</TotalTime>
  <ScaleCrop>false</ScaleCrop>
  <LinksUpToDate>false</LinksUpToDate>
  <CharactersWithSpaces>1548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2024-09-29T02:23:00Z</dcterms:created>
  <dc:creator>M,yao</dc:creator>
  <cp:lastModifiedBy>M,yao</cp:lastModifiedBy>
  <cp:lastPrinted>2025-04-22T03:02:38Z</cp:lastPrinted>
  <dcterms:modified xsi:type="dcterms:W3CDTF">2025-04-22T03:15:22Z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F222A83B7D0049C890B236DA59AD8F25_11</vt:lpwstr>
  </property>
  <property fmtid="{D5CDD505-2E9C-101B-9397-08002B2CF9AE}" pid="4" name="KSOTemplateDocerSaveRecord">
    <vt:lpwstr>eyJoZGlkIjoiYzNkYWQxYmJkZTBjNDYxZjM2ZmU1MjlkZDRkMTE4MjgiLCJ1c2VySWQiOiIzMjgwNDAwMjgifQ==</vt:lpwstr>
  </property>
</Properties>
</file>