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129C5"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4AABC5D6">
      <w:pPr>
        <w:pStyle w:val="2"/>
        <w:spacing w:line="262" w:lineRule="auto"/>
      </w:pPr>
    </w:p>
    <w:p w14:paraId="2DB3D52F">
      <w:pPr>
        <w:pStyle w:val="2"/>
        <w:spacing w:line="262" w:lineRule="auto"/>
      </w:pPr>
    </w:p>
    <w:p w14:paraId="311924B8">
      <w:pPr>
        <w:pStyle w:val="2"/>
        <w:spacing w:line="262" w:lineRule="auto"/>
      </w:pPr>
    </w:p>
    <w:p w14:paraId="6376FA12">
      <w:pPr>
        <w:pStyle w:val="2"/>
        <w:spacing w:line="262" w:lineRule="auto"/>
      </w:pPr>
    </w:p>
    <w:p w14:paraId="5D83F2DC">
      <w:pPr>
        <w:pStyle w:val="2"/>
        <w:spacing w:line="262" w:lineRule="auto"/>
      </w:pPr>
    </w:p>
    <w:p w14:paraId="2E62047D">
      <w:pPr>
        <w:pStyle w:val="2"/>
        <w:spacing w:line="263" w:lineRule="auto"/>
      </w:pPr>
    </w:p>
    <w:p w14:paraId="3C403B49">
      <w:pPr>
        <w:pStyle w:val="2"/>
        <w:spacing w:line="263" w:lineRule="auto"/>
      </w:pPr>
    </w:p>
    <w:p w14:paraId="44D470C2">
      <w:pPr>
        <w:spacing w:before="223" w:line="188" w:lineRule="auto"/>
        <w:ind w:left="1568" w:right="111" w:hanging="142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4"/>
          <w:sz w:val="52"/>
          <w:szCs w:val="52"/>
        </w:rPr>
        <w:t>202</w:t>
      </w:r>
      <w:r>
        <w:rPr>
          <w:rFonts w:hint="eastAsia" w:ascii="微软雅黑" w:hAnsi="微软雅黑" w:eastAsia="微软雅黑" w:cs="微软雅黑"/>
          <w:spacing w:val="-4"/>
          <w:sz w:val="52"/>
          <w:szCs w:val="52"/>
          <w:lang w:val="en-US" w:eastAsia="zh-CN"/>
        </w:rPr>
        <w:t>4</w:t>
      </w:r>
      <w:r>
        <w:rPr>
          <w:rFonts w:ascii="微软雅黑" w:hAnsi="微软雅黑" w:eastAsia="微软雅黑" w:cs="微软雅黑"/>
          <w:spacing w:val="-4"/>
          <w:sz w:val="52"/>
          <w:szCs w:val="52"/>
        </w:rPr>
        <w:t>年度安化县畜牧水产事务中心</w:t>
      </w:r>
      <w:r>
        <w:rPr>
          <w:rFonts w:ascii="微软雅黑" w:hAnsi="微软雅黑" w:eastAsia="微软雅黑" w:cs="微软雅黑"/>
          <w:spacing w:val="16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z w:val="52"/>
          <w:szCs w:val="52"/>
        </w:rPr>
        <w:t>整体支出绩效自评报告</w:t>
      </w:r>
    </w:p>
    <w:p w14:paraId="61D68BD8">
      <w:pPr>
        <w:pStyle w:val="2"/>
        <w:spacing w:line="249" w:lineRule="auto"/>
      </w:pPr>
    </w:p>
    <w:p w14:paraId="16FF00C0">
      <w:pPr>
        <w:pStyle w:val="2"/>
        <w:spacing w:line="249" w:lineRule="auto"/>
      </w:pPr>
    </w:p>
    <w:p w14:paraId="2420B751">
      <w:pPr>
        <w:pStyle w:val="2"/>
        <w:spacing w:line="250" w:lineRule="auto"/>
      </w:pPr>
    </w:p>
    <w:p w14:paraId="3DD06435">
      <w:pPr>
        <w:pStyle w:val="2"/>
        <w:spacing w:line="250" w:lineRule="auto"/>
      </w:pPr>
    </w:p>
    <w:p w14:paraId="6E83C81B">
      <w:pPr>
        <w:pStyle w:val="2"/>
        <w:spacing w:line="250" w:lineRule="auto"/>
      </w:pPr>
    </w:p>
    <w:p w14:paraId="647685A6">
      <w:pPr>
        <w:pStyle w:val="2"/>
        <w:spacing w:line="250" w:lineRule="auto"/>
      </w:pPr>
    </w:p>
    <w:p w14:paraId="2509126A">
      <w:pPr>
        <w:pStyle w:val="2"/>
        <w:spacing w:line="250" w:lineRule="auto"/>
      </w:pPr>
    </w:p>
    <w:p w14:paraId="47D1789D">
      <w:pPr>
        <w:pStyle w:val="2"/>
        <w:spacing w:line="250" w:lineRule="auto"/>
      </w:pPr>
    </w:p>
    <w:p w14:paraId="6AE9C8EF">
      <w:pPr>
        <w:pStyle w:val="2"/>
        <w:spacing w:line="250" w:lineRule="auto"/>
      </w:pPr>
    </w:p>
    <w:p w14:paraId="1EDDC86C">
      <w:pPr>
        <w:pStyle w:val="2"/>
        <w:spacing w:line="250" w:lineRule="auto"/>
      </w:pPr>
    </w:p>
    <w:p w14:paraId="56681C54">
      <w:pPr>
        <w:pStyle w:val="2"/>
        <w:spacing w:line="250" w:lineRule="auto"/>
      </w:pPr>
    </w:p>
    <w:p w14:paraId="42047E43">
      <w:pPr>
        <w:pStyle w:val="2"/>
        <w:spacing w:line="250" w:lineRule="auto"/>
      </w:pPr>
    </w:p>
    <w:p w14:paraId="4AC58013">
      <w:pPr>
        <w:pStyle w:val="2"/>
        <w:spacing w:line="250" w:lineRule="auto"/>
      </w:pPr>
    </w:p>
    <w:p w14:paraId="2DDEE76B">
      <w:pPr>
        <w:pStyle w:val="2"/>
        <w:spacing w:line="250" w:lineRule="auto"/>
      </w:pPr>
    </w:p>
    <w:p w14:paraId="7B3F272A">
      <w:pPr>
        <w:pStyle w:val="2"/>
        <w:spacing w:line="250" w:lineRule="auto"/>
      </w:pPr>
    </w:p>
    <w:p w14:paraId="0E0C1283">
      <w:pPr>
        <w:pStyle w:val="2"/>
        <w:spacing w:line="250" w:lineRule="auto"/>
      </w:pPr>
    </w:p>
    <w:p w14:paraId="0B9C3FC2">
      <w:pPr>
        <w:pStyle w:val="2"/>
        <w:spacing w:line="250" w:lineRule="auto"/>
      </w:pPr>
    </w:p>
    <w:p w14:paraId="02119AF7">
      <w:pPr>
        <w:spacing w:before="113" w:line="226" w:lineRule="auto"/>
        <w:ind w:left="239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安化县畜牧水产事务中心</w:t>
      </w:r>
    </w:p>
    <w:p w14:paraId="1F0DE791">
      <w:pPr>
        <w:pStyle w:val="2"/>
        <w:spacing w:line="350" w:lineRule="auto"/>
      </w:pPr>
    </w:p>
    <w:p w14:paraId="7DBEDACC">
      <w:pPr>
        <w:pStyle w:val="2"/>
        <w:spacing w:line="351" w:lineRule="auto"/>
      </w:pPr>
    </w:p>
    <w:p w14:paraId="560E5AD0">
      <w:pPr>
        <w:spacing w:before="114" w:line="228" w:lineRule="auto"/>
        <w:ind w:left="251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2"/>
          <w:sz w:val="35"/>
          <w:szCs w:val="35"/>
        </w:rPr>
        <w:t>202</w:t>
      </w:r>
      <w:r>
        <w:rPr>
          <w:rFonts w:hint="eastAsia" w:ascii="黑体" w:hAnsi="黑体" w:eastAsia="黑体" w:cs="黑体"/>
          <w:spacing w:val="-2"/>
          <w:sz w:val="35"/>
          <w:szCs w:val="35"/>
          <w:lang w:val="en-US" w:eastAsia="zh-CN"/>
        </w:rPr>
        <w:t>5</w:t>
      </w:r>
      <w:r>
        <w:rPr>
          <w:rFonts w:ascii="黑体" w:hAnsi="黑体" w:eastAsia="黑体" w:cs="黑体"/>
          <w:spacing w:val="-6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2"/>
          <w:sz w:val="35"/>
          <w:szCs w:val="35"/>
        </w:rPr>
        <w:t>年 0</w:t>
      </w:r>
      <w:r>
        <w:rPr>
          <w:rFonts w:hint="eastAsia" w:ascii="黑体" w:hAnsi="黑体" w:eastAsia="黑体" w:cs="黑体"/>
          <w:spacing w:val="-2"/>
          <w:sz w:val="35"/>
          <w:szCs w:val="35"/>
          <w:lang w:val="en-US" w:eastAsia="zh-CN"/>
        </w:rPr>
        <w:t>4</w:t>
      </w:r>
      <w:r>
        <w:rPr>
          <w:rFonts w:ascii="黑体" w:hAnsi="黑体" w:eastAsia="黑体" w:cs="黑体"/>
          <w:spacing w:val="28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2"/>
          <w:sz w:val="35"/>
          <w:szCs w:val="35"/>
        </w:rPr>
        <w:t>月</w:t>
      </w:r>
      <w:r>
        <w:rPr>
          <w:rFonts w:ascii="黑体" w:hAnsi="黑体" w:eastAsia="黑体" w:cs="黑体"/>
          <w:spacing w:val="37"/>
          <w:sz w:val="35"/>
          <w:szCs w:val="35"/>
        </w:rPr>
        <w:t xml:space="preserve"> </w:t>
      </w:r>
      <w:r>
        <w:rPr>
          <w:rFonts w:hint="eastAsia" w:ascii="黑体" w:hAnsi="黑体" w:eastAsia="黑体" w:cs="黑体"/>
          <w:spacing w:val="-2"/>
          <w:sz w:val="35"/>
          <w:szCs w:val="35"/>
          <w:lang w:val="en-US" w:eastAsia="zh-CN"/>
        </w:rPr>
        <w:t>20</w:t>
      </w:r>
      <w:r>
        <w:rPr>
          <w:rFonts w:ascii="黑体" w:hAnsi="黑体" w:eastAsia="黑体" w:cs="黑体"/>
          <w:spacing w:val="7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2"/>
          <w:sz w:val="35"/>
          <w:szCs w:val="35"/>
        </w:rPr>
        <w:t>日</w:t>
      </w:r>
    </w:p>
    <w:p w14:paraId="13C5EDE1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4E839C">
      <w:pPr>
        <w:spacing w:before="95" w:line="187" w:lineRule="auto"/>
        <w:ind w:left="1969" w:right="889" w:hanging="11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7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年度安化县畜牧水产事务中心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整体支出绩效自评报告</w:t>
      </w:r>
    </w:p>
    <w:p w14:paraId="3E5C45C3">
      <w:pPr>
        <w:spacing w:before="103" w:line="228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一、部门(单位)基本情况</w:t>
      </w:r>
    </w:p>
    <w:p w14:paraId="6D3CF795">
      <w:pPr>
        <w:spacing w:before="192" w:line="229" w:lineRule="auto"/>
        <w:ind w:left="72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(一)202</w:t>
      </w:r>
      <w:r>
        <w:rPr>
          <w:rFonts w:hint="eastAsia" w:ascii="楷体" w:hAnsi="楷体" w:eastAsia="楷体" w:cs="楷体"/>
          <w:spacing w:val="1"/>
          <w:sz w:val="31"/>
          <w:szCs w:val="31"/>
          <w:lang w:val="en-US" w:eastAsia="zh-CN"/>
        </w:rPr>
        <w:t>4</w:t>
      </w:r>
      <w:r>
        <w:rPr>
          <w:rFonts w:ascii="楷体" w:hAnsi="楷体" w:eastAsia="楷体" w:cs="楷体"/>
          <w:spacing w:val="1"/>
          <w:sz w:val="31"/>
          <w:szCs w:val="31"/>
        </w:rPr>
        <w:t>年度重点工作</w:t>
      </w:r>
    </w:p>
    <w:p w14:paraId="015253A9">
      <w:pPr>
        <w:spacing w:before="207" w:line="289" w:lineRule="auto"/>
        <w:ind w:left="35" w:right="11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11"/>
          <w:sz w:val="31"/>
          <w:szCs w:val="31"/>
        </w:rPr>
        <w:t>1、参与研究制定全县畜牧水产行业的发展战略、</w:t>
      </w:r>
      <w:r>
        <w:rPr>
          <w:rFonts w:ascii="仿宋" w:hAnsi="仿宋" w:eastAsia="仿宋" w:cs="仿宋"/>
          <w:color w:val="3D3D3D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11"/>
          <w:sz w:val="31"/>
          <w:szCs w:val="31"/>
        </w:rPr>
        <w:t>中长</w:t>
      </w:r>
      <w:r>
        <w:rPr>
          <w:rFonts w:ascii="仿宋" w:hAnsi="仿宋" w:eastAsia="仿宋" w:cs="仿宋"/>
          <w:color w:val="3D3D3D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7"/>
          <w:sz w:val="31"/>
          <w:szCs w:val="31"/>
        </w:rPr>
        <w:t>期发展规划、年度指导性计划，按程序经批准后组织实施。</w:t>
      </w:r>
    </w:p>
    <w:p w14:paraId="0E1AFD67">
      <w:pPr>
        <w:spacing w:before="215" w:line="291" w:lineRule="auto"/>
        <w:ind w:left="35" w:right="1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15"/>
          <w:sz w:val="31"/>
          <w:szCs w:val="31"/>
        </w:rPr>
        <w:t>2、研究提出全县畜牧业、渔业发展政策建议，引导产</w:t>
      </w:r>
      <w:r>
        <w:rPr>
          <w:rFonts w:ascii="仿宋" w:hAnsi="仿宋" w:eastAsia="仿宋" w:cs="仿宋"/>
          <w:color w:val="3D3D3D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7"/>
          <w:sz w:val="31"/>
          <w:szCs w:val="31"/>
        </w:rPr>
        <w:t>业结构合理调整和资源合理配置。</w:t>
      </w:r>
    </w:p>
    <w:p w14:paraId="24AE9D30">
      <w:pPr>
        <w:spacing w:before="208" w:line="322" w:lineRule="auto"/>
        <w:ind w:left="34" w:right="1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15"/>
          <w:sz w:val="31"/>
          <w:szCs w:val="31"/>
        </w:rPr>
        <w:t>3、研究制定全县重大动物疫病防控技术方案；组织实</w:t>
      </w:r>
      <w:r>
        <w:rPr>
          <w:rFonts w:ascii="仿宋" w:hAnsi="仿宋" w:eastAsia="仿宋" w:cs="仿宋"/>
          <w:color w:val="3D3D3D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施全县动物防疫工作；承担全县动物疫病监测、预报、流行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病学调查；负责动物疫情报告工作；承担全县动物疫病检测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诊断工作；指导人畜共患病防治工作。</w:t>
      </w:r>
    </w:p>
    <w:p w14:paraId="4BB67D9C">
      <w:pPr>
        <w:spacing w:before="216" w:line="312" w:lineRule="auto"/>
        <w:ind w:left="35" w:right="11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15"/>
          <w:sz w:val="31"/>
          <w:szCs w:val="31"/>
        </w:rPr>
        <w:t>4、研究拟定全县畜牧业、渔业科技发展规划，按程序</w:t>
      </w:r>
      <w:r>
        <w:rPr>
          <w:rFonts w:ascii="仿宋" w:hAnsi="仿宋" w:eastAsia="仿宋" w:cs="仿宋"/>
          <w:color w:val="3D3D3D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经批准后组织实施；组织重大科研和技术推广；开展养殖业</w:t>
      </w:r>
      <w:r>
        <w:rPr>
          <w:rFonts w:ascii="仿宋" w:hAnsi="仿宋" w:eastAsia="仿宋" w:cs="仿宋"/>
          <w:color w:val="3D3D3D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技术培训;指导畜牧水产技术推广体系建设。</w:t>
      </w:r>
    </w:p>
    <w:p w14:paraId="672290C8">
      <w:pPr>
        <w:spacing w:before="209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6"/>
          <w:sz w:val="31"/>
          <w:szCs w:val="31"/>
        </w:rPr>
        <w:t>5、负责全县畜禽养殖废弃物资源化利用技术推广工作。</w:t>
      </w:r>
    </w:p>
    <w:p w14:paraId="3BA95E4E">
      <w:pPr>
        <w:spacing w:before="218" w:line="312" w:lineRule="auto"/>
        <w:ind w:left="34" w:right="1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15"/>
          <w:sz w:val="31"/>
          <w:szCs w:val="31"/>
        </w:rPr>
        <w:t>6、按照权限管理畜牧业、渔业专项资金，提出专项资</w:t>
      </w:r>
      <w:r>
        <w:rPr>
          <w:rFonts w:ascii="仿宋" w:hAnsi="仿宋" w:eastAsia="仿宋" w:cs="仿宋"/>
          <w:color w:val="3D3D3D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金安排计划，组织开展畜牧业和渔业项目的申报、审核、实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3"/>
          <w:sz w:val="31"/>
          <w:szCs w:val="31"/>
        </w:rPr>
        <w:t>施、监管。</w:t>
      </w:r>
    </w:p>
    <w:p w14:paraId="015B50E9">
      <w:pPr>
        <w:spacing w:before="208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6"/>
          <w:sz w:val="31"/>
          <w:szCs w:val="31"/>
        </w:rPr>
        <w:t>7、完成县委、县政府和县农业农村局交办的其他任务。</w:t>
      </w:r>
    </w:p>
    <w:p w14:paraId="2B644C02">
      <w:pPr>
        <w:spacing w:before="214" w:line="230" w:lineRule="auto"/>
        <w:ind w:left="40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(二)部门整体支出规模、使用方向、主要内容和涉及范围</w:t>
      </w:r>
    </w:p>
    <w:p w14:paraId="6C2201C0">
      <w:pPr>
        <w:spacing w:before="206" w:line="339" w:lineRule="auto"/>
        <w:ind w:left="35" w:righ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2"/>
          <w:sz w:val="31"/>
          <w:szCs w:val="31"/>
        </w:rPr>
        <w:t>202</w:t>
      </w:r>
      <w:r>
        <w:rPr>
          <w:rFonts w:hint="eastAsia" w:ascii="仿宋" w:hAnsi="仿宋" w:eastAsia="仿宋" w:cs="仿宋"/>
          <w:color w:val="3D3D3D"/>
          <w:spacing w:val="2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color w:val="3D3D3D"/>
          <w:spacing w:val="2"/>
          <w:sz w:val="31"/>
          <w:szCs w:val="31"/>
        </w:rPr>
        <w:t>年度整体支出总额</w:t>
      </w:r>
      <w:r>
        <w:rPr>
          <w:rFonts w:hint="eastAsia" w:ascii="仿宋" w:hAnsi="仿宋" w:eastAsia="仿宋" w:cs="仿宋"/>
          <w:color w:val="3D3D3D"/>
          <w:spacing w:val="2"/>
          <w:sz w:val="31"/>
          <w:szCs w:val="31"/>
          <w:lang w:val="en-US" w:eastAsia="zh-CN"/>
        </w:rPr>
        <w:t>2902.61</w:t>
      </w:r>
      <w:r>
        <w:rPr>
          <w:rFonts w:ascii="仿宋" w:hAnsi="仿宋" w:eastAsia="仿宋" w:cs="仿宋"/>
          <w:color w:val="3D3D3D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color w:val="3D3D3D"/>
          <w:spacing w:val="1"/>
          <w:sz w:val="31"/>
          <w:szCs w:val="31"/>
        </w:rPr>
        <w:t>，其中财政拨款收</w:t>
      </w:r>
      <w:r>
        <w:rPr>
          <w:rFonts w:ascii="仿宋" w:hAnsi="仿宋" w:eastAsia="仿宋" w:cs="仿宋"/>
          <w:color w:val="3D3D3D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-4"/>
          <w:sz w:val="31"/>
          <w:szCs w:val="31"/>
        </w:rPr>
        <w:t>入</w:t>
      </w:r>
      <w:r>
        <w:rPr>
          <w:rFonts w:ascii="仿宋" w:hAnsi="仿宋" w:eastAsia="仿宋" w:cs="仿宋"/>
          <w:color w:val="3D3D3D"/>
          <w:spacing w:val="-5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3D3D3D"/>
          <w:spacing w:val="-4"/>
          <w:sz w:val="31"/>
          <w:szCs w:val="31"/>
          <w:lang w:val="en-US" w:eastAsia="zh-CN"/>
        </w:rPr>
        <w:t>2184.67</w:t>
      </w:r>
      <w:r>
        <w:rPr>
          <w:rFonts w:ascii="仿宋" w:hAnsi="仿宋" w:eastAsia="仿宋" w:cs="仿宋"/>
          <w:color w:val="3D3D3D"/>
          <w:spacing w:val="-4"/>
          <w:sz w:val="31"/>
          <w:szCs w:val="31"/>
        </w:rPr>
        <w:t>万元，占总收入的</w:t>
      </w:r>
      <w:r>
        <w:rPr>
          <w:rFonts w:ascii="仿宋" w:hAnsi="仿宋" w:eastAsia="仿宋" w:cs="仿宋"/>
          <w:color w:val="3D3D3D"/>
          <w:spacing w:val="-6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3D3D3D"/>
          <w:spacing w:val="-4"/>
          <w:sz w:val="31"/>
          <w:szCs w:val="31"/>
          <w:lang w:val="en-US" w:eastAsia="zh-CN"/>
        </w:rPr>
        <w:t>75.27</w:t>
      </w:r>
      <w:r>
        <w:rPr>
          <w:rFonts w:ascii="仿宋" w:hAnsi="仿宋" w:eastAsia="仿宋" w:cs="仿宋"/>
          <w:color w:val="3D3D3D"/>
          <w:spacing w:val="-5"/>
          <w:sz w:val="31"/>
          <w:szCs w:val="31"/>
        </w:rPr>
        <w:t>%。主要内容和涉及范围：</w:t>
      </w:r>
    </w:p>
    <w:p w14:paraId="3C61B76B"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10BE70DD">
      <w:pPr>
        <w:spacing w:before="216" w:line="350" w:lineRule="auto"/>
        <w:ind w:left="34" w:right="13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D3D3D"/>
          <w:spacing w:val="8"/>
          <w:sz w:val="31"/>
          <w:szCs w:val="31"/>
        </w:rPr>
        <w:t xml:space="preserve">人员经费包括基本工资、津贴补贴、奖金、其他社会保障缴 </w:t>
      </w:r>
      <w:r>
        <w:rPr>
          <w:rFonts w:ascii="仿宋" w:hAnsi="仿宋" w:eastAsia="仿宋" w:cs="仿宋"/>
          <w:color w:val="3D3D3D"/>
          <w:spacing w:val="5"/>
          <w:sz w:val="31"/>
          <w:szCs w:val="31"/>
        </w:rPr>
        <w:t>费、退休费生活补助、住房公积金等；</w:t>
      </w:r>
      <w:r>
        <w:rPr>
          <w:rFonts w:ascii="仿宋" w:hAnsi="仿宋" w:eastAsia="仿宋" w:cs="仿宋"/>
          <w:color w:val="3D3D3D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5"/>
          <w:sz w:val="31"/>
          <w:szCs w:val="31"/>
        </w:rPr>
        <w:t>日常公用经费包括办</w:t>
      </w:r>
      <w:r>
        <w:rPr>
          <w:rFonts w:ascii="仿宋" w:hAnsi="仿宋" w:eastAsia="仿宋" w:cs="仿宋"/>
          <w:color w:val="3D3D3D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公费、差旅费、培训费、公务接待费、劳务费、工会经费、</w:t>
      </w:r>
      <w:r>
        <w:rPr>
          <w:rFonts w:ascii="仿宋" w:hAnsi="仿宋" w:eastAsia="仿宋" w:cs="仿宋"/>
          <w:color w:val="3D3D3D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福利费、公务用车运行维护费、其他交通费用、其他商品和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服务支出等；项目支出主要包括其他对个人和家庭的补助支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出、办公费、印刷费、邮电费、差旅费、维修（护）费、会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议费、培训费、公务接待费、劳务费、委托业务费、公务用</w:t>
      </w:r>
      <w:r>
        <w:rPr>
          <w:rFonts w:ascii="仿宋" w:hAnsi="仿宋" w:eastAsia="仿宋" w:cs="仿宋"/>
          <w:color w:val="3D3D3D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车运行维护费、其他交通费、其他商品和服务支出、办公设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备购置</w:t>
      </w:r>
      <w:r>
        <w:rPr>
          <w:rFonts w:hint="eastAsia" w:ascii="仿宋" w:hAnsi="仿宋" w:eastAsia="仿宋" w:cs="仿宋"/>
          <w:color w:val="3D3D3D"/>
          <w:spacing w:val="8"/>
          <w:sz w:val="31"/>
          <w:szCs w:val="31"/>
          <w:lang w:eastAsia="zh-CN"/>
        </w:rPr>
        <w:t>；</w:t>
      </w:r>
      <w:r>
        <w:rPr>
          <w:rFonts w:hint="eastAsia" w:ascii="仿宋" w:hAnsi="仿宋" w:eastAsia="仿宋" w:cs="仿宋"/>
          <w:color w:val="3D3D3D"/>
          <w:spacing w:val="8"/>
          <w:sz w:val="31"/>
          <w:szCs w:val="31"/>
          <w:lang w:val="en-US" w:eastAsia="zh-CN"/>
        </w:rPr>
        <w:t>政府性基金预算支出主要为专项债券置换资金。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涉及人员经费、保障基本运转、开展各项专项业务</w:t>
      </w:r>
      <w:r>
        <w:rPr>
          <w:rFonts w:ascii="仿宋" w:hAnsi="仿宋" w:eastAsia="仿宋" w:cs="仿宋"/>
          <w:color w:val="3D3D3D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D3D3D"/>
          <w:spacing w:val="8"/>
          <w:sz w:val="31"/>
          <w:szCs w:val="31"/>
        </w:rPr>
        <w:t>工作、精准扶贫、党建所发生的全部支出。</w:t>
      </w:r>
    </w:p>
    <w:p w14:paraId="37F8F771">
      <w:pPr>
        <w:spacing w:before="43"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二、一般公共预算支出情况</w:t>
      </w:r>
    </w:p>
    <w:p w14:paraId="5C8B1466">
      <w:pPr>
        <w:spacing w:before="195" w:line="231" w:lineRule="auto"/>
        <w:ind w:left="72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(一)基本支出情况</w:t>
      </w:r>
    </w:p>
    <w:p w14:paraId="30120D3B">
      <w:pPr>
        <w:spacing w:before="153" w:line="362" w:lineRule="auto"/>
        <w:ind w:left="37" w:right="12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基本支出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496.67</w:t>
      </w:r>
      <w:r>
        <w:rPr>
          <w:rFonts w:ascii="仿宋" w:hAnsi="仿宋" w:eastAsia="仿宋" w:cs="仿宋"/>
          <w:spacing w:val="7"/>
          <w:sz w:val="31"/>
          <w:szCs w:val="31"/>
        </w:rPr>
        <w:t>万元，是为保障各部门正常运转、完成</w:t>
      </w:r>
      <w:r>
        <w:rPr>
          <w:rFonts w:ascii="仿宋" w:hAnsi="仿宋" w:eastAsia="仿宋" w:cs="仿宋"/>
          <w:spacing w:val="8"/>
          <w:sz w:val="31"/>
          <w:szCs w:val="31"/>
        </w:rPr>
        <w:t>日常工作任务而发生的</w:t>
      </w:r>
      <w:bookmarkStart w:id="0" w:name="_GoBack"/>
      <w:bookmarkEnd w:id="0"/>
      <w:r>
        <w:rPr>
          <w:rFonts w:ascii="仿宋" w:hAnsi="仿宋" w:eastAsia="仿宋" w:cs="仿宋"/>
          <w:spacing w:val="8"/>
          <w:sz w:val="31"/>
          <w:szCs w:val="31"/>
        </w:rPr>
        <w:t>各项支出，主要包括</w:t>
      </w:r>
      <w:r>
        <w:rPr>
          <w:rFonts w:ascii="仿宋" w:hAnsi="仿宋" w:eastAsia="仿宋" w:cs="仿宋"/>
          <w:spacing w:val="7"/>
          <w:sz w:val="31"/>
          <w:szCs w:val="31"/>
        </w:rPr>
        <w:t>人员经费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441.98</w:t>
      </w:r>
      <w:r>
        <w:rPr>
          <w:rFonts w:ascii="仿宋" w:hAnsi="仿宋" w:eastAsia="仿宋" w:cs="仿宋"/>
          <w:spacing w:val="6"/>
          <w:sz w:val="31"/>
          <w:szCs w:val="31"/>
        </w:rPr>
        <w:t>元，公用经费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54.69</w:t>
      </w:r>
      <w:r>
        <w:rPr>
          <w:rFonts w:ascii="仿宋" w:hAnsi="仿宋" w:eastAsia="仿宋" w:cs="仿宋"/>
          <w:spacing w:val="6"/>
          <w:sz w:val="31"/>
          <w:szCs w:val="31"/>
        </w:rPr>
        <w:t>万元。</w:t>
      </w:r>
    </w:p>
    <w:p w14:paraId="1F385A1A">
      <w:pPr>
        <w:spacing w:before="49" w:line="361" w:lineRule="auto"/>
        <w:ind w:left="37" w:right="15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“三公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”经费支出情况：202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年“三公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”经费完成8.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万元，比上年减少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0.1</w:t>
      </w:r>
      <w:r>
        <w:rPr>
          <w:rFonts w:ascii="仿宋" w:hAnsi="仿宋" w:eastAsia="仿宋" w:cs="仿宋"/>
          <w:spacing w:val="8"/>
          <w:sz w:val="31"/>
          <w:szCs w:val="31"/>
        </w:rPr>
        <w:t>万元。主要原因是本年度</w:t>
      </w:r>
      <w:r>
        <w:rPr>
          <w:rFonts w:ascii="仿宋" w:hAnsi="仿宋" w:eastAsia="仿宋" w:cs="仿宋"/>
          <w:spacing w:val="7"/>
          <w:sz w:val="31"/>
          <w:szCs w:val="31"/>
        </w:rPr>
        <w:t>财政压减了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公务接待费支出。</w:t>
      </w:r>
    </w:p>
    <w:p w14:paraId="5B7C3BAD">
      <w:pPr>
        <w:spacing w:before="88" w:line="232" w:lineRule="auto"/>
        <w:ind w:left="7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(二)项目支出情况</w:t>
      </w:r>
    </w:p>
    <w:p w14:paraId="08F069F9">
      <w:pPr>
        <w:spacing w:before="151" w:line="356" w:lineRule="auto"/>
        <w:ind w:left="41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项目支出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1688万元</w:t>
      </w:r>
      <w:r>
        <w:rPr>
          <w:rFonts w:ascii="仿宋" w:hAnsi="仿宋" w:eastAsia="仿宋" w:cs="仿宋"/>
          <w:spacing w:val="13"/>
          <w:sz w:val="31"/>
          <w:szCs w:val="31"/>
        </w:rPr>
        <w:t>，包含：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产业项目、专项</w:t>
      </w:r>
      <w:r>
        <w:rPr>
          <w:rFonts w:ascii="仿宋" w:hAnsi="仿宋" w:eastAsia="仿宋" w:cs="仿宋"/>
          <w:spacing w:val="13"/>
          <w:sz w:val="31"/>
          <w:szCs w:val="31"/>
        </w:rPr>
        <w:t>业务工作经费以及运行</w:t>
      </w:r>
      <w:r>
        <w:rPr>
          <w:rFonts w:ascii="仿宋" w:hAnsi="仿宋" w:eastAsia="仿宋" w:cs="仿宋"/>
          <w:spacing w:val="7"/>
          <w:sz w:val="31"/>
          <w:szCs w:val="31"/>
        </w:rPr>
        <w:t>维护经费等。</w:t>
      </w:r>
    </w:p>
    <w:p w14:paraId="76844CC1">
      <w:pPr>
        <w:spacing w:before="87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0D09184">
      <w:pPr>
        <w:spacing w:before="161" w:line="226" w:lineRule="auto"/>
        <w:ind w:left="661"/>
        <w:rPr>
          <w:rFonts w:hint="default" w:ascii="仿宋" w:hAnsi="仿宋" w:eastAsia="仿宋" w:cs="仿宋"/>
          <w:sz w:val="31"/>
          <w:szCs w:val="31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color w:val="232323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color w:val="232323"/>
          <w:spacing w:val="4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color w:val="232323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32323"/>
          <w:spacing w:val="4"/>
          <w:sz w:val="31"/>
          <w:szCs w:val="31"/>
        </w:rPr>
        <w:t>年本部门政府性基金支出预算</w:t>
      </w:r>
      <w:r>
        <w:rPr>
          <w:rFonts w:hint="eastAsia" w:ascii="仿宋" w:hAnsi="仿宋" w:eastAsia="仿宋" w:cs="仿宋"/>
          <w:color w:val="232323"/>
          <w:spacing w:val="4"/>
          <w:sz w:val="31"/>
          <w:szCs w:val="31"/>
          <w:lang w:val="en-US" w:eastAsia="zh-CN"/>
        </w:rPr>
        <w:t>200</w:t>
      </w:r>
      <w:r>
        <w:rPr>
          <w:rFonts w:ascii="仿宋" w:hAnsi="仿宋" w:eastAsia="仿宋" w:cs="仿宋"/>
          <w:color w:val="232323"/>
          <w:spacing w:val="4"/>
          <w:sz w:val="31"/>
          <w:szCs w:val="31"/>
        </w:rPr>
        <w:t>万元</w:t>
      </w:r>
      <w:r>
        <w:rPr>
          <w:rFonts w:hint="eastAsia" w:ascii="仿宋" w:hAnsi="仿宋" w:eastAsia="仿宋" w:cs="仿宋"/>
          <w:color w:val="232323"/>
          <w:spacing w:val="4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color w:val="232323"/>
          <w:spacing w:val="4"/>
          <w:sz w:val="31"/>
          <w:szCs w:val="31"/>
          <w:lang w:val="en-US" w:eastAsia="zh-CN"/>
        </w:rPr>
        <w:t>主要用于专项债券置换。</w:t>
      </w:r>
    </w:p>
    <w:p w14:paraId="104FE5B2">
      <w:pPr>
        <w:spacing w:before="196" w:line="227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四、国有资本经营预算支出情况</w:t>
      </w:r>
    </w:p>
    <w:p w14:paraId="10E2C2BC">
      <w:pPr>
        <w:spacing w:before="161" w:line="227" w:lineRule="auto"/>
        <w:ind w:left="4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color w:val="232323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color w:val="232323"/>
          <w:spacing w:val="6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color w:val="232323"/>
          <w:spacing w:val="6"/>
          <w:sz w:val="31"/>
          <w:szCs w:val="31"/>
        </w:rPr>
        <w:t>年本部门无国有资本经营预算的支出。</w:t>
      </w:r>
    </w:p>
    <w:p w14:paraId="6CBDB7B2">
      <w:pPr>
        <w:spacing w:before="276" w:line="227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五、社会保险基金预算支出情况</w:t>
      </w:r>
    </w:p>
    <w:p w14:paraId="5E2B7D58">
      <w:pPr>
        <w:spacing w:before="161" w:line="226" w:lineRule="auto"/>
        <w:ind w:left="4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color w:val="232323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color w:val="232323"/>
          <w:spacing w:val="6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color w:val="232323"/>
          <w:spacing w:val="6"/>
          <w:sz w:val="31"/>
          <w:szCs w:val="31"/>
        </w:rPr>
        <w:t>年本部门无社会保险基金预算的支出。</w:t>
      </w:r>
    </w:p>
    <w:p w14:paraId="5ECE01EA">
      <w:pPr>
        <w:spacing w:before="278" w:line="226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六、部门整体支出绩效情况</w:t>
      </w:r>
    </w:p>
    <w:p w14:paraId="187CCCEB">
      <w:pPr>
        <w:spacing w:before="136" w:line="294" w:lineRule="auto"/>
        <w:ind w:left="37" w:right="111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-1"/>
          <w:sz w:val="31"/>
          <w:szCs w:val="31"/>
        </w:rPr>
        <w:t>年度支出总额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3D3D3D"/>
          <w:spacing w:val="-1"/>
          <w:sz w:val="31"/>
          <w:szCs w:val="31"/>
          <w:lang w:val="en-US" w:eastAsia="zh-CN"/>
        </w:rPr>
        <w:t>2902.61</w:t>
      </w:r>
      <w:r>
        <w:rPr>
          <w:rFonts w:ascii="仿宋" w:hAnsi="仿宋" w:eastAsia="仿宋" w:cs="仿宋"/>
          <w:spacing w:val="-1"/>
          <w:sz w:val="31"/>
          <w:szCs w:val="31"/>
        </w:rPr>
        <w:t>万元，其中基本支出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1006.55</w:t>
      </w:r>
      <w:r>
        <w:rPr>
          <w:rFonts w:ascii="仿宋" w:hAnsi="仿宋" w:eastAsia="仿宋" w:cs="仿宋"/>
          <w:spacing w:val="8"/>
          <w:sz w:val="31"/>
          <w:szCs w:val="31"/>
        </w:rPr>
        <w:t>万元，基本支出保障了单位正常运转的日常支出，包括基本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工资、津贴补贴等人员经费以及办公费、水电费、差旅费等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日常公用经费；项目支出金额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1896.06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2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年，我中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心认真贯彻县委、县政府决策部署，全力抓好重大动物疫病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防控、肉牛肉羊增量提质行动、“安化腊肉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地理标志注册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工作、生猪稳产保供和畜禽粪污资源化利用等系列工作，压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紧压实责任、不断夯实基础、强化执行力度，达到了疫情阻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击有效、养殖环境改善明显、产业发展提质增效的目标。</w:t>
      </w:r>
    </w:p>
    <w:p w14:paraId="1CDE7DAB">
      <w:pPr>
        <w:spacing w:before="116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七、存在的问题及原因分析</w:t>
      </w:r>
    </w:p>
    <w:p w14:paraId="61DFEDAF">
      <w:pPr>
        <w:spacing w:before="163" w:line="361" w:lineRule="auto"/>
        <w:ind w:left="47" w:right="11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部门预算的人员经费和公用经费不足。单位日常运转的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刚性支出大，现有的部门预算资金不能满足日益增长的工作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需要。</w:t>
      </w:r>
    </w:p>
    <w:p w14:paraId="256554A7">
      <w:pPr>
        <w:spacing w:before="86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0D8E6D31">
      <w:pPr>
        <w:spacing w:before="161" w:line="225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对存在的问题提出切实可行的改进措施和有关建议等。</w:t>
      </w:r>
    </w:p>
    <w:p w14:paraId="05AC6B7E">
      <w:pPr>
        <w:spacing w:before="246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1、加强财务管理，严格财务审核。</w:t>
      </w:r>
    </w:p>
    <w:p w14:paraId="597DA7D5">
      <w:pPr>
        <w:spacing w:before="241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2、对相关人员加强培训，切实提高</w:t>
      </w:r>
      <w:r>
        <w:rPr>
          <w:rFonts w:ascii="宋体" w:hAnsi="宋体" w:eastAsia="宋体" w:cs="宋体"/>
          <w:spacing w:val="6"/>
          <w:sz w:val="31"/>
          <w:szCs w:val="31"/>
        </w:rPr>
        <w:t>财务</w:t>
      </w:r>
      <w:r>
        <w:rPr>
          <w:rFonts w:ascii="仿宋" w:hAnsi="仿宋" w:eastAsia="仿宋" w:cs="仿宋"/>
          <w:spacing w:val="6"/>
          <w:sz w:val="31"/>
          <w:szCs w:val="31"/>
        </w:rPr>
        <w:t>人员业务水平。</w:t>
      </w:r>
    </w:p>
    <w:p w14:paraId="1FCFB120">
      <w:pPr>
        <w:spacing w:before="278" w:line="275" w:lineRule="auto"/>
        <w:ind w:left="462" w:right="2660" w:firstLine="21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九、绩效自评结果拟应用和公开情况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暂未公开。</w:t>
      </w:r>
    </w:p>
    <w:p w14:paraId="312661D7">
      <w:pPr>
        <w:spacing w:line="275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52B777AC">
      <w:pPr>
        <w:spacing w:before="162" w:line="359" w:lineRule="auto"/>
        <w:ind w:left="458" w:right="4161" w:firstLine="21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无。</w:t>
      </w:r>
    </w:p>
    <w:p w14:paraId="21BA3D9C">
      <w:pPr>
        <w:spacing w:line="35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F00D413">
      <w:pPr>
        <w:pStyle w:val="2"/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2C2E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B54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zYjcwNDhlYjZiZGE5NDI4Nzk1Y2MyYjhmNzdlYmMifQ=="/>
  </w:docVars>
  <w:rsids>
    <w:rsidRoot w:val="00000000"/>
    <w:rsid w:val="03653EFA"/>
    <w:rsid w:val="10BF3CCC"/>
    <w:rsid w:val="24847EF8"/>
    <w:rsid w:val="455D1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1444</Words>
  <Characters>1540</Characters>
  <TotalTime>2377</TotalTime>
  <ScaleCrop>false</ScaleCrop>
  <LinksUpToDate>false</LinksUpToDate>
  <CharactersWithSpaces>1606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2024-06-28T15:19:00Z</dcterms:created>
  <dc:creator>啊斌</dc:creator>
  <cp:lastModifiedBy>糖炒栗子</cp:lastModifiedBy>
  <cp:lastPrinted>2025-04-28T07:20:04Z</cp:lastPrinted>
  <dcterms:modified xsi:type="dcterms:W3CDTF">2025-04-29T01:24:06Z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2024-06-28T15:21:54Z</vt:filetime>
  </property>
  <property fmtid="{D5CDD505-2E9C-101B-9397-08002B2CF9AE}" pid="4" name="KSOProductBuildVer">
    <vt:lpwstr>2052-12.1.0.20784</vt:lpwstr>
  </property>
  <property fmtid="{D5CDD505-2E9C-101B-9397-08002B2CF9AE}" pid="5" name="ICV">
    <vt:lpwstr>DEECC93F0675446692965459514C2621_13</vt:lpwstr>
  </property>
  <property fmtid="{D5CDD505-2E9C-101B-9397-08002B2CF9AE}" pid="6" name="KSOTemplateDocerSaveRecord">
    <vt:lpwstr>eyJoZGlkIjoiYTc5MGJmNmJkYjEwYjE5ZGMyM2UwYjBkMmJkZjAxNDUiLCJ1c2VySWQiOiI2MjUyNzMzNTYifQ==</vt:lpwstr>
  </property>
</Properties>
</file>