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836D">
      <w:pPr>
        <w:pStyle w:val="3"/>
        <w:shd w:val="clear" w:color="auto" w:fill="FFFFFF"/>
        <w:spacing w:before="0" w:beforeAutospacing="0" w:after="0" w:afterAutospacing="0" w:line="480" w:lineRule="auto"/>
        <w:jc w:val="center"/>
        <w:rPr>
          <w:rFonts w:ascii="宋体" w:hAnsi="宋体" w:eastAsia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color w:val="auto"/>
          <w:sz w:val="44"/>
          <w:szCs w:val="44"/>
        </w:rPr>
        <w:t>安化县雪峰湖国家地质公园管理处</w:t>
      </w:r>
    </w:p>
    <w:p w14:paraId="151ABAF2">
      <w:pPr>
        <w:pStyle w:val="3"/>
        <w:shd w:val="clear" w:color="auto" w:fill="FFFFFF"/>
        <w:spacing w:before="0" w:beforeAutospacing="0" w:after="0" w:afterAutospacing="0" w:line="480" w:lineRule="auto"/>
        <w:jc w:val="center"/>
        <w:rPr>
          <w:rFonts w:ascii="宋体" w:hAnsi="宋体" w:eastAsia="宋体"/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  <w:lang w:eastAsia="zh-CN"/>
        </w:rPr>
        <w:t>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color w:val="auto"/>
          <w:sz w:val="44"/>
          <w:szCs w:val="44"/>
          <w:lang w:eastAsia="zh-CN"/>
        </w:rPr>
        <w:t>年</w:t>
      </w:r>
      <w:r>
        <w:rPr>
          <w:rFonts w:ascii="宋体" w:hAnsi="宋体" w:eastAsia="宋体"/>
          <w:b/>
          <w:color w:val="auto"/>
          <w:sz w:val="44"/>
          <w:szCs w:val="44"/>
        </w:rPr>
        <w:t>整体支出绩效评价报告</w:t>
      </w:r>
    </w:p>
    <w:bookmarkEnd w:id="0"/>
    <w:p w14:paraId="2FC6331E">
      <w:pPr>
        <w:pStyle w:val="3"/>
        <w:shd w:val="clear" w:color="auto" w:fill="FFFFFF"/>
        <w:spacing w:before="0" w:beforeAutospacing="0" w:after="0" w:afterAutospacing="0" w:line="48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 w14:paraId="4D81A6D6"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为进一步规范财政资金管理，牢固树立预算绩效理念，强化支出责任，提高财政资金使用效益，我们根据《安化县关于全面推进预算绩效管理的实施意见》，结合我局的具体情况，认真组织开展了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年度部门预算绩效自评工作，现将我局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年度部门整体支出绩效评价情况报告如下：</w:t>
      </w:r>
    </w:p>
    <w:p w14:paraId="51450EB9">
      <w:pPr>
        <w:widowControl/>
        <w:spacing w:line="594" w:lineRule="exact"/>
        <w:ind w:firstLine="640" w:firstLineChars="200"/>
        <w:rPr>
          <w:rFonts w:eastAsia="黑体"/>
          <w:bCs/>
          <w:color w:val="auto"/>
          <w:kern w:val="0"/>
          <w:szCs w:val="32"/>
        </w:rPr>
      </w:pPr>
      <w:r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  <w:t>一、</w:t>
      </w:r>
      <w:r>
        <w:rPr>
          <w:rFonts w:eastAsia="黑体"/>
          <w:bCs/>
          <w:color w:val="auto"/>
          <w:kern w:val="0"/>
          <w:sz w:val="32"/>
          <w:szCs w:val="32"/>
        </w:rPr>
        <w:t>部门概况</w:t>
      </w:r>
    </w:p>
    <w:p w14:paraId="1BA12956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（一）部门基本情况</w:t>
      </w:r>
    </w:p>
    <w:p w14:paraId="02DD120C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我处机关内设综合办公室、规划建设股、地质遗迹保护股等3个职能股室。下辖马路管理站、柘溪管理站等2个二级机构。截止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12月,全处实有人数1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人，其中在职1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人(编制人数13人)。</w:t>
      </w:r>
    </w:p>
    <w:p w14:paraId="25A170F0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color w:val="auto"/>
          <w:sz w:val="32"/>
          <w:szCs w:val="32"/>
        </w:rPr>
        <w:t>）部门整体支出规模、使用方向和主要内容、涉及范围等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 w14:paraId="541D5E17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部门决算收支完成情况。</w:t>
      </w:r>
    </w:p>
    <w:p w14:paraId="6824FC6D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1、收入：</w:t>
      </w:r>
      <w:r>
        <w:rPr>
          <w:rFonts w:hint="eastAsia" w:ascii="仿宋" w:hAnsi="仿宋" w:eastAsia="仿宋"/>
          <w:color w:val="auto"/>
          <w:sz w:val="32"/>
          <w:szCs w:val="22"/>
          <w:lang w:val="en-US" w:eastAsia="zh-CN"/>
        </w:rPr>
        <w:t>186.5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万</w:t>
      </w:r>
      <w:r>
        <w:rPr>
          <w:rFonts w:hint="eastAsia" w:ascii="仿宋" w:hAnsi="仿宋" w:eastAsia="仿宋"/>
          <w:color w:val="auto"/>
          <w:sz w:val="32"/>
          <w:szCs w:val="32"/>
        </w:rPr>
        <w:t>元。其中，财政基本预算收入</w:t>
      </w:r>
      <w:r>
        <w:rPr>
          <w:rFonts w:hint="eastAsia" w:ascii="仿宋" w:hAnsi="仿宋" w:eastAsia="仿宋"/>
          <w:color w:val="auto"/>
          <w:sz w:val="32"/>
          <w:szCs w:val="22"/>
          <w:lang w:val="en-US" w:eastAsia="zh-CN"/>
        </w:rPr>
        <w:t>186.5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，其他收入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0万元。主要为财政拨款收入。</w:t>
      </w:r>
    </w:p>
    <w:p w14:paraId="61352053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2、支出：</w:t>
      </w:r>
      <w:r>
        <w:rPr>
          <w:rFonts w:hint="eastAsia" w:ascii="仿宋" w:hAnsi="仿宋" w:eastAsia="仿宋"/>
          <w:color w:val="auto"/>
          <w:sz w:val="32"/>
          <w:szCs w:val="22"/>
          <w:lang w:val="en-US" w:eastAsia="zh-CN"/>
        </w:rPr>
        <w:t>186.5</w:t>
      </w:r>
      <w:r>
        <w:rPr>
          <w:rFonts w:hint="eastAsia" w:ascii="仿宋" w:hAnsi="仿宋" w:eastAsia="仿宋"/>
          <w:color w:val="auto"/>
          <w:sz w:val="32"/>
          <w:szCs w:val="32"/>
        </w:rPr>
        <w:t>万元。其中，基本支出</w:t>
      </w:r>
      <w:r>
        <w:rPr>
          <w:rFonts w:hint="eastAsia" w:ascii="仿宋" w:hAnsi="仿宋" w:eastAsia="仿宋"/>
          <w:color w:val="auto"/>
          <w:sz w:val="32"/>
          <w:szCs w:val="22"/>
          <w:lang w:val="en-US" w:eastAsia="zh-CN"/>
        </w:rPr>
        <w:t>136.5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万元。主要为单位职工的工资福利支出及商品和服务支出。</w:t>
      </w:r>
    </w:p>
    <w:p w14:paraId="29D193E3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（三）绩效目标设立情况</w:t>
      </w:r>
    </w:p>
    <w:p w14:paraId="650CDB04">
      <w:pPr>
        <w:pStyle w:val="3"/>
        <w:shd w:val="clear" w:color="auto" w:fill="FFFFFF"/>
        <w:spacing w:before="0" w:beforeAutospacing="0" w:after="0" w:afterAutospacing="0" w:line="480" w:lineRule="auto"/>
        <w:ind w:firstLine="800" w:firstLineChars="25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</w:t>
      </w:r>
      <w:r>
        <w:rPr>
          <w:rFonts w:hint="eastAsia" w:ascii="仿宋" w:hAnsi="仿宋" w:eastAsia="仿宋"/>
          <w:color w:val="auto"/>
          <w:sz w:val="32"/>
          <w:szCs w:val="32"/>
        </w:rPr>
        <w:t>年，县雪峰湖国家地质公园管理处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个项目实行了绩效目标管理，涉及一般公共预算当年财政拨款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color w:val="auto"/>
          <w:sz w:val="32"/>
          <w:szCs w:val="32"/>
        </w:rPr>
        <w:t>万元、政府性基金预算当年财政拨款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万元、国有资本经营预算当年财政拨款0万元、财政专户管理资金当年安排0万元和单位资金安排0万元。</w:t>
      </w:r>
    </w:p>
    <w:p w14:paraId="1703F29A">
      <w:pPr>
        <w:widowControl/>
        <w:spacing w:line="594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  <w:t>二、部门整体支出管理及使用情况分析</w:t>
      </w:r>
    </w:p>
    <w:p w14:paraId="0100D29C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（一）基本支出</w:t>
      </w:r>
    </w:p>
    <w:p w14:paraId="5A4EDD19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从整体情况来看，我处严格按照年初预算进行部门整体支出。在支出过程中，能严格遵守各项规章制度，“三公经费”明显下降。</w:t>
      </w:r>
    </w:p>
    <w:p w14:paraId="4E426941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内部管理制度建设情况：近年来，我处制定、完善了《雪峰湖国家地质公园管理处财务管理制度》、《雪峰湖国家地质公园管理处车辆管理制度》、《雪峰湖国家地质公园管理处差旅费管理实施办法》、《雪峰湖国家地质公园管理处机关管理制度》等一系列内部制度。</w:t>
      </w:r>
    </w:p>
    <w:p w14:paraId="2091B529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“三公经费”控制情况：贯彻落实上级有关精神，严格控制“三公经费”支出，取得了良好效果。无因公出国（境）费。同时，按按照上级的要求，在财政局的网站上对“三公”经费情况进行了公示。</w:t>
      </w:r>
    </w:p>
    <w:p w14:paraId="30DECBB5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（二）项目支出</w:t>
      </w:r>
    </w:p>
    <w:p w14:paraId="7A6609D8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项目绩效总目标和阶段性目标完成情况：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我处承担的建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设</w:t>
      </w:r>
      <w:r>
        <w:rPr>
          <w:rFonts w:hint="eastAsia" w:ascii="仿宋" w:hAnsi="仿宋" w:eastAsia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其中雪峰湖国家地质公园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导视系统</w:t>
      </w:r>
      <w:r>
        <w:rPr>
          <w:rFonts w:hint="eastAsia" w:ascii="仿宋" w:hAnsi="仿宋" w:eastAsia="仿宋"/>
          <w:color w:val="auto"/>
          <w:sz w:val="32"/>
          <w:szCs w:val="32"/>
        </w:rPr>
        <w:t>建设项目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已完工，</w:t>
      </w:r>
      <w:r>
        <w:rPr>
          <w:rFonts w:hint="eastAsia" w:ascii="仿宋" w:hAnsi="仿宋" w:eastAsia="仿宋"/>
          <w:color w:val="auto"/>
          <w:sz w:val="32"/>
          <w:szCs w:val="32"/>
        </w:rPr>
        <w:t>雪峰湖国家地质公园博物馆建设项目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按政策要求已停工。</w:t>
      </w:r>
    </w:p>
    <w:p w14:paraId="04990B12">
      <w:pPr>
        <w:widowControl/>
        <w:spacing w:line="594" w:lineRule="exact"/>
        <w:ind w:firstLine="640" w:firstLineChars="200"/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  <w:t>三、项目组织实施情况分析</w:t>
      </w:r>
    </w:p>
    <w:p w14:paraId="455C325F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有项目都详细制定了方案，严格按方案组织实施，并加强了监督。尤其是在专项经费支出上，我们能专款专用，按项目实施计划的进度情况进行资金拨付，无截留、无挪用等现象。实行了先有预算、后有执行、“用钱必问效、无效必问责”的新常态。</w:t>
      </w:r>
    </w:p>
    <w:p w14:paraId="19DCB443">
      <w:pPr>
        <w:widowControl/>
        <w:spacing w:line="594" w:lineRule="exact"/>
        <w:ind w:firstLine="640" w:firstLineChars="200"/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  <w:t>四、部门整体支出绩效情况分析</w:t>
      </w:r>
    </w:p>
    <w:p w14:paraId="715E2772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，在县委、县政府的正确领导下，我们紧紧围绕年度目标任务，团结拼搏，全面完成了各项工作任务，实现了“十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color w:val="auto"/>
          <w:sz w:val="32"/>
          <w:szCs w:val="32"/>
        </w:rPr>
        <w:t>五”良好开局。</w:t>
      </w:r>
    </w:p>
    <w:p w14:paraId="4CE56589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根据对我处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部门整体支出项目绩效评价指标体系和绩效情况的检查，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2024年</w:t>
      </w:r>
      <w:r>
        <w:rPr>
          <w:rFonts w:hint="eastAsia" w:ascii="仿宋" w:hAnsi="仿宋" w:eastAsia="仿宋"/>
          <w:color w:val="auto"/>
          <w:sz w:val="32"/>
          <w:szCs w:val="32"/>
        </w:rPr>
        <w:t>我处部门整体绩效自评分9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分，为“优”等级。</w:t>
      </w:r>
    </w:p>
    <w:p w14:paraId="385A6879">
      <w:pPr>
        <w:widowControl/>
        <w:spacing w:line="594" w:lineRule="exact"/>
        <w:ind w:firstLine="640" w:firstLineChars="200"/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黑体"/>
          <w:bCs/>
          <w:color w:val="auto"/>
          <w:kern w:val="0"/>
          <w:sz w:val="32"/>
          <w:szCs w:val="32"/>
          <w:lang w:eastAsia="zh-CN"/>
        </w:rPr>
        <w:t>五、绩效评价工作开展情况</w:t>
      </w:r>
    </w:p>
    <w:p w14:paraId="38C4A691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（一）绩效评价目的。</w:t>
      </w:r>
    </w:p>
    <w:p w14:paraId="55565DF7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此次绩效评价的目的是：严格落实《预算法》及省、市、县绩效管理工作的有关规定，进一步规范财政资金的管理，强化财政支出绩效理念，提升部门责任意识，提高资金使用效益，促进地质公园旅游事业的发展。</w:t>
      </w:r>
    </w:p>
    <w:p w14:paraId="6F10996A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（二）绩效评价的主要过程。</w:t>
      </w:r>
    </w:p>
    <w:p w14:paraId="601E2769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绩效评价的要求，我们成立了自评工作领导小组，对照自评方案进行研究和布署，党组成员、处属各单位及机关各股室全程参与，按照自评方案的要求，对照各实施项目的内容逐条逐项自评。在自评过程发现问题，查找原因，及时纠正偏差，为下一步工作夯实基础。</w:t>
      </w:r>
    </w:p>
    <w:p w14:paraId="0FC63DCB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、存在的主要问题</w:t>
      </w:r>
    </w:p>
    <w:p w14:paraId="2E3C0C96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一是资金使用效益有待进一步提高。</w:t>
      </w:r>
    </w:p>
    <w:p w14:paraId="55CA3ACD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二是绩效目标设立有待进一步细化和量化。</w:t>
      </w:r>
    </w:p>
    <w:p w14:paraId="6B503425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三是地质公园行业管理职能定位有待研究明确，行业管理体系建设有待进一步强化。</w:t>
      </w:r>
    </w:p>
    <w:p w14:paraId="5324D9BA"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改进措施和有关建议</w:t>
      </w:r>
    </w:p>
    <w:p w14:paraId="08BD74AE">
      <w:pPr>
        <w:pStyle w:val="3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</w:rPr>
        <w:t>一）请财政根据公园事业发展的要求和实际情况，提高年初部门预算额度，将常规项目支出纳入年度预算，并增加相关项目支出预算。</w:t>
      </w:r>
    </w:p>
    <w:p w14:paraId="4259D90F"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（二）请解决雪峰湖国家地质公园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</w:rPr>
        <w:t>缺口资金。</w:t>
      </w:r>
    </w:p>
    <w:p w14:paraId="7E0E83A5"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（三）进一步规范绩效目标编制。在编制项目资金绩效目标时要求指向更加明确、细化量化、合理可行、相应匹配。</w:t>
      </w:r>
    </w:p>
    <w:p w14:paraId="24313AA7">
      <w:pPr>
        <w:pStyle w:val="3"/>
        <w:shd w:val="clear" w:color="auto" w:fill="FFFFFF"/>
        <w:spacing w:before="0" w:beforeAutospacing="0" w:after="0" w:afterAutospacing="0" w:line="480" w:lineRule="auto"/>
        <w:ind w:firstLine="480"/>
        <w:rPr>
          <w:rFonts w:ascii="仿宋" w:hAnsi="仿宋" w:eastAsia="仿宋"/>
          <w:color w:val="auto"/>
          <w:sz w:val="32"/>
          <w:szCs w:val="32"/>
        </w:rPr>
      </w:pPr>
    </w:p>
    <w:p w14:paraId="2FE239D7">
      <w:pPr>
        <w:pStyle w:val="3"/>
        <w:shd w:val="clear" w:color="auto" w:fill="FFFFFF"/>
        <w:spacing w:before="0" w:beforeAutospacing="0" w:after="0" w:afterAutospacing="0" w:line="480" w:lineRule="auto"/>
        <w:ind w:firstLine="5120" w:firstLineChars="1600"/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sectPr>
      <w:pgSz w:w="11906" w:h="16838"/>
      <w:pgMar w:top="1417" w:right="1588" w:bottom="141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34FDB"/>
    <w:multiLevelType w:val="singleLevel"/>
    <w:tmpl w:val="34234FD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2025-09-24T03:06:10Z</dcterms:created>
  <dc:creator>Administrator</dc:creator>
  <cp:lastModifiedBy>ぷ 人生如戏 ぷ</cp:lastModifiedBy>
  <dcterms:modified xsi:type="dcterms:W3CDTF">2025-09-24T03:06:26Z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eyJoZGlkIjoiNTQ0YmI5NjcwN2ZhYzc3YjgwNDBjODA3NWI1YzkzNTEiLCJ1c2VySWQiOiIzNzg1Njc5OTQifQ==</vt:lpwstr>
  </property>
  <property fmtid="{D5CDD505-2E9C-101B-9397-08002B2CF9AE}" pid="4" name="ICV">
    <vt:lpwstr>ED118915C7B849D88506B8D1ADA38FA6_12</vt:lpwstr>
  </property>
</Properties>
</file>