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68472"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4</w:t>
      </w:r>
    </w:p>
    <w:p w14:paraId="1D066B8B"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</w:p>
    <w:p w14:paraId="57BB3764"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</w:p>
    <w:p w14:paraId="1F62AAFF"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</w:p>
    <w:p w14:paraId="7347A9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微软雅黑" w:hAnsi="微软雅黑" w:eastAsia="微软雅黑" w:cs="微软雅黑"/>
          <w:sz w:val="52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sz w:val="52"/>
          <w:szCs w:val="52"/>
          <w:lang w:val="en-US" w:eastAsia="zh-CN"/>
        </w:rPr>
        <w:t>2024年度安化县冷市镇人民政府</w:t>
      </w:r>
    </w:p>
    <w:p w14:paraId="1BB9B5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微软雅黑" w:hAnsi="微软雅黑" w:eastAsia="微软雅黑" w:cs="微软雅黑"/>
          <w:sz w:val="52"/>
          <w:szCs w:val="52"/>
          <w:lang w:eastAsia="zh-CN"/>
        </w:rPr>
      </w:pPr>
      <w:r>
        <w:rPr>
          <w:rFonts w:hint="eastAsia" w:ascii="微软雅黑" w:hAnsi="微软雅黑" w:eastAsia="微软雅黑" w:cs="微软雅黑"/>
          <w:sz w:val="52"/>
          <w:szCs w:val="52"/>
        </w:rPr>
        <w:t>整体支出</w:t>
      </w:r>
      <w:r>
        <w:rPr>
          <w:rFonts w:hint="eastAsia" w:ascii="微软雅黑" w:hAnsi="微软雅黑" w:eastAsia="微软雅黑" w:cs="微软雅黑"/>
          <w:sz w:val="52"/>
          <w:szCs w:val="52"/>
          <w:lang w:eastAsia="zh-CN"/>
        </w:rPr>
        <w:t>绩效自评报告</w:t>
      </w:r>
    </w:p>
    <w:p w14:paraId="259CC34B">
      <w:pPr>
        <w:widowControl/>
        <w:ind w:firstLine="361" w:firstLineChars="100"/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 w14:paraId="40A63115"/>
    <w:p w14:paraId="23DC1C5C">
      <w:pPr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 w14:paraId="1FCF5A19">
      <w:pPr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 w14:paraId="4BA370F2">
      <w:pPr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 w14:paraId="23F8E7A8">
      <w:pPr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 w14:paraId="3427B930">
      <w:pPr>
        <w:pStyle w:val="5"/>
      </w:pPr>
    </w:p>
    <w:p w14:paraId="311F1E4D">
      <w:pPr>
        <w:widowControl/>
        <w:ind w:firstLine="361" w:firstLineChars="100"/>
        <w:rPr>
          <w:rFonts w:hint="eastAsia" w:ascii="楷体" w:hAnsi="楷体" w:eastAsia="楷体" w:cs="楷体"/>
          <w:b/>
          <w:bCs/>
          <w:kern w:val="0"/>
          <w:sz w:val="36"/>
          <w:szCs w:val="36"/>
        </w:rPr>
      </w:pPr>
    </w:p>
    <w:p w14:paraId="70454183">
      <w:pPr>
        <w:widowControl/>
        <w:jc w:val="center"/>
        <w:rPr>
          <w:rFonts w:hint="eastAsia" w:ascii="黑体" w:hAnsi="黑体" w:eastAsia="黑体" w:cs="黑体"/>
          <w:b w:val="0"/>
          <w:bCs w:val="0"/>
          <w:kern w:val="0"/>
          <w:sz w:val="48"/>
          <w:szCs w:val="48"/>
          <w:u w:val="single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安化县冷市镇人民政府</w:t>
      </w:r>
    </w:p>
    <w:p w14:paraId="364D5A88">
      <w:pPr>
        <w:jc w:val="center"/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2025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 xml:space="preserve">年 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04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 xml:space="preserve">月 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19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 xml:space="preserve"> 日</w:t>
      </w:r>
    </w:p>
    <w:p w14:paraId="718667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br w:type="page"/>
      </w:r>
    </w:p>
    <w:p w14:paraId="73BD32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eastAsia="zh-CN"/>
        </w:rPr>
      </w:pP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val="en-US" w:eastAsia="zh-CN"/>
        </w:rPr>
        <w:t>2024</w:t>
      </w: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  <w:t>年度</w:t>
      </w: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eastAsia="zh-CN"/>
        </w:rPr>
        <w:t>安化县冷市镇人民政府</w:t>
      </w:r>
    </w:p>
    <w:p w14:paraId="25A9E6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</w:pP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  <w:t>整体支出绩效自评报告</w:t>
      </w:r>
    </w:p>
    <w:p w14:paraId="206A68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一、部门(单位)基本情况</w:t>
      </w:r>
    </w:p>
    <w:p w14:paraId="20C11F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(一)202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年度重点工作</w:t>
      </w:r>
    </w:p>
    <w:p w14:paraId="592600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落实国家政策，严格依法行政，发挥经济管理职能，加强政策引导，制定发展规划，服务市场主体和营造发展环境，搞好市场监管，大力促进社会事业发展，发展镇村经济、文化和社会事业，提供公共服务，维护社会稳定，构建社会主义和谐社会。</w:t>
      </w:r>
    </w:p>
    <w:p w14:paraId="6C9141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1、执行本级人民代表大会的决议和上级国家行政机关的决定和命令，发布决定和命令；</w:t>
      </w:r>
    </w:p>
    <w:p w14:paraId="4249DE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2、执行本行政区域内的经济和社会发展计划、预算，管理本行政区域内的经济、教育、科学、文化、卫生、体育事业和财政、民政、公安、司法行政、计划生育等行政工作；</w:t>
      </w:r>
    </w:p>
    <w:p w14:paraId="7664DC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3、保护社会主义的全民所有的财产和劳动群众集体所有的财产，保护公民私人所有的合法财产，维护社会秩序，保障公民的人身权利、民主权利和其他权利；</w:t>
      </w:r>
    </w:p>
    <w:p w14:paraId="5DC814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4、保护各种经济组织的合法权益；</w:t>
      </w:r>
    </w:p>
    <w:p w14:paraId="7CA680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5、保障少数民族的权利和尊重少数民族的风俗习惯；</w:t>
      </w:r>
    </w:p>
    <w:p w14:paraId="20CFCF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6、办理上级人民政府交办的其他事项。</w:t>
      </w:r>
    </w:p>
    <w:p w14:paraId="0AB67C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(二)部门整体支出规模、使用方向、主要内容和涉及范围</w:t>
      </w:r>
    </w:p>
    <w:p w14:paraId="03817F08">
      <w:pPr>
        <w:pStyle w:val="6"/>
        <w:shd w:val="clear" w:color="auto" w:fill="FFFFFF"/>
        <w:spacing w:before="0" w:beforeAutospacing="0" w:after="0" w:afterAutospacing="0" w:line="594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2024年度整体支出总额2240.72万元，其中财政拨款收入2240.72万元，占总收入的100%。主要内容和涉及范围：人员经费包括基本工资、津贴补贴、奖金、其他社会保障缴费、退休费生活补助、住房公积金等；日常公用经费包括办公费、差旅费、培训费、公务接待费、劳务费、工会经费、福利费、公务用车运行维护费、其他交通费用、其他商品和服务支出等；项目支出主要包括其他对个人和家庭的补助支出、办公费、印刷费、邮电费、差旅费、维修（护）费、会议费、培训费、公务接待费、劳务费、委托业务费、公务用车运行维护费、其他交通费、其他商品和服务支出、办公设备购置。涉及人员经费、保障基本运转、开展各项专项业务工作、精准扶贫、党建所发生的全部支出。</w:t>
      </w:r>
    </w:p>
    <w:p w14:paraId="680679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二、一般公共预算支出情况</w:t>
      </w:r>
    </w:p>
    <w:p w14:paraId="75D3A8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(一)基本支出情况</w:t>
      </w:r>
    </w:p>
    <w:p w14:paraId="33DBFE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基本支出1277.49万元，是为保障各部门正常运转、完成日常工作任务而发生的各项支出，主要包括工资福利支出1038.37万元，商品和服务支出222.81万元，对个人和家庭支出16.31万元。</w:t>
      </w:r>
    </w:p>
    <w:p w14:paraId="7685E5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“三公”经费支出情况：2024年，“三公”经费完成33.6万元，比上年增加6.02万元，主要原因是：人员增加</w:t>
      </w:r>
      <w:r>
        <w:rPr>
          <w:rFonts w:hint="eastAsia" w:ascii="仿宋" w:hAnsi="仿宋" w:eastAsia="仿宋"/>
          <w:sz w:val="32"/>
          <w:szCs w:val="24"/>
        </w:rPr>
        <w:t>，公务接待费有所</w:t>
      </w:r>
      <w:r>
        <w:rPr>
          <w:rFonts w:hint="eastAsia" w:ascii="仿宋" w:hAnsi="仿宋" w:eastAsia="仿宋"/>
          <w:sz w:val="32"/>
          <w:szCs w:val="24"/>
          <w:lang w:eastAsia="zh-CN"/>
        </w:rPr>
        <w:t>增加</w:t>
      </w:r>
      <w:r>
        <w:rPr>
          <w:rFonts w:hint="eastAsia" w:ascii="仿宋" w:hAnsi="仿宋" w:eastAsia="仿宋"/>
          <w:sz w:val="32"/>
          <w:szCs w:val="24"/>
        </w:rPr>
        <w:t>，</w:t>
      </w:r>
      <w:r>
        <w:rPr>
          <w:rFonts w:hint="eastAsia" w:ascii="仿宋" w:hAnsi="仿宋" w:eastAsia="仿宋"/>
          <w:sz w:val="32"/>
          <w:szCs w:val="24"/>
          <w:lang w:eastAsia="zh-CN"/>
        </w:rPr>
        <w:t>无公车购置费，</w:t>
      </w:r>
      <w:r>
        <w:rPr>
          <w:rFonts w:hint="eastAsia" w:ascii="仿宋" w:hAnsi="仿宋" w:eastAsia="仿宋"/>
          <w:sz w:val="32"/>
          <w:szCs w:val="24"/>
        </w:rPr>
        <w:t>按照预算指标数列支公务用车运行维护费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zh-CN" w:eastAsia="zh-CN" w:bidi="ar-SA"/>
        </w:rPr>
        <w:t>。其中，公务接待费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完成29.6万元，比上年增加6.65万元；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zh-CN" w:eastAsia="zh-CN" w:bidi="ar-SA"/>
        </w:rPr>
        <w:t>公务用车购置及运行维护费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完成4万元，比上年减少0.63万元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zh-CN" w:eastAsia="zh-CN" w:bidi="ar-SA"/>
        </w:rPr>
        <w:t>。</w:t>
      </w:r>
    </w:p>
    <w:p w14:paraId="2D3F4A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(二)项目支出情况</w:t>
      </w:r>
    </w:p>
    <w:p w14:paraId="491458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/>
          <w:lang w:val="en-US"/>
        </w:rPr>
      </w:pP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项目支出963.23万元，包含：</w:t>
      </w:r>
      <w:r>
        <w:rPr>
          <w:rFonts w:hint="eastAsia" w:ascii="仿宋_GB2312" w:eastAsia="仿宋_GB2312"/>
          <w:sz w:val="32"/>
          <w:szCs w:val="32"/>
          <w:lang w:eastAsia="zh-CN"/>
        </w:rPr>
        <w:t>业务工作</w:t>
      </w:r>
      <w:r>
        <w:rPr>
          <w:rFonts w:hint="eastAsia" w:ascii="仿宋_GB2312" w:eastAsia="仿宋_GB2312"/>
          <w:sz w:val="32"/>
          <w:szCs w:val="32"/>
        </w:rPr>
        <w:t>经费</w:t>
      </w:r>
      <w:r>
        <w:rPr>
          <w:rFonts w:hint="eastAsia" w:ascii="仿宋_GB2312" w:eastAsia="仿宋_GB2312"/>
          <w:sz w:val="32"/>
          <w:szCs w:val="32"/>
          <w:lang w:eastAsia="zh-CN"/>
        </w:rPr>
        <w:t>以及运行维护经费、水利建设等。</w:t>
      </w:r>
    </w:p>
    <w:p w14:paraId="75EC802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政府性基金预算支出情况</w:t>
      </w:r>
    </w:p>
    <w:p w14:paraId="70D39C70">
      <w:pPr>
        <w:ind w:firstLine="640" w:firstLineChars="200"/>
        <w:rPr>
          <w:rFonts w:hint="default" w:eastAsia="仿宋_GB2312"/>
          <w:lang w:val="en-US" w:eastAsia="zh-CN"/>
        </w:rPr>
      </w:pPr>
      <w:r>
        <w:rPr>
          <w:color w:val="232323"/>
          <w:sz w:val="32"/>
          <w:szCs w:val="32"/>
          <w:shd w:val="clear" w:color="auto" w:fill="FFFFFF"/>
        </w:rPr>
        <w:t>202</w:t>
      </w:r>
      <w:r>
        <w:rPr>
          <w:rFonts w:hint="eastAsia"/>
          <w:color w:val="232323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eastAsia="仿宋_GB2312" w:cs="仿宋_GB2312"/>
          <w:color w:val="232323"/>
          <w:sz w:val="32"/>
          <w:szCs w:val="32"/>
          <w:shd w:val="clear" w:color="auto" w:fill="FFFFFF"/>
        </w:rPr>
        <w:t>年本部门政府性基金支出预算</w:t>
      </w:r>
      <w:r>
        <w:rPr>
          <w:rFonts w:hint="eastAsia" w:eastAsia="仿宋_GB2312"/>
          <w:color w:val="232323"/>
          <w:sz w:val="32"/>
          <w:szCs w:val="32"/>
          <w:shd w:val="clear" w:color="auto" w:fill="FFFFFF"/>
          <w:lang w:val="en-US" w:eastAsia="zh-CN"/>
        </w:rPr>
        <w:t>101.43</w:t>
      </w:r>
      <w:r>
        <w:rPr>
          <w:rFonts w:hint="eastAsia" w:ascii="仿宋_GB2312" w:eastAsia="仿宋_GB2312" w:cs="仿宋_GB2312"/>
          <w:color w:val="232323"/>
          <w:sz w:val="32"/>
          <w:szCs w:val="32"/>
          <w:shd w:val="clear" w:color="auto" w:fill="FFFFFF"/>
        </w:rPr>
        <w:t>万元</w:t>
      </w:r>
      <w:r>
        <w:rPr>
          <w:rFonts w:hint="eastAsia" w:ascii="仿宋_GB2312" w:hAnsi="宋体" w:eastAsia="仿宋_GB2312" w:cs="仿宋_GB2312"/>
          <w:color w:val="232323"/>
          <w:sz w:val="32"/>
          <w:szCs w:val="32"/>
          <w:shd w:val="clear" w:color="auto" w:fill="FFFFFF"/>
        </w:rPr>
        <w:t>。</w:t>
      </w:r>
    </w:p>
    <w:p w14:paraId="4146400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国有资本经营预算支出情况</w:t>
      </w:r>
    </w:p>
    <w:p w14:paraId="2231DFB3">
      <w:pPr>
        <w:pStyle w:val="7"/>
        <w:ind w:left="420" w:leftChars="200" w:firstLine="0" w:firstLineChars="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color w:val="232323"/>
          <w:shd w:val="clear" w:color="auto" w:fill="FFFFFF"/>
        </w:rPr>
        <w:t>202</w:t>
      </w:r>
      <w:r>
        <w:rPr>
          <w:rFonts w:hint="eastAsia"/>
          <w:color w:val="232323"/>
          <w:shd w:val="clear" w:color="auto" w:fill="FFFFFF"/>
          <w:lang w:val="en-US" w:eastAsia="zh-CN"/>
        </w:rPr>
        <w:t>4</w:t>
      </w:r>
      <w:r>
        <w:rPr>
          <w:rFonts w:hint="eastAsia" w:ascii="仿宋_GB2312" w:eastAsia="仿宋_GB2312" w:cs="仿宋_GB2312"/>
          <w:color w:val="232323"/>
          <w:shd w:val="clear" w:color="auto" w:fill="FFFFFF"/>
        </w:rPr>
        <w:t>年</w:t>
      </w:r>
      <w:r>
        <w:rPr>
          <w:rFonts w:hint="eastAsia" w:ascii="仿宋_GB2312" w:hAnsi="宋体" w:eastAsia="仿宋_GB2312" w:cs="仿宋_GB2312"/>
          <w:color w:val="232323"/>
          <w:shd w:val="clear" w:color="auto" w:fill="FFFFFF"/>
        </w:rPr>
        <w:t>本部门无国有资本经营预算的支出。</w:t>
      </w:r>
    </w:p>
    <w:p w14:paraId="4675B08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社会保险基金预算支出情况</w:t>
      </w:r>
    </w:p>
    <w:p w14:paraId="4D3BC260">
      <w:pPr>
        <w:pStyle w:val="7"/>
        <w:ind w:left="420" w:leftChars="200" w:firstLine="0" w:firstLineChars="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color w:val="232323"/>
          <w:shd w:val="clear" w:color="auto" w:fill="FFFFFF"/>
        </w:rPr>
        <w:t>202</w:t>
      </w:r>
      <w:r>
        <w:rPr>
          <w:rFonts w:hint="eastAsia"/>
          <w:color w:val="232323"/>
          <w:shd w:val="clear" w:color="auto" w:fill="FFFFFF"/>
          <w:lang w:val="en-US" w:eastAsia="zh-CN"/>
        </w:rPr>
        <w:t>4</w:t>
      </w:r>
      <w:r>
        <w:rPr>
          <w:rFonts w:hint="eastAsia" w:ascii="仿宋_GB2312" w:eastAsia="仿宋_GB2312" w:cs="仿宋_GB2312"/>
          <w:color w:val="232323"/>
          <w:shd w:val="clear" w:color="auto" w:fill="FFFFFF"/>
        </w:rPr>
        <w:t>年</w:t>
      </w:r>
      <w:r>
        <w:rPr>
          <w:rFonts w:hint="eastAsia" w:ascii="仿宋_GB2312" w:hAnsi="宋体" w:eastAsia="仿宋_GB2312" w:cs="仿宋_GB2312"/>
          <w:color w:val="232323"/>
          <w:shd w:val="clear" w:color="auto" w:fill="FFFFFF"/>
        </w:rPr>
        <w:t>本部门无社会保险基金预算的支出。</w:t>
      </w:r>
    </w:p>
    <w:p w14:paraId="3CE7EE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六、部门整体支出绩效情况</w:t>
      </w:r>
    </w:p>
    <w:p w14:paraId="38786B0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left"/>
        <w:textAlignment w:val="center"/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2024年度支出总额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2240.72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万元，其中基本支出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1277.49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万元，基本支出保障了单位正常运转的日常支出，包括基本工资、津贴补贴等人员经费以及办公费、水电费、差旅费等日常公用经费；项目支出金额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963.23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万元，项目支出主要用于水利支出、农田建设等支出，包括办公费、印刷费、邮电费、差旅费、租赁费、会议费、劳务费及其他对企业补助等。</w:t>
      </w:r>
    </w:p>
    <w:p w14:paraId="562B9C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七、存在的问题及原因分析</w:t>
      </w:r>
    </w:p>
    <w:p w14:paraId="1BECF04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left"/>
        <w:textAlignment w:val="center"/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1）预算绩效观念不深入。我镇在日常财务工作中存在着一定程度的“重分配、轻管理、重支出、轻绩效”的情况，造成该问题的主要原因是自身绩效理念较薄弱，单位绩效目标编制仍有缺失，需要进一步加强对资金绩效管理的重视程度</w:t>
      </w:r>
    </w:p>
    <w:p w14:paraId="5D43C6D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left"/>
        <w:textAlignment w:val="center"/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2）预算绩效规范管理有盲点。在市财政逐步加强绩效管理的情况下，我镇财务人员面对当前绩效管理工作既没有现成的经验可供借鉴，又缺乏专业性很强的技能储备，只能是边工作、边学习、边积累，短期内部分工作只能停留在表面，难以做到程序规范、管理科学，难以满足当前绩效管理要求。</w:t>
      </w:r>
    </w:p>
    <w:p w14:paraId="217F7C8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下一步改进措施</w:t>
      </w:r>
    </w:p>
    <w:p w14:paraId="2908D74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left"/>
        <w:textAlignment w:val="center"/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1）进一步增强绩效管理理念。在管理和使用预算资金的过程中，我镇将更加突出资金使用绩效，做到“花钱必问效”。加强与财政绩效科的沟通协调，按照绩效评价原则，开展资金安全性、规范性的监督，确保专项资金的使用符合绩效管理要求。</w:t>
      </w:r>
    </w:p>
    <w:p w14:paraId="6831B2B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left"/>
        <w:textAlignment w:val="center"/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2）进一步加强财务素养和专业技能培训。我镇希望县财政局相关科室，针对预算资金绩效管理和相关法律法规，对全县乡镇财务人员开展培训，学习预算绩效管理的法律法规、规范要求，让绩效理念深入人心、让绩效管理人员熟知政策、知行合一。</w:t>
      </w:r>
    </w:p>
    <w:p w14:paraId="0D282B0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left"/>
        <w:textAlignment w:val="center"/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今后工作中，按照预算规定的项目和用途严格财务审计，经费支出严格按预算规定项目的财务支出内容进行财务预算，在预算金额内严控费用支出。推动建立过紧日子的长效机制。推进预算一体化系统建设，使预算管理水平更上台阶。</w:t>
      </w:r>
    </w:p>
    <w:p w14:paraId="1D8E193E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绩效自评结果拟应用和公开情况</w:t>
      </w:r>
    </w:p>
    <w:p w14:paraId="3E0F4A5D">
      <w:pPr>
        <w:pStyle w:val="2"/>
        <w:numPr>
          <w:ilvl w:val="0"/>
          <w:numId w:val="0"/>
        </w:numPr>
        <w:ind w:leftChars="200"/>
        <w:rPr>
          <w:rFonts w:hint="eastAsia" w:eastAsia="宋体"/>
          <w:lang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暂未公开。</w:t>
      </w:r>
    </w:p>
    <w:p w14:paraId="5AFD5637">
      <w:pPr>
        <w:numPr>
          <w:ilvl w:val="0"/>
          <w:numId w:val="2"/>
        </w:numPr>
        <w:ind w:left="0" w:leftChars="0" w:firstLine="640" w:firstLineChars="20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其他需要说明的情况</w:t>
      </w:r>
    </w:p>
    <w:p w14:paraId="618679C7">
      <w:pPr>
        <w:numPr>
          <w:ilvl w:val="0"/>
          <w:numId w:val="0"/>
        </w:numPr>
        <w:ind w:leftChars="200"/>
      </w:pP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无。</w:t>
      </w:r>
      <w:r>
        <w:rPr>
          <w:rFonts w:eastAsia="Times New Roman"/>
          <w:kern w:val="0"/>
          <w:sz w:val="2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F4109C"/>
    <w:multiLevelType w:val="singleLevel"/>
    <w:tmpl w:val="0DF4109C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F4048D7"/>
    <w:multiLevelType w:val="singleLevel"/>
    <w:tmpl w:val="7F4048D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4YmQ5Y2MzMGVhMDY4NDkwNTBhM2FiMTI1OTFmZTEifQ=="/>
  </w:docVars>
  <w:rsids>
    <w:rsidRoot w:val="6D445020"/>
    <w:rsid w:val="14FF1319"/>
    <w:rsid w:val="257D691C"/>
    <w:rsid w:val="2CF92AD5"/>
    <w:rsid w:val="33357B76"/>
    <w:rsid w:val="3D064178"/>
    <w:rsid w:val="400652A5"/>
    <w:rsid w:val="53246BC3"/>
    <w:rsid w:val="5F220EAF"/>
    <w:rsid w:val="64B56C4A"/>
    <w:rsid w:val="6D445020"/>
    <w:rsid w:val="720A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Times New Roman" w:hAnsi="Times New Roman"/>
    </w:rPr>
  </w:style>
  <w:style w:type="paragraph" w:styleId="3">
    <w:name w:val="Body Text Indent"/>
    <w:basedOn w:val="1"/>
    <w:qFormat/>
    <w:uiPriority w:val="99"/>
    <w:pPr>
      <w:ind w:firstLine="640" w:firstLineChars="200"/>
    </w:pPr>
    <w:rPr>
      <w:sz w:val="32"/>
      <w:szCs w:val="32"/>
    </w:rPr>
  </w:style>
  <w:style w:type="paragraph" w:styleId="4">
    <w:name w:val="toc 5"/>
    <w:basedOn w:val="1"/>
    <w:next w:val="1"/>
    <w:unhideWhenUsed/>
    <w:qFormat/>
    <w:uiPriority w:val="39"/>
    <w:pPr>
      <w:ind w:left="1680" w:leftChars="800"/>
    </w:pPr>
    <w:rPr>
      <w:rFonts w:ascii="等线" w:hAnsi="等线" w:eastAsia="等线" w:cs="Times New Roman"/>
      <w:szCs w:val="22"/>
    </w:rPr>
  </w:style>
  <w:style w:type="paragraph" w:styleId="5">
    <w:name w:val="toc 1"/>
    <w:basedOn w:val="1"/>
    <w:next w:val="1"/>
    <w:unhideWhenUsed/>
    <w:qFormat/>
    <w:uiPriority w:val="99"/>
    <w:pPr>
      <w:spacing w:beforeLines="0" w:afterLines="0"/>
    </w:pPr>
    <w:rPr>
      <w:rFonts w:hint="default"/>
      <w:sz w:val="21"/>
      <w:szCs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Body Text First Indent 2"/>
    <w:basedOn w:val="3"/>
    <w:qFormat/>
    <w:uiPriority w:val="99"/>
    <w:pPr>
      <w:ind w:firstLine="420"/>
    </w:pPr>
  </w:style>
  <w:style w:type="character" w:styleId="10">
    <w:name w:val="Strong"/>
    <w:basedOn w:val="9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1984</Words>
  <Characters>2106</Characters>
  <Lines>0</Lines>
  <Paragraphs>0</Paragraphs>
  <TotalTime>5</TotalTime>
  <ScaleCrop>false</ScaleCrop>
  <LinksUpToDate>false</LinksUpToDate>
  <CharactersWithSpaces>2110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2024-06-17T10:01:00Z</dcterms:created>
  <dc:creator>啊斌</dc:creator>
  <cp:lastModifiedBy>啦啦啦啦</cp:lastModifiedBy>
  <dcterms:modified xsi:type="dcterms:W3CDTF">2025-04-29T06:27:36Z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DA681D150A604027AC22B9C45F172714_13</vt:lpwstr>
  </property>
  <property fmtid="{D5CDD505-2E9C-101B-9397-08002B2CF9AE}" pid="4" name="KSOTemplateDocerSaveRecord">
    <vt:lpwstr>eyJoZGlkIjoiOTI4YmQ5Y2MzMGVhMDY4NDkwNTBhM2FiMTI1OTFmZTEiLCJ1c2VySWQiOiIyMDUwMzE0MDYifQ==</vt:lpwstr>
  </property>
</Properties>
</file>