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仿宋"/>
          <w:sz w:val="32"/>
          <w:szCs w:val="32"/>
        </w:rPr>
      </w:pPr>
      <w:r>
        <w:rPr>
          <w:rFonts w:hint="eastAsia" w:ascii="黑体" w:hAnsi="黑体" w:eastAsia="黑体" w:cs="仿宋"/>
          <w:sz w:val="32"/>
          <w:szCs w:val="32"/>
        </w:rPr>
        <w:t>附件4</w:t>
      </w:r>
    </w:p>
    <w:p>
      <w:pPr>
        <w:rPr>
          <w:rFonts w:ascii="黑体" w:hAnsi="黑体" w:eastAsia="黑体" w:cs="仿宋"/>
          <w:sz w:val="32"/>
          <w:szCs w:val="32"/>
        </w:rPr>
      </w:pPr>
    </w:p>
    <w:p>
      <w:pPr>
        <w:rPr>
          <w:rFonts w:ascii="黑体" w:hAnsi="黑体" w:eastAsia="黑体" w:cs="仿宋"/>
          <w:sz w:val="32"/>
          <w:szCs w:val="32"/>
        </w:rPr>
      </w:pPr>
    </w:p>
    <w:p>
      <w:pPr>
        <w:rPr>
          <w:rFonts w:ascii="黑体" w:hAnsi="黑体" w:eastAsia="黑体" w:cs="仿宋"/>
          <w:sz w:val="32"/>
          <w:szCs w:val="32"/>
        </w:rPr>
      </w:pPr>
    </w:p>
    <w:p>
      <w:pPr>
        <w:rPr>
          <w:rFonts w:ascii="黑体" w:hAnsi="黑体" w:eastAsia="黑体" w:cs="仿宋"/>
          <w:sz w:val="32"/>
          <w:szCs w:val="32"/>
        </w:rPr>
      </w:pPr>
    </w:p>
    <w:p>
      <w:pPr>
        <w:widowControl/>
        <w:spacing w:line="700" w:lineRule="exact"/>
        <w:jc w:val="center"/>
        <w:rPr>
          <w:rFonts w:ascii="黑体" w:hAnsi="黑体" w:eastAsia="黑体" w:cs="黑体"/>
          <w:sz w:val="52"/>
          <w:szCs w:val="52"/>
        </w:rPr>
      </w:pPr>
      <w:r>
        <w:rPr>
          <w:rFonts w:hint="eastAsia" w:ascii="黑体" w:hAnsi="黑体" w:eastAsia="黑体" w:cs="黑体"/>
          <w:sz w:val="52"/>
          <w:szCs w:val="52"/>
        </w:rPr>
        <w:t>2024年度安化县文化旅游广电体育局整体支出绩效自评报告</w:t>
      </w:r>
    </w:p>
    <w:p>
      <w:pPr>
        <w:widowControl/>
        <w:ind w:firstLine="361" w:firstLineChars="100"/>
        <w:rPr>
          <w:rFonts w:ascii="楷体" w:hAnsi="楷体" w:eastAsia="楷体" w:cs="楷体"/>
          <w:b/>
          <w:bCs/>
          <w:kern w:val="0"/>
          <w:sz w:val="36"/>
          <w:szCs w:val="36"/>
        </w:rPr>
      </w:pPr>
    </w:p>
    <w:p/>
    <w:p>
      <w:pPr>
        <w:rPr>
          <w:rFonts w:ascii="楷体" w:hAnsi="楷体" w:eastAsia="楷体" w:cs="楷体"/>
          <w:b/>
          <w:bCs/>
          <w:kern w:val="0"/>
          <w:sz w:val="36"/>
          <w:szCs w:val="36"/>
        </w:rPr>
      </w:pPr>
    </w:p>
    <w:p>
      <w:pPr>
        <w:rPr>
          <w:rFonts w:ascii="楷体" w:hAnsi="楷体" w:eastAsia="楷体" w:cs="楷体"/>
          <w:b/>
          <w:bCs/>
          <w:kern w:val="0"/>
          <w:sz w:val="36"/>
          <w:szCs w:val="36"/>
        </w:rPr>
      </w:pPr>
    </w:p>
    <w:p>
      <w:pPr>
        <w:rPr>
          <w:rFonts w:ascii="楷体" w:hAnsi="楷体" w:eastAsia="楷体" w:cs="楷体"/>
          <w:b/>
          <w:bCs/>
          <w:kern w:val="0"/>
          <w:sz w:val="36"/>
          <w:szCs w:val="36"/>
        </w:rPr>
      </w:pPr>
    </w:p>
    <w:p>
      <w:pPr>
        <w:rPr>
          <w:rFonts w:ascii="楷体" w:hAnsi="楷体" w:eastAsia="楷体" w:cs="楷体"/>
          <w:b/>
          <w:bCs/>
          <w:kern w:val="0"/>
          <w:sz w:val="36"/>
          <w:szCs w:val="36"/>
        </w:rPr>
      </w:pPr>
    </w:p>
    <w:p>
      <w:pPr>
        <w:pStyle w:val="9"/>
      </w:pPr>
    </w:p>
    <w:p>
      <w:pPr>
        <w:widowControl/>
        <w:ind w:firstLine="361" w:firstLineChars="100"/>
        <w:rPr>
          <w:rFonts w:ascii="楷体" w:hAnsi="楷体" w:eastAsia="楷体" w:cs="楷体"/>
          <w:b/>
          <w:bCs/>
          <w:kern w:val="0"/>
          <w:sz w:val="36"/>
          <w:szCs w:val="36"/>
        </w:rPr>
      </w:pPr>
    </w:p>
    <w:p>
      <w:pPr>
        <w:widowControl/>
        <w:ind w:firstLine="360" w:firstLineChars="100"/>
        <w:rPr>
          <w:rFonts w:ascii="黑体" w:hAnsi="黑体" w:eastAsia="黑体" w:cs="黑体"/>
          <w:kern w:val="0"/>
          <w:sz w:val="48"/>
          <w:szCs w:val="48"/>
          <w:u w:val="single"/>
        </w:rPr>
      </w:pPr>
      <w:r>
        <w:rPr>
          <w:rFonts w:hint="eastAsia" w:ascii="黑体" w:hAnsi="黑体" w:eastAsia="黑体" w:cs="黑体"/>
          <w:kern w:val="0"/>
          <w:sz w:val="36"/>
          <w:szCs w:val="36"/>
        </w:rPr>
        <w:t>申报单位（盖章）</w:t>
      </w:r>
      <w:r>
        <w:rPr>
          <w:rFonts w:hint="eastAsia" w:ascii="黑体" w:hAnsi="黑体" w:eastAsia="黑体" w:cs="黑体"/>
          <w:kern w:val="0"/>
          <w:sz w:val="48"/>
          <w:szCs w:val="48"/>
        </w:rPr>
        <w:t>：</w:t>
      </w:r>
      <w:r>
        <w:rPr>
          <w:rFonts w:hint="eastAsia" w:ascii="黑体" w:hAnsi="黑体" w:eastAsia="黑体" w:cs="黑体"/>
          <w:kern w:val="0"/>
          <w:sz w:val="36"/>
          <w:szCs w:val="36"/>
          <w:u w:val="single"/>
        </w:rPr>
        <w:t>安化县文化旅游广电体育局</w:t>
      </w:r>
    </w:p>
    <w:p>
      <w:pPr>
        <w:widowControl/>
        <w:rPr>
          <w:rFonts w:ascii="黑体" w:hAnsi="黑体" w:eastAsia="黑体" w:cs="黑体"/>
          <w:kern w:val="0"/>
          <w:sz w:val="48"/>
          <w:szCs w:val="48"/>
          <w:u w:val="single"/>
        </w:rPr>
      </w:pPr>
    </w:p>
    <w:p>
      <w:pPr>
        <w:jc w:val="center"/>
        <w:rPr>
          <w:rFonts w:ascii="黑体" w:hAnsi="黑体" w:eastAsia="黑体" w:cs="黑体"/>
          <w:kern w:val="0"/>
          <w:sz w:val="36"/>
          <w:szCs w:val="36"/>
        </w:rPr>
      </w:pPr>
      <w:r>
        <w:rPr>
          <w:rFonts w:hint="eastAsia" w:ascii="黑体" w:hAnsi="黑体" w:eastAsia="黑体" w:cs="黑体"/>
          <w:kern w:val="0"/>
          <w:sz w:val="36"/>
          <w:szCs w:val="36"/>
        </w:rPr>
        <w:t>2025  年  4 月 7 日</w:t>
      </w:r>
    </w:p>
    <w:p>
      <w:pPr>
        <w:jc w:val="center"/>
        <w:rPr>
          <w:rFonts w:ascii="黑体" w:hAnsi="黑体" w:eastAsia="黑体" w:cs="宋体"/>
          <w:kern w:val="0"/>
          <w:sz w:val="32"/>
          <w:szCs w:val="32"/>
        </w:rPr>
      </w:pPr>
      <w:bookmarkStart w:id="0" w:name="_GoBack"/>
      <w:bookmarkEnd w:id="0"/>
      <w:r>
        <w:rPr>
          <w:rFonts w:hint="eastAsia" w:ascii="黑体" w:hAnsi="黑体" w:eastAsia="黑体" w:cs="仿宋"/>
          <w:kern w:val="0"/>
          <w:sz w:val="32"/>
          <w:szCs w:val="32"/>
        </w:rPr>
        <w:br w:type="page"/>
      </w:r>
    </w:p>
    <w:p>
      <w:pPr>
        <w:widowControl/>
        <w:autoSpaceDN w:val="0"/>
        <w:spacing w:line="576" w:lineRule="exact"/>
        <w:jc w:val="center"/>
        <w:rPr>
          <w:rFonts w:ascii="方正小标宋简体" w:hAnsi="方正小标宋简体" w:eastAsia="方正小标宋简体" w:cs="方正小标宋简体"/>
          <w:bCs/>
          <w:kern w:val="0"/>
          <w:sz w:val="44"/>
          <w:szCs w:val="44"/>
        </w:rPr>
      </w:pPr>
      <w:r>
        <w:rPr>
          <w:rFonts w:hint="eastAsia" w:ascii="方正小标宋简体" w:hAnsi="方正小标宋简体" w:eastAsia="方正小标宋简体" w:cs="方正小标宋简体"/>
          <w:bCs/>
          <w:kern w:val="0"/>
          <w:sz w:val="44"/>
          <w:szCs w:val="44"/>
        </w:rPr>
        <w:t>2024年度安化县文化旅游广电体育局        整体支出绩效自评报告</w:t>
      </w:r>
    </w:p>
    <w:p>
      <w:pPr>
        <w:widowControl/>
        <w:numPr>
          <w:ilvl w:val="0"/>
          <w:numId w:val="1"/>
        </w:numPr>
        <w:spacing w:line="576" w:lineRule="exact"/>
        <w:ind w:firstLine="640" w:firstLineChars="200"/>
        <w:jc w:val="left"/>
        <w:rPr>
          <w:rFonts w:ascii="黑体" w:hAnsi="黑体" w:eastAsia="黑体" w:cs="宋体"/>
          <w:color w:val="000000"/>
          <w:kern w:val="0"/>
          <w:sz w:val="32"/>
          <w:szCs w:val="32"/>
        </w:rPr>
      </w:pPr>
      <w:r>
        <w:rPr>
          <w:rFonts w:hint="eastAsia" w:ascii="黑体" w:hAnsi="黑体" w:eastAsia="黑体" w:cs="宋体"/>
          <w:color w:val="000000"/>
          <w:kern w:val="0"/>
          <w:sz w:val="32"/>
          <w:szCs w:val="32"/>
        </w:rPr>
        <w:t>单位基本情况</w:t>
      </w:r>
    </w:p>
    <w:p>
      <w:pPr>
        <w:widowControl/>
        <w:spacing w:line="576" w:lineRule="exact"/>
        <w:ind w:firstLine="640" w:firstLineChars="200"/>
        <w:jc w:val="left"/>
        <w:rPr>
          <w:rFonts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rPr>
        <w:t>(一)2024年度重点工作。</w:t>
      </w:r>
    </w:p>
    <w:p>
      <w:pPr>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1.注重惠民，公共文化服务水平稳步提升</w:t>
      </w:r>
    </w:p>
    <w:p>
      <w:pPr>
        <w:spacing w:line="560" w:lineRule="exact"/>
        <w:ind w:firstLine="643" w:firstLineChars="200"/>
        <w:rPr>
          <w:rFonts w:ascii="楷体" w:hAnsi="楷体" w:eastAsia="楷体" w:cs="楷体"/>
          <w:color w:val="000000"/>
          <w:sz w:val="32"/>
          <w:szCs w:val="32"/>
        </w:rPr>
      </w:pPr>
      <w:r>
        <w:rPr>
          <w:rFonts w:hint="eastAsia" w:ascii="仿宋_GB2312" w:hAnsi="仿宋_GB2312" w:eastAsia="仿宋_GB2312" w:cs="仿宋_GB2312"/>
          <w:b/>
          <w:bCs/>
          <w:sz w:val="32"/>
          <w:szCs w:val="32"/>
        </w:rPr>
        <w:t>持续落实文化惠民工程。</w:t>
      </w:r>
      <w:r>
        <w:rPr>
          <w:rFonts w:hint="eastAsia" w:ascii="仿宋_GB2312" w:hAnsi="仿宋_GB2312" w:eastAsia="仿宋_GB2312" w:cs="仿宋_GB2312"/>
          <w:color w:val="000000"/>
          <w:kern w:val="0"/>
          <w:sz w:val="32"/>
          <w:szCs w:val="32"/>
        </w:rPr>
        <w:t>着力保障人民的文化权益，全县“三馆一站”、安化县体育馆全部实行对外免费开放，部分公共文化场馆实现延时开放或者夜间开放。全年公共文化场馆服务人次326.43万人次，增速184.54%。全年组织2024年“欢乐潇湘·神韵安化”月月乐群众文体活动12场，完成科技、文化、卫生“三下乡”3场示范活动，完成2024年送戏下乡惠民演出近230场。</w:t>
      </w:r>
    </w:p>
    <w:p>
      <w:pPr>
        <w:spacing w:line="560" w:lineRule="exact"/>
        <w:ind w:firstLine="643"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b/>
          <w:bCs/>
          <w:sz w:val="32"/>
          <w:szCs w:val="32"/>
        </w:rPr>
        <w:t>扎实抓好文化产业发展。</w:t>
      </w:r>
      <w:r>
        <w:rPr>
          <w:rFonts w:hint="eastAsia" w:ascii="仿宋_GB2312" w:hAnsi="仿宋_GB2312" w:eastAsia="仿宋_GB2312" w:cs="仿宋_GB2312"/>
          <w:color w:val="000000"/>
          <w:kern w:val="0"/>
          <w:sz w:val="32"/>
          <w:szCs w:val="32"/>
        </w:rPr>
        <w:t>以黑茶文化、梅山文化、羽毛球文化、陶澍文化等为品牌依托，打造以梅山文化产业、特色旅游文化产业为主导的文化产业链条，目前我县在库在报规模以上文化产业及相关产业企业共计24家，2024年新增7家，累计营业收入4.9亿元。</w:t>
      </w:r>
    </w:p>
    <w:p>
      <w:pPr>
        <w:spacing w:line="560" w:lineRule="exact"/>
        <w:ind w:firstLine="643"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b/>
          <w:bCs/>
          <w:sz w:val="32"/>
          <w:szCs w:val="32"/>
        </w:rPr>
        <w:t>不断提升艺术创作水平。</w:t>
      </w:r>
      <w:r>
        <w:rPr>
          <w:rFonts w:hint="eastAsia" w:ascii="仿宋_GB2312" w:hAnsi="仿宋_GB2312" w:eastAsia="仿宋_GB2312" w:cs="仿宋_GB2312"/>
          <w:color w:val="000000"/>
          <w:kern w:val="0"/>
          <w:sz w:val="32"/>
          <w:szCs w:val="32"/>
        </w:rPr>
        <w:t>支持各文艺场馆举办各类培训班达到60期，原创文艺精品《字圣黄自元》获第8届湖南艺术节田汉新剧目奖，油画《城旧》、水彩画《绿水青山系列》入围第八届湖南艺术美术作品决赛展。广泛开展文化志愿服务活动，选派28名优秀文化人才，分别在28个村（社区）指导基层文化人才队伍建设、文化活动组织、文旅产业发展等文化工作。</w:t>
      </w:r>
    </w:p>
    <w:p>
      <w:pPr>
        <w:pStyle w:val="31"/>
        <w:spacing w:line="560" w:lineRule="exact"/>
        <w:ind w:firstLine="640" w:firstLineChars="200"/>
        <w:rPr>
          <w:rFonts w:ascii="方正仿宋_GBK" w:hAnsi="方正仿宋_GBK" w:eastAsia="方正仿宋_GBK" w:cs="方正仿宋_GBK"/>
          <w:b/>
          <w:bCs/>
          <w:color w:val="000000"/>
          <w:sz w:val="32"/>
          <w:szCs w:val="32"/>
        </w:rPr>
      </w:pPr>
      <w:r>
        <w:rPr>
          <w:rFonts w:hint="eastAsia" w:ascii="方正仿宋_GBK" w:hAnsi="方正仿宋_GBK" w:eastAsia="方正仿宋_GBK" w:cs="方正仿宋_GBK"/>
          <w:b/>
          <w:bCs/>
          <w:color w:val="000000"/>
          <w:sz w:val="32"/>
          <w:szCs w:val="32"/>
        </w:rPr>
        <w:t>2.注重管理，文化市场平安有序</w:t>
      </w:r>
    </w:p>
    <w:p>
      <w:pPr>
        <w:spacing w:line="560" w:lineRule="exact"/>
        <w:ind w:firstLine="640" w:firstLineChars="200"/>
        <w:rPr>
          <w:rFonts w:ascii="仿宋_GB2312" w:hAnsi="仿宋_GB2312" w:eastAsia="仿宋_GB2312" w:cs="仿宋_GB2312"/>
          <w:color w:val="000000"/>
          <w:kern w:val="0"/>
          <w:sz w:val="32"/>
          <w:szCs w:val="32"/>
        </w:rPr>
      </w:pPr>
      <w:r>
        <w:rPr>
          <w:rFonts w:hint="eastAsia" w:ascii="方正仿宋_GBK" w:hAnsi="方正仿宋_GBK" w:eastAsia="方正仿宋_GBK" w:cs="方正仿宋_GBK"/>
          <w:b/>
          <w:bCs/>
          <w:color w:val="000000"/>
          <w:sz w:val="32"/>
          <w:szCs w:val="32"/>
        </w:rPr>
        <w:t>规范日常监管。</w:t>
      </w:r>
      <w:r>
        <w:rPr>
          <w:rFonts w:hint="eastAsia" w:ascii="仿宋_GB2312" w:hAnsi="仿宋_GB2312" w:eastAsia="仿宋_GB2312" w:cs="仿宋_GB2312"/>
          <w:color w:val="000000"/>
          <w:kern w:val="0"/>
          <w:sz w:val="32"/>
          <w:szCs w:val="32"/>
        </w:rPr>
        <w:t>采取日常巡查与突击检查相结合，规范全县娱乐场所经营行为，在各级各类执法检查中共出动执法人员3422人次，检查各类经营场所1142家次，查处40起违法行为，立案37起，当场处罚3起，罚款人民币50.06万余元，涉及未成年人案件14起。</w:t>
      </w:r>
    </w:p>
    <w:p>
      <w:pPr>
        <w:spacing w:line="560" w:lineRule="exact"/>
        <w:ind w:left="-2" w:firstLine="640" w:firstLineChars="200"/>
        <w:rPr>
          <w:rFonts w:ascii="仿宋_GB2312" w:hAnsi="仿宋_GB2312" w:eastAsia="仿宋_GB2312" w:cs="仿宋_GB2312"/>
          <w:color w:val="000000"/>
          <w:kern w:val="0"/>
          <w:sz w:val="32"/>
          <w:szCs w:val="32"/>
        </w:rPr>
      </w:pPr>
      <w:r>
        <w:rPr>
          <w:rFonts w:hint="eastAsia" w:ascii="方正仿宋_GBK" w:hAnsi="方正仿宋_GBK" w:eastAsia="方正仿宋_GBK" w:cs="方正仿宋_GBK"/>
          <w:b/>
          <w:bCs/>
          <w:color w:val="000000"/>
          <w:sz w:val="32"/>
          <w:szCs w:val="32"/>
        </w:rPr>
        <w:t>强化安全意识。</w:t>
      </w:r>
      <w:r>
        <w:rPr>
          <w:rFonts w:hint="eastAsia" w:ascii="仿宋_GB2312" w:hAnsi="仿宋_GB2312" w:eastAsia="仿宋_GB2312" w:cs="仿宋_GB2312"/>
          <w:color w:val="000000"/>
          <w:kern w:val="0"/>
          <w:sz w:val="32"/>
          <w:szCs w:val="32"/>
        </w:rPr>
        <w:t>充分运用“月月乐”、“三下乡”等活动契机，开展文明旅游志愿服务活动10场次，发放文明旅游、禁毒、未成年人保护等宣传资料近3000份。开展《文物法》《旅游法》《民法典》等线上线下普法宣传10场次，营造和谐稳定的市场环境。</w:t>
      </w:r>
    </w:p>
    <w:p>
      <w:pPr>
        <w:widowControl/>
        <w:spacing w:line="560" w:lineRule="exact"/>
        <w:ind w:firstLine="640" w:firstLineChars="200"/>
        <w:jc w:val="left"/>
        <w:rPr>
          <w:rFonts w:ascii="仿宋_GB2312" w:hAnsi="仿宋_GB2312" w:eastAsia="仿宋_GB2312" w:cs="仿宋_GB2312"/>
          <w:color w:val="000000"/>
          <w:kern w:val="0"/>
          <w:sz w:val="32"/>
          <w:szCs w:val="32"/>
        </w:rPr>
      </w:pPr>
      <w:r>
        <w:rPr>
          <w:rFonts w:hint="eastAsia" w:ascii="方正仿宋_GBK" w:hAnsi="方正仿宋_GBK" w:eastAsia="方正仿宋_GBK" w:cs="方正仿宋_GBK"/>
          <w:b/>
          <w:bCs/>
          <w:color w:val="000000"/>
          <w:sz w:val="32"/>
          <w:szCs w:val="32"/>
        </w:rPr>
        <w:t>提升队伍素质。</w:t>
      </w:r>
      <w:r>
        <w:rPr>
          <w:rFonts w:hint="eastAsia" w:ascii="仿宋_GB2312" w:hAnsi="仿宋_GB2312" w:eastAsia="仿宋_GB2312" w:cs="仿宋_GB2312"/>
          <w:color w:val="000000"/>
          <w:kern w:val="0"/>
          <w:sz w:val="32"/>
          <w:szCs w:val="32"/>
        </w:rPr>
        <w:t>组织执法人员常态化学习《文化市场综合行政执法管理办法》集等法律法规，进一步提升执法水平。召开4次全县文化旅游安全会议，对全县各乡镇文化站长、文旅经营企业单位进行了安全生产培训及相关法律法规学习，培训人数达300余人次，签订安全责任状126份，让法治观念深入人心。</w:t>
      </w:r>
    </w:p>
    <w:p>
      <w:pPr>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3.注重保护，文化遗产焕发光彩</w:t>
      </w:r>
    </w:p>
    <w:p>
      <w:pPr>
        <w:spacing w:line="560" w:lineRule="exact"/>
        <w:ind w:firstLine="643" w:firstLineChars="200"/>
        <w:rPr>
          <w:rFonts w:ascii="仿宋" w:hAnsi="仿宋" w:eastAsia="仿宋" w:cs="仿宋"/>
          <w:color w:val="000000"/>
          <w:sz w:val="32"/>
          <w:szCs w:val="32"/>
        </w:rPr>
      </w:pPr>
      <w:r>
        <w:rPr>
          <w:rFonts w:hint="eastAsia" w:ascii="仿宋_GB2312" w:hAnsi="仿宋_GB2312" w:eastAsia="仿宋_GB2312" w:cs="仿宋_GB2312"/>
          <w:b/>
          <w:bCs/>
          <w:sz w:val="32"/>
          <w:szCs w:val="32"/>
        </w:rPr>
        <w:t>扎实推进文物保护。</w:t>
      </w:r>
      <w:r>
        <w:rPr>
          <w:rFonts w:hint="eastAsia" w:ascii="仿宋_GB2312" w:hAnsi="仿宋_GB2312" w:eastAsia="仿宋_GB2312" w:cs="仿宋_GB2312"/>
          <w:color w:val="000000"/>
          <w:kern w:val="0"/>
          <w:sz w:val="32"/>
          <w:szCs w:val="32"/>
        </w:rPr>
        <w:t>作为第四次全国文物普查省级示范县,“三普”文物点复核进度完成率排名全市第一，全省第六，同时新发现文物点52处。目前已成功申报安化风雨桥-马渡桥周边旅游设施建设项目2024年省文化和旅游专项资金，并且成功通过三处文保单位计划书。《陶澍夫人墓出土纺织品文物保护项目》已申报成功并获得立项批复，《纸质文物修复申报项目》已完成专家评审阶段，正在等待批复。</w:t>
      </w:r>
    </w:p>
    <w:p>
      <w:pPr>
        <w:spacing w:line="560" w:lineRule="exact"/>
        <w:ind w:firstLine="643" w:firstLineChars="200"/>
        <w:rPr>
          <w:rFonts w:ascii="仿宋" w:hAnsi="仿宋" w:eastAsia="仿宋" w:cs="仿宋"/>
          <w:color w:val="000000"/>
          <w:sz w:val="32"/>
          <w:szCs w:val="32"/>
        </w:rPr>
      </w:pPr>
      <w:r>
        <w:rPr>
          <w:rFonts w:hint="eastAsia" w:ascii="仿宋_GB2312" w:hAnsi="仿宋_GB2312" w:eastAsia="仿宋_GB2312" w:cs="仿宋_GB2312"/>
          <w:b/>
          <w:bCs/>
          <w:sz w:val="32"/>
          <w:szCs w:val="32"/>
        </w:rPr>
        <w:t>开展文物宣传推介。</w:t>
      </w:r>
      <w:r>
        <w:rPr>
          <w:rFonts w:hint="eastAsia" w:ascii="仿宋_GB2312" w:hAnsi="仿宋_GB2312" w:eastAsia="仿宋_GB2312" w:cs="仿宋_GB2312"/>
          <w:color w:val="000000"/>
          <w:kern w:val="0"/>
          <w:sz w:val="32"/>
          <w:szCs w:val="32"/>
        </w:rPr>
        <w:t>与故宫博物院合作，出版《梅山的礼物安化贡茶》一书，填补了有关安化贡茶的研究空白。开展安化县风雨廊桥保护修缮工作，取得卓越成效，得到新湖南、人民日报、央视《百家讲坛》等多方报道。邀请湖南科技学院等省内高校来安，多次开展万里茶道文化遗产相关调研，进一步完善补充“万里茶道”申遗点的“四有档案”提升申遗知名度。</w:t>
      </w:r>
    </w:p>
    <w:p>
      <w:pPr>
        <w:pStyle w:val="2"/>
        <w:spacing w:line="560" w:lineRule="exact"/>
        <w:ind w:firstLine="643"/>
        <w:rPr>
          <w:rFonts w:ascii="仿宋_GB2312" w:hAnsi="仿宋_GB2312" w:eastAsia="仿宋_GB2312" w:cs="仿宋_GB2312"/>
          <w:color w:val="000000"/>
          <w:kern w:val="0"/>
          <w:sz w:val="32"/>
          <w:szCs w:val="32"/>
        </w:rPr>
      </w:pPr>
      <w:r>
        <w:rPr>
          <w:rFonts w:hint="eastAsia" w:ascii="仿宋" w:hAnsi="仿宋" w:eastAsia="仿宋" w:cs="仿宋"/>
          <w:b/>
          <w:bCs/>
          <w:color w:val="000000"/>
          <w:sz w:val="32"/>
          <w:szCs w:val="32"/>
        </w:rPr>
        <w:t>推动文物活化利用。</w:t>
      </w:r>
      <w:r>
        <w:rPr>
          <w:rFonts w:hint="eastAsia" w:ascii="仿宋_GB2312" w:hAnsi="仿宋_GB2312" w:eastAsia="仿宋_GB2312" w:cs="仿宋_GB2312"/>
          <w:color w:val="000000"/>
          <w:kern w:val="0"/>
          <w:sz w:val="32"/>
          <w:szCs w:val="32"/>
        </w:rPr>
        <w:t>注重文物单位的创造性转化、创新性发展，修缮保护与周边环境提质改造相结合，探索“修缮一座廊桥”与“建成一处景点”模式，将风雨桥嵌入精品旅游线路，让古桥活起来、动起来。目前，江南永锡桥、思贤桥成了远近闻名的网红打卡点。挖掘“马渡调查”厚重历史文化价值，恢复“马渡调查旧址”，以全国重点文物保护单位马渡桥为中心开展研学活动和红色乡村旅游，做大做强乡村旅游，近年来接待游客达5万人次，有效带动村集体收入。</w:t>
      </w:r>
    </w:p>
    <w:p>
      <w:pPr>
        <w:pStyle w:val="31"/>
        <w:spacing w:line="560" w:lineRule="exact"/>
        <w:ind w:firstLine="640" w:firstLineChars="200"/>
        <w:rPr>
          <w:rFonts w:ascii="方正仿宋_GBK" w:hAnsi="方正仿宋_GBK" w:eastAsia="方正仿宋_GBK" w:cs="方正仿宋_GBK"/>
          <w:b/>
          <w:bCs/>
          <w:color w:val="000000"/>
          <w:sz w:val="32"/>
          <w:szCs w:val="32"/>
        </w:rPr>
      </w:pPr>
      <w:r>
        <w:rPr>
          <w:rFonts w:hint="eastAsia" w:ascii="方正仿宋_GBK" w:hAnsi="方正仿宋_GBK" w:eastAsia="方正仿宋_GBK" w:cs="方正仿宋_GBK"/>
          <w:b/>
          <w:bCs/>
          <w:color w:val="000000"/>
          <w:sz w:val="32"/>
          <w:szCs w:val="32"/>
        </w:rPr>
        <w:t>4.注重实效，体育强县有序推进</w:t>
      </w:r>
    </w:p>
    <w:p>
      <w:pPr>
        <w:spacing w:line="560" w:lineRule="exact"/>
        <w:ind w:firstLine="640" w:firstLineChars="200"/>
        <w:jc w:val="left"/>
        <w:rPr>
          <w:rFonts w:ascii="仿宋" w:hAnsi="仿宋" w:eastAsia="仿宋" w:cs="仿宋"/>
          <w:color w:val="000000"/>
          <w:sz w:val="32"/>
          <w:szCs w:val="32"/>
        </w:rPr>
      </w:pPr>
      <w:r>
        <w:rPr>
          <w:rFonts w:hint="eastAsia" w:ascii="方正仿宋_GBK" w:hAnsi="方正仿宋_GBK" w:eastAsia="方正仿宋_GBK" w:cs="方正仿宋_GBK"/>
          <w:b/>
          <w:bCs/>
          <w:color w:val="000000"/>
          <w:sz w:val="32"/>
          <w:szCs w:val="32"/>
        </w:rPr>
        <w:t>羽毛球事业焕发生机。</w:t>
      </w:r>
      <w:r>
        <w:rPr>
          <w:rFonts w:hint="eastAsia" w:ascii="仿宋_GB2312" w:hAnsi="仿宋_GB2312" w:eastAsia="仿宋_GB2312" w:cs="仿宋_GB2312"/>
          <w:color w:val="000000"/>
          <w:kern w:val="0"/>
          <w:sz w:val="32"/>
          <w:szCs w:val="32"/>
        </w:rPr>
        <w:t>以“擦亮羽毛球世界冠军摇篮”名片为重要工作目标，积极筹备承接各类赛事，圆满承办了2024年全县干职工羽毛球赛、2024年湖南省“流行羽”羽毛球品牌赛事、“国窖杯”全省羽毛球邀请赛等。2024年3月，安化县羽毛球学校正式划转至我局，出台《关于羽毛球事业高质量发展的意见》，统筹羽毛球事业发展。</w:t>
      </w:r>
    </w:p>
    <w:p>
      <w:pPr>
        <w:pStyle w:val="11"/>
        <w:spacing w:before="0" w:beforeAutospacing="0" w:after="0" w:afterAutospacing="0" w:line="560" w:lineRule="exact"/>
        <w:ind w:firstLine="640" w:firstLineChars="200"/>
        <w:rPr>
          <w:rFonts w:ascii="仿宋_GB2312" w:hAnsi="仿宋_GB2312" w:eastAsia="仿宋_GB2312" w:cs="仿宋_GB2312"/>
          <w:color w:val="000000"/>
          <w:sz w:val="32"/>
          <w:szCs w:val="32"/>
        </w:rPr>
      </w:pPr>
      <w:r>
        <w:rPr>
          <w:rFonts w:hint="eastAsia" w:ascii="方正仿宋_GBK" w:hAnsi="方正仿宋_GBK" w:eastAsia="方正仿宋_GBK" w:cs="方正仿宋_GBK"/>
          <w:b/>
          <w:bCs/>
          <w:color w:val="000000"/>
          <w:kern w:val="2"/>
          <w:sz w:val="32"/>
          <w:szCs w:val="32"/>
        </w:rPr>
        <w:t>省运会备战稳步推进。</w:t>
      </w:r>
      <w:r>
        <w:rPr>
          <w:rFonts w:hint="eastAsia" w:ascii="仿宋_GB2312" w:hAnsi="仿宋_GB2312" w:eastAsia="仿宋_GB2312" w:cs="仿宋_GB2312"/>
          <w:color w:val="000000"/>
          <w:sz w:val="32"/>
          <w:szCs w:val="32"/>
        </w:rPr>
        <w:t>湖南省第十五届运动会场馆建设工作正在有序推进中，预计于12月底开工建设，确保场馆提质改造按时、按质、安全、有序完成。同时为了认真筹备第十五届省运会，成立了备战省运会训练基地学校，成立了安化县举重队、羽毛球队、女子足球队、武术队、田径队等队伍，为训练队的正常训练提供了保障。目前我局备战训练已整理夺金点16个，将在冬季选拔与春季招生中继续选拔人才，争取完成市级下达的夺金任务。</w:t>
      </w:r>
    </w:p>
    <w:p>
      <w:pPr>
        <w:spacing w:line="560" w:lineRule="exact"/>
        <w:ind w:firstLine="640" w:firstLineChars="200"/>
        <w:rPr>
          <w:rFonts w:ascii="仿宋" w:hAnsi="仿宋" w:eastAsia="仿宋" w:cs="仿宋"/>
          <w:color w:val="000000"/>
          <w:sz w:val="32"/>
          <w:szCs w:val="32"/>
        </w:rPr>
      </w:pPr>
      <w:r>
        <w:rPr>
          <w:rFonts w:hint="eastAsia" w:ascii="方正仿宋_GBK" w:hAnsi="方正仿宋_GBK" w:eastAsia="方正仿宋_GBK" w:cs="方正仿宋_GBK"/>
          <w:b/>
          <w:bCs/>
          <w:color w:val="000000"/>
          <w:sz w:val="32"/>
          <w:szCs w:val="32"/>
        </w:rPr>
        <w:t>全民健身计划广泛普及。</w:t>
      </w:r>
      <w:r>
        <w:rPr>
          <w:rFonts w:hint="eastAsia" w:ascii="仿宋_GB2312" w:hAnsi="仿宋_GB2312" w:eastAsia="仿宋_GB2312" w:cs="仿宋_GB2312"/>
          <w:color w:val="000000"/>
          <w:kern w:val="0"/>
          <w:sz w:val="32"/>
          <w:szCs w:val="32"/>
        </w:rPr>
        <w:t>2024年根据《全民健身条例》，扎实推进全民健身计划，积极申报器材项目，依规采购体育器材，优化公共场地，2024年共下发器材67套，增添公共体育场所54处，我县人均体育场地面积2.69平方米。</w:t>
      </w:r>
    </w:p>
    <w:p>
      <w:pPr>
        <w:spacing w:line="560" w:lineRule="exact"/>
        <w:ind w:firstLine="640" w:firstLineChars="200"/>
        <w:rPr>
          <w:rFonts w:ascii="方正仿宋_GBK" w:hAnsi="方正仿宋_GBK" w:eastAsia="方正仿宋_GBK" w:cs="方正仿宋_GBK"/>
          <w:b/>
          <w:bCs/>
          <w:color w:val="000000"/>
          <w:sz w:val="32"/>
          <w:szCs w:val="32"/>
        </w:rPr>
      </w:pPr>
      <w:r>
        <w:rPr>
          <w:rFonts w:hint="eastAsia" w:ascii="方正仿宋_GBK" w:hAnsi="方正仿宋_GBK" w:eastAsia="方正仿宋_GBK" w:cs="方正仿宋_GBK"/>
          <w:b/>
          <w:bCs/>
          <w:color w:val="000000"/>
          <w:sz w:val="32"/>
          <w:szCs w:val="32"/>
        </w:rPr>
        <w:t>5.注重提质，文旅融合精彩纷呈</w:t>
      </w:r>
    </w:p>
    <w:p>
      <w:pPr>
        <w:spacing w:line="560" w:lineRule="exact"/>
        <w:ind w:firstLine="640" w:firstLineChars="200"/>
        <w:rPr>
          <w:rFonts w:ascii="仿宋" w:hAnsi="仿宋" w:eastAsia="仿宋" w:cs="仿宋"/>
          <w:color w:val="000000"/>
          <w:kern w:val="0"/>
          <w:sz w:val="32"/>
          <w:szCs w:val="32"/>
          <w:shd w:val="clear" w:color="auto" w:fill="FFFFFF"/>
        </w:rPr>
      </w:pPr>
      <w:r>
        <w:rPr>
          <w:rFonts w:hint="eastAsia" w:ascii="方正仿宋_GBK" w:hAnsi="方正仿宋_GBK" w:eastAsia="方正仿宋_GBK" w:cs="方正仿宋_GBK"/>
          <w:b/>
          <w:bCs/>
          <w:color w:val="000000"/>
          <w:sz w:val="32"/>
          <w:szCs w:val="32"/>
        </w:rPr>
        <w:t>夯实文旅产业基础。</w:t>
      </w:r>
      <w:r>
        <w:rPr>
          <w:rFonts w:hint="eastAsia" w:ascii="仿宋_GB2312" w:hAnsi="仿宋_GB2312" w:eastAsia="仿宋_GB2312" w:cs="仿宋_GB2312"/>
          <w:color w:val="000000"/>
          <w:kern w:val="0"/>
          <w:sz w:val="32"/>
          <w:szCs w:val="32"/>
        </w:rPr>
        <w:t>坚持把文旅产业作为县域重要经济产业统筹推进，组建旅游产业链，由县委副书记、县长担任链长，组建旅游发展集团，推动安化文旅助力乡村全面振兴。2024年接待游客达1200万人次，旅游综合收入100亿元，全年创建省级以上旅游品牌25个。</w:t>
      </w:r>
    </w:p>
    <w:p>
      <w:pPr>
        <w:numPr>
          <w:ilvl w:val="1"/>
          <w:numId w:val="0"/>
        </w:numPr>
        <w:spacing w:line="560" w:lineRule="exact"/>
        <w:ind w:firstLine="640" w:firstLineChars="200"/>
        <w:rPr>
          <w:rFonts w:ascii="仿宋" w:hAnsi="仿宋" w:eastAsia="仿宋" w:cs="仿宋"/>
          <w:color w:val="000000"/>
          <w:kern w:val="0"/>
          <w:sz w:val="32"/>
          <w:szCs w:val="32"/>
          <w:shd w:val="clear" w:color="auto" w:fill="FFFFFF"/>
        </w:rPr>
      </w:pPr>
      <w:r>
        <w:rPr>
          <w:rFonts w:hint="eastAsia" w:ascii="方正仿宋_GBK" w:hAnsi="方正仿宋_GBK" w:eastAsia="方正仿宋_GBK" w:cs="方正仿宋_GBK"/>
          <w:b/>
          <w:bCs/>
          <w:color w:val="000000"/>
          <w:sz w:val="32"/>
          <w:szCs w:val="32"/>
        </w:rPr>
        <w:t>释放文旅活动潜力。</w:t>
      </w:r>
      <w:r>
        <w:rPr>
          <w:rFonts w:hint="eastAsia" w:ascii="仿宋_GB2312" w:hAnsi="仿宋_GB2312" w:eastAsia="仿宋_GB2312" w:cs="仿宋_GB2312"/>
          <w:color w:val="000000"/>
          <w:kern w:val="0"/>
          <w:sz w:val="32"/>
          <w:szCs w:val="32"/>
        </w:rPr>
        <w:t>持续开展“安化与你四季有约”本土品牌活动、“第六届安化黑茶文化节”等系列活动；组织完成了五一文旅系列活动并推出“五一游安化·精品旅游线路”；组织企业参加了“2024 益阳市文旅融合发展大会文旅产业发展成果集中展示展览”活动；充分运用节假日联合各景区开展了各类优惠活动，其中“茶乡花海九周年答谢游客”火爆全场；组织开展安化县第二届“中远海运杯”文旅短视频大赛，收到近百个优秀作品；通过参加cctv4《远方的家》节目、益阳市文化旅游商品大赛、益阳文旅走进中南大学活动、中央驻湘媒体来安调研等活动，扩大安化文旅知名度。</w:t>
      </w:r>
    </w:p>
    <w:p>
      <w:pPr>
        <w:numPr>
          <w:ilvl w:val="1"/>
          <w:numId w:val="0"/>
        </w:numPr>
        <w:spacing w:line="560" w:lineRule="exact"/>
        <w:ind w:firstLine="640" w:firstLineChars="200"/>
        <w:rPr>
          <w:rFonts w:ascii="仿宋_GB2312" w:hAnsi="仿宋" w:eastAsia="仿宋_GB2312"/>
          <w:sz w:val="32"/>
          <w:szCs w:val="32"/>
        </w:rPr>
      </w:pPr>
      <w:r>
        <w:rPr>
          <w:rFonts w:hint="eastAsia" w:ascii="方正仿宋_GBK" w:hAnsi="方正仿宋_GBK" w:eastAsia="方正仿宋_GBK" w:cs="方正仿宋_GBK"/>
          <w:b/>
          <w:bCs/>
          <w:color w:val="000000"/>
          <w:sz w:val="32"/>
          <w:szCs w:val="32"/>
        </w:rPr>
        <w:t>扩大文旅品牌影响。</w:t>
      </w:r>
      <w:r>
        <w:rPr>
          <w:rFonts w:hint="eastAsia" w:ascii="仿宋_GB2312" w:hAnsi="仿宋_GB2312" w:eastAsia="仿宋_GB2312" w:cs="仿宋_GB2312"/>
          <w:color w:val="000000"/>
          <w:kern w:val="0"/>
          <w:sz w:val="32"/>
          <w:szCs w:val="32"/>
        </w:rPr>
        <w:t xml:space="preserve">百花寨成功创建国家4A级旅游景区，雪峰湖度假区成功创建省级旅游度假区。茶马古道民宿集群、云台山星空营地、云上茶旅休闲精品廊道和马路溪村被评定为“四个一百”省级乡村旅游精品民宿聚集区、精品营地、精品廊道、精品村。浅斟百龙泉、马路溪乡村生态旅游区获评省五星级乡村旅游区。安化黑茶文化艺术馆、梅山赛车主题公园、雪峰湖民宿聚集区、白沙溪黑茶文化研学旅游基地、安化县梅山文化园获评第二批湖南文旅消费“新生代·新场景”。  </w:t>
      </w:r>
    </w:p>
    <w:p>
      <w:pPr>
        <w:widowControl/>
        <w:spacing w:line="576" w:lineRule="exact"/>
        <w:jc w:val="left"/>
        <w:rPr>
          <w:rFonts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rPr>
        <w:t>(二)部门整体支出规模、使用方向、主要内容和涉及范围。</w:t>
      </w:r>
    </w:p>
    <w:p>
      <w:pPr>
        <w:pStyle w:val="2"/>
        <w:ind w:firstLine="640"/>
      </w:pPr>
      <w:r>
        <w:rPr>
          <w:rFonts w:hint="eastAsia" w:ascii="仿宋_GB2312" w:hAnsi="仿宋_GB2312" w:eastAsia="仿宋_GB2312" w:cs="仿宋_GB2312"/>
          <w:color w:val="000000"/>
          <w:kern w:val="0"/>
          <w:sz w:val="32"/>
          <w:szCs w:val="32"/>
        </w:rPr>
        <w:t>2024年部门整体支出规模2583.63万元，主要用于文化、旅游、广电、体育日常和专项工作的正常开展。其中:1.项目支出2003.51万元占总支出的77.55%，用于文化、旅游、广电、体育专项工作开展，主要范围为全县公共文化服务体系建设、文物保护修缮、青云洞.云上九歌成功创建国家4A级景区扶持奖励、文化人才专项工作、地方美术馆公共图书馆文化馆（站）免费开放、文化和旅游项目的支出。2.基本支出580.12万元，占总支出的22.45%，其中人员经费482.7万元，公用经费97.42万元，主要是为保障单位机构运转和完成日常工作任务发生的支出。</w:t>
      </w:r>
    </w:p>
    <w:p>
      <w:pPr>
        <w:widowControl/>
        <w:spacing w:line="576" w:lineRule="exact"/>
        <w:ind w:firstLine="640" w:firstLineChars="200"/>
        <w:jc w:val="left"/>
        <w:rPr>
          <w:rFonts w:ascii="黑体" w:hAnsi="黑体" w:eastAsia="黑体" w:cs="宋体"/>
          <w:color w:val="000000"/>
          <w:kern w:val="0"/>
          <w:sz w:val="32"/>
          <w:szCs w:val="32"/>
        </w:rPr>
      </w:pPr>
      <w:r>
        <w:rPr>
          <w:rFonts w:hint="eastAsia" w:ascii="黑体" w:hAnsi="黑体" w:eastAsia="黑体" w:cs="宋体"/>
          <w:color w:val="000000"/>
          <w:kern w:val="0"/>
          <w:sz w:val="32"/>
          <w:szCs w:val="32"/>
        </w:rPr>
        <w:t>二、一般公共预算支出情况</w:t>
      </w:r>
    </w:p>
    <w:p>
      <w:pPr>
        <w:widowControl/>
        <w:spacing w:line="576" w:lineRule="exact"/>
        <w:ind w:firstLine="640" w:firstLineChars="200"/>
        <w:jc w:val="left"/>
        <w:rPr>
          <w:rFonts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rPr>
        <w:t>(一)基本支出情况</w:t>
      </w:r>
    </w:p>
    <w:p>
      <w:pPr>
        <w:widowControl/>
        <w:spacing w:line="576"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基本支出系保障我局机构正常运转、完成日常工作任务而发生的各项支出，包括用于在职职工基本工资、津贴补贴等人员经费以及办公费、印刷费、水电费、办公设备购置等日常公用经费。2024年基本支出580.12万元，1.人员经费支出482.7万元，占基本支出的83%，较上年减少96.59万元，减少17%,主要原因是：人员异动变化以及按上级要求进一步规范公务员津贴补发放范围；2.日常公用经费97.42万元，占基本支出的17%，较上年减少6.21万元，减少6%，主要原因是：减少了开展业务工作和活动时的相关费用。</w:t>
      </w:r>
    </w:p>
    <w:p>
      <w:pPr>
        <w:pStyle w:val="17"/>
        <w:ind w:firstLine="640" w:firstLineChars="200"/>
        <w:rPr>
          <w:rFonts w:ascii="楷体_GB2312" w:hAnsi="楷体_GB2312" w:eastAsia="楷体_GB2312" w:cs="楷体_GB2312"/>
          <w:sz w:val="32"/>
          <w:szCs w:val="32"/>
        </w:rPr>
      </w:pPr>
      <w:r>
        <w:rPr>
          <w:rFonts w:hint="eastAsia" w:hAnsi="仿宋_GB2312"/>
          <w:sz w:val="32"/>
          <w:szCs w:val="32"/>
        </w:rPr>
        <w:t>“三公”经费支出情况：2024年度“三公”经费预算17.61万元，支出决算14.61万元，完成年初预算的82.96%，决算数小于年初预算数的主要原因是：坚决落实县委、县政府过“紧日子”的要求，不断规范公务接待管理，严格控制陪餐人数，有效控制了公务接待费开支“三公”经费支出与上年相比减少2.6万元，下降15.1%,减少的主要原因是厉行节约，坚决落实县委、县政府过“紧日子”的要求。2024年接待公务用餐217批次，接待1391人次。</w:t>
      </w:r>
    </w:p>
    <w:p>
      <w:pPr>
        <w:widowControl/>
        <w:numPr>
          <w:ilvl w:val="0"/>
          <w:numId w:val="2"/>
        </w:numPr>
        <w:spacing w:line="576" w:lineRule="exact"/>
        <w:ind w:firstLine="640" w:firstLineChars="200"/>
        <w:jc w:val="left"/>
        <w:rPr>
          <w:rFonts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rPr>
        <w:t>项目支出情况</w:t>
      </w:r>
    </w:p>
    <w:p>
      <w:pPr>
        <w:widowControl/>
        <w:spacing w:line="576"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2024年度项目支出2003.51万元。按经济分类支出：</w:t>
      </w:r>
    </w:p>
    <w:p>
      <w:pPr>
        <w:widowControl/>
        <w:spacing w:line="576"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商品和服务支出1851.3万元，其中：办公费13.7万元；印刷费16.09万元；咨询费7.4万元；水费6.38万元；电费10万元；邮电费4.65万元；物业管理费8.28万元；差旅费28.55万元；维修（护）费51.43万元；租赁费31.77万元；会议费4.8万元；培训费0.67万元；专用材料费465.76万元；劳务费37.72万元；委托业务费1137.47万元；其他交通费26.63万元。</w:t>
      </w:r>
    </w:p>
    <w:p>
      <w:pPr>
        <w:widowControl/>
        <w:spacing w:line="576"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2.资本性支出10.31万元，其中：办公设备购置1.55万元；专用设备购置8.76万元。</w:t>
      </w:r>
    </w:p>
    <w:p>
      <w:pPr>
        <w:pStyle w:val="2"/>
        <w:ind w:firstLine="64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3.对企业补助141.9万元，其中：其他对企业补助141.9万元。</w:t>
      </w:r>
    </w:p>
    <w:p>
      <w:pPr>
        <w:widowControl/>
        <w:spacing w:line="576"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2024年度共计38个项目，支出2003.51万元。其中本级项目18个，支出1032.6万元；上级项目17个，支出864.13万元；非财政拨款项目3个，支出106.78万元。</w:t>
      </w:r>
    </w:p>
    <w:p>
      <w:pPr>
        <w:widowControl/>
        <w:numPr>
          <w:ilvl w:val="0"/>
          <w:numId w:val="1"/>
        </w:numPr>
        <w:spacing w:line="576" w:lineRule="exact"/>
        <w:ind w:firstLine="640" w:firstLineChars="200"/>
        <w:jc w:val="left"/>
        <w:rPr>
          <w:rFonts w:ascii="黑体" w:hAnsi="黑体" w:eastAsia="黑体" w:cs="宋体"/>
          <w:color w:val="000000"/>
          <w:kern w:val="0"/>
          <w:sz w:val="32"/>
          <w:szCs w:val="32"/>
        </w:rPr>
      </w:pPr>
      <w:r>
        <w:rPr>
          <w:rFonts w:hint="eastAsia" w:ascii="黑体" w:hAnsi="黑体" w:eastAsia="黑体" w:cs="宋体"/>
          <w:color w:val="000000"/>
          <w:kern w:val="0"/>
          <w:sz w:val="32"/>
          <w:szCs w:val="32"/>
        </w:rPr>
        <w:t>政府性基金预算支出情况</w:t>
      </w:r>
    </w:p>
    <w:p>
      <w:pPr>
        <w:widowControl/>
        <w:spacing w:line="576"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2024年度政府性基金预算支出0.04万元。主要是：湘财综指〔2022〕17号2022年度省级体育彩票公益金（群众体育）支出0.04万元。</w:t>
      </w:r>
    </w:p>
    <w:p>
      <w:pPr>
        <w:widowControl/>
        <w:numPr>
          <w:ilvl w:val="0"/>
          <w:numId w:val="1"/>
        </w:numPr>
        <w:spacing w:line="576" w:lineRule="exact"/>
        <w:ind w:firstLine="640" w:firstLineChars="200"/>
        <w:jc w:val="left"/>
        <w:rPr>
          <w:rFonts w:ascii="黑体" w:hAnsi="黑体" w:eastAsia="黑体" w:cs="宋体"/>
          <w:color w:val="000000"/>
          <w:kern w:val="0"/>
          <w:sz w:val="32"/>
          <w:szCs w:val="32"/>
        </w:rPr>
      </w:pPr>
      <w:r>
        <w:rPr>
          <w:rFonts w:hint="eastAsia" w:ascii="黑体" w:hAnsi="黑体" w:eastAsia="黑体" w:cs="宋体"/>
          <w:color w:val="000000"/>
          <w:kern w:val="0"/>
          <w:sz w:val="32"/>
          <w:szCs w:val="32"/>
        </w:rPr>
        <w:t>国有资本经营预算支出情况</w:t>
      </w:r>
    </w:p>
    <w:p>
      <w:pPr>
        <w:widowControl/>
        <w:spacing w:line="576"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2024年度本单位无国有资本经营预算支出。</w:t>
      </w:r>
    </w:p>
    <w:p>
      <w:pPr>
        <w:widowControl/>
        <w:numPr>
          <w:ilvl w:val="0"/>
          <w:numId w:val="1"/>
        </w:numPr>
        <w:spacing w:line="576" w:lineRule="exact"/>
        <w:ind w:firstLine="640" w:firstLineChars="200"/>
        <w:jc w:val="left"/>
        <w:rPr>
          <w:rFonts w:ascii="黑体" w:hAnsi="黑体" w:eastAsia="黑体" w:cs="宋体"/>
          <w:color w:val="000000"/>
          <w:kern w:val="0"/>
          <w:sz w:val="32"/>
          <w:szCs w:val="32"/>
        </w:rPr>
      </w:pPr>
      <w:r>
        <w:rPr>
          <w:rFonts w:hint="eastAsia" w:ascii="黑体" w:hAnsi="黑体" w:eastAsia="黑体" w:cs="宋体"/>
          <w:color w:val="000000"/>
          <w:kern w:val="0"/>
          <w:sz w:val="32"/>
          <w:szCs w:val="32"/>
        </w:rPr>
        <w:t>社会保险基金预算支出情况</w:t>
      </w:r>
    </w:p>
    <w:p>
      <w:pPr>
        <w:widowControl/>
        <w:spacing w:line="576"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2024年度本单位无社会保险基金预算支出。</w:t>
      </w:r>
    </w:p>
    <w:p>
      <w:pPr>
        <w:widowControl/>
        <w:numPr>
          <w:ilvl w:val="0"/>
          <w:numId w:val="1"/>
        </w:numPr>
        <w:spacing w:line="576" w:lineRule="exact"/>
        <w:ind w:firstLine="640" w:firstLineChars="200"/>
        <w:jc w:val="left"/>
        <w:rPr>
          <w:rFonts w:ascii="黑体" w:hAnsi="黑体" w:eastAsia="黑体" w:cs="宋体"/>
          <w:color w:val="000000"/>
          <w:kern w:val="0"/>
          <w:sz w:val="32"/>
          <w:szCs w:val="32"/>
        </w:rPr>
      </w:pPr>
      <w:r>
        <w:rPr>
          <w:rFonts w:hint="eastAsia" w:ascii="黑体" w:hAnsi="黑体" w:eastAsia="黑体" w:cs="宋体"/>
          <w:color w:val="000000"/>
          <w:kern w:val="0"/>
          <w:sz w:val="32"/>
          <w:szCs w:val="32"/>
        </w:rPr>
        <w:t>部门整体支出绩效情况</w:t>
      </w:r>
    </w:p>
    <w:p>
      <w:pPr>
        <w:widowControl/>
        <w:spacing w:line="576"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（一）部门基本情况</w:t>
      </w:r>
    </w:p>
    <w:p>
      <w:pPr>
        <w:widowControl/>
        <w:spacing w:line="576" w:lineRule="exact"/>
        <w:ind w:firstLine="960" w:firstLineChars="3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安化县文化旅游广电体育局（简称县文旅广体局）是安化县人民政府工作部门，为正科级，加挂安化县文化市场综合行政执法局牌子，对外使用安化县文物局名称。县文化旅游广电体育局贯彻落实党中央和国务院关于文化、文物、旅游、广播电视和体育工作的方针政策和决策部署，全面落实省、市、县委政府的部署要求，在履行职责过程中坚持和加强党对文化、文物、旅游、广播电视和体育工作的集中统一领导。</w:t>
      </w:r>
    </w:p>
    <w:p>
      <w:pPr>
        <w:pStyle w:val="11"/>
        <w:shd w:val="clear" w:color="auto" w:fill="FFFFFF"/>
        <w:spacing w:before="0" w:beforeAutospacing="0" w:after="0" w:afterAutospacing="0" w:line="58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（二）部门预算情况</w:t>
      </w:r>
    </w:p>
    <w:p>
      <w:pPr>
        <w:widowControl/>
        <w:spacing w:line="576" w:lineRule="exact"/>
        <w:ind w:firstLine="643"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b/>
          <w:bCs/>
          <w:color w:val="000000"/>
          <w:kern w:val="0"/>
          <w:sz w:val="32"/>
          <w:szCs w:val="32"/>
        </w:rPr>
        <w:t>1.收入预算</w:t>
      </w:r>
      <w:r>
        <w:rPr>
          <w:rFonts w:hint="eastAsia" w:ascii="仿宋_GB2312" w:hAnsi="仿宋_GB2312" w:eastAsia="仿宋_GB2312" w:cs="仿宋_GB2312"/>
          <w:color w:val="000000"/>
          <w:kern w:val="0"/>
          <w:sz w:val="32"/>
          <w:szCs w:val="32"/>
        </w:rPr>
        <w:t>：包括一般公共预算、政府性基金、国有资本经营预算等财政拨款收入，以及经营收入、事业收入等单位资金。2024年本部门收入预算575.88万元，其中，一般公共预算拨款575.88万元，政府性基金预算拨款0万元，国有资本经营预算拨款0万元，纳入专户管理的非税收入0万元。收入较去年减少48.16万元，主要是在职人员公用经费较2023年人平减少1600元/年/人；项目收入预算较上年减少12.5万元。</w:t>
      </w:r>
    </w:p>
    <w:p>
      <w:pPr>
        <w:pStyle w:val="2"/>
        <w:ind w:firstLine="641"/>
        <w:rPr>
          <w:rFonts w:ascii="仿宋_GB2312" w:hAnsi="仿宋_GB2312" w:eastAsia="仿宋_GB2312" w:cs="仿宋_GB2312"/>
          <w:color w:val="000000"/>
          <w:kern w:val="0"/>
          <w:sz w:val="32"/>
          <w:szCs w:val="32"/>
        </w:rPr>
      </w:pPr>
      <w:r>
        <w:rPr>
          <w:rFonts w:hint="eastAsia" w:ascii="仿宋_GB2312" w:hAnsi="仿宋_GB2312" w:eastAsia="仿宋_GB2312" w:cs="仿宋_GB2312"/>
          <w:b/>
          <w:bCs/>
          <w:color w:val="000000"/>
          <w:kern w:val="0"/>
          <w:sz w:val="32"/>
          <w:szCs w:val="32"/>
        </w:rPr>
        <w:t>2.支出预算：</w:t>
      </w:r>
      <w:r>
        <w:rPr>
          <w:rFonts w:hint="eastAsia" w:ascii="仿宋_GB2312" w:hAnsi="仿宋_GB2312" w:eastAsia="仿宋_GB2312" w:cs="仿宋_GB2312"/>
          <w:color w:val="000000"/>
          <w:kern w:val="0"/>
          <w:sz w:val="32"/>
          <w:szCs w:val="32"/>
        </w:rPr>
        <w:t>2024年本部门支出预算575.88万元，其中，一般公共服务8.99万元，文化旅游体育与传媒支出481.27万元，社会保障和就业支出38.97万元，卫生健康支出18.35万元，住房保障支出28.31万元。支出较去年减少48.16万元，主要是在职人员公用经费较2023年人平减少1600元/年/人；项目收入预算较上年减少12.5万元。</w:t>
      </w:r>
    </w:p>
    <w:p>
      <w:pPr>
        <w:widowControl/>
        <w:spacing w:line="576"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(三)预算绩效目标情况</w:t>
      </w:r>
    </w:p>
    <w:p>
      <w:pPr>
        <w:widowControl/>
        <w:spacing w:line="600" w:lineRule="exact"/>
        <w:ind w:firstLine="627" w:firstLineChars="196"/>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本部门所有支出实行绩效目标管理。纳入2024年部门整体支出绩效目标的金额为 575.88万元，其中，基本支出384.18 万元，项目支出191.70万元。</w:t>
      </w:r>
    </w:p>
    <w:p>
      <w:pPr>
        <w:widowControl/>
        <w:spacing w:line="600" w:lineRule="exact"/>
        <w:ind w:firstLine="627" w:firstLineChars="196"/>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从产出指标看，数量指标：部门公共财政预算总额 575.88万元；质量指标：达到完成2024年度各项文化、文物、旅游、广电、体育工作；时效指标：在2024年度已完成各项工作；成本指标：完成2024年度各项文旅广体工作2583.63万元。</w:t>
      </w:r>
    </w:p>
    <w:p>
      <w:pPr>
        <w:widowControl/>
        <w:spacing w:line="600" w:lineRule="exact"/>
        <w:ind w:firstLine="627" w:firstLineChars="196"/>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从效益指标看，社会效益指标：达到促进我县文化、文物、旅游、广电、体育产业事业发展；环境效益指标：达到提高我县人文生态环境;可持续影响指标:指标1.达到推动群众文化持续传播，指标2.达到提升人民群众文化素养与文化获得感。</w:t>
      </w:r>
    </w:p>
    <w:p>
      <w:pPr>
        <w:widowControl/>
        <w:spacing w:line="600" w:lineRule="exact"/>
        <w:ind w:firstLine="627" w:firstLineChars="196"/>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满意度指标看，接受服务的群众对我局2024年度各项工作满意度达95%。</w:t>
      </w:r>
    </w:p>
    <w:p>
      <w:pPr>
        <w:widowControl/>
        <w:spacing w:line="600" w:lineRule="exact"/>
        <w:ind w:firstLine="627" w:firstLineChars="196"/>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（四）部门整体支出年度绩效目标和项目支出目标编制情况</w:t>
      </w:r>
    </w:p>
    <w:p>
      <w:pPr>
        <w:widowControl/>
        <w:spacing w:line="600" w:lineRule="exact"/>
        <w:ind w:firstLine="627" w:firstLineChars="196"/>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2024年度部门整体支出年度目标规模2583.63万元，本局根据《关于开展2024年度预算支出绩效自评工作的通知》（安财绩〔2025〕1号），确定自评的项目，领导组织机关各股室一起，通过查阅资料，组织开展项目支出目标自评工作，并认真填写自评表，分别撰写形成项目支出绩效自评报告。</w:t>
      </w:r>
    </w:p>
    <w:p>
      <w:pPr>
        <w:widowControl/>
        <w:spacing w:line="600" w:lineRule="exact"/>
        <w:ind w:firstLine="627" w:firstLineChars="196"/>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（五）部门绩效目标实现程度和预算执行进度“双监控”工作开展情况</w:t>
      </w:r>
    </w:p>
    <w:p>
      <w:pPr>
        <w:widowControl/>
        <w:spacing w:line="600" w:lineRule="exact"/>
        <w:ind w:firstLine="627" w:firstLineChars="196"/>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2024年部门绩效目标实现达到100%，本局严格按照县人大批准的预算执行，对资金支出的执行进度实行“双监控”，坚决做到“无预算，不支出，有预算，不超支”。</w:t>
      </w:r>
    </w:p>
    <w:p>
      <w:pPr>
        <w:widowControl/>
        <w:spacing w:line="600" w:lineRule="exact"/>
        <w:ind w:firstLine="627" w:firstLineChars="196"/>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（六）预期产出和效果的各项绩效指标完成情况</w:t>
      </w:r>
    </w:p>
    <w:p>
      <w:pPr>
        <w:widowControl/>
        <w:spacing w:line="600" w:lineRule="exact"/>
        <w:ind w:firstLine="627" w:firstLineChars="196"/>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2024年全年总收入2583.63万元，其中：一般公共预算财政拨款收入2468.77万元，占总收入的96%，其中，政府性基金预算财政拨款收入0.04万元；其他收入114.86万元，占总收入的4%。</w:t>
      </w:r>
    </w:p>
    <w:p>
      <w:pPr>
        <w:widowControl/>
        <w:spacing w:line="600" w:lineRule="exact"/>
        <w:ind w:firstLine="627" w:firstLineChars="196"/>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（七）预算调整及绩效及绩效目标调整情况</w:t>
      </w:r>
    </w:p>
    <w:p>
      <w:pPr>
        <w:widowControl/>
        <w:spacing w:line="600" w:lineRule="exact"/>
        <w:ind w:firstLine="627" w:firstLineChars="196"/>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2024年度财政拨款支出年初预算数为575.88万元，支出决算数为2583.63万元, 预算调整数为2007.75万元。</w:t>
      </w:r>
    </w:p>
    <w:p>
      <w:pPr>
        <w:widowControl/>
        <w:spacing w:line="600" w:lineRule="exact"/>
        <w:ind w:firstLine="627" w:firstLineChars="196"/>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（八）对绩效目标未完成或偏离度较大的项目分析原因和提出改进措施情况</w:t>
      </w:r>
    </w:p>
    <w:p>
      <w:pPr>
        <w:widowControl/>
        <w:spacing w:line="600" w:lineRule="exact"/>
        <w:ind w:firstLine="627" w:firstLineChars="196"/>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2024度我局绩效目标已全部完成，无偏离度较大的项目。</w:t>
      </w:r>
    </w:p>
    <w:p>
      <w:pPr>
        <w:widowControl/>
        <w:spacing w:line="600" w:lineRule="exact"/>
        <w:ind w:firstLine="627" w:firstLineChars="196"/>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（九）预算绩效管理各环节结果应用情况</w:t>
      </w:r>
    </w:p>
    <w:p>
      <w:pPr>
        <w:widowControl/>
        <w:spacing w:line="600" w:lineRule="exact"/>
        <w:ind w:firstLine="627" w:firstLineChars="196"/>
      </w:pPr>
      <w:r>
        <w:rPr>
          <w:rFonts w:hint="eastAsia" w:ascii="仿宋_GB2312" w:hAnsi="仿宋_GB2312" w:eastAsia="仿宋_GB2312" w:cs="仿宋_GB2312"/>
          <w:color w:val="000000"/>
          <w:kern w:val="0"/>
          <w:sz w:val="32"/>
          <w:szCs w:val="32"/>
        </w:rPr>
        <w:t>预算绩效管理结果主要应用于三个方面：一是优化预算资源配置，绩效管理结果与预算安排和政策调整挂钩，推进财政和各部门完善预算管理、改进政策措施、提高履职效能，提升资金使用效益和政策实施效果。二是推进依法监督和信息公开，预算绩效管理依法接受审计监督。三是纳入政府绩效考核，将预算管理结果纳入政府绩效考评和干部年度考核体系，充分调动各部门履职尽责干事创业的积极性。</w:t>
      </w:r>
    </w:p>
    <w:p>
      <w:pPr>
        <w:widowControl/>
        <w:spacing w:line="576" w:lineRule="exact"/>
        <w:ind w:firstLine="640" w:firstLineChars="200"/>
        <w:jc w:val="left"/>
        <w:rPr>
          <w:rFonts w:ascii="黑体" w:hAnsi="黑体" w:eastAsia="黑体" w:cs="宋体"/>
          <w:color w:val="000000"/>
          <w:kern w:val="0"/>
          <w:sz w:val="32"/>
          <w:szCs w:val="32"/>
        </w:rPr>
      </w:pPr>
      <w:r>
        <w:rPr>
          <w:rFonts w:hint="eastAsia" w:ascii="黑体" w:hAnsi="黑体" w:eastAsia="黑体" w:cs="宋体"/>
          <w:color w:val="000000"/>
          <w:kern w:val="0"/>
          <w:sz w:val="32"/>
          <w:szCs w:val="32"/>
        </w:rPr>
        <w:t>七、存在的问题及原因分析</w:t>
      </w:r>
    </w:p>
    <w:p>
      <w:pPr>
        <w:widowControl/>
        <w:spacing w:line="576"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2024年度本单位无预算支出执行偏离绩效目标的情况。</w:t>
      </w:r>
    </w:p>
    <w:p>
      <w:pPr>
        <w:widowControl/>
        <w:numPr>
          <w:ilvl w:val="0"/>
          <w:numId w:val="3"/>
        </w:numPr>
        <w:spacing w:line="576" w:lineRule="exact"/>
        <w:ind w:firstLine="640" w:firstLineChars="200"/>
        <w:jc w:val="left"/>
        <w:rPr>
          <w:rFonts w:ascii="黑体" w:hAnsi="黑体" w:eastAsia="黑体" w:cs="宋体"/>
          <w:color w:val="000000"/>
          <w:kern w:val="0"/>
          <w:sz w:val="32"/>
          <w:szCs w:val="32"/>
        </w:rPr>
      </w:pPr>
      <w:r>
        <w:rPr>
          <w:rFonts w:hint="eastAsia" w:ascii="黑体" w:hAnsi="黑体" w:eastAsia="黑体" w:cs="宋体"/>
          <w:color w:val="000000"/>
          <w:kern w:val="0"/>
          <w:sz w:val="32"/>
          <w:szCs w:val="32"/>
        </w:rPr>
        <w:t>下一步改进措施</w:t>
      </w:r>
    </w:p>
    <w:p>
      <w:pPr>
        <w:widowControl/>
        <w:spacing w:line="600" w:lineRule="exact"/>
        <w:ind w:firstLine="627" w:firstLineChars="196"/>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1.随着绩效评价越来越重要，恳请举办相关的培训，对相关的财务人员进行培训，使绩效目标的设置更加精准，绩效评价更加合理合规。</w:t>
      </w:r>
    </w:p>
    <w:p>
      <w:pPr>
        <w:widowControl/>
        <w:spacing w:line="600" w:lineRule="exact"/>
        <w:ind w:firstLine="627" w:firstLineChars="196"/>
      </w:pPr>
      <w:r>
        <w:rPr>
          <w:rFonts w:hint="eastAsia" w:ascii="仿宋_GB2312" w:hAnsi="仿宋_GB2312" w:eastAsia="仿宋_GB2312" w:cs="仿宋_GB2312"/>
          <w:color w:val="000000"/>
          <w:kern w:val="0"/>
          <w:sz w:val="32"/>
          <w:szCs w:val="32"/>
        </w:rPr>
        <w:t>2.进一步规范绩效目标编制。在编制项目资金绩效目标时要求指向明确、细化量化、合理可行、相应匹配。提高预算编制的科学化精细化水平。</w:t>
      </w:r>
    </w:p>
    <w:p>
      <w:pPr>
        <w:widowControl/>
        <w:spacing w:line="576" w:lineRule="exact"/>
        <w:ind w:firstLine="640" w:firstLineChars="200"/>
        <w:jc w:val="left"/>
        <w:rPr>
          <w:rFonts w:ascii="黑体" w:hAnsi="黑体" w:eastAsia="黑体" w:cs="宋体"/>
          <w:color w:val="000000"/>
          <w:kern w:val="0"/>
          <w:sz w:val="32"/>
          <w:szCs w:val="32"/>
        </w:rPr>
      </w:pPr>
      <w:r>
        <w:rPr>
          <w:rFonts w:hint="eastAsia" w:ascii="黑体" w:hAnsi="黑体" w:eastAsia="黑体" w:cs="宋体"/>
          <w:color w:val="000000"/>
          <w:kern w:val="0"/>
          <w:sz w:val="32"/>
          <w:szCs w:val="32"/>
        </w:rPr>
        <w:t>九、绩效自评结果拟应用和公开情况</w:t>
      </w:r>
    </w:p>
    <w:p>
      <w:pPr>
        <w:widowControl/>
        <w:spacing w:line="600" w:lineRule="exact"/>
        <w:ind w:firstLine="627" w:firstLineChars="196"/>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拟公开。</w:t>
      </w:r>
    </w:p>
    <w:p>
      <w:pPr>
        <w:spacing w:line="576"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十、其他需要说明的情况</w:t>
      </w:r>
    </w:p>
    <w:p>
      <w:pPr>
        <w:widowControl/>
        <w:spacing w:line="600" w:lineRule="exact"/>
        <w:ind w:firstLine="627" w:firstLineChars="196"/>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无。</w:t>
      </w:r>
    </w:p>
    <w:p>
      <w:pPr>
        <w:pStyle w:val="2"/>
        <w:ind w:firstLine="0" w:firstLineChars="0"/>
        <w:rPr>
          <w:rFonts w:ascii="黑体" w:hAnsi="黑体" w:eastAsia="黑体" w:cs="宋体"/>
          <w:color w:val="000000"/>
          <w:kern w:val="0"/>
          <w:sz w:val="32"/>
          <w:szCs w:val="32"/>
        </w:rPr>
      </w:pPr>
    </w:p>
    <w:sectPr>
      <w:headerReference r:id="rId3" w:type="default"/>
      <w:footerReference r:id="rId4" w:type="default"/>
      <w:pgSz w:w="11905" w:h="16837"/>
      <w:pgMar w:top="2098" w:right="1474" w:bottom="1984" w:left="1474" w:header="850" w:footer="1417" w:gutter="0"/>
      <w:pgNumType w:fmt="numberInDash" w:start="1"/>
      <w:cols w:space="0" w:num="1"/>
      <w:docGrid w:type="lines" w:linePitch="6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000FEC6-D7A4-4F12-89B9-152E649E36E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0BA78E3E-986A-4DFF-AEAE-16F54A59FAAD}"/>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embedRegular r:id="rId3" w:fontKey="{BFFB7632-4EEA-4787-87B7-C64AF916CE8F}"/>
  </w:font>
  <w:font w:name="仿宋">
    <w:panose1 w:val="02010609060101010101"/>
    <w:charset w:val="86"/>
    <w:family w:val="modern"/>
    <w:pitch w:val="default"/>
    <w:sig w:usb0="800002BF" w:usb1="38CF7CFA" w:usb2="00000016" w:usb3="00000000" w:csb0="00040001" w:csb1="00000000"/>
    <w:embedRegular r:id="rId4" w:fontKey="{43206242-A969-4EE4-A45B-BE2A11707A13}"/>
  </w:font>
  <w:font w:name="楷体">
    <w:panose1 w:val="02010609060101010101"/>
    <w:charset w:val="86"/>
    <w:family w:val="modern"/>
    <w:pitch w:val="default"/>
    <w:sig w:usb0="800002BF" w:usb1="38CF7CFA" w:usb2="00000016" w:usb3="00000000" w:csb0="00040001" w:csb1="00000000"/>
    <w:embedRegular r:id="rId5" w:fontKey="{9AE6039A-7DDA-4FD3-9837-A4F450483CE4}"/>
  </w:font>
  <w:font w:name="楷体_GB2312">
    <w:panose1 w:val="02010609030101010101"/>
    <w:charset w:val="86"/>
    <w:family w:val="modern"/>
    <w:pitch w:val="default"/>
    <w:sig w:usb0="00000001" w:usb1="080E0000" w:usb2="00000000" w:usb3="00000000" w:csb0="00040000" w:csb1="00000000"/>
    <w:embedRegular r:id="rId6" w:fontKey="{F7B863C3-5123-433B-8710-33D35CD765EA}"/>
  </w:font>
  <w:font w:name="方正小标宋简体">
    <w:panose1 w:val="03000509000000000000"/>
    <w:charset w:val="86"/>
    <w:family w:val="auto"/>
    <w:pitch w:val="default"/>
    <w:sig w:usb0="00000001" w:usb1="080E0000" w:usb2="00000000" w:usb3="00000000" w:csb0="00040000" w:csb1="00000000"/>
    <w:embedRegular r:id="rId7" w:fontKey="{91A9D4DF-425B-4E5D-91D2-C69D99417FD5}"/>
  </w:font>
  <w:font w:name="方正仿宋_GBK">
    <w:altName w:val="Arial Unicode MS"/>
    <w:panose1 w:val="00000000000000000000"/>
    <w:charset w:val="86"/>
    <w:family w:val="auto"/>
    <w:pitch w:val="default"/>
    <w:sig w:usb0="00000000" w:usb1="00000000" w:usb2="00000000" w:usb3="00000000" w:csb0="00040000" w:csb1="00000000"/>
    <w:embedRegular r:id="rId8" w:fontKey="{9DCCAEEE-88F8-44D4-A3DC-BFAAFBDAE012}"/>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0" w:firstLine="360"/>
    </w:pPr>
    <w:r>
      <w:pict>
        <v:shape id="文本框 1025"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GhpgkvTAAAABQEAAA8AAAAAAAAAAQAgAAAAIgAAAGRycy9k&#10;b3ducmV2LnhtbFBLAQIUABQAAAAIAIdO4kDlCLu3zgEAAH0DAAAOAAAAAAAAAAEAIAAAACIBAABk&#10;cnMvZTJvRG9jLnhtbFBLBQYAAAAABgAGAFkBAABiBQAAAAA=&#10;">
          <v:path/>
          <v:fill on="f" focussize="0,0"/>
          <v:stroke on="f" weight="1.25pt" joinstyle="miter"/>
          <v:imagedata o:title=""/>
          <o:lock v:ext="edit"/>
          <v:textbox inset="0mm,0mm,0mm,0mm" style="mso-fit-shape-to-text:t;">
            <w:txbxContent>
              <w:p>
                <w:pPr>
                  <w:pStyle w:val="7"/>
                  <w:rPr>
                    <w:rFonts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ascii="仿宋_GB2312" w:hAnsi="仿宋_GB2312" w:eastAsia="仿宋_GB2312" w:cs="仿宋_GB2312"/>
                    <w:sz w:val="28"/>
                    <w:szCs w:val="28"/>
                  </w:rPr>
                  <w:t>- 2 -</w:t>
                </w:r>
                <w:r>
                  <w:rPr>
                    <w:rFonts w:hint="eastAsia" w:ascii="仿宋_GB2312" w:hAnsi="仿宋_GB2312" w:eastAsia="仿宋_GB2312" w:cs="仿宋_GB2312"/>
                    <w:sz w:val="28"/>
                    <w:szCs w:val="28"/>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C4B377"/>
    <w:multiLevelType w:val="singleLevel"/>
    <w:tmpl w:val="C4C4B377"/>
    <w:lvl w:ilvl="0" w:tentative="0">
      <w:start w:val="8"/>
      <w:numFmt w:val="chineseCounting"/>
      <w:suff w:val="nothing"/>
      <w:lvlText w:val="%1、"/>
      <w:lvlJc w:val="left"/>
      <w:rPr>
        <w:rFonts w:hint="eastAsia"/>
      </w:rPr>
    </w:lvl>
  </w:abstractNum>
  <w:abstractNum w:abstractNumId="1">
    <w:nsid w:val="D50A6D1E"/>
    <w:multiLevelType w:val="singleLevel"/>
    <w:tmpl w:val="D50A6D1E"/>
    <w:lvl w:ilvl="0" w:tentative="0">
      <w:start w:val="1"/>
      <w:numFmt w:val="chineseCounting"/>
      <w:suff w:val="nothing"/>
      <w:lvlText w:val="%1、"/>
      <w:lvlJc w:val="left"/>
      <w:rPr>
        <w:rFonts w:hint="eastAsia"/>
      </w:rPr>
    </w:lvl>
  </w:abstractNum>
  <w:abstractNum w:abstractNumId="2">
    <w:nsid w:val="0E7722C4"/>
    <w:multiLevelType w:val="singleLevel"/>
    <w:tmpl w:val="0E7722C4"/>
    <w:lvl w:ilvl="0" w:tentative="0">
      <w:start w:val="2"/>
      <w:numFmt w:val="chineseCounting"/>
      <w:lvlText w:val="(%1)"/>
      <w:lvlJc w:val="left"/>
      <w:pPr>
        <w:tabs>
          <w:tab w:val="left" w:pos="312"/>
        </w:tabs>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TM2NWQ0N2RlYTlhNzdkODNhN2NlOGZkOTk5ODgwZDEifQ=="/>
    <w:docVar w:name="KSO_WPS_MARK_KEY" w:val="efdb9831-49e2-41f3-897e-affe4bfc1ef8"/>
  </w:docVars>
  <w:rsids>
    <w:rsidRoot w:val="5EF91413"/>
    <w:rsid w:val="001F27BC"/>
    <w:rsid w:val="002D4B0D"/>
    <w:rsid w:val="003062EE"/>
    <w:rsid w:val="00355E6F"/>
    <w:rsid w:val="003E2793"/>
    <w:rsid w:val="003F11DD"/>
    <w:rsid w:val="004E640B"/>
    <w:rsid w:val="00592274"/>
    <w:rsid w:val="00630B10"/>
    <w:rsid w:val="00651AD0"/>
    <w:rsid w:val="00712ECA"/>
    <w:rsid w:val="007C7F1B"/>
    <w:rsid w:val="007F2C1A"/>
    <w:rsid w:val="00826A68"/>
    <w:rsid w:val="00970A76"/>
    <w:rsid w:val="00A3179B"/>
    <w:rsid w:val="00A40CEF"/>
    <w:rsid w:val="00A84895"/>
    <w:rsid w:val="00AD157A"/>
    <w:rsid w:val="00AE5FCA"/>
    <w:rsid w:val="00B83482"/>
    <w:rsid w:val="00CF00E5"/>
    <w:rsid w:val="00D30D45"/>
    <w:rsid w:val="00D448A9"/>
    <w:rsid w:val="00DF2F64"/>
    <w:rsid w:val="00E47EB9"/>
    <w:rsid w:val="00EF286B"/>
    <w:rsid w:val="00EF7465"/>
    <w:rsid w:val="00F46957"/>
    <w:rsid w:val="00F5064A"/>
    <w:rsid w:val="00FB5247"/>
    <w:rsid w:val="01881C21"/>
    <w:rsid w:val="01AB173E"/>
    <w:rsid w:val="024B4144"/>
    <w:rsid w:val="02E230B9"/>
    <w:rsid w:val="03640DA7"/>
    <w:rsid w:val="03C84BBB"/>
    <w:rsid w:val="06C115A5"/>
    <w:rsid w:val="06CB604A"/>
    <w:rsid w:val="081035F5"/>
    <w:rsid w:val="0885784C"/>
    <w:rsid w:val="095202B3"/>
    <w:rsid w:val="0A371C48"/>
    <w:rsid w:val="0A461E15"/>
    <w:rsid w:val="0AA45196"/>
    <w:rsid w:val="0B5B6286"/>
    <w:rsid w:val="0D1F294F"/>
    <w:rsid w:val="0E564445"/>
    <w:rsid w:val="0EE7339E"/>
    <w:rsid w:val="0F783C8D"/>
    <w:rsid w:val="12433DBA"/>
    <w:rsid w:val="127960C2"/>
    <w:rsid w:val="128706BB"/>
    <w:rsid w:val="128C289E"/>
    <w:rsid w:val="136B0BB8"/>
    <w:rsid w:val="13F1430E"/>
    <w:rsid w:val="14C23CB6"/>
    <w:rsid w:val="15343C86"/>
    <w:rsid w:val="15E118C5"/>
    <w:rsid w:val="16674C77"/>
    <w:rsid w:val="16AA1FDF"/>
    <w:rsid w:val="184E0C0E"/>
    <w:rsid w:val="18C44B05"/>
    <w:rsid w:val="1921258C"/>
    <w:rsid w:val="1A86539E"/>
    <w:rsid w:val="1D480EF1"/>
    <w:rsid w:val="1D514A07"/>
    <w:rsid w:val="1D577CDE"/>
    <w:rsid w:val="1D736768"/>
    <w:rsid w:val="1E02384E"/>
    <w:rsid w:val="1E2D7B42"/>
    <w:rsid w:val="1F6B5FFB"/>
    <w:rsid w:val="202355A8"/>
    <w:rsid w:val="207401DD"/>
    <w:rsid w:val="20C369EC"/>
    <w:rsid w:val="216A31A0"/>
    <w:rsid w:val="217D38DC"/>
    <w:rsid w:val="21887F99"/>
    <w:rsid w:val="21F32188"/>
    <w:rsid w:val="229365CD"/>
    <w:rsid w:val="22E7596F"/>
    <w:rsid w:val="23C1515A"/>
    <w:rsid w:val="251F106E"/>
    <w:rsid w:val="25481668"/>
    <w:rsid w:val="2605582B"/>
    <w:rsid w:val="26686870"/>
    <w:rsid w:val="27666297"/>
    <w:rsid w:val="278E2A8B"/>
    <w:rsid w:val="28264A04"/>
    <w:rsid w:val="282B2D61"/>
    <w:rsid w:val="286322CC"/>
    <w:rsid w:val="28A8165F"/>
    <w:rsid w:val="297525F8"/>
    <w:rsid w:val="2B8F395A"/>
    <w:rsid w:val="2CA21E0A"/>
    <w:rsid w:val="2CD96D87"/>
    <w:rsid w:val="2DF15952"/>
    <w:rsid w:val="2E6C7FCB"/>
    <w:rsid w:val="2E88044F"/>
    <w:rsid w:val="2EB91523"/>
    <w:rsid w:val="30784718"/>
    <w:rsid w:val="30EE10CA"/>
    <w:rsid w:val="32120F5A"/>
    <w:rsid w:val="3284589B"/>
    <w:rsid w:val="333B4426"/>
    <w:rsid w:val="33C479CF"/>
    <w:rsid w:val="341734AD"/>
    <w:rsid w:val="34335357"/>
    <w:rsid w:val="357F4ADE"/>
    <w:rsid w:val="368869FC"/>
    <w:rsid w:val="36F9338A"/>
    <w:rsid w:val="37779E60"/>
    <w:rsid w:val="3929066E"/>
    <w:rsid w:val="39E9356E"/>
    <w:rsid w:val="39F525A2"/>
    <w:rsid w:val="3B8D6CB0"/>
    <w:rsid w:val="3BBE0773"/>
    <w:rsid w:val="3C7B06AE"/>
    <w:rsid w:val="3D2110D6"/>
    <w:rsid w:val="3D6A1B31"/>
    <w:rsid w:val="3EFE59C8"/>
    <w:rsid w:val="3F1C793F"/>
    <w:rsid w:val="4015034D"/>
    <w:rsid w:val="42C964E6"/>
    <w:rsid w:val="43596284"/>
    <w:rsid w:val="44BA060E"/>
    <w:rsid w:val="44BB3C98"/>
    <w:rsid w:val="44EC3858"/>
    <w:rsid w:val="454063A9"/>
    <w:rsid w:val="47A66F47"/>
    <w:rsid w:val="48190D72"/>
    <w:rsid w:val="487D7439"/>
    <w:rsid w:val="48B00D40"/>
    <w:rsid w:val="49567193"/>
    <w:rsid w:val="49B50C04"/>
    <w:rsid w:val="49F422BC"/>
    <w:rsid w:val="4A4C5543"/>
    <w:rsid w:val="4A856EB6"/>
    <w:rsid w:val="4AF8203C"/>
    <w:rsid w:val="4B94552C"/>
    <w:rsid w:val="4BB72B70"/>
    <w:rsid w:val="4BBB1991"/>
    <w:rsid w:val="4BCA227C"/>
    <w:rsid w:val="4C8E25DB"/>
    <w:rsid w:val="4D765FE4"/>
    <w:rsid w:val="4D7F362E"/>
    <w:rsid w:val="4E0A33A3"/>
    <w:rsid w:val="4E1B3885"/>
    <w:rsid w:val="4E8874F9"/>
    <w:rsid w:val="4F670C47"/>
    <w:rsid w:val="4FC4337A"/>
    <w:rsid w:val="509C514E"/>
    <w:rsid w:val="5273474E"/>
    <w:rsid w:val="5316523A"/>
    <w:rsid w:val="553254BE"/>
    <w:rsid w:val="553B4087"/>
    <w:rsid w:val="583020DD"/>
    <w:rsid w:val="592547BC"/>
    <w:rsid w:val="59544026"/>
    <w:rsid w:val="5AB9755B"/>
    <w:rsid w:val="5AE1053E"/>
    <w:rsid w:val="5AF474F0"/>
    <w:rsid w:val="5B742D21"/>
    <w:rsid w:val="5BB151FE"/>
    <w:rsid w:val="5C0351D3"/>
    <w:rsid w:val="5C6E1281"/>
    <w:rsid w:val="5C9D54C1"/>
    <w:rsid w:val="5D973665"/>
    <w:rsid w:val="5EF91413"/>
    <w:rsid w:val="5F567206"/>
    <w:rsid w:val="5F875025"/>
    <w:rsid w:val="60D6222F"/>
    <w:rsid w:val="60E64B26"/>
    <w:rsid w:val="610652C6"/>
    <w:rsid w:val="617B787C"/>
    <w:rsid w:val="6217071C"/>
    <w:rsid w:val="62C14357"/>
    <w:rsid w:val="62CE02E9"/>
    <w:rsid w:val="62D42C2C"/>
    <w:rsid w:val="62E23B8B"/>
    <w:rsid w:val="632C6B3E"/>
    <w:rsid w:val="633F0072"/>
    <w:rsid w:val="634E56EA"/>
    <w:rsid w:val="649C7761"/>
    <w:rsid w:val="64E07CE5"/>
    <w:rsid w:val="651C740B"/>
    <w:rsid w:val="666920D7"/>
    <w:rsid w:val="66F756A1"/>
    <w:rsid w:val="6798238D"/>
    <w:rsid w:val="68BD3CF5"/>
    <w:rsid w:val="68C1250B"/>
    <w:rsid w:val="68C2294D"/>
    <w:rsid w:val="69380B1B"/>
    <w:rsid w:val="696D0DF3"/>
    <w:rsid w:val="6AD66FA0"/>
    <w:rsid w:val="6B853A18"/>
    <w:rsid w:val="6BBA2D94"/>
    <w:rsid w:val="6C1733E6"/>
    <w:rsid w:val="6CF536F6"/>
    <w:rsid w:val="6DB85E54"/>
    <w:rsid w:val="6E2352E3"/>
    <w:rsid w:val="6E3A48D9"/>
    <w:rsid w:val="6E456896"/>
    <w:rsid w:val="6E970BF3"/>
    <w:rsid w:val="6EE90259"/>
    <w:rsid w:val="6F662279"/>
    <w:rsid w:val="6F8673D6"/>
    <w:rsid w:val="6FCF75EC"/>
    <w:rsid w:val="70446EA1"/>
    <w:rsid w:val="707537A6"/>
    <w:rsid w:val="710D1696"/>
    <w:rsid w:val="713A4F21"/>
    <w:rsid w:val="71542A3C"/>
    <w:rsid w:val="71591FCE"/>
    <w:rsid w:val="71F256AB"/>
    <w:rsid w:val="73133AF6"/>
    <w:rsid w:val="736D4488"/>
    <w:rsid w:val="75232E01"/>
    <w:rsid w:val="753A5550"/>
    <w:rsid w:val="75B4584A"/>
    <w:rsid w:val="75E4147F"/>
    <w:rsid w:val="772D11E3"/>
    <w:rsid w:val="78FDF452"/>
    <w:rsid w:val="7B50688D"/>
    <w:rsid w:val="7CEF2B13"/>
    <w:rsid w:val="7D2260C9"/>
    <w:rsid w:val="7D2C3E42"/>
    <w:rsid w:val="7DAF813A"/>
    <w:rsid w:val="BEF50DB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99"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spacing w:line="312" w:lineRule="auto"/>
      <w:jc w:val="center"/>
      <w:outlineLvl w:val="1"/>
    </w:pPr>
    <w:rPr>
      <w:rFonts w:ascii="Cambria" w:hAnsi="Cambria" w:cs="宋体"/>
      <w:b/>
      <w:bCs/>
      <w:sz w:val="36"/>
      <w:szCs w:val="32"/>
    </w:rPr>
  </w:style>
  <w:style w:type="character" w:default="1" w:styleId="12">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NormalIndent"/>
    <w:basedOn w:val="1"/>
    <w:qFormat/>
    <w:uiPriority w:val="0"/>
    <w:pPr>
      <w:ind w:firstLine="420" w:firstLineChars="200"/>
      <w:textAlignment w:val="baseline"/>
    </w:pPr>
  </w:style>
  <w:style w:type="paragraph" w:styleId="5">
    <w:name w:val="Body Text First Indent"/>
    <w:basedOn w:val="6"/>
    <w:qFormat/>
    <w:uiPriority w:val="0"/>
    <w:pPr>
      <w:ind w:firstLine="664"/>
    </w:pPr>
  </w:style>
  <w:style w:type="paragraph" w:styleId="6">
    <w:name w:val="Body Text"/>
    <w:basedOn w:val="1"/>
    <w:qFormat/>
    <w:uiPriority w:val="0"/>
    <w:pPr>
      <w:spacing w:after="120"/>
    </w:p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semiHidden/>
    <w:qFormat/>
    <w:uiPriority w:val="99"/>
    <w:rPr>
      <w:rFonts w:ascii="黑体" w:hAnsi="黑体" w:eastAsia="黑体" w:cs="黑体"/>
    </w:rPr>
  </w:style>
  <w:style w:type="paragraph" w:styleId="10">
    <w:name w:val="Subtitle"/>
    <w:basedOn w:val="1"/>
    <w:next w:val="1"/>
    <w:qFormat/>
    <w:uiPriority w:val="0"/>
    <w:pPr>
      <w:ind w:firstLine="200" w:firstLineChars="200"/>
      <w:jc w:val="left"/>
      <w:outlineLvl w:val="2"/>
    </w:pPr>
    <w:rPr>
      <w:rFonts w:ascii="Cambria" w:hAnsi="Cambria" w:eastAsia="黑体"/>
      <w:bCs/>
      <w:kern w:val="28"/>
      <w:sz w:val="28"/>
      <w:szCs w:val="32"/>
    </w:rPr>
  </w:style>
  <w:style w:type="paragraph" w:styleId="11">
    <w:name w:val="Normal (Web)"/>
    <w:basedOn w:val="1"/>
    <w:unhideWhenUsed/>
    <w:qFormat/>
    <w:uiPriority w:val="0"/>
    <w:pPr>
      <w:spacing w:before="100" w:beforeAutospacing="1" w:after="100" w:afterAutospacing="1"/>
      <w:jc w:val="left"/>
    </w:pPr>
    <w:rPr>
      <w:kern w:val="0"/>
      <w:sz w:val="24"/>
      <w:szCs w:val="20"/>
    </w:rPr>
  </w:style>
  <w:style w:type="character" w:styleId="13">
    <w:name w:val="page number"/>
    <w:basedOn w:val="12"/>
    <w:qFormat/>
    <w:uiPriority w:val="0"/>
  </w:style>
  <w:style w:type="paragraph" w:customStyle="1" w:styleId="15">
    <w:name w:val="BodyText1I2"/>
    <w:basedOn w:val="16"/>
    <w:qFormat/>
    <w:uiPriority w:val="0"/>
    <w:pPr>
      <w:ind w:firstLine="420"/>
    </w:pPr>
  </w:style>
  <w:style w:type="paragraph" w:customStyle="1" w:styleId="16">
    <w:name w:val="BodyTextIndent"/>
    <w:basedOn w:val="1"/>
    <w:qFormat/>
    <w:uiPriority w:val="0"/>
    <w:pPr>
      <w:spacing w:after="120"/>
      <w:ind w:left="420" w:leftChars="200" w:firstLine="200" w:firstLineChars="200"/>
      <w:textAlignment w:val="baseline"/>
    </w:pPr>
  </w:style>
  <w:style w:type="paragraph" w:customStyle="1" w:styleId="17">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8">
    <w:name w:val="无间隔1"/>
    <w:qFormat/>
    <w:uiPriority w:val="0"/>
    <w:pPr>
      <w:widowControl w:val="0"/>
      <w:spacing w:beforeLines="50"/>
      <w:jc w:val="center"/>
    </w:pPr>
    <w:rPr>
      <w:rFonts w:ascii="Times New Roman" w:hAnsi="Times New Roman" w:eastAsia="仿宋_GB2312" w:cs="Times New Roman"/>
      <w:kern w:val="2"/>
      <w:sz w:val="24"/>
      <w:szCs w:val="22"/>
      <w:lang w:val="en-US" w:eastAsia="zh-CN" w:bidi="ar-SA"/>
    </w:rPr>
  </w:style>
  <w:style w:type="paragraph" w:customStyle="1" w:styleId="19">
    <w:name w:val="无缩进"/>
    <w:basedOn w:val="1"/>
    <w:qFormat/>
    <w:uiPriority w:val="0"/>
    <w:pPr>
      <w:spacing w:line="312" w:lineRule="auto"/>
    </w:pPr>
    <w:rPr>
      <w:sz w:val="24"/>
      <w:szCs w:val="22"/>
    </w:rPr>
  </w:style>
  <w:style w:type="paragraph" w:customStyle="1" w:styleId="20">
    <w:name w:val="列出段落1"/>
    <w:basedOn w:val="1"/>
    <w:qFormat/>
    <w:uiPriority w:val="0"/>
    <w:pPr>
      <w:ind w:firstLine="420" w:firstLineChars="200"/>
    </w:pPr>
  </w:style>
  <w:style w:type="paragraph" w:customStyle="1" w:styleId="21">
    <w:name w:val="列出段落2"/>
    <w:basedOn w:val="1"/>
    <w:qFormat/>
    <w:uiPriority w:val="0"/>
    <w:pPr>
      <w:ind w:firstLine="420" w:firstLineChars="200"/>
    </w:pPr>
    <w:rPr>
      <w:rFonts w:ascii="Calibri" w:hAnsi="Calibri"/>
      <w:szCs w:val="22"/>
    </w:rPr>
  </w:style>
  <w:style w:type="character" w:customStyle="1" w:styleId="22">
    <w:name w:val="font61"/>
    <w:basedOn w:val="12"/>
    <w:qFormat/>
    <w:uiPriority w:val="0"/>
    <w:rPr>
      <w:rFonts w:ascii="Times New Roman" w:hAnsi="Times New Roman" w:cs="Times New Roman"/>
      <w:b/>
      <w:color w:val="000000"/>
      <w:sz w:val="28"/>
      <w:szCs w:val="28"/>
      <w:u w:val="none"/>
    </w:rPr>
  </w:style>
  <w:style w:type="character" w:customStyle="1" w:styleId="23">
    <w:name w:val="font121"/>
    <w:basedOn w:val="12"/>
    <w:qFormat/>
    <w:uiPriority w:val="0"/>
    <w:rPr>
      <w:rFonts w:ascii="Times New Roman" w:hAnsi="Times New Roman" w:cs="Times New Roman"/>
      <w:color w:val="000000"/>
      <w:sz w:val="20"/>
      <w:szCs w:val="20"/>
      <w:u w:val="none"/>
    </w:rPr>
  </w:style>
  <w:style w:type="character" w:customStyle="1" w:styleId="24">
    <w:name w:val="font11"/>
    <w:basedOn w:val="12"/>
    <w:qFormat/>
    <w:uiPriority w:val="0"/>
    <w:rPr>
      <w:rFonts w:ascii="宋体" w:hAnsi="宋体" w:eastAsia="宋体" w:cs="宋体"/>
      <w:color w:val="000000"/>
      <w:sz w:val="20"/>
      <w:szCs w:val="20"/>
      <w:u w:val="none"/>
    </w:rPr>
  </w:style>
  <w:style w:type="character" w:customStyle="1" w:styleId="25">
    <w:name w:val="font131"/>
    <w:basedOn w:val="12"/>
    <w:qFormat/>
    <w:uiPriority w:val="0"/>
    <w:rPr>
      <w:rFonts w:ascii="宋体" w:hAnsi="宋体" w:eastAsia="宋体" w:cs="宋体"/>
      <w:color w:val="000000"/>
      <w:sz w:val="18"/>
      <w:szCs w:val="18"/>
      <w:u w:val="none"/>
    </w:rPr>
  </w:style>
  <w:style w:type="character" w:customStyle="1" w:styleId="26">
    <w:name w:val="font141"/>
    <w:basedOn w:val="12"/>
    <w:qFormat/>
    <w:uiPriority w:val="0"/>
    <w:rPr>
      <w:rFonts w:ascii="Times New Roman" w:hAnsi="Times New Roman" w:cs="Times New Roman"/>
      <w:color w:val="000000"/>
      <w:sz w:val="24"/>
      <w:szCs w:val="24"/>
      <w:u w:val="none"/>
    </w:rPr>
  </w:style>
  <w:style w:type="character" w:customStyle="1" w:styleId="27">
    <w:name w:val="font101"/>
    <w:basedOn w:val="12"/>
    <w:qFormat/>
    <w:uiPriority w:val="0"/>
    <w:rPr>
      <w:rFonts w:ascii="宋体" w:hAnsi="宋体" w:eastAsia="宋体" w:cs="宋体"/>
      <w:color w:val="000000"/>
      <w:sz w:val="24"/>
      <w:szCs w:val="24"/>
      <w:u w:val="none"/>
    </w:rPr>
  </w:style>
  <w:style w:type="paragraph" w:customStyle="1" w:styleId="28">
    <w:name w:val="Other|1"/>
    <w:basedOn w:val="1"/>
    <w:qFormat/>
    <w:uiPriority w:val="0"/>
    <w:pPr>
      <w:spacing w:line="238" w:lineRule="exact"/>
    </w:pPr>
    <w:rPr>
      <w:rFonts w:ascii="宋体" w:hAnsi="宋体" w:cs="宋体"/>
      <w:color w:val="1D1433"/>
      <w:sz w:val="20"/>
      <w:szCs w:val="20"/>
      <w:lang w:val="zh-TW" w:eastAsia="zh-TW" w:bidi="zh-TW"/>
    </w:rPr>
  </w:style>
  <w:style w:type="paragraph" w:customStyle="1" w:styleId="29">
    <w:name w:val="正文-公1"/>
    <w:basedOn w:val="30"/>
    <w:next w:val="1"/>
    <w:qFormat/>
    <w:uiPriority w:val="0"/>
    <w:pPr>
      <w:ind w:firstLine="200" w:firstLineChars="200"/>
    </w:pPr>
  </w:style>
  <w:style w:type="paragraph" w:customStyle="1" w:styleId="30">
    <w:name w:val="正文 New New New New New New New New New New New New New New New New New New New New New New New New New New New New New New New New New New New New New New New New New New New New New New New New New New New New New New New New New New New New New New Ne"/>
    <w:next w:val="29"/>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1">
    <w:name w:val="Char"/>
    <w:basedOn w:val="1"/>
    <w:qFormat/>
    <w:uiPriority w:val="0"/>
    <w:pPr>
      <w:tabs>
        <w:tab w:val="left" w:pos="4665"/>
        <w:tab w:val="left" w:pos="8970"/>
      </w:tabs>
      <w:ind w:firstLine="400"/>
    </w:pPr>
    <w:rPr>
      <w:rFonts w:ascii="Calibri" w:hAnsi="Calibri"/>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sumstrong</Company>
  <Pages>13</Pages>
  <Words>5297</Words>
  <Characters>646</Characters>
  <Lines>5</Lines>
  <Paragraphs>11</Paragraphs>
  <TotalTime>0</TotalTime>
  <ScaleCrop>false</ScaleCrop>
  <LinksUpToDate>false</LinksUpToDate>
  <CharactersWithSpaces>5932</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2025-09-24T07:53:00Z</dcterms:created>
  <dc:creator>greatwall</dc:creator>
  <cp:lastModifiedBy>刘娇</cp:lastModifiedBy>
  <cp:lastPrinted>2025-04-07T08:16:00Z</cp:lastPrinted>
  <dcterms:modified xsi:type="dcterms:W3CDTF">2025-09-24T07:56:19Z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22EEF847753143EE96B7666B6AE48CB5_13</vt:lpwstr>
  </property>
  <property fmtid="{D5CDD505-2E9C-101B-9397-08002B2CF9AE}" pid="4" name="commondata">
    <vt:lpwstr>eyJoZGlkIjoiYTYyNDdjODg3NGNlNDkxMWExODY4YWEyMTRmNzM4NmQifQ==</vt:lpwstr>
  </property>
</Properties>
</file>