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D2B83">
      <w:pPr>
        <w:rPr>
          <w:rFonts w:ascii="SimHei" w:hAnsi="SimHei" w:eastAsia="SimHei" w:cs="FangSong"/>
          <w:sz w:val="32"/>
          <w:szCs w:val="32"/>
        </w:rPr>
      </w:pPr>
    </w:p>
    <w:p w14:paraId="7AB1AA63">
      <w:pPr>
        <w:ind w:firstLine="640"/>
        <w:jc w:val="center"/>
        <w:rPr>
          <w:rFonts w:ascii="SimHei" w:hAnsi="SimHei" w:eastAsia="SimHei" w:cs="SimSun"/>
          <w:kern w:val="0"/>
          <w:sz w:val="32"/>
          <w:szCs w:val="32"/>
        </w:rPr>
      </w:pPr>
      <w:r>
        <w:rPr>
          <w:rFonts w:ascii="SimHei" w:hAnsi="SimHei" w:eastAsia="SimHei" w:cs="FangSong"/>
          <w:kern w:val="0"/>
          <w:sz w:val="32"/>
          <w:szCs w:val="32"/>
        </w:rPr>
        <w:drawing>
          <wp:inline distT="0" distB="0" distL="114300" distR="114300">
            <wp:extent cx="5514975" cy="7591425"/>
            <wp:effectExtent l="0" t="0" r="9525" b="9525"/>
            <wp:docPr id="1" name="图片 2" descr="2de25a1e2e084ac02fa118456ca3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de25a1e2e084ac02fa118456ca37c1"/>
                    <pic:cNvPicPr>
                      <a:picLocks noChangeAspect="1"/>
                    </pic:cNvPicPr>
                  </pic:nvPicPr>
                  <pic:blipFill>
                    <a:blip r:embed="rId10"/>
                    <a:stretch>
                      <a:fillRect/>
                    </a:stretch>
                  </pic:blipFill>
                  <pic:spPr>
                    <a:xfrm>
                      <a:off x="0" y="0"/>
                      <a:ext cx="5514975" cy="7591425"/>
                    </a:xfrm>
                    <a:prstGeom prst="rect">
                      <a:avLst/>
                    </a:prstGeom>
                    <a:noFill/>
                    <a:ln>
                      <a:noFill/>
                    </a:ln>
                  </pic:spPr>
                </pic:pic>
              </a:graphicData>
            </a:graphic>
          </wp:inline>
        </w:drawing>
      </w:r>
      <w:r>
        <w:rPr>
          <w:rFonts w:ascii="SimHei" w:hAnsi="SimHei" w:eastAsia="SimHei" w:cs="FangSong"/>
          <w:kern w:val="0"/>
          <w:sz w:val="32"/>
          <w:szCs w:val="32"/>
        </w:rPr>
        <w:br w:type="page"/>
      </w:r>
    </w:p>
    <w:p w14:paraId="67BAB215">
      <w:pPr>
        <w:widowControl/>
        <w:autoSpaceDN w:val="0"/>
        <w:spacing w:line="576" w:lineRule="exact"/>
        <w:ind w:firstLine="880"/>
        <w:jc w:val="center"/>
        <w:rPr>
          <w:rFonts w:ascii="Microsoft YaHei" w:hAnsi="FangSong" w:eastAsia="Microsoft YaHei" w:cs="SimSun"/>
          <w:bCs/>
          <w:kern w:val="0"/>
          <w:sz w:val="44"/>
          <w:szCs w:val="44"/>
        </w:rPr>
      </w:pPr>
      <w:r>
        <w:rPr>
          <w:rFonts w:ascii="Microsoft YaHei" w:hAnsi="FangSong" w:eastAsia="Microsoft YaHei" w:cs="SimSun"/>
          <w:bCs/>
          <w:kern w:val="0"/>
          <w:sz w:val="44"/>
          <w:szCs w:val="44"/>
        </w:rPr>
        <w:t>2024</w:t>
      </w:r>
      <w:r>
        <w:rPr>
          <w:rFonts w:hint="eastAsia" w:ascii="Microsoft YaHei" w:hAnsi="FangSong" w:eastAsia="Microsoft YaHei" w:cs="SimSun"/>
          <w:bCs/>
          <w:kern w:val="0"/>
          <w:sz w:val="44"/>
          <w:szCs w:val="44"/>
        </w:rPr>
        <w:t>年度安化县梅城文化馆整体支出</w:t>
      </w:r>
    </w:p>
    <w:p w14:paraId="4C01B584">
      <w:pPr>
        <w:widowControl/>
        <w:autoSpaceDN w:val="0"/>
        <w:spacing w:line="576" w:lineRule="exact"/>
        <w:ind w:firstLine="880"/>
        <w:jc w:val="center"/>
        <w:rPr>
          <w:rFonts w:ascii="Microsoft YaHei" w:hAnsi="FangSong" w:eastAsia="Microsoft YaHei" w:cs="SimSun"/>
          <w:bCs/>
          <w:kern w:val="0"/>
          <w:sz w:val="44"/>
          <w:szCs w:val="44"/>
        </w:rPr>
      </w:pPr>
      <w:r>
        <w:rPr>
          <w:rFonts w:hint="eastAsia" w:ascii="Microsoft YaHei" w:hAnsi="FangSong" w:eastAsia="Microsoft YaHei" w:cs="SimSun"/>
          <w:bCs/>
          <w:kern w:val="0"/>
          <w:sz w:val="44"/>
          <w:szCs w:val="44"/>
        </w:rPr>
        <w:t>绩效自评报告</w:t>
      </w:r>
    </w:p>
    <w:p w14:paraId="18211AB8">
      <w:pPr>
        <w:widowControl/>
        <w:spacing w:line="576" w:lineRule="exact"/>
        <w:ind w:firstLine="640" w:firstLineChars="200"/>
        <w:jc w:val="left"/>
        <w:rPr>
          <w:rFonts w:ascii="SimHei" w:hAnsi="SimHei" w:eastAsia="SimHei" w:cs="SimSun"/>
          <w:color w:val="000000"/>
          <w:kern w:val="0"/>
          <w:sz w:val="32"/>
          <w:szCs w:val="32"/>
        </w:rPr>
      </w:pPr>
      <w:bookmarkStart w:id="0" w:name="_GoBack"/>
      <w:bookmarkEnd w:id="0"/>
    </w:p>
    <w:p w14:paraId="04553250">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一、部门</w:t>
      </w:r>
      <w:r>
        <w:rPr>
          <w:rFonts w:ascii="SimHei" w:hAnsi="SimHei" w:eastAsia="SimHei" w:cs="SimSun"/>
          <w:color w:val="000000"/>
          <w:kern w:val="0"/>
          <w:sz w:val="32"/>
          <w:szCs w:val="32"/>
        </w:rPr>
        <w:t>(</w:t>
      </w:r>
      <w:r>
        <w:rPr>
          <w:rFonts w:hint="eastAsia" w:ascii="SimHei" w:hAnsi="SimHei" w:eastAsia="SimHei" w:cs="SimSun"/>
          <w:color w:val="000000"/>
          <w:kern w:val="0"/>
          <w:sz w:val="32"/>
          <w:szCs w:val="32"/>
        </w:rPr>
        <w:t>单位</w:t>
      </w:r>
      <w:r>
        <w:rPr>
          <w:rFonts w:ascii="SimHei" w:hAnsi="SimHei" w:eastAsia="SimHei" w:cs="SimSun"/>
          <w:color w:val="000000"/>
          <w:kern w:val="0"/>
          <w:sz w:val="32"/>
          <w:szCs w:val="32"/>
        </w:rPr>
        <w:t>)</w:t>
      </w:r>
      <w:r>
        <w:rPr>
          <w:rFonts w:hint="eastAsia" w:ascii="SimHei" w:hAnsi="SimHei" w:eastAsia="SimHei" w:cs="SimSun"/>
          <w:color w:val="000000"/>
          <w:kern w:val="0"/>
          <w:sz w:val="32"/>
          <w:szCs w:val="32"/>
        </w:rPr>
        <w:t>基本情况</w:t>
      </w:r>
    </w:p>
    <w:p w14:paraId="2CE105AA">
      <w:pPr>
        <w:widowControl/>
        <w:spacing w:line="576" w:lineRule="exact"/>
        <w:ind w:firstLine="640" w:firstLineChars="200"/>
        <w:jc w:val="left"/>
        <w:rPr>
          <w:rFonts w:ascii="楷体_GB2312" w:hAnsi="楷体_GB2312" w:eastAsia="楷体_GB2312" w:cs="楷体_GB2312"/>
          <w:color w:val="000000"/>
          <w:kern w:val="0"/>
          <w:sz w:val="32"/>
          <w:szCs w:val="32"/>
        </w:rPr>
      </w:pPr>
      <w:r>
        <w:rPr>
          <w:rFonts w:ascii="楷体_GB2312" w:hAnsi="楷体_GB2312" w:eastAsia="楷体_GB2312" w:cs="楷体_GB2312"/>
          <w:color w:val="000000"/>
          <w:kern w:val="0"/>
          <w:sz w:val="32"/>
          <w:szCs w:val="32"/>
        </w:rPr>
        <w:t>(</w:t>
      </w:r>
      <w:r>
        <w:rPr>
          <w:rFonts w:hint="eastAsia" w:ascii="楷体_GB2312" w:hAnsi="楷体_GB2312" w:eastAsia="楷体_GB2312" w:cs="楷体_GB2312"/>
          <w:color w:val="000000"/>
          <w:kern w:val="0"/>
          <w:sz w:val="32"/>
          <w:szCs w:val="32"/>
        </w:rPr>
        <w:t>一</w:t>
      </w:r>
      <w:r>
        <w:rPr>
          <w:rFonts w:ascii="楷体_GB2312" w:hAnsi="楷体_GB2312" w:eastAsia="楷体_GB2312" w:cs="楷体_GB2312"/>
          <w:color w:val="000000"/>
          <w:kern w:val="0"/>
          <w:sz w:val="32"/>
          <w:szCs w:val="32"/>
        </w:rPr>
        <w:t>)</w:t>
      </w:r>
      <w:r>
        <w:rPr>
          <w:rFonts w:hint="eastAsia" w:ascii="楷体_GB2312" w:hAnsi="楷体_GB2312" w:eastAsia="楷体_GB2312" w:cs="楷体_GB2312"/>
          <w:color w:val="000000"/>
          <w:kern w:val="0"/>
          <w:sz w:val="32"/>
          <w:szCs w:val="32"/>
        </w:rPr>
        <w:t>简要介绍</w:t>
      </w:r>
      <w:r>
        <w:rPr>
          <w:rFonts w:ascii="楷体_GB2312" w:hAnsi="楷体_GB2312" w:eastAsia="楷体_GB2312" w:cs="楷体_GB2312"/>
          <w:color w:val="000000"/>
          <w:kern w:val="0"/>
          <w:sz w:val="32"/>
          <w:szCs w:val="32"/>
        </w:rPr>
        <w:t>2024</w:t>
      </w:r>
      <w:r>
        <w:rPr>
          <w:rFonts w:hint="eastAsia" w:ascii="楷体_GB2312" w:hAnsi="楷体_GB2312" w:eastAsia="楷体_GB2312" w:cs="楷体_GB2312"/>
          <w:color w:val="000000"/>
          <w:kern w:val="0"/>
          <w:sz w:val="32"/>
          <w:szCs w:val="32"/>
        </w:rPr>
        <w:t>年度重点工作</w:t>
      </w:r>
    </w:p>
    <w:p w14:paraId="7A6A88B3">
      <w:pPr>
        <w:spacing w:line="640" w:lineRule="exact"/>
        <w:ind w:firstLine="640" w:firstLineChars="200"/>
        <w:rPr>
          <w:rFonts w:ascii="仿宋_GB2312" w:hAnsi="仿宋_GB2312" w:eastAsia="仿宋_GB2312" w:cs="仿宋_GB2312"/>
          <w:color w:val="000000"/>
          <w:sz w:val="32"/>
          <w:szCs w:val="32"/>
        </w:rPr>
      </w:pPr>
      <w:r>
        <w:rPr>
          <w:rFonts w:ascii="FangSong" w:hAnsi="FangSong" w:eastAsia="FangSong"/>
          <w:color w:val="000000"/>
          <w:sz w:val="32"/>
          <w:szCs w:val="32"/>
          <w:shd w:val="clear" w:color="auto" w:fill="FFFFFF"/>
        </w:rPr>
        <w:t>2024</w:t>
      </w:r>
      <w:r>
        <w:rPr>
          <w:rFonts w:hint="eastAsia" w:ascii="FangSong" w:hAnsi="FangSong" w:eastAsia="FangSong"/>
          <w:color w:val="000000"/>
          <w:sz w:val="32"/>
          <w:szCs w:val="32"/>
          <w:shd w:val="clear" w:color="auto" w:fill="FFFFFF"/>
        </w:rPr>
        <w:t>年以来，我馆紧紧围绕县委、县政府“文化振兴引领乡村振兴”发展战略，以全面提升文化馆工作水平、进一步完善我县公共文化服务体系建设、切身提高全民文化素养为目标，积极进取、开拓创新，认真开展免费开放、</w:t>
      </w:r>
      <w:r>
        <w:rPr>
          <w:rFonts w:hint="eastAsia" w:ascii="仿宋_GB2312" w:hAnsi="Calibri" w:eastAsia="仿宋_GB2312"/>
          <w:sz w:val="32"/>
          <w:szCs w:val="32"/>
        </w:rPr>
        <w:t>党建工作</w:t>
      </w:r>
      <w:r>
        <w:rPr>
          <w:rFonts w:hint="eastAsia" w:ascii="FangSong" w:hAnsi="FangSong" w:eastAsia="FangSong"/>
          <w:color w:val="000000"/>
          <w:sz w:val="32"/>
          <w:szCs w:val="32"/>
          <w:shd w:val="clear" w:color="auto" w:fill="FFFFFF"/>
        </w:rPr>
        <w:t>、群文活动、非遗保护、文艺创作。</w:t>
      </w:r>
      <w:r>
        <w:rPr>
          <w:rFonts w:hint="eastAsia" w:ascii="仿宋_GB2312" w:eastAsia="仿宋_GB2312"/>
          <w:sz w:val="32"/>
          <w:szCs w:val="32"/>
        </w:rPr>
        <w:t>为深入贯彻党的二十大精神，围绕“举旗帜、聚民心、育新人、兴文化、展形象”的使命任务，充分发挥公共文化设施服务效能，进一步建立健全我县公共文化服务体系，逐步完善免费服务内容，扎实搞好免费开放工作，努力开展节日文化活动，丰富群众文化生活。</w:t>
      </w:r>
      <w:r>
        <w:rPr>
          <w:rFonts w:ascii="仿宋_GB2312" w:eastAsia="仿宋_GB2312"/>
          <w:sz w:val="32"/>
          <w:szCs w:val="32"/>
        </w:rPr>
        <w:t>2024</w:t>
      </w:r>
      <w:r>
        <w:rPr>
          <w:rFonts w:hint="eastAsia" w:ascii="仿宋_GB2312" w:eastAsia="仿宋_GB2312"/>
          <w:sz w:val="32"/>
          <w:szCs w:val="32"/>
        </w:rPr>
        <w:t>年来，在县文旅广体局党组的正确领导下，在梅城镇党委、政府的关心支持下，梅城文化馆全馆干职工团结一心，努力工作，狠抓落实，使我馆工作顺利推进，主要工作为：</w:t>
      </w:r>
      <w:r>
        <w:rPr>
          <w:rFonts w:ascii="仿宋_GB2312" w:eastAsia="仿宋_GB2312"/>
          <w:sz w:val="32"/>
          <w:szCs w:val="32"/>
        </w:rPr>
        <w:t>1.</w:t>
      </w:r>
      <w:r>
        <w:rPr>
          <w:rFonts w:hint="eastAsia" w:ascii="仿宋_GB2312" w:eastAsia="仿宋_GB2312"/>
          <w:sz w:val="32"/>
          <w:szCs w:val="32"/>
        </w:rPr>
        <w:t>免费开放工作</w:t>
      </w:r>
      <w:r>
        <w:rPr>
          <w:rFonts w:ascii="仿宋_GB2312" w:eastAsia="仿宋_GB2312"/>
          <w:sz w:val="32"/>
          <w:szCs w:val="32"/>
        </w:rPr>
        <w:t>-</w:t>
      </w:r>
      <w:r>
        <w:rPr>
          <w:rFonts w:hint="eastAsia" w:ascii="仿宋_GB2312" w:hAnsi="仿宋_GB2312" w:eastAsia="仿宋_GB2312" w:cs="仿宋_GB2312"/>
          <w:color w:val="000000"/>
          <w:sz w:val="32"/>
          <w:szCs w:val="32"/>
        </w:rPr>
        <w:t>我馆免费开放开设有演出、视听、展览、阅览、游艺、培训、提供排练场地、文学创作等服务项目。</w:t>
      </w:r>
      <w:r>
        <w:rPr>
          <w:rFonts w:ascii="仿宋_GB2312" w:hAnsi="仿宋_GB2312" w:eastAsia="仿宋_GB2312" w:cs="仿宋_GB2312"/>
          <w:color w:val="000000"/>
          <w:sz w:val="32"/>
          <w:szCs w:val="32"/>
        </w:rPr>
        <w:t xml:space="preserve">2. </w:t>
      </w:r>
      <w:r>
        <w:rPr>
          <w:rFonts w:hint="eastAsia" w:ascii="仿宋_GB2312" w:hAnsi="仿宋_GB2312" w:eastAsia="仿宋_GB2312" w:cs="仿宋_GB2312"/>
          <w:color w:val="000000"/>
          <w:sz w:val="32"/>
          <w:szCs w:val="32"/>
        </w:rPr>
        <w:t>为发展地方经济，推动精神文明建设，丰富群众文化生活，努力配合地方政府的各项中心工作，充分发挥我馆各类文化社团及协会的文化工作职能，</w:t>
      </w:r>
      <w:r>
        <w:rPr>
          <w:rFonts w:ascii="仿宋_GB2312" w:hAnsi="仿宋_GB2312" w:eastAsia="仿宋_GB2312" w:cs="仿宋_GB2312"/>
          <w:color w:val="000000"/>
          <w:sz w:val="32"/>
          <w:szCs w:val="32"/>
        </w:rPr>
        <w:t>2024</w:t>
      </w:r>
      <w:r>
        <w:rPr>
          <w:rFonts w:hint="eastAsia" w:ascii="仿宋_GB2312" w:hAnsi="仿宋_GB2312" w:eastAsia="仿宋_GB2312" w:cs="仿宋_GB2312"/>
          <w:color w:val="000000"/>
          <w:sz w:val="32"/>
          <w:szCs w:val="32"/>
        </w:rPr>
        <w:t>年来大力开展了形式多样的群众文化活动，如公益讲座，比赛，培训，服务宣传周系列活动，研讨会，文化主题活动等；</w:t>
      </w:r>
      <w:r>
        <w:rPr>
          <w:rFonts w:hint="eastAsia" w:ascii="KaiTi" w:hAnsi="KaiTi" w:eastAsia="KaiTi" w:cs="KaiTi"/>
          <w:sz w:val="32"/>
          <w:szCs w:val="32"/>
        </w:rPr>
        <w:t>组织开展</w:t>
      </w:r>
      <w:r>
        <w:rPr>
          <w:rFonts w:hint="eastAsia" w:ascii="仿宋_GB2312" w:hAnsi="仿宋_GB2312" w:eastAsia="仿宋_GB2312" w:cs="仿宋_GB2312"/>
          <w:color w:val="000000"/>
          <w:sz w:val="32"/>
          <w:szCs w:val="32"/>
        </w:rPr>
        <w:t>承办各种活动和庆典等。</w:t>
      </w:r>
    </w:p>
    <w:p w14:paraId="4A595C58">
      <w:pPr>
        <w:widowControl/>
        <w:shd w:val="clear" w:color="auto" w:fill="FFFFFF"/>
        <w:ind w:firstLine="640" w:firstLineChars="200"/>
        <w:jc w:val="left"/>
        <w:rPr>
          <w:rFonts w:ascii="FangSong" w:hAnsi="FangSong" w:eastAsia="FangSong"/>
          <w:color w:val="000000"/>
          <w:sz w:val="32"/>
          <w:szCs w:val="32"/>
          <w:shd w:val="clear" w:color="auto" w:fill="FFFFFF"/>
        </w:rPr>
      </w:pPr>
    </w:p>
    <w:p w14:paraId="59050973">
      <w:pPr>
        <w:widowControl/>
        <w:numPr>
          <w:ilvl w:val="0"/>
          <w:numId w:val="1"/>
        </w:numPr>
        <w:spacing w:line="600" w:lineRule="exact"/>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整体支出规模、使用方向、主要内容和涉及范围</w:t>
      </w:r>
    </w:p>
    <w:p w14:paraId="0B2C34E7">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2024</w:t>
      </w:r>
      <w:r>
        <w:rPr>
          <w:rFonts w:hint="eastAsia" w:ascii="仿宋_GB2312" w:hAnsi="仿宋_GB2312" w:eastAsia="仿宋_GB2312" w:cs="仿宋_GB2312"/>
          <w:color w:val="auto"/>
          <w:kern w:val="2"/>
          <w:sz w:val="32"/>
          <w:szCs w:val="32"/>
        </w:rPr>
        <w:t>年度</w:t>
      </w:r>
      <w:r>
        <w:rPr>
          <w:rFonts w:hint="eastAsia" w:ascii="仿宋_GB2312" w:hAnsi="FangSong" w:eastAsia="仿宋_GB2312"/>
          <w:sz w:val="32"/>
          <w:szCs w:val="32"/>
        </w:rPr>
        <w:t>县梅城文化馆</w:t>
      </w:r>
      <w:r>
        <w:rPr>
          <w:rFonts w:hint="eastAsia" w:ascii="仿宋_GB2312" w:hAnsi="仿宋_GB2312" w:eastAsia="仿宋_GB2312" w:cs="仿宋_GB2312"/>
          <w:color w:val="auto"/>
          <w:kern w:val="2"/>
          <w:sz w:val="32"/>
          <w:szCs w:val="32"/>
        </w:rPr>
        <w:t>收入、支出年初预算总计</w:t>
      </w:r>
      <w:r>
        <w:rPr>
          <w:rFonts w:ascii="仿宋_GB2312" w:hAnsi="仿宋_GB2312" w:eastAsia="仿宋_GB2312" w:cs="仿宋_GB2312"/>
          <w:color w:val="auto"/>
          <w:kern w:val="2"/>
          <w:sz w:val="32"/>
          <w:szCs w:val="32"/>
        </w:rPr>
        <w:t>84.18</w:t>
      </w:r>
      <w:r>
        <w:rPr>
          <w:rFonts w:hint="eastAsia" w:ascii="仿宋_GB2312" w:hAnsi="仿宋_GB2312" w:eastAsia="仿宋_GB2312" w:cs="仿宋_GB2312"/>
          <w:color w:val="auto"/>
          <w:kern w:val="2"/>
          <w:sz w:val="32"/>
          <w:szCs w:val="32"/>
        </w:rPr>
        <w:t>万元，</w:t>
      </w:r>
      <w:r>
        <w:rPr>
          <w:rFonts w:hint="eastAsia" w:ascii="仿宋_GB2312" w:hAnsi="仿宋_GB2312" w:eastAsia="仿宋_GB2312" w:cs="仿宋_GB2312"/>
          <w:sz w:val="32"/>
          <w:szCs w:val="32"/>
        </w:rPr>
        <w:t>支出决算数为</w:t>
      </w:r>
      <w:r>
        <w:rPr>
          <w:rFonts w:ascii="仿宋_GB2312" w:hAnsi="仿宋_GB2312" w:eastAsia="仿宋_GB2312" w:cs="仿宋_GB2312"/>
          <w:sz w:val="32"/>
          <w:szCs w:val="32"/>
        </w:rPr>
        <w:t>188.73</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147.34%</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kern w:val="2"/>
          <w:sz w:val="32"/>
          <w:szCs w:val="32"/>
        </w:rPr>
        <w:t>主要使用方向为：</w:t>
      </w:r>
    </w:p>
    <w:p w14:paraId="711CEFE1">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1.</w:t>
      </w:r>
      <w:r>
        <w:rPr>
          <w:rFonts w:hint="eastAsia" w:ascii="仿宋_GB2312" w:hAnsi="仿宋_GB2312" w:eastAsia="仿宋_GB2312" w:cs="仿宋_GB2312"/>
          <w:color w:val="auto"/>
          <w:kern w:val="2"/>
          <w:sz w:val="32"/>
          <w:szCs w:val="32"/>
        </w:rPr>
        <w:t>文化旅游体育与传媒支出（类）文化和旅游（款）行政运行（项）。年初预算为</w:t>
      </w:r>
      <w:r>
        <w:rPr>
          <w:rFonts w:ascii="仿宋_GB2312" w:hAnsi="仿宋_GB2312" w:eastAsia="仿宋_GB2312" w:cs="仿宋_GB2312"/>
          <w:color w:val="auto"/>
          <w:kern w:val="2"/>
          <w:sz w:val="32"/>
          <w:szCs w:val="32"/>
        </w:rPr>
        <w:t>63.36</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68.57</w:t>
      </w:r>
      <w:r>
        <w:rPr>
          <w:rFonts w:hint="eastAsia" w:ascii="仿宋_GB2312" w:hAnsi="仿宋_GB2312" w:eastAsia="仿宋_GB2312" w:cs="仿宋_GB2312"/>
          <w:color w:val="auto"/>
          <w:kern w:val="2"/>
          <w:sz w:val="32"/>
          <w:szCs w:val="32"/>
        </w:rPr>
        <w:t>万元，主要用于财政拨付工资五险，补付</w:t>
      </w:r>
      <w:r>
        <w:rPr>
          <w:rFonts w:ascii="仿宋_GB2312" w:hAnsi="仿宋_GB2312" w:eastAsia="仿宋_GB2312" w:cs="仿宋_GB2312"/>
          <w:color w:val="auto"/>
          <w:kern w:val="2"/>
          <w:sz w:val="32"/>
          <w:szCs w:val="32"/>
        </w:rPr>
        <w:t>2023</w:t>
      </w:r>
      <w:r>
        <w:rPr>
          <w:rFonts w:hint="eastAsia" w:ascii="仿宋_GB2312" w:hAnsi="仿宋_GB2312" w:eastAsia="仿宋_GB2312" w:cs="仿宋_GB2312"/>
          <w:color w:val="auto"/>
          <w:kern w:val="2"/>
          <w:sz w:val="32"/>
          <w:szCs w:val="32"/>
        </w:rPr>
        <w:t>年单位绩效考核奖、</w:t>
      </w:r>
      <w:r>
        <w:rPr>
          <w:rFonts w:ascii="仿宋_GB2312" w:hAnsi="仿宋_GB2312" w:eastAsia="仿宋_GB2312" w:cs="仿宋_GB2312"/>
          <w:color w:val="auto"/>
          <w:kern w:val="2"/>
          <w:sz w:val="32"/>
          <w:szCs w:val="32"/>
        </w:rPr>
        <w:t>2023</w:t>
      </w:r>
      <w:r>
        <w:rPr>
          <w:rFonts w:hint="eastAsia" w:ascii="仿宋_GB2312" w:hAnsi="仿宋_GB2312" w:eastAsia="仿宋_GB2312" w:cs="仿宋_GB2312"/>
          <w:color w:val="auto"/>
          <w:kern w:val="2"/>
          <w:sz w:val="32"/>
          <w:szCs w:val="32"/>
        </w:rPr>
        <w:t>年绩效奖励预发资金，机关事业单位人员工资调增等。</w:t>
      </w:r>
    </w:p>
    <w:p w14:paraId="308561E5">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2.</w:t>
      </w:r>
      <w:r>
        <w:rPr>
          <w:rFonts w:hint="eastAsia" w:ascii="仿宋_GB2312" w:hAnsi="仿宋_GB2312" w:eastAsia="仿宋_GB2312" w:cs="仿宋_GB2312"/>
          <w:color w:val="auto"/>
          <w:kern w:val="2"/>
          <w:sz w:val="32"/>
          <w:szCs w:val="32"/>
        </w:rPr>
        <w:t>文化旅游体育与传媒支出（类）文化和旅游（款）其他文化和旅游支出（项）年初预算为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58.28</w:t>
      </w:r>
      <w:r>
        <w:rPr>
          <w:rFonts w:hint="eastAsia" w:ascii="仿宋_GB2312" w:hAnsi="仿宋_GB2312" w:eastAsia="仿宋_GB2312" w:cs="仿宋_GB2312"/>
          <w:color w:val="auto"/>
          <w:kern w:val="2"/>
          <w:sz w:val="32"/>
          <w:szCs w:val="32"/>
        </w:rPr>
        <w:t>万元，形成差异</w:t>
      </w:r>
      <w:r>
        <w:rPr>
          <w:rFonts w:ascii="仿宋_GB2312" w:hAnsi="仿宋_GB2312" w:eastAsia="仿宋_GB2312" w:cs="仿宋_GB2312"/>
          <w:color w:val="auto"/>
          <w:kern w:val="2"/>
          <w:sz w:val="32"/>
          <w:szCs w:val="32"/>
        </w:rPr>
        <w:t>58.28</w:t>
      </w:r>
      <w:r>
        <w:rPr>
          <w:rFonts w:hint="eastAsia" w:ascii="仿宋_GB2312" w:hAnsi="仿宋_GB2312" w:eastAsia="仿宋_GB2312" w:cs="仿宋_GB2312"/>
          <w:color w:val="auto"/>
          <w:kern w:val="2"/>
          <w:sz w:val="32"/>
          <w:szCs w:val="32"/>
        </w:rPr>
        <w:t>万元，主要原因是：</w:t>
      </w:r>
      <w:r>
        <w:rPr>
          <w:rFonts w:ascii="仿宋_GB2312" w:hAnsi="仿宋_GB2312" w:eastAsia="仿宋_GB2312" w:cs="仿宋_GB2312"/>
          <w:color w:val="auto"/>
          <w:kern w:val="2"/>
          <w:sz w:val="32"/>
          <w:szCs w:val="32"/>
        </w:rPr>
        <w:t>2024</w:t>
      </w:r>
      <w:r>
        <w:rPr>
          <w:rFonts w:hint="eastAsia" w:ascii="仿宋_GB2312" w:hAnsi="仿宋_GB2312" w:eastAsia="仿宋_GB2312" w:cs="仿宋_GB2312"/>
          <w:color w:val="auto"/>
          <w:kern w:val="2"/>
          <w:sz w:val="32"/>
          <w:szCs w:val="32"/>
        </w:rPr>
        <w:t>年及</w:t>
      </w:r>
      <w:r>
        <w:rPr>
          <w:rFonts w:ascii="仿宋_GB2312" w:hAnsi="仿宋_GB2312" w:eastAsia="仿宋_GB2312" w:cs="仿宋_GB2312"/>
          <w:color w:val="auto"/>
          <w:kern w:val="2"/>
          <w:sz w:val="32"/>
          <w:szCs w:val="32"/>
        </w:rPr>
        <w:t>2023</w:t>
      </w:r>
      <w:r>
        <w:rPr>
          <w:rFonts w:hint="eastAsia" w:ascii="仿宋_GB2312" w:hAnsi="仿宋_GB2312" w:eastAsia="仿宋_GB2312" w:cs="仿宋_GB2312"/>
          <w:color w:val="auto"/>
          <w:kern w:val="2"/>
          <w:sz w:val="32"/>
          <w:szCs w:val="32"/>
        </w:rPr>
        <w:t>年“三馆一站”免费开放省级配套资金，中央补助地方公共文化服务体系建设补助资金，送戏下乡等专项资金拨入。</w:t>
      </w:r>
    </w:p>
    <w:p w14:paraId="2C3759A6">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3.</w:t>
      </w:r>
      <w:r>
        <w:rPr>
          <w:rFonts w:hint="eastAsia" w:ascii="仿宋_GB2312" w:hAnsi="仿宋_GB2312" w:eastAsia="仿宋_GB2312" w:cs="仿宋_GB2312"/>
          <w:color w:val="auto"/>
          <w:kern w:val="2"/>
          <w:sz w:val="32"/>
          <w:szCs w:val="32"/>
        </w:rPr>
        <w:t>文化旅游体育与传媒支出（类）其他文化旅游体育与传媒支出（款）其他文化旅游体育与传媒支出（项）</w:t>
      </w:r>
    </w:p>
    <w:p w14:paraId="2A01CF12">
      <w:pPr>
        <w:pStyle w:val="24"/>
        <w:ind w:firstLine="640" w:firstLineChars="200"/>
        <w:rPr>
          <w:rFonts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7</w:t>
      </w:r>
      <w:r>
        <w:rPr>
          <w:rFonts w:hint="eastAsia" w:ascii="仿宋_GB2312" w:hAnsi="仿宋_GB2312" w:eastAsia="仿宋_GB2312" w:cs="仿宋_GB2312"/>
          <w:color w:val="auto"/>
          <w:kern w:val="2"/>
          <w:sz w:val="32"/>
          <w:szCs w:val="32"/>
        </w:rPr>
        <w:t>元，形成差异</w:t>
      </w:r>
      <w:r>
        <w:rPr>
          <w:rFonts w:ascii="仿宋_GB2312" w:hAnsi="仿宋_GB2312" w:eastAsia="仿宋_GB2312" w:cs="仿宋_GB2312"/>
          <w:color w:val="auto"/>
          <w:kern w:val="2"/>
          <w:sz w:val="32"/>
          <w:szCs w:val="32"/>
        </w:rPr>
        <w:t>7</w:t>
      </w:r>
      <w:r>
        <w:rPr>
          <w:rFonts w:hint="eastAsia" w:ascii="仿宋_GB2312" w:hAnsi="仿宋_GB2312" w:eastAsia="仿宋_GB2312" w:cs="仿宋_GB2312"/>
          <w:color w:val="auto"/>
          <w:kern w:val="2"/>
          <w:sz w:val="32"/>
          <w:szCs w:val="32"/>
        </w:rPr>
        <w:t>万元，决算数大于年初预算数的主要原因是：财政拨付了中央支持地方公共文化服务体系建设绩效奖励资金补助资金。</w:t>
      </w:r>
    </w:p>
    <w:p w14:paraId="491B8C4E">
      <w:pPr>
        <w:numPr>
          <w:ilvl w:val="0"/>
          <w:numId w:val="2"/>
        </w:num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万元，形成差异</w:t>
      </w:r>
      <w:r>
        <w:rPr>
          <w:rFonts w:ascii="仿宋_GB2312" w:hAnsi="仿宋_GB2312" w:eastAsia="仿宋_GB2312" w:cs="仿宋_GB2312"/>
          <w:sz w:val="32"/>
          <w:szCs w:val="32"/>
        </w:rPr>
        <w:t>17.49</w:t>
      </w:r>
      <w:r>
        <w:rPr>
          <w:rFonts w:hint="eastAsia" w:ascii="仿宋_GB2312" w:hAnsi="仿宋_GB2312" w:eastAsia="仿宋_GB2312" w:cs="仿宋_GB2312"/>
          <w:sz w:val="32"/>
          <w:szCs w:val="32"/>
        </w:rPr>
        <w:t>万元，主要是：</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年及</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年“三馆一站”免费开放省级配套资金，戏曲进乡村等专项资金拨支出。</w:t>
      </w:r>
    </w:p>
    <w:p w14:paraId="35BA073B">
      <w:pPr>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文化旅游体育与传媒支出（类）其他文化旅游体育与传媒支出（款）其他文化旅游体育与传媒支出（项）年初预算为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元，形成差异</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万元，主要是：增加了中央支持地方公共文化服务体系建设绩效奖励资金补助资金。</w:t>
      </w:r>
    </w:p>
    <w:p w14:paraId="5328B68B">
      <w:pPr>
        <w:widowControl/>
        <w:shd w:val="clear" w:color="auto" w:fill="FFFFFF"/>
        <w:ind w:firstLine="640" w:firstLineChars="200"/>
        <w:jc w:val="left"/>
        <w:rPr>
          <w:rFonts w:ascii="FangSong" w:hAnsi="FangSong" w:eastAsia="FangSong"/>
          <w:color w:val="000000"/>
          <w:sz w:val="32"/>
          <w:szCs w:val="32"/>
          <w:shd w:val="clear" w:color="auto" w:fill="FFFFFF"/>
        </w:rPr>
      </w:pPr>
      <w:r>
        <w:rPr>
          <w:rFonts w:ascii="仿宋_GB2312" w:hAnsi="仿宋_GB2312" w:eastAsia="仿宋_GB2312" w:cs="仿宋_GB2312"/>
          <w:sz w:val="32"/>
          <w:szCs w:val="32"/>
        </w:rPr>
        <w:t xml:space="preserve">             </w:t>
      </w:r>
    </w:p>
    <w:p w14:paraId="2427136C">
      <w:pPr>
        <w:pStyle w:val="24"/>
        <w:ind w:firstLine="320" w:firstLineChars="100"/>
        <w:rPr>
          <w:rFonts w:hAnsi="??_GB2312"/>
          <w:color w:val="auto"/>
          <w:kern w:val="2"/>
          <w:sz w:val="32"/>
          <w:szCs w:val="32"/>
        </w:rPr>
      </w:pPr>
    </w:p>
    <w:p w14:paraId="13CFC118">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二、一般公共预算支出情况</w:t>
      </w:r>
    </w:p>
    <w:p w14:paraId="3F49435D">
      <w:pPr>
        <w:widowControl/>
        <w:spacing w:line="576" w:lineRule="exact"/>
        <w:ind w:firstLine="640" w:firstLineChars="200"/>
        <w:jc w:val="left"/>
        <w:rPr>
          <w:rFonts w:ascii="楷体_GB2312" w:hAnsi="楷体_GB2312" w:eastAsia="楷体_GB2312" w:cs="楷体_GB2312"/>
          <w:color w:val="000000"/>
          <w:kern w:val="0"/>
          <w:sz w:val="32"/>
          <w:szCs w:val="32"/>
        </w:rPr>
      </w:pPr>
      <w:r>
        <w:rPr>
          <w:rFonts w:ascii="楷体_GB2312" w:hAnsi="楷体_GB2312" w:eastAsia="楷体_GB2312" w:cs="楷体_GB2312"/>
          <w:color w:val="000000"/>
          <w:kern w:val="0"/>
          <w:sz w:val="32"/>
          <w:szCs w:val="32"/>
        </w:rPr>
        <w:t>1.</w:t>
      </w:r>
      <w:r>
        <w:rPr>
          <w:rFonts w:hint="eastAsia" w:ascii="楷体_GB2312" w:hAnsi="楷体_GB2312" w:eastAsia="楷体_GB2312" w:cs="楷体_GB2312"/>
          <w:color w:val="000000"/>
          <w:kern w:val="0"/>
          <w:sz w:val="32"/>
          <w:szCs w:val="32"/>
        </w:rPr>
        <w:t>基本支出情况</w:t>
      </w:r>
    </w:p>
    <w:p w14:paraId="3FC7A47E">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全年总收入</w:t>
      </w:r>
      <w:r>
        <w:rPr>
          <w:rFonts w:ascii="仿宋_GB2312" w:hAnsi="仿宋_GB2312" w:eastAsia="仿宋_GB2312" w:cs="仿宋_GB2312"/>
          <w:sz w:val="32"/>
          <w:szCs w:val="32"/>
        </w:rPr>
        <w:t>157.50</w:t>
      </w:r>
      <w:r>
        <w:rPr>
          <w:rFonts w:hint="eastAsia" w:ascii="仿宋_GB2312" w:hAnsi="仿宋_GB2312" w:eastAsia="仿宋_GB2312" w:cs="仿宋_GB2312"/>
          <w:sz w:val="32"/>
          <w:szCs w:val="32"/>
        </w:rPr>
        <w:t>万元，其中</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一般公共预算财政拨款收入</w:t>
      </w:r>
      <w:r>
        <w:rPr>
          <w:rFonts w:ascii="仿宋_GB2312" w:hAnsi="仿宋_GB2312" w:eastAsia="仿宋_GB2312" w:cs="仿宋_GB2312"/>
          <w:sz w:val="32"/>
          <w:szCs w:val="32"/>
        </w:rPr>
        <w:t>123.75</w:t>
      </w:r>
      <w:r>
        <w:rPr>
          <w:rFonts w:hint="eastAsia" w:ascii="仿宋_GB2312" w:hAnsi="仿宋_GB2312" w:eastAsia="仿宋_GB2312" w:cs="仿宋_GB2312"/>
          <w:sz w:val="32"/>
          <w:szCs w:val="32"/>
        </w:rPr>
        <w:t>万元，占总收入的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。全年总支出</w:t>
      </w:r>
      <w:r>
        <w:rPr>
          <w:rFonts w:ascii="仿宋_GB2312" w:hAnsi="仿宋_GB2312" w:eastAsia="仿宋_GB2312" w:cs="仿宋_GB2312"/>
          <w:sz w:val="32"/>
          <w:szCs w:val="32"/>
        </w:rPr>
        <w:t>157.5</w:t>
      </w:r>
      <w:r>
        <w:rPr>
          <w:rFonts w:hint="eastAsia" w:ascii="仿宋_GB2312" w:hAnsi="仿宋_GB2312" w:eastAsia="仿宋_GB2312" w:cs="仿宋_GB2312"/>
          <w:sz w:val="32"/>
          <w:szCs w:val="32"/>
        </w:rPr>
        <w:t>万元，按支出性质和经济分类，基本支出</w:t>
      </w:r>
      <w:r>
        <w:rPr>
          <w:rFonts w:ascii="仿宋_GB2312" w:hAnsi="仿宋_GB2312" w:eastAsia="仿宋_GB2312" w:cs="仿宋_GB2312"/>
          <w:sz w:val="32"/>
          <w:szCs w:val="32"/>
        </w:rPr>
        <w:t>136.79</w:t>
      </w:r>
      <w:r>
        <w:rPr>
          <w:rFonts w:hint="eastAsia" w:ascii="仿宋_GB2312" w:hAnsi="仿宋_GB2312" w:eastAsia="仿宋_GB2312" w:cs="仿宋_GB2312"/>
          <w:sz w:val="32"/>
          <w:szCs w:val="32"/>
        </w:rPr>
        <w:t>万元，占总支出的</w:t>
      </w:r>
      <w:r>
        <w:rPr>
          <w:rFonts w:ascii="仿宋_GB2312" w:hAnsi="仿宋_GB2312" w:eastAsia="仿宋_GB2312" w:cs="仿宋_GB2312"/>
          <w:sz w:val="32"/>
          <w:szCs w:val="32"/>
        </w:rPr>
        <w:t>86.85%</w:t>
      </w:r>
      <w:r>
        <w:rPr>
          <w:rFonts w:hint="eastAsia" w:ascii="仿宋_GB2312" w:hAnsi="仿宋_GB2312" w:eastAsia="仿宋_GB2312" w:cs="仿宋_GB2312"/>
          <w:sz w:val="32"/>
          <w:szCs w:val="32"/>
        </w:rPr>
        <w:t>，其中人员经费</w:t>
      </w:r>
      <w:r>
        <w:rPr>
          <w:rFonts w:ascii="仿宋_GB2312" w:hAnsi="仿宋_GB2312" w:eastAsia="仿宋_GB2312" w:cs="仿宋_GB2312"/>
          <w:sz w:val="32"/>
          <w:szCs w:val="32"/>
        </w:rPr>
        <w:t>100.78</w:t>
      </w:r>
      <w:r>
        <w:rPr>
          <w:rFonts w:hint="eastAsia" w:ascii="仿宋_GB2312" w:hAnsi="仿宋_GB2312" w:eastAsia="仿宋_GB2312" w:cs="仿宋_GB2312"/>
          <w:sz w:val="32"/>
          <w:szCs w:val="32"/>
        </w:rPr>
        <w:t>万元，公用经费</w:t>
      </w:r>
      <w:r>
        <w:rPr>
          <w:rFonts w:ascii="仿宋_GB2312" w:hAnsi="仿宋_GB2312" w:eastAsia="仿宋_GB2312" w:cs="仿宋_GB2312"/>
          <w:sz w:val="32"/>
          <w:szCs w:val="32"/>
        </w:rPr>
        <w:t>36.01</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20.71</w:t>
      </w:r>
      <w:r>
        <w:rPr>
          <w:rFonts w:hint="eastAsia" w:ascii="仿宋_GB2312" w:hAnsi="仿宋_GB2312" w:eastAsia="仿宋_GB2312" w:cs="仿宋_GB2312"/>
          <w:sz w:val="32"/>
          <w:szCs w:val="32"/>
        </w:rPr>
        <w:t>万元，占总支出的</w:t>
      </w:r>
      <w:r>
        <w:rPr>
          <w:rFonts w:ascii="仿宋_GB2312" w:hAnsi="仿宋_GB2312" w:eastAsia="仿宋_GB2312" w:cs="仿宋_GB2312"/>
          <w:sz w:val="32"/>
          <w:szCs w:val="32"/>
        </w:rPr>
        <w:t>6.7%</w:t>
      </w:r>
      <w:r>
        <w:rPr>
          <w:rFonts w:hint="eastAsia" w:ascii="仿宋_GB2312" w:hAnsi="仿宋_GB2312" w:eastAsia="仿宋_GB2312" w:cs="仿宋_GB2312"/>
          <w:sz w:val="32"/>
          <w:szCs w:val="32"/>
        </w:rPr>
        <w:t>。</w:t>
      </w:r>
    </w:p>
    <w:p w14:paraId="7659AB0B">
      <w:pPr>
        <w:widowControl/>
        <w:numPr>
          <w:ilvl w:val="0"/>
          <w:numId w:val="3"/>
        </w:numPr>
        <w:spacing w:line="576" w:lineRule="exact"/>
        <w:ind w:firstLine="640" w:firstLineChars="200"/>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项目支出情况</w:t>
      </w:r>
    </w:p>
    <w:p w14:paraId="57B05060">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全年总收入</w:t>
      </w:r>
      <w:r>
        <w:rPr>
          <w:rFonts w:ascii="仿宋_GB2312" w:hAnsi="仿宋_GB2312" w:eastAsia="仿宋_GB2312" w:cs="仿宋_GB2312"/>
          <w:sz w:val="32"/>
          <w:szCs w:val="32"/>
        </w:rPr>
        <w:t>157.50</w:t>
      </w:r>
      <w:r>
        <w:rPr>
          <w:rFonts w:hint="eastAsia" w:ascii="仿宋_GB2312" w:hAnsi="仿宋_GB2312" w:eastAsia="仿宋_GB2312" w:cs="仿宋_GB2312"/>
          <w:sz w:val="32"/>
          <w:szCs w:val="32"/>
        </w:rPr>
        <w:t>万元，基本支出</w:t>
      </w:r>
      <w:r>
        <w:rPr>
          <w:rFonts w:ascii="仿宋_GB2312" w:hAnsi="仿宋_GB2312" w:eastAsia="仿宋_GB2312" w:cs="仿宋_GB2312"/>
          <w:sz w:val="32"/>
          <w:szCs w:val="32"/>
        </w:rPr>
        <w:t>136.79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占总支出的</w:t>
      </w:r>
      <w:r>
        <w:rPr>
          <w:rFonts w:ascii="仿宋_GB2312" w:hAnsi="仿宋_GB2312" w:eastAsia="仿宋_GB2312" w:cs="仿宋_GB2312"/>
          <w:sz w:val="32"/>
          <w:szCs w:val="32"/>
        </w:rPr>
        <w:t>86.85%</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20.71</w:t>
      </w:r>
      <w:r>
        <w:rPr>
          <w:rFonts w:hint="eastAsia" w:ascii="仿宋_GB2312" w:hAnsi="仿宋_GB2312" w:eastAsia="仿宋_GB2312" w:cs="仿宋_GB2312"/>
          <w:sz w:val="32"/>
          <w:szCs w:val="32"/>
        </w:rPr>
        <w:t>万元，占总支出的</w:t>
      </w:r>
      <w:r>
        <w:rPr>
          <w:rFonts w:ascii="仿宋_GB2312" w:hAnsi="仿宋_GB2312" w:eastAsia="仿宋_GB2312" w:cs="仿宋_GB2312"/>
          <w:sz w:val="32"/>
          <w:szCs w:val="32"/>
        </w:rPr>
        <w:t>6.7%</w:t>
      </w:r>
      <w:r>
        <w:rPr>
          <w:rFonts w:hint="eastAsia" w:ascii="仿宋_GB2312" w:hAnsi="仿宋_GB2312" w:eastAsia="仿宋_GB2312" w:cs="仿宋_GB2312"/>
          <w:sz w:val="32"/>
          <w:szCs w:val="32"/>
        </w:rPr>
        <w:t>。主要使用范围为送戏下乡及群文活动开展支出。</w:t>
      </w:r>
    </w:p>
    <w:p w14:paraId="3BA4A19F">
      <w:pPr>
        <w:pStyle w:val="24"/>
        <w:ind w:firstLine="64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4.2024</w:t>
      </w:r>
      <w:r>
        <w:rPr>
          <w:rFonts w:hint="eastAsia" w:ascii="仿宋_GB2312" w:hAnsi="仿宋_GB2312" w:eastAsia="仿宋_GB2312" w:cs="仿宋_GB2312"/>
          <w:color w:val="auto"/>
          <w:kern w:val="2"/>
          <w:sz w:val="32"/>
          <w:szCs w:val="32"/>
        </w:rPr>
        <w:t>年年初预算乡村振兴（驻村人员补助）及工作经费（类）。年初预算为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0.82</w:t>
      </w:r>
      <w:r>
        <w:rPr>
          <w:rFonts w:hint="eastAsia" w:ascii="仿宋_GB2312" w:hAnsi="仿宋_GB2312" w:eastAsia="仿宋_GB2312" w:cs="仿宋_GB2312"/>
          <w:color w:val="auto"/>
          <w:kern w:val="2"/>
          <w:sz w:val="32"/>
          <w:szCs w:val="32"/>
        </w:rPr>
        <w:t>万元，主要是：财政拨入乡村振兴工作经费及补助。</w:t>
      </w:r>
      <w:r>
        <w:rPr>
          <w:rFonts w:ascii="仿宋_GB2312" w:hAnsi="仿宋_GB2312" w:eastAsia="仿宋_GB2312" w:cs="仿宋_GB2312"/>
          <w:color w:val="auto"/>
          <w:kern w:val="2"/>
          <w:sz w:val="32"/>
          <w:szCs w:val="32"/>
        </w:rPr>
        <w:t xml:space="preserve"> </w:t>
      </w:r>
    </w:p>
    <w:p w14:paraId="12DCA0A3">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5.</w:t>
      </w:r>
      <w:r>
        <w:rPr>
          <w:rFonts w:hint="eastAsia" w:ascii="仿宋_GB2312" w:hAnsi="仿宋_GB2312" w:eastAsia="仿宋_GB2312" w:cs="仿宋_GB2312"/>
          <w:color w:val="auto"/>
          <w:kern w:val="2"/>
          <w:sz w:val="32"/>
          <w:szCs w:val="32"/>
        </w:rPr>
        <w:t>其他支出（类）：年初预算为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33.25</w:t>
      </w:r>
      <w:r>
        <w:rPr>
          <w:rFonts w:hint="eastAsia" w:ascii="仿宋_GB2312" w:hAnsi="仿宋_GB2312" w:eastAsia="仿宋_GB2312" w:cs="仿宋_GB2312"/>
          <w:color w:val="auto"/>
          <w:kern w:val="2"/>
          <w:sz w:val="32"/>
          <w:szCs w:val="32"/>
        </w:rPr>
        <w:t>万元，主要是：往年资金结存转入服务宣传周活动经费、其他单位付往来资金款等。</w:t>
      </w:r>
    </w:p>
    <w:p w14:paraId="195A2648">
      <w:pPr>
        <w:ind w:firstLine="640" w:firstLineChars="200"/>
        <w:jc w:val="left"/>
        <w:rPr>
          <w:rFonts w:ascii="仿宋_GB2312" w:hAnsi="仿宋_GB2312" w:eastAsia="仿宋_GB2312" w:cs="仿宋_GB2312"/>
          <w:sz w:val="32"/>
          <w:szCs w:val="32"/>
        </w:rPr>
      </w:pPr>
    </w:p>
    <w:p w14:paraId="78AEE024">
      <w:pPr>
        <w:widowControl/>
        <w:numPr>
          <w:ilvl w:val="0"/>
          <w:numId w:val="4"/>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政府性基金预算支出情况</w:t>
      </w:r>
    </w:p>
    <w:p w14:paraId="6047D36A">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637DBB3A">
      <w:pPr>
        <w:widowControl/>
        <w:numPr>
          <w:ilvl w:val="0"/>
          <w:numId w:val="4"/>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国有资本经营预算支出情况</w:t>
      </w:r>
    </w:p>
    <w:p w14:paraId="0828CB55">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782F1C7C">
      <w:pPr>
        <w:widowControl/>
        <w:numPr>
          <w:ilvl w:val="0"/>
          <w:numId w:val="4"/>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社会保险基金预算支出情况</w:t>
      </w:r>
    </w:p>
    <w:p w14:paraId="57A4B8E8">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6C045E33">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六、部门整体支出绩效情况</w:t>
      </w:r>
    </w:p>
    <w:p w14:paraId="67D41156">
      <w:r>
        <w:rPr>
          <w:rFonts w:hint="eastAsia" w:ascii="FangSong" w:hAnsi="FangSong" w:eastAsia="FangSong"/>
          <w:color w:val="000000"/>
          <w:sz w:val="32"/>
          <w:szCs w:val="32"/>
          <w:shd w:val="clear" w:color="auto" w:fill="FFFFFF"/>
        </w:rPr>
        <w:t>本部门在</w:t>
      </w:r>
      <w:r>
        <w:rPr>
          <w:rFonts w:ascii="FangSong" w:hAnsi="FangSong" w:eastAsia="FangSong"/>
          <w:color w:val="000000"/>
          <w:sz w:val="32"/>
          <w:szCs w:val="32"/>
          <w:shd w:val="clear" w:color="auto" w:fill="FFFFFF"/>
        </w:rPr>
        <w:t>2024</w:t>
      </w:r>
      <w:r>
        <w:rPr>
          <w:rFonts w:hint="eastAsia" w:ascii="FangSong" w:hAnsi="FangSong" w:eastAsia="FangSong"/>
          <w:color w:val="000000"/>
          <w:sz w:val="32"/>
          <w:szCs w:val="32"/>
          <w:shd w:val="clear" w:color="auto" w:fill="FFFFFF"/>
        </w:rPr>
        <w:t>年度部门决算中反映</w:t>
      </w:r>
      <w:r>
        <w:rPr>
          <w:rFonts w:ascii="FangSong" w:hAnsi="FangSong" w:eastAsia="FangSong"/>
          <w:color w:val="000000"/>
          <w:sz w:val="32"/>
          <w:szCs w:val="32"/>
          <w:shd w:val="clear" w:color="auto" w:fill="FFFFFF"/>
        </w:rPr>
        <w:t xml:space="preserve"> 1.</w:t>
      </w:r>
      <w:r>
        <w:rPr>
          <w:rFonts w:hint="eastAsia" w:ascii="FangSong" w:hAnsi="FangSong" w:eastAsia="FangSong"/>
          <w:color w:val="000000"/>
          <w:sz w:val="32"/>
          <w:szCs w:val="32"/>
          <w:shd w:val="clear" w:color="auto" w:fill="FFFFFF"/>
        </w:rPr>
        <w:t>上年转入本单位资金如宣传周活动的开展情况；</w:t>
      </w:r>
      <w:r>
        <w:rPr>
          <w:rFonts w:ascii="FangSong" w:hAnsi="FangSong" w:eastAsia="FangSong"/>
          <w:color w:val="000000"/>
          <w:sz w:val="32"/>
          <w:szCs w:val="32"/>
          <w:shd w:val="clear" w:color="auto" w:fill="FFFFFF"/>
        </w:rPr>
        <w:t>2.</w:t>
      </w:r>
      <w:r>
        <w:rPr>
          <w:rFonts w:hint="eastAsia" w:ascii="FangSong" w:hAnsi="FangSong" w:eastAsia="FangSong"/>
          <w:color w:val="000000"/>
          <w:sz w:val="32"/>
          <w:szCs w:val="32"/>
          <w:shd w:val="clear" w:color="auto" w:fill="FFFFFF"/>
        </w:rPr>
        <w:t>文化馆（站）免费开放专项资金；中央补助地方公共文化服务体系建设专项资金；</w:t>
      </w:r>
      <w:r>
        <w:rPr>
          <w:rFonts w:ascii="FangSong" w:hAnsi="FangSong" w:eastAsia="FangSong"/>
          <w:color w:val="000000"/>
          <w:sz w:val="32"/>
          <w:szCs w:val="32"/>
          <w:shd w:val="clear" w:color="auto" w:fill="FFFFFF"/>
        </w:rPr>
        <w:t>3.</w:t>
      </w:r>
      <w:r>
        <w:rPr>
          <w:rFonts w:hint="eastAsia" w:ascii="FangSong" w:hAnsi="FangSong" w:eastAsia="FangSong"/>
          <w:color w:val="000000"/>
          <w:sz w:val="32"/>
          <w:szCs w:val="32"/>
          <w:shd w:val="clear" w:color="auto" w:fill="FFFFFF"/>
        </w:rPr>
        <w:t>“中央支持地方公共文化服务体系建设补助资金；中央支持地方公共文化服务体系建设绩效奖励补助资金；</w:t>
      </w:r>
      <w:r>
        <w:rPr>
          <w:rFonts w:ascii="FangSong" w:hAnsi="FangSong" w:eastAsia="FangSong"/>
          <w:color w:val="000000"/>
          <w:sz w:val="32"/>
          <w:szCs w:val="32"/>
          <w:shd w:val="clear" w:color="auto" w:fill="FFFFFF"/>
        </w:rPr>
        <w:t>4.</w:t>
      </w:r>
      <w:r>
        <w:rPr>
          <w:rFonts w:hint="eastAsia" w:ascii="FangSong" w:hAnsi="FangSong" w:eastAsia="FangSong"/>
          <w:color w:val="000000"/>
          <w:sz w:val="32"/>
          <w:szCs w:val="32"/>
          <w:shd w:val="clear" w:color="auto" w:fill="FFFFFF"/>
        </w:rPr>
        <w:t>公共文化服务体系建设（农村文化建设）省级补助资金；中央支持地方公共文化体系建设（一般项目）补助资金”等几个大类项目绩效目标实际完成情况，均完成预算的</w:t>
      </w:r>
      <w:r>
        <w:rPr>
          <w:rFonts w:ascii="FangSong" w:hAnsi="FangSong" w:eastAsia="FangSong"/>
          <w:color w:val="000000"/>
          <w:sz w:val="32"/>
          <w:szCs w:val="32"/>
          <w:shd w:val="clear" w:color="auto" w:fill="FFFFFF"/>
        </w:rPr>
        <w:t>100%</w:t>
      </w:r>
      <w:r>
        <w:rPr>
          <w:rFonts w:hint="eastAsia" w:ascii="FangSong" w:hAnsi="FangSong" w:eastAsia="FangSong"/>
          <w:color w:val="000000"/>
          <w:sz w:val="32"/>
          <w:szCs w:val="32"/>
          <w:shd w:val="clear" w:color="auto" w:fill="FFFFFF"/>
        </w:rPr>
        <w:t>。通过项目实施，</w:t>
      </w:r>
      <w:r>
        <w:rPr>
          <w:rFonts w:hint="eastAsia" w:ascii="仿宋_GB2312" w:hAnsi="仿宋_GB2312" w:eastAsia="仿宋_GB2312" w:cs="仿宋_GB2312"/>
          <w:color w:val="000000"/>
          <w:kern w:val="0"/>
          <w:sz w:val="32"/>
          <w:szCs w:val="32"/>
        </w:rPr>
        <w:t>持续推进文化惠民，丰富了群众文化文艺生活，促进乡村文化文艺振兴，丰富了乡村精神文化生活，提高了人们对生活的满意度和幸福指数</w:t>
      </w:r>
    </w:p>
    <w:p w14:paraId="42711CEA">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七、存在的问题及原因分析</w:t>
      </w:r>
    </w:p>
    <w:p w14:paraId="4C075ABE">
      <w:pPr>
        <w:widowControl/>
        <w:spacing w:line="576" w:lineRule="exact"/>
        <w:ind w:firstLine="640" w:firstLineChars="200"/>
        <w:jc w:val="left"/>
        <w:rPr>
          <w:rFonts w:ascii="??_GB2312" w:hAnsi="??_GB2312" w:cs="??_GB2312"/>
          <w:color w:val="000000"/>
          <w:kern w:val="0"/>
          <w:sz w:val="32"/>
          <w:szCs w:val="32"/>
        </w:rPr>
      </w:pPr>
      <w:r>
        <w:rPr>
          <w:rFonts w:hint="eastAsia" w:ascii="FangSong" w:hAnsi="FangSong" w:eastAsia="FangSong"/>
          <w:color w:val="000000"/>
          <w:sz w:val="32"/>
          <w:szCs w:val="32"/>
          <w:shd w:val="clear" w:color="auto" w:fill="FFFFFF"/>
        </w:rPr>
        <w:t>绩效目标不够具体；预算管理有待提高；县梅城文化馆工作基础有待完善。原因为：绩效目标管理制度不够深入细致；预算管理执行不够彻底，预算控制水平不够；基层绩效管理工作基础薄弱。</w:t>
      </w:r>
    </w:p>
    <w:p w14:paraId="6D64C538">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八、下一步改进措施</w:t>
      </w:r>
    </w:p>
    <w:p w14:paraId="68BD812A">
      <w:pPr>
        <w:widowControl/>
        <w:spacing w:line="576" w:lineRule="exact"/>
        <w:ind w:firstLine="640" w:firstLineChars="200"/>
        <w:jc w:val="left"/>
        <w:rPr>
          <w:rFonts w:ascii="FangSong" w:hAnsi="FangSong" w:eastAsia="FangSong" w:cs="FangSong"/>
          <w:color w:val="000000"/>
          <w:kern w:val="0"/>
          <w:sz w:val="32"/>
          <w:szCs w:val="32"/>
        </w:rPr>
      </w:pPr>
      <w:r>
        <w:rPr>
          <w:rFonts w:hint="eastAsia" w:ascii="FangSong" w:hAnsi="FangSong" w:eastAsia="FangSong" w:cs="FangSong"/>
          <w:color w:val="000000"/>
          <w:kern w:val="0"/>
          <w:sz w:val="32"/>
          <w:szCs w:val="32"/>
        </w:rPr>
        <w:t>建立健全绩效目标管理制度；加强预算执行管理，降低预算控制率；加强绩效管理工作基础建设。进一步规范绩效目标编制。在编制项目资金绩效目标时要求指向明确、细化量化、合理可行、相应匹配。提高预算编制的科学化精细化水平。</w:t>
      </w:r>
    </w:p>
    <w:p w14:paraId="13D6EF43">
      <w:pPr>
        <w:widowControl/>
        <w:numPr>
          <w:ilvl w:val="0"/>
          <w:numId w:val="5"/>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绩效自评结果拟应用和公开情况</w:t>
      </w:r>
    </w:p>
    <w:p w14:paraId="118F57C8">
      <w:pPr>
        <w:widowControl/>
        <w:spacing w:line="576" w:lineRule="exact"/>
        <w:jc w:val="left"/>
        <w:rPr>
          <w:rFonts w:ascii="FangSong" w:hAnsi="FangSong" w:eastAsia="FangSong" w:cs="FangSong"/>
          <w:b/>
          <w:color w:val="000000"/>
          <w:kern w:val="0"/>
          <w:sz w:val="32"/>
          <w:szCs w:val="32"/>
        </w:rPr>
      </w:pPr>
      <w:r>
        <w:rPr>
          <w:rFonts w:hint="eastAsia" w:ascii="FangSong" w:hAnsi="FangSong" w:eastAsia="FangSong" w:cs="FangSong"/>
          <w:b/>
          <w:color w:val="000000"/>
          <w:kern w:val="0"/>
          <w:sz w:val="32"/>
          <w:szCs w:val="32"/>
        </w:rPr>
        <w:t>拟在我局公示栏公开</w:t>
      </w:r>
    </w:p>
    <w:p w14:paraId="57FCB54B">
      <w:pPr>
        <w:widowControl/>
        <w:spacing w:line="576" w:lineRule="exact"/>
        <w:ind w:firstLine="640" w:firstLineChars="200"/>
        <w:jc w:val="left"/>
        <w:rPr>
          <w:rFonts w:eastAsia="SimHei"/>
          <w:kern w:val="0"/>
          <w:sz w:val="22"/>
        </w:rPr>
      </w:pPr>
      <w:r>
        <w:rPr>
          <w:rFonts w:hint="eastAsia" w:ascii="SimHei" w:hAnsi="SimHei" w:eastAsia="SimHei" w:cs="SimSun"/>
          <w:color w:val="000000"/>
          <w:kern w:val="0"/>
          <w:sz w:val="32"/>
          <w:szCs w:val="32"/>
        </w:rPr>
        <w:t>十、其他需要说明的情况。</w:t>
      </w:r>
    </w:p>
    <w:p w14:paraId="484C677A">
      <w:pPr>
        <w:widowControl/>
        <w:spacing w:line="576" w:lineRule="exact"/>
        <w:ind w:firstLine="420" w:firstLineChars="200"/>
        <w:jc w:val="left"/>
        <w:rPr>
          <w:kern w:val="0"/>
          <w:sz w:val="24"/>
        </w:rPr>
      </w:pPr>
      <w:r>
        <w:rPr>
          <w:rFonts w:hint="eastAsia"/>
          <w:kern w:val="0"/>
        </w:rPr>
        <w:t>无</w:t>
      </w:r>
    </w:p>
    <w:sectPr>
      <w:headerReference r:id="rId5" w:type="first"/>
      <w:footerReference r:id="rId8" w:type="first"/>
      <w:headerReference r:id="rId3" w:type="default"/>
      <w:footerReference r:id="rId6" w:type="default"/>
      <w:headerReference r:id="rId4" w:type="even"/>
      <w:footerReference r:id="rId7" w:type="even"/>
      <w:pgSz w:w="11905" w:h="16837"/>
      <w:pgMar w:top="2098" w:right="1474" w:bottom="1984" w:left="1474" w:header="850" w:footer="1417" w:gutter="0"/>
      <w:pgNumType w:fmt="numberInDash" w:start="1"/>
      <w:cols w:space="0" w:num="1"/>
      <w:docGrid w:type="lines"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FangSong">
    <w:panose1 w:val="02010609060101010101"/>
    <w:charset w:val="86"/>
    <w:family w:val="modern"/>
    <w:pitch w:val="default"/>
    <w:sig w:usb0="800002BF" w:usb1="38CF7CFA" w:usb2="00000016" w:usb3="00000000" w:csb0="00040001" w:csb1="00000000"/>
  </w:font>
  <w:font w:name="Microsoft YaHei">
    <w:panose1 w:val="020B0503020204020204"/>
    <w:charset w:val="86"/>
    <w:family w:val="swiss"/>
    <w:pitch w:val="default"/>
    <w:sig w:usb0="80000287" w:usb1="280F3C52" w:usb2="00000016" w:usb3="00000000" w:csb0="0004001F" w:csb1="00000000"/>
  </w:font>
  <w:font w:name="楷体_GB2312">
    <w:altName w:val="KaiTi"/>
    <w:panose1 w:val="00000000000000000000"/>
    <w:charset w:val="86"/>
    <w:family w:val="modern"/>
    <w:pitch w:val="default"/>
    <w:sig w:usb0="00000000" w:usb1="00000000" w:usb2="00000010" w:usb3="00000000" w:csb0="00040000" w:csb1="00000000"/>
  </w:font>
  <w:font w:name="KaiTi">
    <w:panose1 w:val="02010609060101010101"/>
    <w:charset w:val="86"/>
    <w:family w:val="modern"/>
    <w:pitch w:val="default"/>
    <w:sig w:usb0="800002BF" w:usb1="38CF7CFA" w:usb2="00000016" w:usb3="00000000" w:csb0="00040001" w:csb1="00000000"/>
  </w:font>
  <w:font w:name="仿宋_GB2312">
    <w:altName w:val="FangSong"/>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BE473">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9639C1F">
                          <w:pPr>
                            <w:pStyle w:val="5"/>
                            <w:rPr>
                              <w:rFonts w:ascii="??_GB2312" w:hAnsi="??_GB2312" w:cs="??_GB2312"/>
                              <w:sz w:val="28"/>
                              <w:szCs w:val="28"/>
                            </w:rPr>
                          </w:pPr>
                          <w:r>
                            <w:rPr>
                              <w:rFonts w:ascii="??_GB2312" w:hAnsi="??_GB2312" w:cs="??_GB2312"/>
                              <w:sz w:val="28"/>
                              <w:szCs w:val="28"/>
                            </w:rPr>
                            <w:fldChar w:fldCharType="begin"/>
                          </w:r>
                          <w:r>
                            <w:rPr>
                              <w:rFonts w:ascii="??_GB2312" w:hAnsi="??_GB2312" w:cs="??_GB2312"/>
                              <w:sz w:val="28"/>
                              <w:szCs w:val="28"/>
                            </w:rPr>
                            <w:instrText xml:space="preserve"> PAGE  \* MERGEFORMAT </w:instrText>
                          </w:r>
                          <w:r>
                            <w:rPr>
                              <w:rFonts w:ascii="??_GB2312" w:hAnsi="??_GB2312" w:cs="??_GB2312"/>
                              <w:sz w:val="28"/>
                              <w:szCs w:val="28"/>
                            </w:rPr>
                            <w:fldChar w:fldCharType="separate"/>
                          </w:r>
                          <w:r>
                            <w:rPr>
                              <w:rFonts w:ascii="??_GB2312" w:hAnsi="??_GB2312" w:cs="??_GB2312"/>
                              <w:sz w:val="28"/>
                              <w:szCs w:val="28"/>
                            </w:rPr>
                            <w:t>- 6 -</w:t>
                          </w:r>
                          <w:r>
                            <w:rPr>
                              <w:rFonts w:ascii="??_GB2312" w:hAnsi="??_GB2312" w:cs="??_GB2312"/>
                              <w:sz w:val="28"/>
                              <w:szCs w:val="28"/>
                            </w:rPr>
                            <w:fldChar w:fldCharType="end"/>
                          </w:r>
                        </w:p>
                      </w:txbxContent>
                    </wps:txbx>
                    <wps:bodyPr vert="horz" wrap="none" lIns="0" tIns="0" rIns="0" bIns="0" anchor="t" anchorCtr="0" upright="1">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hp&#10;gkvTAAAABQEAAA8AAAAAAAAAAQAgAAAAIgAAAGRycy9kb3ducmV2LnhtbFBLAQIUABQAAAAIAIdO&#10;4kAzymiB7wEAANkDAAAOAAAAAAAAAAEAIAAAACIBAABkcnMvZTJvRG9jLnhtbFBLBQYAAAAABgAG&#10;AFkBAACDBQAAAAA=&#10;">
              <v:fill on="f" focussize="0,0"/>
              <v:stroke on="f" weight="1.25pt"/>
              <v:imagedata o:title=""/>
              <o:lock v:ext="edit" aspectratio="f"/>
              <v:textbox inset="0mm,0mm,0mm,0mm" style="mso-fit-shape-to-text:t;">
                <w:txbxContent>
                  <w:p w14:paraId="19639C1F">
                    <w:pPr>
                      <w:pStyle w:val="5"/>
                      <w:rPr>
                        <w:rFonts w:ascii="??_GB2312" w:hAnsi="??_GB2312" w:cs="??_GB2312"/>
                        <w:sz w:val="28"/>
                        <w:szCs w:val="28"/>
                      </w:rPr>
                    </w:pPr>
                    <w:r>
                      <w:rPr>
                        <w:rFonts w:ascii="??_GB2312" w:hAnsi="??_GB2312" w:cs="??_GB2312"/>
                        <w:sz w:val="28"/>
                        <w:szCs w:val="28"/>
                      </w:rPr>
                      <w:fldChar w:fldCharType="begin"/>
                    </w:r>
                    <w:r>
                      <w:rPr>
                        <w:rFonts w:ascii="??_GB2312" w:hAnsi="??_GB2312" w:cs="??_GB2312"/>
                        <w:sz w:val="28"/>
                        <w:szCs w:val="28"/>
                      </w:rPr>
                      <w:instrText xml:space="preserve"> PAGE  \* MERGEFORMAT </w:instrText>
                    </w:r>
                    <w:r>
                      <w:rPr>
                        <w:rFonts w:ascii="??_GB2312" w:hAnsi="??_GB2312" w:cs="??_GB2312"/>
                        <w:sz w:val="28"/>
                        <w:szCs w:val="28"/>
                      </w:rPr>
                      <w:fldChar w:fldCharType="separate"/>
                    </w:r>
                    <w:r>
                      <w:rPr>
                        <w:rFonts w:ascii="??_GB2312" w:hAnsi="??_GB2312" w:cs="??_GB2312"/>
                        <w:sz w:val="28"/>
                        <w:szCs w:val="28"/>
                      </w:rPr>
                      <w:t>- 6 -</w:t>
                    </w:r>
                    <w:r>
                      <w:rPr>
                        <w:rFonts w:ascii="??_GB2312" w:hAnsi="??_GB2312" w:cs="??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BE44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F50A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D980C">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565E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76A8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C9630"/>
    <w:multiLevelType w:val="singleLevel"/>
    <w:tmpl w:val="83BC9630"/>
    <w:lvl w:ilvl="0" w:tentative="0">
      <w:start w:val="1"/>
      <w:numFmt w:val="decimal"/>
      <w:lvlText w:val="%1."/>
      <w:lvlJc w:val="left"/>
      <w:pPr>
        <w:tabs>
          <w:tab w:val="left" w:pos="312"/>
        </w:tabs>
      </w:pPr>
      <w:rPr>
        <w:rFonts w:cs="Times New Roman"/>
      </w:rPr>
    </w:lvl>
  </w:abstractNum>
  <w:abstractNum w:abstractNumId="1">
    <w:nsid w:val="D957FDEC"/>
    <w:multiLevelType w:val="singleLevel"/>
    <w:tmpl w:val="D957FDEC"/>
    <w:lvl w:ilvl="0" w:tentative="0">
      <w:start w:val="9"/>
      <w:numFmt w:val="chineseCounting"/>
      <w:suff w:val="nothing"/>
      <w:lvlText w:val="%1、"/>
      <w:lvlJc w:val="left"/>
      <w:rPr>
        <w:rFonts w:hint="eastAsia" w:cs="Times New Roman"/>
      </w:rPr>
    </w:lvl>
  </w:abstractNum>
  <w:abstractNum w:abstractNumId="2">
    <w:nsid w:val="F82AC1E4"/>
    <w:multiLevelType w:val="singleLevel"/>
    <w:tmpl w:val="F82AC1E4"/>
    <w:lvl w:ilvl="0" w:tentative="0">
      <w:start w:val="2"/>
      <w:numFmt w:val="chineseCounting"/>
      <w:lvlText w:val="(%1)"/>
      <w:lvlJc w:val="left"/>
      <w:pPr>
        <w:tabs>
          <w:tab w:val="left" w:pos="312"/>
        </w:tabs>
      </w:pPr>
      <w:rPr>
        <w:rFonts w:hint="eastAsia" w:cs="Times New Roman"/>
      </w:rPr>
    </w:lvl>
  </w:abstractNum>
  <w:abstractNum w:abstractNumId="3">
    <w:nsid w:val="5D61867D"/>
    <w:multiLevelType w:val="singleLevel"/>
    <w:tmpl w:val="5D61867D"/>
    <w:lvl w:ilvl="0" w:tentative="0">
      <w:start w:val="3"/>
      <w:numFmt w:val="chineseCounting"/>
      <w:suff w:val="nothing"/>
      <w:lvlText w:val="%1、"/>
      <w:lvlJc w:val="left"/>
      <w:rPr>
        <w:rFonts w:hint="eastAsia" w:cs="Times New Roman"/>
      </w:rPr>
    </w:lvl>
  </w:abstractNum>
  <w:abstractNum w:abstractNumId="4">
    <w:nsid w:val="77CDA3E5"/>
    <w:multiLevelType w:val="singleLevel"/>
    <w:tmpl w:val="77CDA3E5"/>
    <w:lvl w:ilvl="0" w:tentative="0">
      <w:start w:val="2"/>
      <w:numFmt w:val="chineseCounting"/>
      <w:suff w:val="nothing"/>
      <w:lvlText w:val="（%1）"/>
      <w:lvlJc w:val="left"/>
      <w:rPr>
        <w:rFonts w:hint="eastAsia" w:cs="Times New Roman"/>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MDFlYTMwZTJkYjA4Yjc1ZDRhZjI0MmZmNGZiN2EifQ=="/>
    <w:docVar w:name="KSO_WPS_MARK_KEY" w:val="efdb9831-49e2-41f3-897e-affe4bfc1ef8"/>
  </w:docVars>
  <w:rsids>
    <w:rsidRoot w:val="5EF91413"/>
    <w:rsid w:val="000306F1"/>
    <w:rsid w:val="000D7D46"/>
    <w:rsid w:val="00145943"/>
    <w:rsid w:val="001D0828"/>
    <w:rsid w:val="001F27BC"/>
    <w:rsid w:val="00222C3E"/>
    <w:rsid w:val="00262520"/>
    <w:rsid w:val="002D4B0D"/>
    <w:rsid w:val="003062EE"/>
    <w:rsid w:val="003111BE"/>
    <w:rsid w:val="00355E6F"/>
    <w:rsid w:val="003E2793"/>
    <w:rsid w:val="003F11DD"/>
    <w:rsid w:val="003F798E"/>
    <w:rsid w:val="004C5468"/>
    <w:rsid w:val="004D43E2"/>
    <w:rsid w:val="004E640B"/>
    <w:rsid w:val="00512111"/>
    <w:rsid w:val="00592274"/>
    <w:rsid w:val="005B19E8"/>
    <w:rsid w:val="005E0724"/>
    <w:rsid w:val="0060691C"/>
    <w:rsid w:val="00624A5B"/>
    <w:rsid w:val="00630B10"/>
    <w:rsid w:val="00651AD0"/>
    <w:rsid w:val="00697620"/>
    <w:rsid w:val="006D3719"/>
    <w:rsid w:val="00712ECA"/>
    <w:rsid w:val="007C7F1B"/>
    <w:rsid w:val="007D62DC"/>
    <w:rsid w:val="007F2C1A"/>
    <w:rsid w:val="00817166"/>
    <w:rsid w:val="00826A68"/>
    <w:rsid w:val="008C42C1"/>
    <w:rsid w:val="00970A76"/>
    <w:rsid w:val="009872D6"/>
    <w:rsid w:val="009A0145"/>
    <w:rsid w:val="00A3179B"/>
    <w:rsid w:val="00A40CEF"/>
    <w:rsid w:val="00A84895"/>
    <w:rsid w:val="00AD1332"/>
    <w:rsid w:val="00AD157A"/>
    <w:rsid w:val="00AE5FCA"/>
    <w:rsid w:val="00B83482"/>
    <w:rsid w:val="00BA7B30"/>
    <w:rsid w:val="00BB6A22"/>
    <w:rsid w:val="00CF00E5"/>
    <w:rsid w:val="00D30D45"/>
    <w:rsid w:val="00DF2F64"/>
    <w:rsid w:val="00E47EB9"/>
    <w:rsid w:val="00E87A79"/>
    <w:rsid w:val="00E96BAD"/>
    <w:rsid w:val="00EA39E5"/>
    <w:rsid w:val="00EF1239"/>
    <w:rsid w:val="00EF286B"/>
    <w:rsid w:val="00EF7465"/>
    <w:rsid w:val="00F054C3"/>
    <w:rsid w:val="00F16539"/>
    <w:rsid w:val="00F3442A"/>
    <w:rsid w:val="00F5064A"/>
    <w:rsid w:val="00FB0C45"/>
    <w:rsid w:val="00FB5247"/>
    <w:rsid w:val="01881C21"/>
    <w:rsid w:val="02E230B9"/>
    <w:rsid w:val="095202B3"/>
    <w:rsid w:val="0A371C48"/>
    <w:rsid w:val="0A461E15"/>
    <w:rsid w:val="0ABB1601"/>
    <w:rsid w:val="0C485C65"/>
    <w:rsid w:val="0D1F294F"/>
    <w:rsid w:val="11AF4802"/>
    <w:rsid w:val="11B52A65"/>
    <w:rsid w:val="127960C2"/>
    <w:rsid w:val="128706BB"/>
    <w:rsid w:val="128C289E"/>
    <w:rsid w:val="132E2706"/>
    <w:rsid w:val="13F1430E"/>
    <w:rsid w:val="14461BE1"/>
    <w:rsid w:val="15E118C5"/>
    <w:rsid w:val="182445B5"/>
    <w:rsid w:val="18C44B05"/>
    <w:rsid w:val="1921258C"/>
    <w:rsid w:val="1A86539E"/>
    <w:rsid w:val="1D514A07"/>
    <w:rsid w:val="1D736768"/>
    <w:rsid w:val="1D7764E0"/>
    <w:rsid w:val="1E02384E"/>
    <w:rsid w:val="1E2D7B42"/>
    <w:rsid w:val="202355A8"/>
    <w:rsid w:val="216A31A0"/>
    <w:rsid w:val="21887F99"/>
    <w:rsid w:val="21F32188"/>
    <w:rsid w:val="229365CD"/>
    <w:rsid w:val="22E7596F"/>
    <w:rsid w:val="2605582B"/>
    <w:rsid w:val="27666297"/>
    <w:rsid w:val="28264A04"/>
    <w:rsid w:val="29D84B76"/>
    <w:rsid w:val="2B006436"/>
    <w:rsid w:val="2B8F395A"/>
    <w:rsid w:val="2CD96D87"/>
    <w:rsid w:val="2DF15952"/>
    <w:rsid w:val="2E6C7FCB"/>
    <w:rsid w:val="2E88044F"/>
    <w:rsid w:val="3284589B"/>
    <w:rsid w:val="33100617"/>
    <w:rsid w:val="33CF2B0E"/>
    <w:rsid w:val="364A0050"/>
    <w:rsid w:val="36F9338A"/>
    <w:rsid w:val="37779E60"/>
    <w:rsid w:val="39684BBF"/>
    <w:rsid w:val="39E9356E"/>
    <w:rsid w:val="39F525A2"/>
    <w:rsid w:val="3A0D5147"/>
    <w:rsid w:val="3BCE22FA"/>
    <w:rsid w:val="3C7B06AE"/>
    <w:rsid w:val="3D6A1B31"/>
    <w:rsid w:val="3F13799B"/>
    <w:rsid w:val="4015034D"/>
    <w:rsid w:val="406010BA"/>
    <w:rsid w:val="43596284"/>
    <w:rsid w:val="43EB701F"/>
    <w:rsid w:val="44BA060E"/>
    <w:rsid w:val="450C2576"/>
    <w:rsid w:val="454063A9"/>
    <w:rsid w:val="47A66F47"/>
    <w:rsid w:val="48190D72"/>
    <w:rsid w:val="48D943A7"/>
    <w:rsid w:val="491B16E9"/>
    <w:rsid w:val="49B50C04"/>
    <w:rsid w:val="49F422BC"/>
    <w:rsid w:val="49F8427E"/>
    <w:rsid w:val="4A4C5543"/>
    <w:rsid w:val="4A856EB6"/>
    <w:rsid w:val="4BB72B70"/>
    <w:rsid w:val="4D765FE4"/>
    <w:rsid w:val="4D7F362E"/>
    <w:rsid w:val="4E1B3885"/>
    <w:rsid w:val="4E465C3F"/>
    <w:rsid w:val="4F670C47"/>
    <w:rsid w:val="553254BE"/>
    <w:rsid w:val="553B4087"/>
    <w:rsid w:val="583020DD"/>
    <w:rsid w:val="592547BC"/>
    <w:rsid w:val="59544026"/>
    <w:rsid w:val="59930F48"/>
    <w:rsid w:val="5AB9755B"/>
    <w:rsid w:val="5AF474F0"/>
    <w:rsid w:val="5B742D21"/>
    <w:rsid w:val="5C0351D3"/>
    <w:rsid w:val="5D973665"/>
    <w:rsid w:val="5EF23C04"/>
    <w:rsid w:val="5EF91413"/>
    <w:rsid w:val="5F567206"/>
    <w:rsid w:val="5F875025"/>
    <w:rsid w:val="60D6222F"/>
    <w:rsid w:val="6217071C"/>
    <w:rsid w:val="62CE02E9"/>
    <w:rsid w:val="632C6B3E"/>
    <w:rsid w:val="633F0072"/>
    <w:rsid w:val="64E07CE5"/>
    <w:rsid w:val="666920D7"/>
    <w:rsid w:val="66A00ADF"/>
    <w:rsid w:val="66F756A1"/>
    <w:rsid w:val="67D94CCC"/>
    <w:rsid w:val="69380B1B"/>
    <w:rsid w:val="697F7DBF"/>
    <w:rsid w:val="6AF15449"/>
    <w:rsid w:val="6C1733E6"/>
    <w:rsid w:val="6CF536F6"/>
    <w:rsid w:val="6F8673D6"/>
    <w:rsid w:val="6FCF75EC"/>
    <w:rsid w:val="70446EA1"/>
    <w:rsid w:val="707537A6"/>
    <w:rsid w:val="71591FCE"/>
    <w:rsid w:val="71F256AB"/>
    <w:rsid w:val="73133AF6"/>
    <w:rsid w:val="736D4488"/>
    <w:rsid w:val="753A5550"/>
    <w:rsid w:val="75B4584A"/>
    <w:rsid w:val="78FDF452"/>
    <w:rsid w:val="79B733A1"/>
    <w:rsid w:val="7B1A1590"/>
    <w:rsid w:val="7BBF2D2E"/>
    <w:rsid w:val="7CEF2B13"/>
    <w:rsid w:val="7D2C3E42"/>
    <w:rsid w:val="7D2F76D5"/>
    <w:rsid w:val="7DAF813A"/>
    <w:rsid w:val="BEF50DB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SimSun" w:cs="Times New Roman"/>
      <w:kern w:val="2"/>
      <w:sz w:val="21"/>
      <w:szCs w:val="24"/>
      <w:lang w:val="en-US" w:eastAsia="zh-CN" w:bidi="ar-SA"/>
    </w:rPr>
  </w:style>
  <w:style w:type="paragraph" w:styleId="2">
    <w:name w:val="heading 1"/>
    <w:basedOn w:val="1"/>
    <w:next w:val="1"/>
    <w:link w:val="14"/>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5"/>
    <w:autoRedefine/>
    <w:qFormat/>
    <w:uiPriority w:val="99"/>
    <w:pPr>
      <w:keepNext/>
      <w:keepLines/>
      <w:spacing w:line="312" w:lineRule="auto"/>
      <w:jc w:val="center"/>
      <w:outlineLvl w:val="1"/>
    </w:pPr>
    <w:rPr>
      <w:rFonts w:ascii="Cambria" w:hAnsi="Cambria" w:cs="SimSun"/>
      <w:b/>
      <w:bCs/>
      <w:sz w:val="36"/>
      <w:szCs w:val="32"/>
    </w:rPr>
  </w:style>
  <w:style w:type="character" w:default="1" w:styleId="12">
    <w:name w:val="Default Paragraph Font"/>
    <w:semiHidden/>
    <w:qFormat/>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uiPriority w:val="99"/>
    <w:pPr>
      <w:spacing w:after="120"/>
    </w:pPr>
  </w:style>
  <w:style w:type="paragraph" w:styleId="5">
    <w:name w:val="footer"/>
    <w:basedOn w:val="1"/>
    <w:link w:val="17"/>
    <w:uiPriority w:val="99"/>
    <w:pPr>
      <w:tabs>
        <w:tab w:val="center" w:pos="4153"/>
        <w:tab w:val="right" w:pos="8306"/>
      </w:tabs>
      <w:snapToGrid w:val="0"/>
      <w:jc w:val="left"/>
    </w:pPr>
    <w:rPr>
      <w:sz w:val="18"/>
      <w:szCs w:val="18"/>
    </w:rPr>
  </w:style>
  <w:style w:type="paragraph" w:styleId="6">
    <w:name w:val="header"/>
    <w:basedOn w:val="1"/>
    <w:link w:val="18"/>
    <w:autoRedefine/>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iPriority w:val="99"/>
    <w:rPr>
      <w:rFonts w:ascii="SimHei" w:hAnsi="SimHei" w:eastAsia="SimHei" w:cs="SimHei"/>
    </w:rPr>
  </w:style>
  <w:style w:type="paragraph" w:styleId="8">
    <w:name w:val="Subtitle"/>
    <w:basedOn w:val="1"/>
    <w:next w:val="1"/>
    <w:link w:val="19"/>
    <w:qFormat/>
    <w:uiPriority w:val="99"/>
    <w:pPr>
      <w:ind w:firstLine="200" w:firstLineChars="200"/>
      <w:jc w:val="left"/>
      <w:outlineLvl w:val="2"/>
    </w:pPr>
    <w:rPr>
      <w:rFonts w:ascii="Cambria" w:hAnsi="Cambria" w:eastAsia="SimHei"/>
      <w:bCs/>
      <w:kern w:val="28"/>
      <w:sz w:val="28"/>
      <w:szCs w:val="32"/>
    </w:rPr>
  </w:style>
  <w:style w:type="paragraph" w:styleId="9">
    <w:name w:val="Normal (Web)"/>
    <w:basedOn w:val="1"/>
    <w:autoRedefine/>
    <w:qFormat/>
    <w:uiPriority w:val="99"/>
    <w:pPr>
      <w:spacing w:before="100" w:beforeAutospacing="1" w:after="100" w:afterAutospacing="1"/>
      <w:jc w:val="left"/>
    </w:pPr>
    <w:rPr>
      <w:kern w:val="0"/>
      <w:sz w:val="24"/>
      <w:szCs w:val="20"/>
    </w:rPr>
  </w:style>
  <w:style w:type="paragraph" w:styleId="10">
    <w:name w:val="Body Text First Indent"/>
    <w:basedOn w:val="4"/>
    <w:link w:val="20"/>
    <w:qFormat/>
    <w:uiPriority w:val="99"/>
    <w:pPr>
      <w:ind w:firstLine="664"/>
    </w:pPr>
  </w:style>
  <w:style w:type="character" w:styleId="13">
    <w:name w:val="page number"/>
    <w:basedOn w:val="12"/>
    <w:qFormat/>
    <w:uiPriority w:val="99"/>
    <w:rPr>
      <w:rFonts w:cs="Times New Roman"/>
    </w:rPr>
  </w:style>
  <w:style w:type="character" w:customStyle="1" w:styleId="14">
    <w:name w:val="Heading 1 Char"/>
    <w:basedOn w:val="12"/>
    <w:link w:val="2"/>
    <w:qFormat/>
    <w:locked/>
    <w:uiPriority w:val="99"/>
    <w:rPr>
      <w:rFonts w:cs="Times New Roman"/>
      <w:b/>
      <w:bCs/>
      <w:kern w:val="44"/>
      <w:sz w:val="44"/>
      <w:szCs w:val="44"/>
    </w:rPr>
  </w:style>
  <w:style w:type="character" w:customStyle="1" w:styleId="15">
    <w:name w:val="Heading 2 Char"/>
    <w:basedOn w:val="12"/>
    <w:link w:val="3"/>
    <w:semiHidden/>
    <w:locked/>
    <w:uiPriority w:val="99"/>
    <w:rPr>
      <w:rFonts w:ascii="Cambria" w:hAnsi="Cambria" w:eastAsia="SimSun" w:cs="Times New Roman"/>
      <w:b/>
      <w:bCs/>
      <w:sz w:val="32"/>
      <w:szCs w:val="32"/>
    </w:rPr>
  </w:style>
  <w:style w:type="character" w:customStyle="1" w:styleId="16">
    <w:name w:val="Body Text Char"/>
    <w:basedOn w:val="12"/>
    <w:link w:val="4"/>
    <w:semiHidden/>
    <w:locked/>
    <w:uiPriority w:val="99"/>
    <w:rPr>
      <w:rFonts w:cs="Times New Roman"/>
      <w:sz w:val="24"/>
      <w:szCs w:val="24"/>
    </w:rPr>
  </w:style>
  <w:style w:type="character" w:customStyle="1" w:styleId="17">
    <w:name w:val="Footer Char"/>
    <w:basedOn w:val="12"/>
    <w:link w:val="5"/>
    <w:semiHidden/>
    <w:locked/>
    <w:uiPriority w:val="99"/>
    <w:rPr>
      <w:rFonts w:cs="Times New Roman"/>
      <w:sz w:val="18"/>
      <w:szCs w:val="18"/>
    </w:rPr>
  </w:style>
  <w:style w:type="character" w:customStyle="1" w:styleId="18">
    <w:name w:val="Header Char"/>
    <w:basedOn w:val="12"/>
    <w:link w:val="6"/>
    <w:semiHidden/>
    <w:locked/>
    <w:uiPriority w:val="99"/>
    <w:rPr>
      <w:rFonts w:cs="Times New Roman"/>
      <w:sz w:val="18"/>
      <w:szCs w:val="18"/>
    </w:rPr>
  </w:style>
  <w:style w:type="character" w:customStyle="1" w:styleId="19">
    <w:name w:val="Subtitle Char"/>
    <w:basedOn w:val="12"/>
    <w:link w:val="8"/>
    <w:locked/>
    <w:uiPriority w:val="99"/>
    <w:rPr>
      <w:rFonts w:ascii="Cambria" w:hAnsi="Cambria" w:cs="Times New Roman"/>
      <w:b/>
      <w:bCs/>
      <w:kern w:val="28"/>
      <w:sz w:val="32"/>
      <w:szCs w:val="32"/>
    </w:rPr>
  </w:style>
  <w:style w:type="character" w:customStyle="1" w:styleId="20">
    <w:name w:val="Body Text First Indent Char"/>
    <w:basedOn w:val="16"/>
    <w:link w:val="10"/>
    <w:semiHidden/>
    <w:qFormat/>
    <w:locked/>
    <w:uiPriority w:val="99"/>
  </w:style>
  <w:style w:type="paragraph" w:customStyle="1" w:styleId="21">
    <w:name w:val="引文目录1"/>
    <w:basedOn w:val="1"/>
    <w:next w:val="1"/>
    <w:qFormat/>
    <w:uiPriority w:val="99"/>
    <w:pPr>
      <w:ind w:left="420" w:leftChars="200"/>
    </w:pPr>
    <w:rPr>
      <w:sz w:val="32"/>
      <w:szCs w:val="32"/>
    </w:rPr>
  </w:style>
  <w:style w:type="paragraph" w:customStyle="1" w:styleId="22">
    <w:name w:val="BodyText1I2"/>
    <w:basedOn w:val="23"/>
    <w:autoRedefine/>
    <w:uiPriority w:val="99"/>
    <w:pPr>
      <w:ind w:firstLine="420"/>
    </w:pPr>
  </w:style>
  <w:style w:type="paragraph" w:customStyle="1" w:styleId="23">
    <w:name w:val="BodyTextIndent"/>
    <w:basedOn w:val="1"/>
    <w:uiPriority w:val="99"/>
    <w:pPr>
      <w:spacing w:after="120"/>
      <w:ind w:left="420" w:leftChars="200" w:firstLine="200" w:firstLineChars="200"/>
      <w:textAlignment w:val="baseline"/>
    </w:pPr>
  </w:style>
  <w:style w:type="paragraph" w:customStyle="1" w:styleId="24">
    <w:name w:val="Default"/>
    <w:autoRedefine/>
    <w:uiPriority w:val="99"/>
    <w:pPr>
      <w:widowControl w:val="0"/>
      <w:autoSpaceDE w:val="0"/>
      <w:autoSpaceDN w:val="0"/>
      <w:adjustRightInd w:val="0"/>
    </w:pPr>
    <w:rPr>
      <w:rFonts w:ascii="??_GB2312" w:hAnsi="Times New Roman" w:eastAsia="Times New Roman" w:cs="??_GB2312"/>
      <w:color w:val="000000"/>
      <w:kern w:val="0"/>
      <w:sz w:val="24"/>
      <w:szCs w:val="24"/>
      <w:lang w:val="en-US" w:eastAsia="zh-CN" w:bidi="ar-SA"/>
    </w:rPr>
  </w:style>
  <w:style w:type="paragraph" w:customStyle="1" w:styleId="25">
    <w:name w:val="无间隔1"/>
    <w:uiPriority w:val="99"/>
    <w:pPr>
      <w:widowControl w:val="0"/>
      <w:spacing w:beforeLines="50"/>
      <w:jc w:val="center"/>
    </w:pPr>
    <w:rPr>
      <w:rFonts w:ascii="Times New Roman" w:hAnsi="Times New Roman" w:eastAsia="SimSun" w:cs="Times New Roman"/>
      <w:kern w:val="2"/>
      <w:sz w:val="24"/>
      <w:szCs w:val="22"/>
      <w:lang w:val="en-US" w:eastAsia="zh-CN" w:bidi="ar-SA"/>
    </w:rPr>
  </w:style>
  <w:style w:type="paragraph" w:customStyle="1" w:styleId="26">
    <w:name w:val="无缩进"/>
    <w:basedOn w:val="1"/>
    <w:autoRedefine/>
    <w:qFormat/>
    <w:uiPriority w:val="99"/>
    <w:pPr>
      <w:spacing w:line="312" w:lineRule="auto"/>
    </w:pPr>
    <w:rPr>
      <w:sz w:val="24"/>
      <w:szCs w:val="22"/>
    </w:rPr>
  </w:style>
  <w:style w:type="paragraph" w:customStyle="1" w:styleId="27">
    <w:name w:val="列出段落1"/>
    <w:basedOn w:val="1"/>
    <w:qFormat/>
    <w:uiPriority w:val="99"/>
    <w:pPr>
      <w:ind w:firstLine="420" w:firstLineChars="200"/>
    </w:pPr>
  </w:style>
  <w:style w:type="paragraph" w:customStyle="1" w:styleId="28">
    <w:name w:val="列出段落2"/>
    <w:basedOn w:val="1"/>
    <w:qFormat/>
    <w:uiPriority w:val="99"/>
    <w:pPr>
      <w:ind w:firstLine="420" w:firstLineChars="200"/>
    </w:pPr>
    <w:rPr>
      <w:rFonts w:ascii="Calibri" w:hAnsi="Calibri"/>
      <w:szCs w:val="22"/>
    </w:rPr>
  </w:style>
  <w:style w:type="character" w:customStyle="1" w:styleId="29">
    <w:name w:val="font61"/>
    <w:basedOn w:val="12"/>
    <w:qFormat/>
    <w:uiPriority w:val="99"/>
    <w:rPr>
      <w:rFonts w:ascii="Times New Roman" w:hAnsi="Times New Roman" w:cs="Times New Roman"/>
      <w:b/>
      <w:color w:val="000000"/>
      <w:sz w:val="28"/>
      <w:szCs w:val="28"/>
      <w:u w:val="none"/>
    </w:rPr>
  </w:style>
  <w:style w:type="character" w:customStyle="1" w:styleId="30">
    <w:name w:val="font121"/>
    <w:basedOn w:val="12"/>
    <w:qFormat/>
    <w:uiPriority w:val="99"/>
    <w:rPr>
      <w:rFonts w:ascii="Times New Roman" w:hAnsi="Times New Roman" w:cs="Times New Roman"/>
      <w:color w:val="000000"/>
      <w:sz w:val="20"/>
      <w:szCs w:val="20"/>
      <w:u w:val="none"/>
    </w:rPr>
  </w:style>
  <w:style w:type="character" w:customStyle="1" w:styleId="31">
    <w:name w:val="font11"/>
    <w:basedOn w:val="12"/>
    <w:qFormat/>
    <w:uiPriority w:val="99"/>
    <w:rPr>
      <w:rFonts w:ascii="SimSun" w:hAnsi="SimSun" w:eastAsia="SimSun" w:cs="SimSun"/>
      <w:color w:val="000000"/>
      <w:sz w:val="20"/>
      <w:szCs w:val="20"/>
      <w:u w:val="none"/>
    </w:rPr>
  </w:style>
  <w:style w:type="character" w:customStyle="1" w:styleId="32">
    <w:name w:val="font131"/>
    <w:basedOn w:val="12"/>
    <w:qFormat/>
    <w:uiPriority w:val="99"/>
    <w:rPr>
      <w:rFonts w:ascii="SimSun" w:hAnsi="SimSun" w:eastAsia="SimSun" w:cs="SimSun"/>
      <w:color w:val="000000"/>
      <w:sz w:val="18"/>
      <w:szCs w:val="18"/>
      <w:u w:val="none"/>
    </w:rPr>
  </w:style>
  <w:style w:type="character" w:customStyle="1" w:styleId="33">
    <w:name w:val="font141"/>
    <w:basedOn w:val="12"/>
    <w:qFormat/>
    <w:uiPriority w:val="99"/>
    <w:rPr>
      <w:rFonts w:ascii="Times New Roman" w:hAnsi="Times New Roman" w:cs="Times New Roman"/>
      <w:color w:val="000000"/>
      <w:sz w:val="24"/>
      <w:szCs w:val="24"/>
      <w:u w:val="none"/>
    </w:rPr>
  </w:style>
  <w:style w:type="character" w:customStyle="1" w:styleId="34">
    <w:name w:val="font101"/>
    <w:basedOn w:val="12"/>
    <w:uiPriority w:val="99"/>
    <w:rPr>
      <w:rFonts w:ascii="SimSun" w:hAnsi="SimSun" w:eastAsia="SimSun" w:cs="SimSun"/>
      <w:color w:val="000000"/>
      <w:sz w:val="24"/>
      <w:szCs w:val="24"/>
      <w:u w:val="none"/>
    </w:rPr>
  </w:style>
  <w:style w:type="paragraph" w:customStyle="1" w:styleId="35">
    <w:name w:val="Other|1"/>
    <w:basedOn w:val="1"/>
    <w:uiPriority w:val="99"/>
    <w:pPr>
      <w:spacing w:line="238" w:lineRule="exact"/>
    </w:pPr>
    <w:rPr>
      <w:rFonts w:ascii="SimSun" w:hAnsi="SimSun" w:cs="SimSun"/>
      <w:color w:val="1D1433"/>
      <w:sz w:val="20"/>
      <w:szCs w:val="20"/>
      <w:lang w:val="zh-TW" w:eastAsia="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1994</Words>
  <Characters>2162</Characters>
  <Lines>0</Lines>
  <Paragraphs>0</Paragraphs>
  <TotalTime>0</TotalTime>
  <ScaleCrop>false</ScaleCrop>
  <LinksUpToDate>false</LinksUpToDate>
  <CharactersWithSpaces>2178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2025-04-23T08:55:00Z</dcterms:created>
  <dc:creator>greatwall</dc:creator>
  <cp:lastModifiedBy>Joanna</cp:lastModifiedBy>
  <cp:lastPrinted>2024-06-18T09:29:00Z</cp:lastPrinted>
  <dcterms:modified xsi:type="dcterms:W3CDTF">2025-04-28T02:25:38Z</dcterms:modified>
  <dc:title>附件4</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F60D5A95FE38450391C744CE137133D1_13</vt:lpwstr>
  </property>
  <property fmtid="{D5CDD505-2E9C-101B-9397-08002B2CF9AE}" pid="4" name="commondata">
    <vt:lpwstr>eyJoZGlkIjoiYTYyNDdjODg3NGNlNDkxMWExODY4YWEyMTRmNzM4NmQifQ==</vt:lpwstr>
  </property>
  <property fmtid="{D5CDD505-2E9C-101B-9397-08002B2CF9AE}" pid="5" name="KSOTemplateDocerSaveRecord">
    <vt:lpwstr>eyJoZGlkIjoiOGFmMDFlYTMwZTJkYjA4Yjc1ZDRhZjI0MmZmNGZiN2EiLCJ1c2VySWQiOiI2OTQyMzUyNjkifQ==</vt:lpwstr>
  </property>
</Properties>
</file>