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80F93">
      <w:pPr>
        <w:ind w:firstLine="640"/>
        <w:jc w:val="center"/>
        <w:rPr>
          <w:rFonts w:ascii="SimHei" w:hAnsi="SimHei" w:eastAsia="SimHei" w:cs="SimSun"/>
          <w:kern w:val="0"/>
          <w:sz w:val="32"/>
          <w:szCs w:val="32"/>
        </w:rPr>
      </w:pPr>
      <w:r>
        <w:rPr>
          <w:rFonts w:ascii="SimHei" w:hAnsi="SimHei" w:eastAsia="SimHei" w:cs="FangSong"/>
          <w:kern w:val="0"/>
          <w:sz w:val="32"/>
          <w:szCs w:val="32"/>
        </w:rPr>
        <w:drawing>
          <wp:inline distT="0" distB="0" distL="114300" distR="114300">
            <wp:extent cx="5686425" cy="77628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776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Hei" w:hAnsi="SimHei" w:eastAsia="SimHei" w:cs="FangSong"/>
          <w:kern w:val="0"/>
          <w:sz w:val="32"/>
          <w:szCs w:val="32"/>
        </w:rPr>
        <w:br w:type="page"/>
      </w:r>
    </w:p>
    <w:p w14:paraId="38F17CE1">
      <w:pPr>
        <w:widowControl/>
        <w:autoSpaceDN w:val="0"/>
        <w:spacing w:line="576" w:lineRule="exact"/>
        <w:ind w:firstLine="880"/>
        <w:jc w:val="center"/>
        <w:rPr>
          <w:rFonts w:ascii="Microsoft YaHei" w:hAnsi="FangSong" w:eastAsia="Microsoft YaHei" w:cs="SimSun"/>
          <w:bCs/>
          <w:kern w:val="0"/>
          <w:sz w:val="44"/>
          <w:szCs w:val="44"/>
        </w:rPr>
      </w:pPr>
      <w:r>
        <w:rPr>
          <w:rFonts w:ascii="Microsoft YaHei" w:hAnsi="FangSong" w:eastAsia="Microsoft YaHei" w:cs="SimSun"/>
          <w:bCs/>
          <w:kern w:val="0"/>
          <w:sz w:val="44"/>
          <w:szCs w:val="44"/>
        </w:rPr>
        <w:t>2024</w:t>
      </w:r>
      <w:r>
        <w:rPr>
          <w:rFonts w:hint="eastAsia" w:ascii="Microsoft YaHei" w:hAnsi="FangSong" w:eastAsia="Microsoft YaHei" w:cs="SimSun"/>
          <w:bCs/>
          <w:kern w:val="0"/>
          <w:sz w:val="44"/>
          <w:szCs w:val="44"/>
        </w:rPr>
        <w:t>年度安化县文化馆整体支出</w:t>
      </w:r>
    </w:p>
    <w:p w14:paraId="13B3E49A">
      <w:pPr>
        <w:widowControl/>
        <w:autoSpaceDN w:val="0"/>
        <w:spacing w:line="576" w:lineRule="exact"/>
        <w:ind w:firstLine="880"/>
        <w:jc w:val="center"/>
        <w:rPr>
          <w:rFonts w:ascii="Microsoft YaHei" w:hAnsi="FangSong" w:eastAsia="Microsoft YaHei" w:cs="SimSun"/>
          <w:bCs/>
          <w:kern w:val="0"/>
          <w:sz w:val="44"/>
          <w:szCs w:val="44"/>
        </w:rPr>
      </w:pPr>
      <w:r>
        <w:rPr>
          <w:rFonts w:hint="eastAsia" w:ascii="Microsoft YaHei" w:hAnsi="FangSong" w:eastAsia="Microsoft YaHei" w:cs="SimSun"/>
          <w:bCs/>
          <w:kern w:val="0"/>
          <w:sz w:val="44"/>
          <w:szCs w:val="44"/>
        </w:rPr>
        <w:t>绩效自评报告</w:t>
      </w:r>
    </w:p>
    <w:p w14:paraId="643CC35F">
      <w:pPr>
        <w:widowControl/>
        <w:spacing w:line="576" w:lineRule="exact"/>
        <w:ind w:firstLine="640" w:firstLineChars="200"/>
        <w:jc w:val="left"/>
        <w:rPr>
          <w:rFonts w:ascii="SimHei" w:hAnsi="SimHei" w:eastAsia="SimHei" w:cs="SimSun"/>
          <w:color w:val="000000"/>
          <w:kern w:val="0"/>
          <w:sz w:val="32"/>
          <w:szCs w:val="32"/>
        </w:rPr>
      </w:pPr>
    </w:p>
    <w:p w14:paraId="1A92B4C7">
      <w:pPr>
        <w:widowControl/>
        <w:spacing w:line="576" w:lineRule="exact"/>
        <w:ind w:firstLine="640" w:firstLineChars="200"/>
        <w:jc w:val="left"/>
        <w:rPr>
          <w:rFonts w:ascii="SimHei" w:hAnsi="SimHei" w:eastAsia="SimHei" w:cs="SimSun"/>
          <w:color w:val="000000"/>
          <w:kern w:val="0"/>
          <w:sz w:val="32"/>
          <w:szCs w:val="32"/>
        </w:rPr>
      </w:pPr>
      <w:r>
        <w:rPr>
          <w:rFonts w:hint="eastAsia" w:ascii="SimHei" w:hAnsi="SimHei" w:eastAsia="SimHei" w:cs="SimSun"/>
          <w:color w:val="000000"/>
          <w:kern w:val="0"/>
          <w:sz w:val="32"/>
          <w:szCs w:val="32"/>
        </w:rPr>
        <w:t>一、部门</w:t>
      </w:r>
      <w:r>
        <w:rPr>
          <w:rFonts w:ascii="SimHei" w:hAnsi="SimHei" w:eastAsia="SimHei" w:cs="SimSun"/>
          <w:color w:val="000000"/>
          <w:kern w:val="0"/>
          <w:sz w:val="32"/>
          <w:szCs w:val="32"/>
        </w:rPr>
        <w:t>(</w:t>
      </w:r>
      <w:r>
        <w:rPr>
          <w:rFonts w:hint="eastAsia" w:ascii="SimHei" w:hAnsi="SimHei" w:eastAsia="SimHei" w:cs="SimSun"/>
          <w:color w:val="000000"/>
          <w:kern w:val="0"/>
          <w:sz w:val="32"/>
          <w:szCs w:val="32"/>
        </w:rPr>
        <w:t>单位</w:t>
      </w:r>
      <w:r>
        <w:rPr>
          <w:rFonts w:ascii="SimHei" w:hAnsi="SimHei" w:eastAsia="SimHei" w:cs="SimSun"/>
          <w:color w:val="000000"/>
          <w:kern w:val="0"/>
          <w:sz w:val="32"/>
          <w:szCs w:val="32"/>
        </w:rPr>
        <w:t>)</w:t>
      </w:r>
      <w:r>
        <w:rPr>
          <w:rFonts w:hint="eastAsia" w:ascii="SimHei" w:hAnsi="SimHei" w:eastAsia="SimHei" w:cs="SimSun"/>
          <w:color w:val="000000"/>
          <w:kern w:val="0"/>
          <w:sz w:val="32"/>
          <w:szCs w:val="32"/>
        </w:rPr>
        <w:t>基本情况</w:t>
      </w:r>
    </w:p>
    <w:p w14:paraId="1412B643">
      <w:pPr>
        <w:widowControl/>
        <w:spacing w:line="576" w:lineRule="exact"/>
        <w:ind w:firstLine="640" w:firstLineChars="20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一</w:t>
      </w:r>
      <w:r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  <w:t>)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简要介绍</w:t>
      </w:r>
      <w:r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  <w:t>2024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年度重点工作</w:t>
      </w:r>
    </w:p>
    <w:p w14:paraId="057E7D10">
      <w:pPr>
        <w:widowControl/>
        <w:spacing w:line="600" w:lineRule="exact"/>
        <w:ind w:firstLine="640" w:firstLineChars="200"/>
        <w:rPr>
          <w:rFonts w:ascii="FangSong" w:hAnsi="FangSong" w:eastAsia="FangSong" w:cs="FangSong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</w:rPr>
        <w:t>2024</w:t>
      </w:r>
      <w:r>
        <w:rPr>
          <w:rFonts w:hint="eastAsia" w:ascii="FangSong" w:hAnsi="FangSong" w:eastAsia="FangSong" w:cs="FangSong"/>
          <w:sz w:val="32"/>
          <w:szCs w:val="32"/>
        </w:rPr>
        <w:t>年在安化县文旅广体局的正确领导下，我馆深入贯彻落实党的二十大精神，精准定位、精准谋划、精准发力</w:t>
      </w:r>
      <w:r>
        <w:rPr>
          <w:rFonts w:ascii="FangSong" w:hAnsi="FangSong" w:eastAsia="FangSong" w:cs="FangSong"/>
          <w:sz w:val="32"/>
          <w:szCs w:val="32"/>
        </w:rPr>
        <w:t>,</w:t>
      </w:r>
      <w:r>
        <w:rPr>
          <w:rFonts w:hint="eastAsia" w:ascii="FangSong" w:hAnsi="FangSong" w:eastAsia="FangSong" w:cs="FangSong"/>
          <w:sz w:val="32"/>
          <w:szCs w:val="32"/>
        </w:rPr>
        <w:t>以保障公民的基本文化权益为目的，通过创新工作思路，大胆探索文化管理模式，努力营造活跃、丰富的文化环境。全馆上下始终团结奋进，各项工作稳步推进，出色地完成上级下达的各项工作任务，</w:t>
      </w:r>
      <w:bookmarkStart w:id="0" w:name="_GoBack"/>
      <w:bookmarkEnd w:id="0"/>
      <w:r>
        <w:rPr>
          <w:rFonts w:hint="eastAsia" w:ascii="FangSong" w:hAnsi="FangSong" w:eastAsia="FangSong" w:cs="FangSong"/>
          <w:sz w:val="32"/>
          <w:szCs w:val="32"/>
        </w:rPr>
        <w:t>现就今年以来重点工作总结如下：（</w:t>
      </w:r>
      <w:r>
        <w:rPr>
          <w:rFonts w:ascii="FangSong" w:hAnsi="FangSong" w:eastAsia="FangSong" w:cs="FangSong"/>
          <w:sz w:val="32"/>
          <w:szCs w:val="32"/>
        </w:rPr>
        <w:t>1</w:t>
      </w:r>
      <w:r>
        <w:rPr>
          <w:rFonts w:hint="eastAsia" w:ascii="FangSong" w:hAnsi="FangSong" w:eastAsia="FangSong" w:cs="FangSong"/>
          <w:sz w:val="32"/>
          <w:szCs w:val="32"/>
        </w:rPr>
        <w:t>）文化阵地建设稳步推进。一是免费开放积极开展；（</w:t>
      </w:r>
      <w:r>
        <w:rPr>
          <w:rFonts w:ascii="FangSong" w:hAnsi="FangSong" w:eastAsia="FangSong" w:cs="FangSong"/>
          <w:sz w:val="32"/>
          <w:szCs w:val="32"/>
        </w:rPr>
        <w:t>2</w:t>
      </w:r>
      <w:r>
        <w:rPr>
          <w:rFonts w:hint="eastAsia" w:ascii="FangSong" w:hAnsi="FangSong" w:eastAsia="FangSong" w:cs="FangSong"/>
          <w:sz w:val="32"/>
          <w:szCs w:val="32"/>
        </w:rPr>
        <w:t>）群众文化活动异彩纷呈。</w:t>
      </w:r>
      <w:r>
        <w:rPr>
          <w:rFonts w:ascii="FangSong" w:hAnsi="FangSong" w:eastAsia="FangSong" w:cs="FangSong"/>
          <w:sz w:val="32"/>
          <w:szCs w:val="32"/>
        </w:rPr>
        <w:t xml:space="preserve"> </w:t>
      </w:r>
      <w:r>
        <w:rPr>
          <w:rFonts w:hint="eastAsia" w:ascii="FangSong" w:hAnsi="FangSong" w:eastAsia="FangSong" w:cs="FangSong"/>
          <w:sz w:val="32"/>
          <w:szCs w:val="32"/>
        </w:rPr>
        <w:t>“戏曲进乡村”文化惠民活动如火如荼（</w:t>
      </w:r>
      <w:r>
        <w:rPr>
          <w:rFonts w:ascii="FangSong" w:hAnsi="FangSong" w:eastAsia="FangSong" w:cs="FangSong"/>
          <w:sz w:val="32"/>
          <w:szCs w:val="32"/>
        </w:rPr>
        <w:t>3</w:t>
      </w:r>
      <w:r>
        <w:rPr>
          <w:rFonts w:hint="eastAsia" w:ascii="FangSong" w:hAnsi="FangSong" w:eastAsia="FangSong" w:cs="FangSong"/>
          <w:sz w:val="32"/>
          <w:szCs w:val="32"/>
        </w:rPr>
        <w:t>）非遗工作扎实有效推进：一是非遗活动亮点纷呈；二是非遗传承继往开来，三是市非遗项目保护名录成功申报；四是中国黑茶大会茶祖节暨第六届湖南·（益阳）安化黑茶文化节圆满落幕。</w:t>
      </w:r>
    </w:p>
    <w:p w14:paraId="61C6DBDA">
      <w:pPr>
        <w:widowControl/>
        <w:spacing w:line="600" w:lineRule="exact"/>
        <w:ind w:firstLine="640" w:firstLineChars="200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（二）整体支出规模、使用方向、主要内容和涉及范围</w:t>
      </w:r>
    </w:p>
    <w:p w14:paraId="23F4570E">
      <w:pPr>
        <w:widowControl/>
        <w:shd w:val="clear" w:color="auto" w:fill="FFFFFF"/>
        <w:ind w:firstLine="640" w:firstLineChars="200"/>
        <w:jc w:val="left"/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</w:pPr>
      <w:r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  <w:t>2024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年度县文化馆收入、支出年初预算总计</w:t>
      </w:r>
      <w:r>
        <w:rPr>
          <w:rFonts w:ascii="仿宋_GB2312" w:hAnsi="仿宋_GB2312" w:eastAsia="仿宋_GB2312" w:cs="仿宋_GB2312"/>
          <w:sz w:val="32"/>
          <w:szCs w:val="32"/>
        </w:rPr>
        <w:t>186.17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万元。</w:t>
      </w:r>
    </w:p>
    <w:p w14:paraId="69884FDB">
      <w:pPr>
        <w:widowControl/>
        <w:shd w:val="clear" w:color="auto" w:fill="FFFFFF"/>
        <w:ind w:firstLine="640" w:firstLineChars="200"/>
        <w:jc w:val="left"/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</w:pP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支出决算数为</w:t>
      </w:r>
      <w:r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  <w:t>314.19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万元，完成年初预算的</w:t>
      </w:r>
      <w:r>
        <w:rPr>
          <w:rFonts w:ascii="仿宋_GB2312" w:hAnsi="仿宋_GB2312" w:eastAsia="仿宋_GB2312" w:cs="仿宋_GB2312"/>
          <w:sz w:val="32"/>
          <w:szCs w:val="32"/>
        </w:rPr>
        <w:t>168.76%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。其中人员经费</w:t>
      </w:r>
      <w:r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  <w:t>198.58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万元，公用经费</w:t>
      </w:r>
      <w:r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  <w:t>10.59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万元；项目支出</w:t>
      </w:r>
      <w:r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  <w:t>105.02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万元，占总支出的</w:t>
      </w:r>
      <w:r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  <w:t>33.43%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。</w:t>
      </w:r>
    </w:p>
    <w:p w14:paraId="5ACD0A2D">
      <w:pPr>
        <w:pStyle w:val="23"/>
        <w:ind w:firstLine="480" w:firstLineChars="200"/>
        <w:rPr>
          <w:rFonts w:ascii="仿宋_GB2312" w:hAnsi="仿宋_GB2312" w:eastAsia="仿宋_GB2312" w:cs="仿宋_GB2312"/>
          <w:color w:val="auto"/>
          <w:kern w:val="2"/>
          <w:sz w:val="32"/>
          <w:szCs w:val="32"/>
        </w:rPr>
      </w:pPr>
      <w:r>
        <w:rPr>
          <w:rFonts w:eastAsia="FangSong"/>
          <w:shd w:val="clear" w:color="auto" w:fill="FFFFFF"/>
        </w:rPr>
        <w:t xml:space="preserve">  </w:t>
      </w:r>
      <w:r>
        <w:rPr>
          <w:rFonts w:ascii="FangSong" w:hAnsi="FangSong" w:eastAsia="FangSong" w:cs="Times New Roman"/>
          <w:kern w:val="2"/>
          <w:sz w:val="32"/>
          <w:szCs w:val="32"/>
          <w:shd w:val="clear" w:color="auto" w:fill="FFFFFF"/>
        </w:rPr>
        <w:t xml:space="preserve"> </w:t>
      </w:r>
      <w:r>
        <w:rPr>
          <w:rFonts w:hint="eastAsia" w:ascii="FangSong" w:hAnsi="FangSong" w:eastAsia="FangSong" w:cs="Times New Roman"/>
          <w:kern w:val="2"/>
          <w:sz w:val="32"/>
          <w:szCs w:val="32"/>
          <w:shd w:val="clear" w:color="auto" w:fill="FFFFFF"/>
        </w:rPr>
        <w:t>资金使用方向主要是</w:t>
      </w:r>
      <w:r>
        <w:rPr>
          <w:rFonts w:ascii="FangSong" w:hAnsi="FangSong" w:eastAsia="FangSong" w:cs="Times New Roman"/>
          <w:kern w:val="2"/>
          <w:sz w:val="32"/>
          <w:szCs w:val="32"/>
          <w:shd w:val="clear" w:color="auto" w:fill="FFFFFF"/>
        </w:rPr>
        <w:t>:1.</w:t>
      </w:r>
      <w:r>
        <w:rPr>
          <w:rFonts w:hint="eastAsia" w:ascii="FangSong" w:hAnsi="FangSong" w:eastAsia="FangSong" w:cs="Times New Roman"/>
          <w:kern w:val="2"/>
          <w:sz w:val="32"/>
          <w:szCs w:val="32"/>
          <w:shd w:val="clear" w:color="auto" w:fill="FFFFFF"/>
        </w:rPr>
        <w:t>文化旅游体育与传媒支出（类）文化和旅游（款）行政运行（项），年初预算为</w:t>
      </w:r>
      <w:r>
        <w:rPr>
          <w:rFonts w:ascii="FangSong" w:hAnsi="FangSong" w:eastAsia="FangSong" w:cs="Times New Roman"/>
          <w:kern w:val="2"/>
          <w:sz w:val="32"/>
          <w:szCs w:val="32"/>
          <w:shd w:val="clear" w:color="auto" w:fill="FFFFFF"/>
        </w:rPr>
        <w:t>140.26</w:t>
      </w:r>
      <w:r>
        <w:rPr>
          <w:rFonts w:hint="eastAsia" w:ascii="FangSong" w:hAnsi="FangSong" w:eastAsia="FangSong" w:cs="Times New Roman"/>
          <w:kern w:val="2"/>
          <w:sz w:val="32"/>
          <w:szCs w:val="32"/>
          <w:shd w:val="clear" w:color="auto" w:fill="FFFFFF"/>
        </w:rPr>
        <w:t>万元，支出决算为</w:t>
      </w:r>
      <w:r>
        <w:rPr>
          <w:rFonts w:ascii="FangSong" w:hAnsi="FangSong" w:eastAsia="FangSong" w:cs="Times New Roman"/>
          <w:kern w:val="2"/>
          <w:sz w:val="32"/>
          <w:szCs w:val="32"/>
          <w:shd w:val="clear" w:color="auto" w:fill="FFFFFF"/>
        </w:rPr>
        <w:t>150.76</w:t>
      </w:r>
      <w:r>
        <w:rPr>
          <w:rFonts w:hint="eastAsia" w:ascii="FangSong" w:hAnsi="FangSong" w:eastAsia="FangSong" w:cs="Times New Roman"/>
          <w:kern w:val="2"/>
          <w:sz w:val="32"/>
          <w:szCs w:val="32"/>
          <w:shd w:val="clear" w:color="auto" w:fill="FFFFFF"/>
        </w:rPr>
        <w:t>万元，主要是人员经费及财政补付</w:t>
      </w:r>
      <w:r>
        <w:rPr>
          <w:rFonts w:ascii="FangSong" w:hAnsi="FangSong" w:eastAsia="FangSong" w:cs="Times New Roman"/>
          <w:kern w:val="2"/>
          <w:sz w:val="32"/>
          <w:szCs w:val="32"/>
          <w:shd w:val="clear" w:color="auto" w:fill="FFFFFF"/>
        </w:rPr>
        <w:t>2023</w:t>
      </w:r>
      <w:r>
        <w:rPr>
          <w:rFonts w:hint="eastAsia" w:ascii="FangSong" w:hAnsi="FangSong" w:eastAsia="FangSong" w:cs="Times New Roman"/>
          <w:kern w:val="2"/>
          <w:sz w:val="32"/>
          <w:szCs w:val="32"/>
          <w:shd w:val="clear" w:color="auto" w:fill="FFFFFF"/>
        </w:rPr>
        <w:t>年新进人员预算经费及绩效奖金；</w:t>
      </w:r>
      <w:r>
        <w:rPr>
          <w:rFonts w:ascii="FangSong" w:hAnsi="FangSong" w:eastAsia="FangSong" w:cs="Times New Roman"/>
          <w:kern w:val="2"/>
          <w:sz w:val="32"/>
          <w:szCs w:val="32"/>
          <w:shd w:val="clear" w:color="auto" w:fill="FFFFFF"/>
        </w:rPr>
        <w:t xml:space="preserve">2. </w:t>
      </w:r>
      <w:r>
        <w:rPr>
          <w:rFonts w:hint="eastAsia" w:ascii="FangSong" w:hAnsi="FangSong" w:eastAsia="FangSong" w:cs="Times New Roman"/>
          <w:kern w:val="2"/>
          <w:sz w:val="32"/>
          <w:szCs w:val="32"/>
          <w:shd w:val="clear" w:color="auto" w:fill="FFFFFF"/>
        </w:rPr>
        <w:t>文化旅游体育与传媒支出（类）文化和旅游（款）文化创作与保护（项）</w:t>
      </w:r>
      <w:r>
        <w:rPr>
          <w:rFonts w:ascii="FangSong" w:hAnsi="FangSong" w:eastAsia="FangSong" w:cs="Times New Roman"/>
          <w:kern w:val="2"/>
          <w:sz w:val="32"/>
          <w:szCs w:val="32"/>
          <w:shd w:val="clear" w:color="auto" w:fill="FFFFFF"/>
        </w:rPr>
        <w:t xml:space="preserve"> </w:t>
      </w:r>
      <w:r>
        <w:rPr>
          <w:rFonts w:hint="eastAsia" w:ascii="FangSong" w:hAnsi="FangSong" w:eastAsia="FangSong" w:cs="Times New Roman"/>
          <w:kern w:val="2"/>
          <w:sz w:val="32"/>
          <w:szCs w:val="32"/>
          <w:shd w:val="clear" w:color="auto" w:fill="FFFFFF"/>
        </w:rPr>
        <w:t>年初预算为</w:t>
      </w:r>
      <w:r>
        <w:rPr>
          <w:rFonts w:ascii="FangSong" w:hAnsi="FangSong" w:eastAsia="FangSong" w:cs="Times New Roman"/>
          <w:kern w:val="2"/>
          <w:sz w:val="32"/>
          <w:szCs w:val="32"/>
          <w:shd w:val="clear" w:color="auto" w:fill="FFFFFF"/>
        </w:rPr>
        <w:t>0</w:t>
      </w:r>
      <w:r>
        <w:rPr>
          <w:rFonts w:hint="eastAsia" w:ascii="FangSong" w:hAnsi="FangSong" w:eastAsia="FangSong" w:cs="Times New Roman"/>
          <w:kern w:val="2"/>
          <w:sz w:val="32"/>
          <w:szCs w:val="32"/>
          <w:shd w:val="clear" w:color="auto" w:fill="FFFFFF"/>
        </w:rPr>
        <w:t>万元，支出决算为</w:t>
      </w:r>
      <w:r>
        <w:rPr>
          <w:rFonts w:ascii="FangSong" w:hAnsi="FangSong" w:eastAsia="FangSong" w:cs="Times New Roman"/>
          <w:kern w:val="2"/>
          <w:sz w:val="32"/>
          <w:szCs w:val="32"/>
          <w:shd w:val="clear" w:color="auto" w:fill="FFFFFF"/>
        </w:rPr>
        <w:t>16.53</w:t>
      </w:r>
      <w:r>
        <w:rPr>
          <w:rFonts w:hint="eastAsia" w:ascii="FangSong" w:hAnsi="FangSong" w:eastAsia="FangSong" w:cs="Times New Roman"/>
          <w:kern w:val="2"/>
          <w:sz w:val="32"/>
          <w:szCs w:val="32"/>
          <w:shd w:val="clear" w:color="auto" w:fill="FFFFFF"/>
        </w:rPr>
        <w:t>万元，主要内容是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上年结转非遗专项经费及及当年黑茶制作技艺千两茶制作技艺拨入</w:t>
      </w:r>
      <w:r>
        <w:rPr>
          <w:rFonts w:hint="eastAsia" w:ascii="FangSong" w:hAnsi="FangSong" w:eastAsia="FangSong" w:cs="Times New Roman"/>
          <w:kern w:val="2"/>
          <w:sz w:val="32"/>
          <w:szCs w:val="32"/>
          <w:shd w:val="clear" w:color="auto" w:fill="FFFFFF"/>
        </w:rPr>
        <w:t>；</w:t>
      </w:r>
      <w:r>
        <w:rPr>
          <w:rFonts w:ascii="FangSong" w:hAnsi="FangSong" w:eastAsia="FangSong" w:cs="Times New Roman"/>
          <w:kern w:val="2"/>
          <w:sz w:val="32"/>
          <w:szCs w:val="32"/>
          <w:shd w:val="clear" w:color="auto" w:fill="FFFFFF"/>
        </w:rPr>
        <w:t>3.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文化旅游体育与传媒支出（类）文化和旅游（款）其他文化和旅游支出（项）：年初预算为</w:t>
      </w:r>
      <w:r>
        <w:rPr>
          <w:rFonts w:ascii="仿宋_GB2312" w:hAnsi="仿宋_GB2312" w:eastAsia="仿宋_GB2312" w:cs="仿宋_GB2312"/>
          <w:color w:val="auto"/>
          <w:kern w:val="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万元，支出决算为</w:t>
      </w:r>
      <w:r>
        <w:rPr>
          <w:rFonts w:ascii="仿宋_GB2312" w:hAnsi="仿宋_GB2312" w:eastAsia="仿宋_GB2312" w:cs="仿宋_GB2312"/>
          <w:color w:val="auto"/>
          <w:kern w:val="2"/>
          <w:sz w:val="32"/>
          <w:szCs w:val="32"/>
        </w:rPr>
        <w:t>80.69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万元，主要是</w:t>
      </w:r>
      <w:r>
        <w:rPr>
          <w:rFonts w:ascii="仿宋_GB2312" w:hAnsi="仿宋_GB2312" w:eastAsia="仿宋_GB2312" w:cs="仿宋_GB2312"/>
          <w:color w:val="auto"/>
          <w:kern w:val="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“三馆一站”免费开放省级配套资金、中央支持地方公共文化服务体系建设等专项资金拨入、文化人才专项经费拨入等。</w:t>
      </w:r>
      <w:r>
        <w:rPr>
          <w:rFonts w:ascii="仿宋_GB2312" w:hAnsi="仿宋_GB2312" w:eastAsia="仿宋_GB2312" w:cs="仿宋_GB2312"/>
          <w:color w:val="auto"/>
          <w:kern w:val="2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文化旅游体育与传媒支出（类）其他文化旅游体育与传媒支出（款）其他文化旅游体育与传媒支出（项）：年初预算为</w:t>
      </w:r>
      <w:r>
        <w:rPr>
          <w:rFonts w:ascii="仿宋_GB2312" w:hAnsi="仿宋_GB2312" w:eastAsia="仿宋_GB2312" w:cs="仿宋_GB2312"/>
          <w:color w:val="auto"/>
          <w:kern w:val="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万元，支出决算为</w:t>
      </w:r>
      <w:r>
        <w:rPr>
          <w:rFonts w:ascii="仿宋_GB2312" w:hAnsi="仿宋_GB2312" w:eastAsia="仿宋_GB2312" w:cs="仿宋_GB2312"/>
          <w:color w:val="auto"/>
          <w:kern w:val="2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</w:t>
      </w:r>
      <w:r>
        <w:rPr>
          <w:rFonts w:hint="eastAsia" w:ascii="FangSong" w:hAnsi="FangSong" w:eastAsia="FangSong" w:cs="Times New Roman"/>
          <w:kern w:val="2"/>
          <w:sz w:val="32"/>
          <w:szCs w:val="32"/>
          <w:shd w:val="clear" w:color="auto" w:fill="FFFFFF"/>
        </w:rPr>
        <w:t>。主要内容是：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中央支持地方公共文化服务体系建设绩效奖励资金（市县）拨入</w:t>
      </w:r>
      <w:r>
        <w:rPr>
          <w:rFonts w:hint="eastAsia" w:ascii="FangSong" w:hAnsi="FangSong" w:eastAsia="FangSong" w:cs="Times New Roman"/>
          <w:kern w:val="2"/>
          <w:sz w:val="32"/>
          <w:szCs w:val="32"/>
          <w:shd w:val="clear" w:color="auto" w:fill="FFFFFF"/>
        </w:rPr>
        <w:t>。</w:t>
      </w:r>
      <w:r>
        <w:rPr>
          <w:rFonts w:ascii="FangSong" w:hAnsi="FangSong" w:eastAsia="FangSong" w:cs="Times New Roman"/>
          <w:kern w:val="2"/>
          <w:sz w:val="32"/>
          <w:szCs w:val="32"/>
          <w:shd w:val="clear" w:color="auto" w:fill="FFFFFF"/>
        </w:rPr>
        <w:t>5.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color w:val="auto"/>
          <w:kern w:val="2"/>
          <w:sz w:val="32"/>
          <w:szCs w:val="32"/>
        </w:rPr>
        <w:t>5.2024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年年初预算乡村振兴（驻村人员补助）及工作经费（类）</w:t>
      </w:r>
      <w:r>
        <w:rPr>
          <w:rFonts w:ascii="仿宋_GB2312" w:hAnsi="仿宋_GB2312" w:eastAsia="仿宋_GB2312" w:cs="仿宋_GB2312"/>
          <w:color w:val="auto"/>
          <w:kern w:val="2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年初预算为</w:t>
      </w:r>
      <w:r>
        <w:rPr>
          <w:rFonts w:ascii="仿宋_GB2312" w:hAnsi="仿宋_GB2312" w:eastAsia="仿宋_GB2312" w:cs="仿宋_GB2312"/>
          <w:color w:val="auto"/>
          <w:kern w:val="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万元，支出决算为</w:t>
      </w:r>
      <w:r>
        <w:rPr>
          <w:rFonts w:ascii="仿宋_GB2312" w:hAnsi="仿宋_GB2312" w:eastAsia="仿宋_GB2312" w:cs="仿宋_GB2312"/>
          <w:color w:val="auto"/>
          <w:kern w:val="2"/>
          <w:sz w:val="32"/>
          <w:szCs w:val="32"/>
        </w:rPr>
        <w:t>3.08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</w:t>
      </w:r>
      <w:r>
        <w:rPr>
          <w:rFonts w:hint="eastAsia" w:ascii="FangSong" w:hAnsi="FangSong" w:eastAsia="FangSong" w:cs="Times New Roman"/>
          <w:kern w:val="2"/>
          <w:sz w:val="32"/>
          <w:szCs w:val="32"/>
          <w:shd w:val="clear" w:color="auto" w:fill="FFFFFF"/>
        </w:rPr>
        <w:t>，主内容是：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财政拨入乡村振兴工作经费及补助。</w:t>
      </w:r>
    </w:p>
    <w:p w14:paraId="7C342F42">
      <w:pPr>
        <w:pStyle w:val="23"/>
        <w:ind w:firstLine="640"/>
        <w:rPr>
          <w:rFonts w:ascii="仿宋_GB2312" w:hAnsi="仿宋_GB2312" w:eastAsia="仿宋_GB2312" w:cs="仿宋_GB2312"/>
          <w:color w:val="auto"/>
          <w:kern w:val="2"/>
          <w:sz w:val="32"/>
          <w:szCs w:val="32"/>
        </w:rPr>
      </w:pPr>
      <w:r>
        <w:rPr>
          <w:rFonts w:ascii="FangSong" w:hAnsi="FangSong" w:eastAsia="FangSong" w:cs="Times New Roman"/>
          <w:kern w:val="2"/>
          <w:sz w:val="32"/>
          <w:szCs w:val="32"/>
          <w:shd w:val="clear" w:color="auto" w:fill="FFFFFF"/>
        </w:rPr>
        <w:t>6.</w:t>
      </w:r>
      <w:r>
        <w:rPr>
          <w:rFonts w:hint="eastAsia" w:ascii="FangSong" w:hAnsi="FangSong" w:eastAsia="FangSong" w:cs="Times New Roman"/>
          <w:kern w:val="2"/>
          <w:sz w:val="32"/>
          <w:szCs w:val="32"/>
          <w:shd w:val="clear" w:color="auto" w:fill="FFFFFF"/>
        </w:rPr>
        <w:t>其他支出：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年初预算为</w:t>
      </w:r>
      <w:r>
        <w:rPr>
          <w:rFonts w:ascii="仿宋_GB2312" w:hAnsi="仿宋_GB2312" w:eastAsia="仿宋_GB2312" w:cs="仿宋_GB2312"/>
          <w:color w:val="auto"/>
          <w:kern w:val="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万元，支出决算为</w:t>
      </w:r>
      <w:r>
        <w:rPr>
          <w:rFonts w:ascii="仿宋_GB2312" w:hAnsi="仿宋_GB2312" w:eastAsia="仿宋_GB2312" w:cs="仿宋_GB2312"/>
          <w:color w:val="auto"/>
          <w:kern w:val="2"/>
          <w:sz w:val="32"/>
          <w:szCs w:val="32"/>
        </w:rPr>
        <w:t>9.2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  <w:t>万元，主要是其他单位支付往来资金，缴活动费用款。</w:t>
      </w:r>
    </w:p>
    <w:p w14:paraId="3B8CDBDA">
      <w:pPr>
        <w:pStyle w:val="23"/>
        <w:ind w:firstLine="320" w:firstLineChars="100"/>
        <w:rPr>
          <w:rFonts w:hAnsi="??_GB2312"/>
          <w:color w:val="auto"/>
          <w:kern w:val="2"/>
          <w:sz w:val="32"/>
          <w:szCs w:val="32"/>
        </w:rPr>
      </w:pPr>
    </w:p>
    <w:p w14:paraId="2A56885F">
      <w:pPr>
        <w:widowControl/>
        <w:spacing w:line="576" w:lineRule="exact"/>
        <w:ind w:firstLine="640" w:firstLineChars="200"/>
        <w:jc w:val="left"/>
        <w:rPr>
          <w:rFonts w:ascii="SimHei" w:hAnsi="SimHei" w:eastAsia="SimHei" w:cs="SimSun"/>
          <w:color w:val="000000"/>
          <w:kern w:val="0"/>
          <w:sz w:val="32"/>
          <w:szCs w:val="32"/>
        </w:rPr>
      </w:pPr>
      <w:r>
        <w:rPr>
          <w:rFonts w:hint="eastAsia" w:ascii="SimHei" w:hAnsi="SimHei" w:eastAsia="SimHei" w:cs="SimSun"/>
          <w:color w:val="000000"/>
          <w:kern w:val="0"/>
          <w:sz w:val="32"/>
          <w:szCs w:val="32"/>
        </w:rPr>
        <w:t>二、一般公共预算支出情况</w:t>
      </w:r>
    </w:p>
    <w:p w14:paraId="70BD784E">
      <w:pPr>
        <w:widowControl/>
        <w:spacing w:line="576" w:lineRule="exact"/>
        <w:ind w:firstLine="640" w:firstLineChars="20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一</w:t>
      </w:r>
      <w:r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  <w:t>)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基本支出情况</w:t>
      </w:r>
    </w:p>
    <w:p w14:paraId="203358BA">
      <w:pPr>
        <w:snapToGrid w:val="0"/>
        <w:rPr>
          <w:rFonts w:ascii="仿宋_GB2312" w:hAnsi="FangSong" w:eastAsia="仿宋_GB2312"/>
          <w:sz w:val="32"/>
          <w:szCs w:val="32"/>
        </w:rPr>
      </w:pP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文化馆全年一般公共预算总支出</w:t>
      </w:r>
      <w:r>
        <w:rPr>
          <w:rFonts w:ascii="仿宋_GB2312" w:hAnsi="FangSong" w:eastAsia="仿宋_GB2312"/>
          <w:sz w:val="32"/>
          <w:szCs w:val="32"/>
        </w:rPr>
        <w:t>314.19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万元，按支出性质和经济分类，基本支出</w:t>
      </w:r>
      <w:r>
        <w:rPr>
          <w:rFonts w:ascii="仿宋_GB2312" w:hAnsi="FangSong" w:eastAsia="仿宋_GB2312"/>
          <w:sz w:val="32"/>
          <w:szCs w:val="32"/>
        </w:rPr>
        <w:t>209.17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万元，占总支出的</w:t>
      </w:r>
      <w:r>
        <w:rPr>
          <w:rFonts w:ascii="仿宋_GB2312" w:hAnsi="FangSong" w:eastAsia="仿宋_GB2312"/>
          <w:sz w:val="32"/>
          <w:szCs w:val="32"/>
        </w:rPr>
        <w:t>66.57%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FangSong" w:eastAsia="仿宋_GB2312"/>
          <w:sz w:val="32"/>
          <w:szCs w:val="32"/>
        </w:rPr>
        <w:t>其中人员经费</w:t>
      </w:r>
      <w:r>
        <w:rPr>
          <w:rFonts w:ascii="仿宋_GB2312" w:hAnsi="FangSong" w:eastAsia="仿宋_GB2312"/>
          <w:sz w:val="32"/>
          <w:szCs w:val="32"/>
        </w:rPr>
        <w:t>198.58</w:t>
      </w:r>
      <w:r>
        <w:rPr>
          <w:rFonts w:hint="eastAsia" w:ascii="仿宋_GB2312" w:hAnsi="FangSong" w:eastAsia="仿宋_GB2312"/>
          <w:sz w:val="32"/>
          <w:szCs w:val="32"/>
        </w:rPr>
        <w:t>万元，公用经费</w:t>
      </w:r>
      <w:r>
        <w:rPr>
          <w:rFonts w:ascii="仿宋_GB2312" w:hAnsi="FangSong" w:eastAsia="仿宋_GB2312"/>
          <w:sz w:val="32"/>
          <w:szCs w:val="32"/>
        </w:rPr>
        <w:t>10.59</w:t>
      </w:r>
      <w:r>
        <w:rPr>
          <w:rFonts w:hint="eastAsia" w:ascii="仿宋_GB2312" w:hAnsi="FangSong" w:eastAsia="仿宋_GB2312"/>
          <w:sz w:val="32"/>
          <w:szCs w:val="32"/>
        </w:rPr>
        <w:t>万元；</w:t>
      </w:r>
    </w:p>
    <w:p w14:paraId="21649C55">
      <w:pPr>
        <w:widowControl/>
        <w:spacing w:line="576" w:lineRule="exact"/>
        <w:ind w:firstLine="640" w:firstLineChars="20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</w:p>
    <w:p w14:paraId="6C3E48FD">
      <w:pPr>
        <w:widowControl/>
        <w:spacing w:line="576" w:lineRule="exact"/>
        <w:ind w:firstLine="640" w:firstLineChars="20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项目支出情况</w:t>
      </w:r>
    </w:p>
    <w:p w14:paraId="2246A0C3">
      <w:pPr>
        <w:snapToGrid w:val="0"/>
        <w:rPr>
          <w:rFonts w:ascii="仿宋_GB2312" w:hAnsi="FangSong" w:eastAsia="仿宋_GB2312"/>
          <w:sz w:val="32"/>
          <w:szCs w:val="32"/>
        </w:rPr>
      </w:pPr>
      <w:r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  <w:t>2024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年度文化馆项目支出</w:t>
      </w:r>
      <w:r>
        <w:rPr>
          <w:rFonts w:hint="eastAsia" w:ascii="仿宋_GB2312" w:hAnsi="FangSong" w:eastAsia="仿宋_GB2312"/>
          <w:sz w:val="32"/>
          <w:szCs w:val="32"/>
        </w:rPr>
        <w:t>项目支出</w:t>
      </w:r>
      <w:r>
        <w:rPr>
          <w:rFonts w:ascii="仿宋_GB2312" w:hAnsi="FangSong" w:eastAsia="仿宋_GB2312"/>
          <w:sz w:val="32"/>
          <w:szCs w:val="32"/>
        </w:rPr>
        <w:t>105.02</w:t>
      </w:r>
      <w:r>
        <w:rPr>
          <w:rFonts w:hint="eastAsia" w:ascii="仿宋_GB2312" w:hAnsi="FangSong" w:eastAsia="仿宋_GB2312"/>
          <w:sz w:val="32"/>
          <w:szCs w:val="32"/>
        </w:rPr>
        <w:t>万元，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占总支出的</w:t>
      </w:r>
      <w:r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  <w:t>33.43%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。主要用于免费开放场所建设及文化下乡活动，非遗等方面的支出。</w:t>
      </w:r>
    </w:p>
    <w:p w14:paraId="5C7C13EF">
      <w:pPr>
        <w:widowControl/>
        <w:numPr>
          <w:ilvl w:val="0"/>
          <w:numId w:val="1"/>
        </w:numPr>
        <w:spacing w:line="576" w:lineRule="exact"/>
        <w:ind w:firstLine="640" w:firstLineChars="200"/>
        <w:jc w:val="left"/>
        <w:rPr>
          <w:rFonts w:ascii="SimHei" w:hAnsi="SimHei" w:eastAsia="SimHei" w:cs="SimSun"/>
          <w:color w:val="000000"/>
          <w:kern w:val="0"/>
          <w:sz w:val="32"/>
          <w:szCs w:val="32"/>
        </w:rPr>
      </w:pPr>
      <w:r>
        <w:rPr>
          <w:rFonts w:hint="eastAsia" w:ascii="SimHei" w:hAnsi="SimHei" w:eastAsia="SimHei" w:cs="SimSun"/>
          <w:color w:val="000000"/>
          <w:kern w:val="0"/>
          <w:sz w:val="32"/>
          <w:szCs w:val="32"/>
        </w:rPr>
        <w:t>政府性基金预算支出情况</w:t>
      </w:r>
    </w:p>
    <w:p w14:paraId="04365CA1">
      <w:pPr>
        <w:widowControl/>
        <w:spacing w:line="576" w:lineRule="exact"/>
        <w:ind w:firstLine="640" w:firstLineChars="200"/>
        <w:jc w:val="left"/>
        <w:rPr>
          <w:rFonts w:ascii="SimHei" w:hAnsi="SimHei" w:eastAsia="SimHei" w:cs="SimSun"/>
          <w:color w:val="000000"/>
          <w:kern w:val="0"/>
          <w:sz w:val="32"/>
          <w:szCs w:val="32"/>
        </w:rPr>
      </w:pPr>
      <w:r>
        <w:rPr>
          <w:rFonts w:hint="eastAsia" w:ascii="SimHei" w:hAnsi="SimHei" w:eastAsia="SimHei" w:cs="SimSun"/>
          <w:color w:val="000000"/>
          <w:kern w:val="0"/>
          <w:sz w:val="32"/>
          <w:szCs w:val="32"/>
        </w:rPr>
        <w:t>无</w:t>
      </w:r>
    </w:p>
    <w:p w14:paraId="0AE1A7A1">
      <w:pPr>
        <w:widowControl/>
        <w:numPr>
          <w:ilvl w:val="0"/>
          <w:numId w:val="1"/>
        </w:numPr>
        <w:spacing w:line="576" w:lineRule="exact"/>
        <w:ind w:firstLine="640" w:firstLineChars="200"/>
        <w:jc w:val="left"/>
        <w:rPr>
          <w:rFonts w:ascii="SimHei" w:hAnsi="SimHei" w:eastAsia="SimHei" w:cs="SimSun"/>
          <w:color w:val="000000"/>
          <w:kern w:val="0"/>
          <w:sz w:val="32"/>
          <w:szCs w:val="32"/>
        </w:rPr>
      </w:pPr>
      <w:r>
        <w:rPr>
          <w:rFonts w:hint="eastAsia" w:ascii="SimHei" w:hAnsi="SimHei" w:eastAsia="SimHei" w:cs="SimSun"/>
          <w:color w:val="000000"/>
          <w:kern w:val="0"/>
          <w:sz w:val="32"/>
          <w:szCs w:val="32"/>
        </w:rPr>
        <w:t>国有资本经营预算支出情况</w:t>
      </w:r>
    </w:p>
    <w:p w14:paraId="5E680C87">
      <w:pPr>
        <w:widowControl/>
        <w:spacing w:line="576" w:lineRule="exact"/>
        <w:ind w:firstLine="640" w:firstLineChars="200"/>
        <w:jc w:val="left"/>
        <w:rPr>
          <w:rFonts w:ascii="SimHei" w:hAnsi="SimHei" w:eastAsia="SimHei" w:cs="SimSun"/>
          <w:color w:val="000000"/>
          <w:kern w:val="0"/>
          <w:sz w:val="32"/>
          <w:szCs w:val="32"/>
        </w:rPr>
      </w:pPr>
      <w:r>
        <w:rPr>
          <w:rFonts w:hint="eastAsia" w:ascii="SimHei" w:hAnsi="SimHei" w:eastAsia="SimHei" w:cs="SimSun"/>
          <w:color w:val="000000"/>
          <w:kern w:val="0"/>
          <w:sz w:val="32"/>
          <w:szCs w:val="32"/>
        </w:rPr>
        <w:t>无</w:t>
      </w:r>
    </w:p>
    <w:p w14:paraId="68994A44">
      <w:pPr>
        <w:widowControl/>
        <w:numPr>
          <w:ilvl w:val="0"/>
          <w:numId w:val="1"/>
        </w:numPr>
        <w:spacing w:line="576" w:lineRule="exact"/>
        <w:ind w:firstLine="640" w:firstLineChars="200"/>
        <w:jc w:val="left"/>
        <w:rPr>
          <w:rFonts w:ascii="SimHei" w:hAnsi="SimHei" w:eastAsia="SimHei" w:cs="SimSun"/>
          <w:color w:val="000000"/>
          <w:kern w:val="0"/>
          <w:sz w:val="32"/>
          <w:szCs w:val="32"/>
        </w:rPr>
      </w:pPr>
      <w:r>
        <w:rPr>
          <w:rFonts w:hint="eastAsia" w:ascii="SimHei" w:hAnsi="SimHei" w:eastAsia="SimHei" w:cs="SimSun"/>
          <w:color w:val="000000"/>
          <w:kern w:val="0"/>
          <w:sz w:val="32"/>
          <w:szCs w:val="32"/>
        </w:rPr>
        <w:t>社会保险基金预算支出情况</w:t>
      </w:r>
    </w:p>
    <w:p w14:paraId="319B783E">
      <w:pPr>
        <w:widowControl/>
        <w:spacing w:line="576" w:lineRule="exact"/>
        <w:ind w:firstLine="640" w:firstLineChars="200"/>
        <w:jc w:val="left"/>
        <w:rPr>
          <w:rFonts w:ascii="SimHei" w:hAnsi="SimHei" w:eastAsia="SimHei" w:cs="SimSun"/>
          <w:color w:val="000000"/>
          <w:kern w:val="0"/>
          <w:sz w:val="32"/>
          <w:szCs w:val="32"/>
        </w:rPr>
      </w:pPr>
      <w:r>
        <w:rPr>
          <w:rFonts w:hint="eastAsia" w:ascii="SimHei" w:hAnsi="SimHei" w:eastAsia="SimHei" w:cs="SimSun"/>
          <w:color w:val="000000"/>
          <w:kern w:val="0"/>
          <w:sz w:val="32"/>
          <w:szCs w:val="32"/>
        </w:rPr>
        <w:t>无</w:t>
      </w:r>
    </w:p>
    <w:p w14:paraId="25DB48C9">
      <w:pPr>
        <w:widowControl/>
        <w:spacing w:line="576" w:lineRule="exact"/>
        <w:ind w:firstLine="640" w:firstLineChars="200"/>
        <w:jc w:val="left"/>
        <w:rPr>
          <w:rFonts w:ascii="SimHei" w:hAnsi="SimHei" w:eastAsia="SimHei" w:cs="SimSun"/>
          <w:color w:val="000000"/>
          <w:kern w:val="0"/>
          <w:sz w:val="32"/>
          <w:szCs w:val="32"/>
        </w:rPr>
      </w:pPr>
      <w:r>
        <w:rPr>
          <w:rFonts w:hint="eastAsia" w:ascii="SimHei" w:hAnsi="SimHei" w:eastAsia="SimHei" w:cs="SimSun"/>
          <w:color w:val="000000"/>
          <w:kern w:val="0"/>
          <w:sz w:val="32"/>
          <w:szCs w:val="32"/>
        </w:rPr>
        <w:t>六、部门整体支出绩效情况</w:t>
      </w:r>
    </w:p>
    <w:p w14:paraId="4DC7D2E3">
      <w:pPr>
        <w:snapToGrid w:val="0"/>
        <w:rPr>
          <w:rFonts w:ascii="仿宋_GB2312" w:hAnsi="FangSong" w:eastAsia="仿宋_GB2312"/>
          <w:sz w:val="32"/>
          <w:szCs w:val="32"/>
        </w:rPr>
      </w:pPr>
      <w:r>
        <w:rPr>
          <w:rFonts w:ascii="FangSong" w:hAnsi="FangSong" w:eastAsia="FangSong" w:cs="FangSong"/>
          <w:sz w:val="32"/>
          <w:szCs w:val="32"/>
        </w:rPr>
        <w:t>2024</w:t>
      </w:r>
      <w:r>
        <w:rPr>
          <w:rFonts w:hint="eastAsia" w:ascii="FangSong" w:hAnsi="FangSong" w:eastAsia="FangSong" w:cs="FangSong"/>
          <w:sz w:val="32"/>
          <w:szCs w:val="32"/>
        </w:rPr>
        <w:t>年度财政拨款支出年初预算数为</w:t>
      </w:r>
      <w:r>
        <w:rPr>
          <w:rFonts w:ascii="仿宋_GB2312" w:hAnsi="仿宋_GB2312" w:eastAsia="仿宋_GB2312" w:cs="仿宋_GB2312"/>
          <w:sz w:val="32"/>
          <w:szCs w:val="32"/>
        </w:rPr>
        <w:t>186.18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FangSong" w:hAnsi="FangSong" w:eastAsia="FangSong" w:cs="FangSong"/>
          <w:sz w:val="32"/>
          <w:szCs w:val="32"/>
        </w:rPr>
        <w:t>万元，支出决算总数为</w:t>
      </w:r>
      <w:r>
        <w:rPr>
          <w:rFonts w:ascii="仿宋_GB2312" w:hAnsi="FangSong" w:eastAsia="仿宋_GB2312"/>
          <w:sz w:val="32"/>
          <w:szCs w:val="32"/>
        </w:rPr>
        <w:t>314.19</w:t>
      </w:r>
      <w:r>
        <w:rPr>
          <w:rFonts w:hint="eastAsia" w:ascii="FangSong" w:hAnsi="FangSong" w:eastAsia="FangSong" w:cs="FangSong"/>
          <w:sz w:val="32"/>
          <w:szCs w:val="32"/>
        </w:rPr>
        <w:t>万元，执行率为</w:t>
      </w:r>
      <w:r>
        <w:rPr>
          <w:rFonts w:ascii="FangSong" w:hAnsi="FangSong" w:eastAsia="FangSong" w:cs="FangSong"/>
          <w:sz w:val="32"/>
          <w:szCs w:val="32"/>
        </w:rPr>
        <w:t>100%</w:t>
      </w:r>
      <w:r>
        <w:rPr>
          <w:rFonts w:hint="eastAsia" w:ascii="FangSong" w:hAnsi="FangSong" w:eastAsia="FangSong" w:cs="FangSong"/>
          <w:sz w:val="32"/>
          <w:szCs w:val="32"/>
        </w:rPr>
        <w:t>。按支出性质和经济分类，基本支出</w:t>
      </w:r>
      <w:r>
        <w:rPr>
          <w:rFonts w:ascii="仿宋_GB2312" w:hAnsi="FangSong" w:eastAsia="仿宋_GB2312"/>
          <w:sz w:val="32"/>
          <w:szCs w:val="32"/>
        </w:rPr>
        <w:t>209.17</w:t>
      </w:r>
      <w:r>
        <w:rPr>
          <w:rFonts w:hint="eastAsia" w:ascii="FangSong" w:hAnsi="FangSong" w:eastAsia="FangSong" w:cs="FangSong"/>
          <w:sz w:val="32"/>
          <w:szCs w:val="32"/>
        </w:rPr>
        <w:t>万元，占总支出的</w:t>
      </w:r>
      <w:r>
        <w:rPr>
          <w:rFonts w:ascii="仿宋_GB2312" w:hAnsi="FangSong" w:eastAsia="仿宋_GB2312"/>
          <w:sz w:val="32"/>
          <w:szCs w:val="32"/>
        </w:rPr>
        <w:t>66.57%</w:t>
      </w:r>
      <w:r>
        <w:rPr>
          <w:rFonts w:hint="eastAsia" w:ascii="FangSong" w:hAnsi="FangSong" w:eastAsia="FangSong" w:cs="FangSong"/>
          <w:sz w:val="32"/>
          <w:szCs w:val="32"/>
        </w:rPr>
        <w:t>，</w:t>
      </w:r>
      <w:r>
        <w:rPr>
          <w:rFonts w:hint="eastAsia" w:ascii="仿宋_GB2312" w:hAnsi="FangSong" w:eastAsia="仿宋_GB2312"/>
          <w:sz w:val="32"/>
          <w:szCs w:val="32"/>
        </w:rPr>
        <w:t>其中人员经费</w:t>
      </w:r>
      <w:r>
        <w:rPr>
          <w:rFonts w:ascii="仿宋_GB2312" w:hAnsi="FangSong" w:eastAsia="仿宋_GB2312"/>
          <w:sz w:val="32"/>
          <w:szCs w:val="32"/>
        </w:rPr>
        <w:t>198.58</w:t>
      </w:r>
      <w:r>
        <w:rPr>
          <w:rFonts w:hint="eastAsia" w:ascii="仿宋_GB2312" w:hAnsi="FangSong" w:eastAsia="仿宋_GB2312"/>
          <w:sz w:val="32"/>
          <w:szCs w:val="32"/>
        </w:rPr>
        <w:t>万元，公用经费</w:t>
      </w:r>
      <w:r>
        <w:rPr>
          <w:rFonts w:ascii="仿宋_GB2312" w:hAnsi="FangSong" w:eastAsia="仿宋_GB2312"/>
          <w:sz w:val="32"/>
          <w:szCs w:val="32"/>
        </w:rPr>
        <w:t>10.59</w:t>
      </w:r>
      <w:r>
        <w:rPr>
          <w:rFonts w:hint="eastAsia" w:ascii="仿宋_GB2312" w:hAnsi="FangSong" w:eastAsia="仿宋_GB2312"/>
          <w:sz w:val="32"/>
          <w:szCs w:val="32"/>
        </w:rPr>
        <w:t>万元；项目支出</w:t>
      </w:r>
      <w:r>
        <w:rPr>
          <w:rFonts w:ascii="仿宋_GB2312" w:hAnsi="FangSong" w:eastAsia="仿宋_GB2312"/>
          <w:sz w:val="32"/>
          <w:szCs w:val="32"/>
        </w:rPr>
        <w:t>105.02</w:t>
      </w:r>
      <w:r>
        <w:rPr>
          <w:rFonts w:hint="eastAsia" w:ascii="仿宋_GB2312" w:hAnsi="FangSong" w:eastAsia="仿宋_GB2312"/>
          <w:sz w:val="32"/>
          <w:szCs w:val="32"/>
        </w:rPr>
        <w:t>万元，占总支出的</w:t>
      </w:r>
      <w:r>
        <w:rPr>
          <w:rFonts w:ascii="仿宋_GB2312" w:hAnsi="FangSong" w:eastAsia="仿宋_GB2312"/>
          <w:sz w:val="32"/>
          <w:szCs w:val="32"/>
        </w:rPr>
        <w:t>33.43%</w:t>
      </w:r>
      <w:r>
        <w:rPr>
          <w:rFonts w:hint="eastAsia" w:ascii="FangSong" w:hAnsi="FangSong" w:eastAsia="FangSong" w:cs="FangSong"/>
          <w:sz w:val="32"/>
          <w:szCs w:val="32"/>
        </w:rPr>
        <w:t>。按预期完成预算资金的分配。</w:t>
      </w:r>
    </w:p>
    <w:p w14:paraId="77996812">
      <w:pPr>
        <w:snapToGrid w:val="0"/>
        <w:spacing w:line="520" w:lineRule="exact"/>
        <w:ind w:firstLine="640" w:firstLineChars="200"/>
        <w:rPr>
          <w:rFonts w:ascii="FangSong" w:hAnsi="FangSong" w:eastAsia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FangSong" w:hAnsi="FangSong" w:eastAsia="FangSong" w:cs="FangSong"/>
          <w:color w:val="000000"/>
          <w:sz w:val="32"/>
          <w:szCs w:val="32"/>
          <w:shd w:val="clear" w:color="auto" w:fill="FFFFFF"/>
        </w:rPr>
        <w:t>本部门在</w:t>
      </w:r>
      <w:r>
        <w:rPr>
          <w:rFonts w:ascii="FangSong" w:hAnsi="FangSong" w:eastAsia="FangSong" w:cs="FangSong"/>
          <w:color w:val="000000"/>
          <w:sz w:val="32"/>
          <w:szCs w:val="32"/>
          <w:shd w:val="clear" w:color="auto" w:fill="FFFFFF"/>
        </w:rPr>
        <w:t>2024</w:t>
      </w:r>
      <w:r>
        <w:rPr>
          <w:rFonts w:hint="eastAsia" w:ascii="FangSong" w:hAnsi="FangSong" w:eastAsia="FangSong" w:cs="FangSong"/>
          <w:color w:val="000000"/>
          <w:sz w:val="32"/>
          <w:szCs w:val="32"/>
          <w:shd w:val="clear" w:color="auto" w:fill="FFFFFF"/>
        </w:rPr>
        <w:t>年度部门决算中反映</w:t>
      </w:r>
      <w:r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  <w:t>1.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国家级非物质文化遗产保护资金；</w:t>
      </w:r>
      <w:r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  <w:t>2.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“县派乡村振兴驻村帮扶工作队队员经费；</w:t>
      </w:r>
      <w:r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  <w:t>3.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文化馆（站）免费开放专项资金；中央补助地方公共文化服务体系建设专项资金；</w:t>
      </w:r>
      <w:r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  <w:t>4.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“中央支持地方公共文化服务体系建设补助资金；中央支持地方公共文化服务体系建设绩效奖励补助资金；</w:t>
      </w:r>
      <w:r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  <w:t>5.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公共文化服务体系建设（农村文化建设）省级补助资金；中央支持地方公共文化体系建设（一般项目）补助资金”</w:t>
      </w:r>
      <w:r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  <w:t>6.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山区人才下乡等几个大类项目绩效目标实际完成情况，均完成预算的</w:t>
      </w:r>
      <w:r>
        <w:rPr>
          <w:rFonts w:ascii="FangSong" w:hAnsi="FangSong" w:eastAsia="FangSong"/>
          <w:color w:val="000000"/>
          <w:sz w:val="32"/>
          <w:szCs w:val="32"/>
          <w:shd w:val="clear" w:color="auto" w:fill="FFFFFF"/>
        </w:rPr>
        <w:t>100%</w:t>
      </w: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。通过项目实施，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持续推进文化惠民，丰富了群众文化生活，促进乡村文化振兴，有力推动和促进了非物质文化遗产保护与传承项目。</w:t>
      </w:r>
    </w:p>
    <w:p w14:paraId="418D3656">
      <w:pPr>
        <w:snapToGrid w:val="0"/>
        <w:spacing w:line="520" w:lineRule="exact"/>
        <w:ind w:firstLine="640" w:firstLineChars="200"/>
        <w:rPr>
          <w:rFonts w:ascii="SimHei" w:hAnsi="SimHei" w:eastAsia="SimHei" w:cs="SimSun"/>
          <w:color w:val="000000"/>
          <w:kern w:val="0"/>
          <w:sz w:val="32"/>
          <w:szCs w:val="32"/>
        </w:rPr>
      </w:pPr>
      <w:r>
        <w:rPr>
          <w:rFonts w:hint="eastAsia" w:ascii="SimHei" w:hAnsi="SimHei" w:eastAsia="SimHei" w:cs="SimSun"/>
          <w:color w:val="000000"/>
          <w:kern w:val="0"/>
          <w:sz w:val="32"/>
          <w:szCs w:val="32"/>
        </w:rPr>
        <w:t>七、存在的问题及原因分析</w:t>
      </w:r>
    </w:p>
    <w:p w14:paraId="1626952F">
      <w:pPr>
        <w:widowControl/>
        <w:spacing w:line="576" w:lineRule="exact"/>
        <w:ind w:firstLine="640" w:firstLineChars="200"/>
        <w:jc w:val="left"/>
        <w:rPr>
          <w:rFonts w:ascii="??_GB2312" w:hAnsi="??_GB2312" w:cs="??_GB2312"/>
          <w:color w:val="000000"/>
          <w:kern w:val="0"/>
          <w:sz w:val="32"/>
          <w:szCs w:val="32"/>
        </w:rPr>
      </w:pPr>
      <w:r>
        <w:rPr>
          <w:rFonts w:hint="eastAsia" w:ascii="FangSong" w:hAnsi="FangSong" w:eastAsia="FangSong"/>
          <w:color w:val="000000"/>
          <w:sz w:val="32"/>
          <w:szCs w:val="32"/>
          <w:shd w:val="clear" w:color="auto" w:fill="FFFFFF"/>
        </w:rPr>
        <w:t>绩效目标不够具体；预算管理有待提高；县文化馆工作基础有待完善。</w:t>
      </w:r>
    </w:p>
    <w:p w14:paraId="4755DDDB">
      <w:pPr>
        <w:widowControl/>
        <w:spacing w:line="576" w:lineRule="exact"/>
        <w:ind w:firstLine="640" w:firstLineChars="200"/>
        <w:jc w:val="left"/>
        <w:rPr>
          <w:rFonts w:ascii="SimHei" w:hAnsi="SimHei" w:eastAsia="SimHei" w:cs="SimSun"/>
          <w:color w:val="000000"/>
          <w:kern w:val="0"/>
          <w:sz w:val="32"/>
          <w:szCs w:val="32"/>
        </w:rPr>
      </w:pPr>
      <w:r>
        <w:rPr>
          <w:rFonts w:hint="eastAsia" w:ascii="SimHei" w:hAnsi="SimHei" w:eastAsia="SimHei" w:cs="SimSun"/>
          <w:color w:val="000000"/>
          <w:kern w:val="0"/>
          <w:sz w:val="32"/>
          <w:szCs w:val="32"/>
        </w:rPr>
        <w:t>八、下一步改进措施</w:t>
      </w:r>
    </w:p>
    <w:p w14:paraId="35D8E51A">
      <w:pPr>
        <w:widowControl/>
        <w:spacing w:line="576" w:lineRule="exact"/>
        <w:ind w:firstLine="640" w:firstLineChars="200"/>
        <w:jc w:val="left"/>
        <w:rPr>
          <w:rFonts w:ascii="FangSong" w:hAnsi="FangSong" w:eastAsia="FangSong" w:cs="FangSong"/>
          <w:color w:val="000000"/>
          <w:kern w:val="0"/>
          <w:sz w:val="32"/>
          <w:szCs w:val="32"/>
        </w:rPr>
      </w:pPr>
      <w:r>
        <w:rPr>
          <w:rFonts w:hint="eastAsia" w:ascii="FangSong" w:hAnsi="FangSong" w:eastAsia="FangSong" w:cs="FangSong"/>
          <w:color w:val="000000"/>
          <w:kern w:val="0"/>
          <w:sz w:val="32"/>
          <w:szCs w:val="32"/>
        </w:rPr>
        <w:t>建立健全绩效目标管理制度；加强预算执行管理，降低预算控制率；加强绩效管理工作基础建设。进一步规范绩效目标编制。在编制项目资金绩效目标时要求指向明确、细化量化、合理可行、相应匹配。提高预算编制的科学化精细化水平。</w:t>
      </w:r>
    </w:p>
    <w:p w14:paraId="540F82A9">
      <w:pPr>
        <w:widowControl/>
        <w:numPr>
          <w:ilvl w:val="0"/>
          <w:numId w:val="2"/>
        </w:numPr>
        <w:spacing w:line="576" w:lineRule="exact"/>
        <w:ind w:firstLine="640" w:firstLineChars="200"/>
        <w:jc w:val="left"/>
        <w:rPr>
          <w:rFonts w:ascii="SimHei" w:hAnsi="SimHei" w:eastAsia="SimHei" w:cs="SimSun"/>
          <w:color w:val="000000"/>
          <w:kern w:val="0"/>
          <w:sz w:val="32"/>
          <w:szCs w:val="32"/>
        </w:rPr>
      </w:pPr>
      <w:r>
        <w:rPr>
          <w:rFonts w:hint="eastAsia" w:ascii="SimHei" w:hAnsi="SimHei" w:eastAsia="SimHei" w:cs="SimSun"/>
          <w:color w:val="000000"/>
          <w:kern w:val="0"/>
          <w:sz w:val="32"/>
          <w:szCs w:val="32"/>
        </w:rPr>
        <w:t>绩效自评结果拟应用和公开情况</w:t>
      </w:r>
    </w:p>
    <w:p w14:paraId="3C6EEE40">
      <w:pPr>
        <w:widowControl/>
        <w:spacing w:line="576" w:lineRule="exact"/>
        <w:jc w:val="left"/>
        <w:rPr>
          <w:rFonts w:ascii="FangSong" w:hAnsi="FangSong" w:eastAsia="FangSong" w:cs="FangSong"/>
          <w:b/>
          <w:color w:val="000000"/>
          <w:kern w:val="0"/>
          <w:sz w:val="32"/>
          <w:szCs w:val="32"/>
        </w:rPr>
      </w:pPr>
      <w:r>
        <w:rPr>
          <w:rFonts w:hint="eastAsia" w:ascii="FangSong" w:hAnsi="FangSong" w:eastAsia="FangSong" w:cs="FangSong"/>
          <w:b/>
          <w:color w:val="000000"/>
          <w:kern w:val="0"/>
          <w:sz w:val="32"/>
          <w:szCs w:val="32"/>
        </w:rPr>
        <w:t>拟在我局公示栏公开</w:t>
      </w:r>
    </w:p>
    <w:p w14:paraId="5BE84FAF">
      <w:pPr>
        <w:widowControl/>
        <w:spacing w:line="576" w:lineRule="exact"/>
        <w:ind w:firstLine="640" w:firstLineChars="200"/>
        <w:jc w:val="left"/>
        <w:rPr>
          <w:rFonts w:eastAsia="SimHei"/>
          <w:kern w:val="0"/>
          <w:sz w:val="22"/>
        </w:rPr>
      </w:pPr>
      <w:r>
        <w:rPr>
          <w:rFonts w:hint="eastAsia" w:ascii="SimHei" w:hAnsi="SimHei" w:eastAsia="SimHei" w:cs="SimSun"/>
          <w:color w:val="000000"/>
          <w:kern w:val="0"/>
          <w:sz w:val="32"/>
          <w:szCs w:val="32"/>
        </w:rPr>
        <w:t>十、其他需要说明的情况。</w:t>
      </w:r>
    </w:p>
    <w:p w14:paraId="2FD0C7D5">
      <w:pPr>
        <w:widowControl/>
        <w:spacing w:line="576" w:lineRule="exact"/>
        <w:ind w:firstLine="480" w:firstLineChars="20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无</w:t>
      </w:r>
    </w:p>
    <w:p w14:paraId="6891B127">
      <w:pPr>
        <w:pStyle w:val="9"/>
        <w:shd w:val="clear" w:color="auto" w:fill="FFFFFF"/>
        <w:spacing w:before="0" w:beforeAutospacing="0" w:after="0" w:afterAutospacing="0" w:line="600" w:lineRule="exact"/>
        <w:ind w:right="105" w:rightChars="50" w:firstLine="320" w:firstLineChars="100"/>
        <w:rPr>
          <w:rFonts w:ascii="楷体_GB2312" w:hAnsi="楷体_GB2312" w:eastAsia="楷体_GB2312" w:cs="楷体_GB2312"/>
          <w:sz w:val="32"/>
          <w:szCs w:val="3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5" w:h="16837"/>
      <w:pgMar w:top="2098" w:right="1474" w:bottom="1984" w:left="1474" w:header="850" w:footer="1417" w:gutter="0"/>
      <w:pgNumType w:fmt="numberInDash" w:start="1"/>
      <w:cols w:space="0" w:num="1"/>
      <w:docGrid w:type="lines" w:linePitch="6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KaiTi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FangSong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B6CB79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04D74B1A">
                          <w:pPr>
                            <w:pStyle w:val="5"/>
                            <w:rPr>
                              <w:rFonts w:ascii="??_GB2312" w:hAnsi="??_GB2312" w:cs="??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??_GB2312" w:hAnsi="??_GB2312" w:cs="??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??_GB2312" w:hAnsi="??_GB2312" w:cs="??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??_GB2312" w:hAnsi="??_GB2312" w:cs="??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??_GB2312" w:hAnsi="??_GB2312" w:cs="??_GB2312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ascii="??_GB2312" w:hAnsi="??_GB2312" w:cs="??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Ghp&#10;gkvTAAAABQEAAA8AAAAAAAAAAQAgAAAAIgAAAGRycy9kb3ducmV2LnhtbFBLAQIUABQAAAAIAIdO&#10;4kAzymiB7wEAANkDAAAOAAAAAAAAAAEAIAAAACIBAABkcnMvZTJvRG9jLnhtbFBLBQYAAAAABgAG&#10;AFkBAACD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4D74B1A">
                    <w:pPr>
                      <w:pStyle w:val="5"/>
                      <w:rPr>
                        <w:rFonts w:ascii="??_GB2312" w:hAnsi="??_GB2312" w:cs="??_GB2312"/>
                        <w:sz w:val="28"/>
                        <w:szCs w:val="28"/>
                      </w:rPr>
                    </w:pPr>
                    <w:r>
                      <w:rPr>
                        <w:rFonts w:ascii="??_GB2312" w:hAnsi="??_GB2312" w:cs="??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??_GB2312" w:hAnsi="??_GB2312" w:cs="??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??_GB2312" w:hAnsi="??_GB2312" w:cs="??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??_GB2312" w:hAnsi="??_GB2312" w:cs="??_GB2312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ascii="??_GB2312" w:hAnsi="??_GB2312" w:cs="??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5057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E5A06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F5AFF"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7788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D1C82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57FDEC"/>
    <w:multiLevelType w:val="singleLevel"/>
    <w:tmpl w:val="D957FDEC"/>
    <w:lvl w:ilvl="0" w:tentative="0">
      <w:start w:val="9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1">
    <w:nsid w:val="5D61867D"/>
    <w:multiLevelType w:val="singleLevel"/>
    <w:tmpl w:val="5D61867D"/>
    <w:lvl w:ilvl="0" w:tentative="0">
      <w:start w:val="3"/>
      <w:numFmt w:val="chineseCounting"/>
      <w:suff w:val="nothing"/>
      <w:lvlText w:val="%1、"/>
      <w:lvlJc w:val="left"/>
      <w:rPr>
        <w:rFonts w:hint="eastAsia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FmMDFlYTMwZTJkYjA4Yjc1ZDRhZjI0MmZmNGZiN2EifQ=="/>
    <w:docVar w:name="KSO_WPS_MARK_KEY" w:val="efdb9831-49e2-41f3-897e-affe4bfc1ef8"/>
  </w:docVars>
  <w:rsids>
    <w:rsidRoot w:val="5EF91413"/>
    <w:rsid w:val="00052D35"/>
    <w:rsid w:val="000D7D46"/>
    <w:rsid w:val="001D0828"/>
    <w:rsid w:val="001F02DA"/>
    <w:rsid w:val="001F27BC"/>
    <w:rsid w:val="00262520"/>
    <w:rsid w:val="00270608"/>
    <w:rsid w:val="002A7D6F"/>
    <w:rsid w:val="002B127A"/>
    <w:rsid w:val="002B595A"/>
    <w:rsid w:val="002D4B0D"/>
    <w:rsid w:val="002F0D82"/>
    <w:rsid w:val="003062EE"/>
    <w:rsid w:val="003111BE"/>
    <w:rsid w:val="00355E6F"/>
    <w:rsid w:val="003E2793"/>
    <w:rsid w:val="003F11DD"/>
    <w:rsid w:val="003F798E"/>
    <w:rsid w:val="004C5468"/>
    <w:rsid w:val="004D43E2"/>
    <w:rsid w:val="004E640B"/>
    <w:rsid w:val="00512111"/>
    <w:rsid w:val="00592274"/>
    <w:rsid w:val="005B19E8"/>
    <w:rsid w:val="00624A5B"/>
    <w:rsid w:val="00630B10"/>
    <w:rsid w:val="00651AD0"/>
    <w:rsid w:val="00697620"/>
    <w:rsid w:val="006D3719"/>
    <w:rsid w:val="00712ECA"/>
    <w:rsid w:val="007C7F1B"/>
    <w:rsid w:val="007D62DC"/>
    <w:rsid w:val="007F2C1A"/>
    <w:rsid w:val="00817166"/>
    <w:rsid w:val="00826A68"/>
    <w:rsid w:val="008C42C1"/>
    <w:rsid w:val="00904780"/>
    <w:rsid w:val="00970A76"/>
    <w:rsid w:val="009872D6"/>
    <w:rsid w:val="009A0145"/>
    <w:rsid w:val="009B7F0C"/>
    <w:rsid w:val="00A3179B"/>
    <w:rsid w:val="00A40CEF"/>
    <w:rsid w:val="00A84895"/>
    <w:rsid w:val="00AD1332"/>
    <w:rsid w:val="00AD157A"/>
    <w:rsid w:val="00AE5FCA"/>
    <w:rsid w:val="00B83482"/>
    <w:rsid w:val="00BB6A22"/>
    <w:rsid w:val="00CF00E5"/>
    <w:rsid w:val="00D30D45"/>
    <w:rsid w:val="00DF2F64"/>
    <w:rsid w:val="00E04914"/>
    <w:rsid w:val="00E47EB9"/>
    <w:rsid w:val="00E87A79"/>
    <w:rsid w:val="00EA39E5"/>
    <w:rsid w:val="00EF1239"/>
    <w:rsid w:val="00EF286B"/>
    <w:rsid w:val="00EF7465"/>
    <w:rsid w:val="00F054C3"/>
    <w:rsid w:val="00F16539"/>
    <w:rsid w:val="00F5064A"/>
    <w:rsid w:val="00FB0C45"/>
    <w:rsid w:val="00FB5247"/>
    <w:rsid w:val="01881C21"/>
    <w:rsid w:val="02E230B9"/>
    <w:rsid w:val="095202B3"/>
    <w:rsid w:val="0A371C48"/>
    <w:rsid w:val="0A461E15"/>
    <w:rsid w:val="0C485C65"/>
    <w:rsid w:val="0D1F294F"/>
    <w:rsid w:val="11AF4802"/>
    <w:rsid w:val="11B52A65"/>
    <w:rsid w:val="127960C2"/>
    <w:rsid w:val="128706BB"/>
    <w:rsid w:val="128C289E"/>
    <w:rsid w:val="13F1430E"/>
    <w:rsid w:val="14461BE1"/>
    <w:rsid w:val="15E118C5"/>
    <w:rsid w:val="182445B5"/>
    <w:rsid w:val="18C44B05"/>
    <w:rsid w:val="1921258C"/>
    <w:rsid w:val="1A86539E"/>
    <w:rsid w:val="1D514A07"/>
    <w:rsid w:val="1D736768"/>
    <w:rsid w:val="1D7764E0"/>
    <w:rsid w:val="1E02384E"/>
    <w:rsid w:val="1E2D7B42"/>
    <w:rsid w:val="202355A8"/>
    <w:rsid w:val="216A31A0"/>
    <w:rsid w:val="21887F99"/>
    <w:rsid w:val="21F32188"/>
    <w:rsid w:val="229365CD"/>
    <w:rsid w:val="22E7596F"/>
    <w:rsid w:val="2605582B"/>
    <w:rsid w:val="27666297"/>
    <w:rsid w:val="28264A04"/>
    <w:rsid w:val="29BA7B8D"/>
    <w:rsid w:val="29D84B76"/>
    <w:rsid w:val="2B006436"/>
    <w:rsid w:val="2B8F395A"/>
    <w:rsid w:val="2CD96D87"/>
    <w:rsid w:val="2DF15952"/>
    <w:rsid w:val="2E524CA5"/>
    <w:rsid w:val="2E6C7FCB"/>
    <w:rsid w:val="2E88044F"/>
    <w:rsid w:val="3284589B"/>
    <w:rsid w:val="33100617"/>
    <w:rsid w:val="33CF2B0E"/>
    <w:rsid w:val="364A0050"/>
    <w:rsid w:val="36F9338A"/>
    <w:rsid w:val="37779E60"/>
    <w:rsid w:val="39E9356E"/>
    <w:rsid w:val="39F525A2"/>
    <w:rsid w:val="3A0D5147"/>
    <w:rsid w:val="3BCE22FA"/>
    <w:rsid w:val="3C7B06AE"/>
    <w:rsid w:val="3D6A1B31"/>
    <w:rsid w:val="3F13799B"/>
    <w:rsid w:val="4015034D"/>
    <w:rsid w:val="403179F1"/>
    <w:rsid w:val="406010BA"/>
    <w:rsid w:val="43596284"/>
    <w:rsid w:val="43EB701F"/>
    <w:rsid w:val="44BA060E"/>
    <w:rsid w:val="450C2576"/>
    <w:rsid w:val="454063A9"/>
    <w:rsid w:val="47A66F47"/>
    <w:rsid w:val="48190D72"/>
    <w:rsid w:val="491B16E9"/>
    <w:rsid w:val="49B50C04"/>
    <w:rsid w:val="49F422BC"/>
    <w:rsid w:val="4A4C5543"/>
    <w:rsid w:val="4A856EB6"/>
    <w:rsid w:val="4BB72B70"/>
    <w:rsid w:val="4D765FE4"/>
    <w:rsid w:val="4D7F362E"/>
    <w:rsid w:val="4E1B3885"/>
    <w:rsid w:val="4E465C3F"/>
    <w:rsid w:val="4F670C47"/>
    <w:rsid w:val="553254BE"/>
    <w:rsid w:val="553B4087"/>
    <w:rsid w:val="583020DD"/>
    <w:rsid w:val="592547BC"/>
    <w:rsid w:val="59544026"/>
    <w:rsid w:val="59930F48"/>
    <w:rsid w:val="5AB9755B"/>
    <w:rsid w:val="5AF474F0"/>
    <w:rsid w:val="5B742D21"/>
    <w:rsid w:val="5C0351D3"/>
    <w:rsid w:val="5D973665"/>
    <w:rsid w:val="5EF23C04"/>
    <w:rsid w:val="5EF91413"/>
    <w:rsid w:val="5F567206"/>
    <w:rsid w:val="5F875025"/>
    <w:rsid w:val="60D6222F"/>
    <w:rsid w:val="6217071C"/>
    <w:rsid w:val="62CE02E9"/>
    <w:rsid w:val="632C6B3E"/>
    <w:rsid w:val="633F0072"/>
    <w:rsid w:val="64E07CE5"/>
    <w:rsid w:val="666920D7"/>
    <w:rsid w:val="66F756A1"/>
    <w:rsid w:val="67D94CCC"/>
    <w:rsid w:val="681A41ED"/>
    <w:rsid w:val="69380B1B"/>
    <w:rsid w:val="697F7DBF"/>
    <w:rsid w:val="6AF15449"/>
    <w:rsid w:val="6C1733E6"/>
    <w:rsid w:val="6CF536F6"/>
    <w:rsid w:val="6F8673D6"/>
    <w:rsid w:val="6FCF75EC"/>
    <w:rsid w:val="70446EA1"/>
    <w:rsid w:val="707537A6"/>
    <w:rsid w:val="71591FCE"/>
    <w:rsid w:val="71F256AB"/>
    <w:rsid w:val="73133AF6"/>
    <w:rsid w:val="736D4488"/>
    <w:rsid w:val="753A5550"/>
    <w:rsid w:val="75B4584A"/>
    <w:rsid w:val="78FDF452"/>
    <w:rsid w:val="79B733A1"/>
    <w:rsid w:val="7B1A1590"/>
    <w:rsid w:val="7BBF2D2E"/>
    <w:rsid w:val="7CEF2B13"/>
    <w:rsid w:val="7D2C3E42"/>
    <w:rsid w:val="7D2F76D5"/>
    <w:rsid w:val="7DAF813A"/>
    <w:rsid w:val="BEF5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99" w:name="toc 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SimSun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5"/>
    <w:qFormat/>
    <w:uiPriority w:val="99"/>
    <w:pPr>
      <w:keepNext/>
      <w:keepLines/>
      <w:spacing w:line="312" w:lineRule="auto"/>
      <w:jc w:val="center"/>
      <w:outlineLvl w:val="1"/>
    </w:pPr>
    <w:rPr>
      <w:rFonts w:ascii="Cambria" w:hAnsi="Cambria" w:cs="SimSun"/>
      <w:b/>
      <w:bCs/>
      <w:sz w:val="36"/>
      <w:szCs w:val="32"/>
    </w:rPr>
  </w:style>
  <w:style w:type="character" w:default="1" w:styleId="12">
    <w:name w:val="Default Paragraph Font"/>
    <w:semiHidden/>
    <w:uiPriority w:val="99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6"/>
    <w:autoRedefine/>
    <w:uiPriority w:val="99"/>
    <w:pPr>
      <w:spacing w:after="120"/>
    </w:pPr>
  </w:style>
  <w:style w:type="paragraph" w:styleId="5">
    <w:name w:val="footer"/>
    <w:basedOn w:val="1"/>
    <w:link w:val="17"/>
    <w:autoRedefine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autoRedefine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autoRedefine/>
    <w:semiHidden/>
    <w:uiPriority w:val="99"/>
    <w:rPr>
      <w:rFonts w:ascii="SimHei" w:hAnsi="SimHei" w:eastAsia="SimHei" w:cs="SimHei"/>
    </w:rPr>
  </w:style>
  <w:style w:type="paragraph" w:styleId="8">
    <w:name w:val="Subtitle"/>
    <w:basedOn w:val="1"/>
    <w:next w:val="1"/>
    <w:link w:val="19"/>
    <w:autoRedefine/>
    <w:qFormat/>
    <w:uiPriority w:val="99"/>
    <w:pPr>
      <w:ind w:firstLine="200" w:firstLineChars="200"/>
      <w:jc w:val="left"/>
      <w:outlineLvl w:val="2"/>
    </w:pPr>
    <w:rPr>
      <w:rFonts w:ascii="Cambria" w:hAnsi="Cambria" w:eastAsia="SimHei"/>
      <w:bCs/>
      <w:kern w:val="28"/>
      <w:sz w:val="28"/>
      <w:szCs w:val="32"/>
    </w:rPr>
  </w:style>
  <w:style w:type="paragraph" w:styleId="9">
    <w:name w:val="Normal (Web)"/>
    <w:basedOn w:val="1"/>
    <w:autoRedefine/>
    <w:uiPriority w:val="99"/>
    <w:pPr>
      <w:spacing w:before="100" w:beforeAutospacing="1" w:after="100" w:afterAutospacing="1"/>
      <w:jc w:val="left"/>
    </w:pPr>
    <w:rPr>
      <w:kern w:val="0"/>
      <w:sz w:val="24"/>
      <w:szCs w:val="20"/>
    </w:rPr>
  </w:style>
  <w:style w:type="paragraph" w:styleId="10">
    <w:name w:val="Body Text First Indent"/>
    <w:basedOn w:val="4"/>
    <w:link w:val="20"/>
    <w:uiPriority w:val="99"/>
    <w:pPr>
      <w:ind w:firstLine="664"/>
    </w:pPr>
  </w:style>
  <w:style w:type="character" w:styleId="13">
    <w:name w:val="page number"/>
    <w:basedOn w:val="12"/>
    <w:uiPriority w:val="99"/>
    <w:rPr>
      <w:rFonts w:cs="Times New Roman"/>
    </w:rPr>
  </w:style>
  <w:style w:type="character" w:customStyle="1" w:styleId="14">
    <w:name w:val="Heading 1 Char"/>
    <w:basedOn w:val="12"/>
    <w:link w:val="2"/>
    <w:locked/>
    <w:uiPriority w:val="99"/>
    <w:rPr>
      <w:rFonts w:cs="Times New Roman"/>
      <w:b/>
      <w:bCs/>
      <w:kern w:val="44"/>
      <w:sz w:val="44"/>
      <w:szCs w:val="44"/>
    </w:rPr>
  </w:style>
  <w:style w:type="character" w:customStyle="1" w:styleId="15">
    <w:name w:val="Heading 2 Char"/>
    <w:basedOn w:val="12"/>
    <w:link w:val="3"/>
    <w:semiHidden/>
    <w:locked/>
    <w:uiPriority w:val="99"/>
    <w:rPr>
      <w:rFonts w:ascii="Cambria" w:hAnsi="Cambria" w:eastAsia="SimSun" w:cs="Times New Roman"/>
      <w:b/>
      <w:bCs/>
      <w:sz w:val="32"/>
      <w:szCs w:val="32"/>
    </w:rPr>
  </w:style>
  <w:style w:type="character" w:customStyle="1" w:styleId="16">
    <w:name w:val="Body Text Char"/>
    <w:basedOn w:val="12"/>
    <w:link w:val="4"/>
    <w:semiHidden/>
    <w:locked/>
    <w:uiPriority w:val="99"/>
    <w:rPr>
      <w:rFonts w:cs="Times New Roman"/>
      <w:sz w:val="24"/>
      <w:szCs w:val="24"/>
    </w:rPr>
  </w:style>
  <w:style w:type="character" w:customStyle="1" w:styleId="17">
    <w:name w:val="Footer Char"/>
    <w:basedOn w:val="12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8">
    <w:name w:val="Header Char"/>
    <w:basedOn w:val="12"/>
    <w:link w:val="6"/>
    <w:semiHidden/>
    <w:locked/>
    <w:uiPriority w:val="99"/>
    <w:rPr>
      <w:rFonts w:cs="Times New Roman"/>
      <w:sz w:val="18"/>
      <w:szCs w:val="18"/>
    </w:rPr>
  </w:style>
  <w:style w:type="character" w:customStyle="1" w:styleId="19">
    <w:name w:val="Subtitle Char"/>
    <w:basedOn w:val="12"/>
    <w:link w:val="8"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0">
    <w:name w:val="Body Text First Indent Char"/>
    <w:basedOn w:val="16"/>
    <w:link w:val="10"/>
    <w:semiHidden/>
    <w:locked/>
    <w:uiPriority w:val="99"/>
  </w:style>
  <w:style w:type="paragraph" w:customStyle="1" w:styleId="21">
    <w:name w:val="BodyText1I2"/>
    <w:basedOn w:val="22"/>
    <w:autoRedefine/>
    <w:uiPriority w:val="99"/>
    <w:pPr>
      <w:ind w:firstLine="420"/>
    </w:pPr>
  </w:style>
  <w:style w:type="paragraph" w:customStyle="1" w:styleId="22">
    <w:name w:val="BodyTextIndent"/>
    <w:basedOn w:val="1"/>
    <w:autoRedefine/>
    <w:uiPriority w:val="99"/>
    <w:pPr>
      <w:spacing w:after="120"/>
      <w:ind w:left="420" w:leftChars="200" w:firstLine="200" w:firstLineChars="200"/>
      <w:textAlignment w:val="baseline"/>
    </w:pPr>
  </w:style>
  <w:style w:type="paragraph" w:customStyle="1" w:styleId="23">
    <w:name w:val="Default"/>
    <w:autoRedefine/>
    <w:uiPriority w:val="99"/>
    <w:pPr>
      <w:widowControl w:val="0"/>
      <w:autoSpaceDE w:val="0"/>
      <w:autoSpaceDN w:val="0"/>
      <w:adjustRightInd w:val="0"/>
    </w:pPr>
    <w:rPr>
      <w:rFonts w:ascii="??_GB2312" w:hAnsi="Times New Roman" w:eastAsia="Times New Roman" w:cs="??_GB2312"/>
      <w:color w:val="000000"/>
      <w:kern w:val="0"/>
      <w:sz w:val="24"/>
      <w:szCs w:val="24"/>
      <w:lang w:val="en-US" w:eastAsia="zh-CN" w:bidi="ar-SA"/>
    </w:rPr>
  </w:style>
  <w:style w:type="paragraph" w:customStyle="1" w:styleId="24">
    <w:name w:val="无间隔1"/>
    <w:autoRedefine/>
    <w:uiPriority w:val="99"/>
    <w:pPr>
      <w:widowControl w:val="0"/>
      <w:spacing w:beforeLines="50"/>
      <w:jc w:val="center"/>
    </w:pPr>
    <w:rPr>
      <w:rFonts w:ascii="Times New Roman" w:hAnsi="Times New Roman" w:eastAsia="SimSun" w:cs="Times New Roman"/>
      <w:kern w:val="2"/>
      <w:sz w:val="24"/>
      <w:szCs w:val="22"/>
      <w:lang w:val="en-US" w:eastAsia="zh-CN" w:bidi="ar-SA"/>
    </w:rPr>
  </w:style>
  <w:style w:type="paragraph" w:customStyle="1" w:styleId="25">
    <w:name w:val="无缩进"/>
    <w:basedOn w:val="1"/>
    <w:autoRedefine/>
    <w:uiPriority w:val="99"/>
    <w:pPr>
      <w:spacing w:line="312" w:lineRule="auto"/>
    </w:pPr>
    <w:rPr>
      <w:sz w:val="24"/>
      <w:szCs w:val="22"/>
    </w:rPr>
  </w:style>
  <w:style w:type="paragraph" w:customStyle="1" w:styleId="26">
    <w:name w:val="列出段落1"/>
    <w:basedOn w:val="1"/>
    <w:autoRedefine/>
    <w:uiPriority w:val="99"/>
    <w:pPr>
      <w:ind w:firstLine="420" w:firstLineChars="200"/>
    </w:pPr>
  </w:style>
  <w:style w:type="paragraph" w:customStyle="1" w:styleId="27">
    <w:name w:val="列出段落2"/>
    <w:basedOn w:val="1"/>
    <w:autoRedefine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28">
    <w:name w:val="font61"/>
    <w:basedOn w:val="12"/>
    <w:uiPriority w:val="99"/>
    <w:rPr>
      <w:rFonts w:ascii="Times New Roman" w:hAnsi="Times New Roman" w:cs="Times New Roman"/>
      <w:b/>
      <w:color w:val="000000"/>
      <w:sz w:val="28"/>
      <w:szCs w:val="28"/>
      <w:u w:val="none"/>
    </w:rPr>
  </w:style>
  <w:style w:type="character" w:customStyle="1" w:styleId="29">
    <w:name w:val="font121"/>
    <w:basedOn w:val="12"/>
    <w:uiPriority w:val="99"/>
    <w:rPr>
      <w:rFonts w:ascii="Times New Roman" w:hAnsi="Times New Roman" w:cs="Times New Roman"/>
      <w:color w:val="000000"/>
      <w:sz w:val="20"/>
      <w:szCs w:val="20"/>
      <w:u w:val="none"/>
    </w:rPr>
  </w:style>
  <w:style w:type="character" w:customStyle="1" w:styleId="30">
    <w:name w:val="font11"/>
    <w:basedOn w:val="12"/>
    <w:uiPriority w:val="99"/>
    <w:rPr>
      <w:rFonts w:ascii="SimSun" w:hAnsi="SimSun" w:eastAsia="SimSun" w:cs="SimSun"/>
      <w:color w:val="000000"/>
      <w:sz w:val="20"/>
      <w:szCs w:val="20"/>
      <w:u w:val="none"/>
    </w:rPr>
  </w:style>
  <w:style w:type="character" w:customStyle="1" w:styleId="31">
    <w:name w:val="font131"/>
    <w:basedOn w:val="12"/>
    <w:uiPriority w:val="99"/>
    <w:rPr>
      <w:rFonts w:ascii="SimSun" w:hAnsi="SimSun" w:eastAsia="SimSun" w:cs="SimSun"/>
      <w:color w:val="000000"/>
      <w:sz w:val="18"/>
      <w:szCs w:val="18"/>
      <w:u w:val="none"/>
    </w:rPr>
  </w:style>
  <w:style w:type="character" w:customStyle="1" w:styleId="32">
    <w:name w:val="font141"/>
    <w:basedOn w:val="12"/>
    <w:uiPriority w:val="99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33">
    <w:name w:val="font101"/>
    <w:basedOn w:val="12"/>
    <w:uiPriority w:val="99"/>
    <w:rPr>
      <w:rFonts w:ascii="SimSun" w:hAnsi="SimSun" w:eastAsia="SimSun" w:cs="SimSun"/>
      <w:color w:val="000000"/>
      <w:sz w:val="24"/>
      <w:szCs w:val="24"/>
      <w:u w:val="none"/>
    </w:rPr>
  </w:style>
  <w:style w:type="paragraph" w:customStyle="1" w:styleId="34">
    <w:name w:val="Other|1"/>
    <w:basedOn w:val="1"/>
    <w:uiPriority w:val="99"/>
    <w:pPr>
      <w:spacing w:line="238" w:lineRule="exact"/>
    </w:pPr>
    <w:rPr>
      <w:rFonts w:ascii="SimSun" w:hAnsi="SimSun" w:cs="SimSun"/>
      <w:color w:val="1D1433"/>
      <w:sz w:val="20"/>
      <w:szCs w:val="20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1705</Words>
  <Characters>1884</Characters>
  <Lines>0</Lines>
  <Paragraphs>0</Paragraphs>
  <TotalTime>2</TotalTime>
  <ScaleCrop>false</ScaleCrop>
  <LinksUpToDate>false</LinksUpToDate>
  <CharactersWithSpaces>1893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2025-04-24T09:16:00Z</dcterms:created>
  <dc:creator>greatwall</dc:creator>
  <cp:lastModifiedBy>Joanna</cp:lastModifiedBy>
  <cp:lastPrinted>2024-06-18T09:29:00Z</cp:lastPrinted>
  <dcterms:modified xsi:type="dcterms:W3CDTF">2025-04-28T02:28:37Z</dcterms:modified>
  <dc:title>附件4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46E0319C9DAF4AE39AFBE582C88DDF6F_13</vt:lpwstr>
  </property>
  <property fmtid="{D5CDD505-2E9C-101B-9397-08002B2CF9AE}" pid="4" name="commondata">
    <vt:lpwstr>eyJoZGlkIjoiYTYyNDdjODg3NGNlNDkxMWExODY4YWEyMTRmNzM4NmQifQ==</vt:lpwstr>
  </property>
</Properties>
</file>