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348A4">
      <w:pPr>
        <w:widowControl/>
        <w:autoSpaceDN w:val="0"/>
        <w:spacing w:line="576" w:lineRule="exact"/>
        <w:rPr>
          <w:rFonts w:ascii="Microsoft YaHei" w:hAnsi="FangSong" w:eastAsia="Microsoft YaHei" w:cs="SimSun"/>
          <w:bCs/>
          <w:kern w:val="0"/>
          <w:sz w:val="44"/>
          <w:szCs w:val="44"/>
        </w:rPr>
      </w:pPr>
      <w:bookmarkStart w:id="0" w:name="_GoBack"/>
      <w:bookmarkEnd w:id="0"/>
      <w:r>
        <w:pict>
          <v:shape id="_x0000_s1028" o:spid="_x0000_s1028" o:spt="75" alt="" type="#_x0000_t75" style="position:absolute;left:0pt;margin-left:7.5pt;margin-top:-421.7pt;height:757.45pt;width:556.1pt;mso-wrap-distance-left:9pt;mso-wrap-distance-right:9pt;z-index:-251657216;mso-width-relative:page;mso-height-relative:page;" filled="f" o:preferrelative="t" stroked="f" coordsize="21600,21600" wrapcoords="21592 -2 0 0 0 21600 21592 21602 8 21602 21600 21600 21600 0 8 -2 21592 -2">
            <v:path/>
            <v:fill on="f" focussize="0,0"/>
            <v:stroke on="f"/>
            <v:imagedata r:id="rId10" o:title=""/>
            <o:lock v:ext="edit" aspectratio="t"/>
            <w10:wrap type="tight"/>
          </v:shape>
        </w:pict>
      </w:r>
    </w:p>
    <w:p w14:paraId="39B71EFA">
      <w:pPr>
        <w:widowControl/>
        <w:autoSpaceDN w:val="0"/>
        <w:spacing w:line="576" w:lineRule="exact"/>
        <w:rPr>
          <w:rFonts w:ascii="Microsoft YaHei" w:hAnsi="FangSong" w:eastAsia="Microsoft YaHei" w:cs="SimSun"/>
          <w:bCs/>
          <w:kern w:val="0"/>
          <w:sz w:val="44"/>
          <w:szCs w:val="44"/>
        </w:rPr>
      </w:pPr>
    </w:p>
    <w:p w14:paraId="77AF459C">
      <w:pPr>
        <w:widowControl/>
        <w:autoSpaceDN w:val="0"/>
        <w:spacing w:line="576" w:lineRule="exact"/>
        <w:rPr>
          <w:rFonts w:ascii="Microsoft YaHei" w:hAnsi="FangSong" w:eastAsia="Microsoft YaHei" w:cs="SimSun"/>
          <w:bCs/>
          <w:kern w:val="0"/>
          <w:sz w:val="44"/>
          <w:szCs w:val="44"/>
        </w:rPr>
      </w:pPr>
    </w:p>
    <w:p w14:paraId="394534A0">
      <w:pPr>
        <w:widowControl/>
        <w:autoSpaceDN w:val="0"/>
        <w:spacing w:line="576" w:lineRule="exact"/>
        <w:rPr>
          <w:rFonts w:ascii="Microsoft YaHei" w:hAnsi="FangSong" w:eastAsia="Microsoft YaHei" w:cs="SimSun"/>
          <w:bCs/>
          <w:kern w:val="0"/>
          <w:sz w:val="44"/>
          <w:szCs w:val="44"/>
        </w:rPr>
      </w:pPr>
    </w:p>
    <w:p w14:paraId="448FB294">
      <w:pPr>
        <w:widowControl/>
        <w:autoSpaceDN w:val="0"/>
        <w:spacing w:line="576" w:lineRule="exact"/>
        <w:rPr>
          <w:rFonts w:ascii="Microsoft YaHei" w:hAnsi="FangSong" w:eastAsia="Microsoft YaHei" w:cs="SimSun"/>
          <w:bCs/>
          <w:kern w:val="0"/>
          <w:sz w:val="44"/>
          <w:szCs w:val="44"/>
        </w:rPr>
      </w:pPr>
    </w:p>
    <w:p w14:paraId="6FB6EBAB">
      <w:pPr>
        <w:widowControl/>
        <w:autoSpaceDN w:val="0"/>
        <w:spacing w:line="576" w:lineRule="exact"/>
        <w:rPr>
          <w:rFonts w:ascii="Microsoft YaHei" w:hAnsi="FangSong" w:eastAsia="Microsoft YaHei" w:cs="SimSun"/>
          <w:bCs/>
          <w:kern w:val="0"/>
          <w:sz w:val="44"/>
          <w:szCs w:val="44"/>
        </w:rPr>
      </w:pPr>
    </w:p>
    <w:p w14:paraId="785B3F65">
      <w:pPr>
        <w:widowControl/>
        <w:autoSpaceDN w:val="0"/>
        <w:spacing w:line="576" w:lineRule="exact"/>
        <w:rPr>
          <w:rFonts w:ascii="Microsoft YaHei" w:hAnsi="FangSong" w:eastAsia="Microsoft YaHei" w:cs="SimSun"/>
          <w:bCs/>
          <w:kern w:val="0"/>
          <w:sz w:val="44"/>
          <w:szCs w:val="44"/>
        </w:rPr>
      </w:pPr>
    </w:p>
    <w:p w14:paraId="2C9CEC55">
      <w:pPr>
        <w:widowControl/>
        <w:autoSpaceDN w:val="0"/>
        <w:spacing w:line="576" w:lineRule="exact"/>
        <w:ind w:firstLine="880"/>
        <w:jc w:val="center"/>
        <w:rPr>
          <w:rFonts w:ascii="Microsoft YaHei" w:hAnsi="FangSong" w:eastAsia="Microsoft YaHei" w:cs="SimSun"/>
          <w:bCs/>
          <w:kern w:val="0"/>
          <w:sz w:val="44"/>
          <w:szCs w:val="44"/>
        </w:rPr>
      </w:pPr>
      <w:r>
        <w:rPr>
          <w:rFonts w:ascii="Microsoft YaHei" w:hAnsi="FangSong" w:eastAsia="Microsoft YaHei" w:cs="SimSun"/>
          <w:bCs/>
          <w:kern w:val="0"/>
          <w:sz w:val="44"/>
          <w:szCs w:val="44"/>
        </w:rPr>
        <w:t>2024</w:t>
      </w:r>
      <w:r>
        <w:rPr>
          <w:rFonts w:hint="eastAsia" w:ascii="Microsoft YaHei" w:hAnsi="FangSong" w:eastAsia="Microsoft YaHei" w:cs="SimSun"/>
          <w:bCs/>
          <w:kern w:val="0"/>
          <w:sz w:val="44"/>
          <w:szCs w:val="44"/>
        </w:rPr>
        <w:t>年度安化县平口文化馆整体支出</w:t>
      </w:r>
    </w:p>
    <w:p w14:paraId="6C3B9C6A">
      <w:pPr>
        <w:widowControl/>
        <w:autoSpaceDN w:val="0"/>
        <w:spacing w:line="576" w:lineRule="exact"/>
        <w:ind w:firstLine="880"/>
        <w:jc w:val="center"/>
        <w:rPr>
          <w:rFonts w:ascii="Microsoft YaHei" w:hAnsi="FangSong" w:eastAsia="Microsoft YaHei" w:cs="SimSun"/>
          <w:bCs/>
          <w:kern w:val="0"/>
          <w:sz w:val="44"/>
          <w:szCs w:val="44"/>
        </w:rPr>
      </w:pPr>
      <w:r>
        <w:rPr>
          <w:rFonts w:hint="eastAsia" w:ascii="Microsoft YaHei" w:hAnsi="FangSong" w:eastAsia="Microsoft YaHei" w:cs="SimSun"/>
          <w:bCs/>
          <w:kern w:val="0"/>
          <w:sz w:val="44"/>
          <w:szCs w:val="44"/>
        </w:rPr>
        <w:t>绩效自评报告</w:t>
      </w:r>
    </w:p>
    <w:p w14:paraId="06422A03">
      <w:pPr>
        <w:ind w:firstLine="640" w:firstLineChars="200"/>
        <w:rPr>
          <w:rFonts w:ascii="FangSong" w:hAnsi="FangSong" w:eastAsia="FangSong" w:cs="FangSong"/>
          <w:sz w:val="32"/>
          <w:szCs w:val="32"/>
        </w:rPr>
      </w:pPr>
    </w:p>
    <w:p w14:paraId="48BA47BE">
      <w:pPr>
        <w:widowControl/>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一、部门</w:t>
      </w:r>
      <w:r>
        <w:rPr>
          <w:rFonts w:ascii="SimHei" w:hAnsi="SimHei" w:eastAsia="SimHei" w:cs="SimSun"/>
          <w:color w:val="000000"/>
          <w:kern w:val="0"/>
          <w:sz w:val="32"/>
          <w:szCs w:val="32"/>
        </w:rPr>
        <w:t>(</w:t>
      </w:r>
      <w:r>
        <w:rPr>
          <w:rFonts w:hint="eastAsia" w:ascii="SimHei" w:hAnsi="SimHei" w:eastAsia="SimHei" w:cs="SimSun"/>
          <w:color w:val="000000"/>
          <w:kern w:val="0"/>
          <w:sz w:val="32"/>
          <w:szCs w:val="32"/>
        </w:rPr>
        <w:t>单位</w:t>
      </w:r>
      <w:r>
        <w:rPr>
          <w:rFonts w:ascii="SimHei" w:hAnsi="SimHei" w:eastAsia="SimHei" w:cs="SimSun"/>
          <w:color w:val="000000"/>
          <w:kern w:val="0"/>
          <w:sz w:val="32"/>
          <w:szCs w:val="32"/>
        </w:rPr>
        <w:t>)</w:t>
      </w:r>
      <w:r>
        <w:rPr>
          <w:rFonts w:hint="eastAsia" w:ascii="SimHei" w:hAnsi="SimHei" w:eastAsia="SimHei" w:cs="SimSun"/>
          <w:color w:val="000000"/>
          <w:kern w:val="0"/>
          <w:sz w:val="32"/>
          <w:szCs w:val="32"/>
        </w:rPr>
        <w:t>基本情况</w:t>
      </w:r>
    </w:p>
    <w:p w14:paraId="6F509E7A">
      <w:pPr>
        <w:widowControl/>
        <w:spacing w:line="576" w:lineRule="exact"/>
        <w:ind w:firstLine="640" w:firstLineChars="200"/>
        <w:jc w:val="left"/>
        <w:rPr>
          <w:rFonts w:ascii="楷体_GB2312" w:hAnsi="楷体_GB2312" w:eastAsia="楷体_GB2312" w:cs="楷体_GB2312"/>
          <w:color w:val="000000"/>
          <w:kern w:val="0"/>
          <w:sz w:val="32"/>
          <w:szCs w:val="32"/>
        </w:rPr>
      </w:pPr>
      <w:r>
        <w:rPr>
          <w:rFonts w:ascii="楷体_GB2312" w:hAnsi="楷体_GB2312" w:eastAsia="楷体_GB2312" w:cs="楷体_GB2312"/>
          <w:color w:val="000000"/>
          <w:kern w:val="0"/>
          <w:sz w:val="32"/>
          <w:szCs w:val="32"/>
        </w:rPr>
        <w:t>(</w:t>
      </w:r>
      <w:r>
        <w:rPr>
          <w:rFonts w:hint="eastAsia" w:ascii="楷体_GB2312" w:hAnsi="楷体_GB2312" w:eastAsia="楷体_GB2312" w:cs="楷体_GB2312"/>
          <w:color w:val="000000"/>
          <w:kern w:val="0"/>
          <w:sz w:val="32"/>
          <w:szCs w:val="32"/>
        </w:rPr>
        <w:t>一</w:t>
      </w:r>
      <w:r>
        <w:rPr>
          <w:rFonts w:ascii="楷体_GB2312" w:hAnsi="楷体_GB2312" w:eastAsia="楷体_GB2312" w:cs="楷体_GB2312"/>
          <w:color w:val="000000"/>
          <w:kern w:val="0"/>
          <w:sz w:val="32"/>
          <w:szCs w:val="32"/>
        </w:rPr>
        <w:t>)</w:t>
      </w:r>
      <w:r>
        <w:rPr>
          <w:rFonts w:hint="eastAsia" w:ascii="楷体_GB2312" w:hAnsi="楷体_GB2312" w:eastAsia="楷体_GB2312" w:cs="楷体_GB2312"/>
          <w:color w:val="000000"/>
          <w:kern w:val="0"/>
          <w:sz w:val="32"/>
          <w:szCs w:val="32"/>
        </w:rPr>
        <w:t>简要介绍</w:t>
      </w:r>
      <w:r>
        <w:rPr>
          <w:rFonts w:ascii="楷体_GB2312" w:hAnsi="楷体_GB2312" w:eastAsia="楷体_GB2312" w:cs="楷体_GB2312"/>
          <w:color w:val="000000"/>
          <w:kern w:val="0"/>
          <w:sz w:val="32"/>
          <w:szCs w:val="32"/>
        </w:rPr>
        <w:t>2024</w:t>
      </w:r>
      <w:r>
        <w:rPr>
          <w:rFonts w:hint="eastAsia" w:ascii="楷体_GB2312" w:hAnsi="楷体_GB2312" w:eastAsia="楷体_GB2312" w:cs="楷体_GB2312"/>
          <w:color w:val="000000"/>
          <w:kern w:val="0"/>
          <w:sz w:val="32"/>
          <w:szCs w:val="32"/>
        </w:rPr>
        <w:t>年度重点工作</w:t>
      </w:r>
    </w:p>
    <w:p w14:paraId="6C4F4882">
      <w:pPr>
        <w:ind w:firstLine="640" w:firstLineChars="200"/>
        <w:rPr>
          <w:rFonts w:ascii="FangSong" w:hAnsi="FangSong" w:eastAsia="FangSong" w:cs="FangSong"/>
          <w:sz w:val="32"/>
          <w:szCs w:val="32"/>
        </w:rPr>
      </w:pPr>
      <w:r>
        <w:rPr>
          <w:rFonts w:ascii="FangSong" w:hAnsi="FangSong" w:eastAsia="FangSong" w:cs="FangSong"/>
          <w:sz w:val="32"/>
          <w:szCs w:val="32"/>
        </w:rPr>
        <w:t>2024</w:t>
      </w:r>
      <w:r>
        <w:rPr>
          <w:rFonts w:hint="eastAsia" w:ascii="FangSong" w:hAnsi="FangSong" w:eastAsia="FangSong" w:cs="FangSong"/>
          <w:sz w:val="32"/>
          <w:szCs w:val="32"/>
        </w:rPr>
        <w:t>年，平口文化馆按照上级主管部门的工作部署，努力做好业务工作，切实提高公共文化服务能力，推动文化发展繁荣，确保各项工作有效稳步推进。</w:t>
      </w:r>
    </w:p>
    <w:p w14:paraId="50AEDF11">
      <w:pPr>
        <w:ind w:firstLine="640" w:firstLineChars="200"/>
        <w:rPr>
          <w:rFonts w:ascii="FangSong" w:hAnsi="FangSong" w:eastAsia="FangSong"/>
          <w:sz w:val="32"/>
          <w:szCs w:val="32"/>
        </w:rPr>
      </w:pPr>
      <w:r>
        <w:rPr>
          <w:rFonts w:ascii="FangSong" w:hAnsi="FangSong" w:eastAsia="FangSong" w:cs="FangSong"/>
          <w:sz w:val="32"/>
          <w:szCs w:val="32"/>
        </w:rPr>
        <w:t>1.</w:t>
      </w:r>
      <w:r>
        <w:rPr>
          <w:rFonts w:hint="eastAsia" w:ascii="FangSong" w:hAnsi="FangSong" w:eastAsia="FangSong" w:cs="FangSong"/>
          <w:sz w:val="32"/>
          <w:szCs w:val="32"/>
        </w:rPr>
        <w:t>免费开放有序进行</w:t>
      </w:r>
      <w:r>
        <w:rPr>
          <w:rFonts w:hint="eastAsia" w:ascii="SimHei" w:hAnsi="SimHei" w:eastAsia="SimHei" w:cs="SimHei"/>
          <w:sz w:val="32"/>
          <w:szCs w:val="32"/>
        </w:rPr>
        <w:t>：</w:t>
      </w:r>
      <w:r>
        <w:rPr>
          <w:rFonts w:ascii="FangSong" w:hAnsi="FangSong" w:eastAsia="FangSong" w:cs="FangSong"/>
          <w:sz w:val="32"/>
          <w:szCs w:val="32"/>
        </w:rPr>
        <w:t>(1)</w:t>
      </w:r>
      <w:r>
        <w:rPr>
          <w:rFonts w:hint="eastAsia" w:ascii="FangSong" w:hAnsi="FangSong" w:eastAsia="FangSong" w:cs="FangSong"/>
          <w:sz w:val="32"/>
          <w:szCs w:val="32"/>
        </w:rPr>
        <w:t>充分搞好公共文化服务。对文化馆公共场馆实行全天制免费开放，</w:t>
      </w:r>
      <w:r>
        <w:rPr>
          <w:rFonts w:hint="eastAsia" w:ascii="FangSong" w:hAnsi="FangSong" w:eastAsia="FangSong"/>
          <w:sz w:val="32"/>
          <w:szCs w:val="32"/>
        </w:rPr>
        <w:t>每周开放时间达</w:t>
      </w:r>
      <w:r>
        <w:rPr>
          <w:rFonts w:ascii="FangSong" w:hAnsi="FangSong" w:eastAsia="FangSong"/>
          <w:sz w:val="32"/>
          <w:szCs w:val="32"/>
        </w:rPr>
        <w:t>50</w:t>
      </w:r>
      <w:r>
        <w:rPr>
          <w:rFonts w:hint="eastAsia" w:ascii="FangSong" w:hAnsi="FangSong" w:eastAsia="FangSong"/>
          <w:sz w:val="32"/>
          <w:szCs w:val="32"/>
        </w:rPr>
        <w:t>余小时。</w:t>
      </w:r>
      <w:r>
        <w:rPr>
          <w:rFonts w:ascii="FangSong" w:hAnsi="FangSong" w:eastAsia="FangSong"/>
          <w:sz w:val="32"/>
          <w:szCs w:val="32"/>
        </w:rPr>
        <w:t>(2)</w:t>
      </w:r>
      <w:r>
        <w:rPr>
          <w:rFonts w:hint="eastAsia" w:ascii="FangSong" w:hAnsi="FangSong" w:eastAsia="FangSong"/>
          <w:sz w:val="32"/>
          <w:szCs w:val="32"/>
        </w:rPr>
        <w:t>展艺术培训。开展了一系列茶艺培训、梅山山歌培训、手机摄影讲座、舞蹈培训、读书活动等活动，吸引更多的群众参与文化服务活动。</w:t>
      </w:r>
    </w:p>
    <w:p w14:paraId="559054A0">
      <w:pPr>
        <w:ind w:firstLine="640" w:firstLineChars="200"/>
        <w:rPr>
          <w:rFonts w:ascii="FangSong" w:hAnsi="FangSong" w:eastAsia="FangSong"/>
          <w:sz w:val="32"/>
          <w:szCs w:val="32"/>
        </w:rPr>
      </w:pPr>
      <w:r>
        <w:rPr>
          <w:rFonts w:ascii="SimHei" w:hAnsi="SimHei" w:eastAsia="SimHei" w:cs="SimHei"/>
          <w:sz w:val="32"/>
          <w:szCs w:val="32"/>
        </w:rPr>
        <w:t>2</w:t>
      </w:r>
      <w:r>
        <w:rPr>
          <w:rFonts w:ascii="FangSong" w:hAnsi="FangSong" w:eastAsia="FangSong"/>
          <w:sz w:val="32"/>
          <w:szCs w:val="32"/>
        </w:rPr>
        <w:t>.</w:t>
      </w:r>
      <w:r>
        <w:rPr>
          <w:rFonts w:hint="eastAsia" w:ascii="FangSong" w:hAnsi="FangSong" w:eastAsia="FangSong"/>
          <w:sz w:val="32"/>
          <w:szCs w:val="32"/>
        </w:rPr>
        <w:t>开展了丰富多彩的群众文化活动</w:t>
      </w:r>
    </w:p>
    <w:p w14:paraId="66B79734">
      <w:pPr>
        <w:ind w:firstLine="640" w:firstLineChars="200"/>
        <w:rPr>
          <w:rFonts w:ascii="FangSong" w:hAnsi="FangSong" w:eastAsia="FangSong" w:cs="FangSong"/>
          <w:sz w:val="32"/>
          <w:szCs w:val="32"/>
        </w:rPr>
      </w:pPr>
      <w:r>
        <w:rPr>
          <w:rFonts w:ascii="FangSong" w:hAnsi="FangSong" w:eastAsia="FangSong" w:cs="FangSong"/>
          <w:sz w:val="32"/>
          <w:szCs w:val="32"/>
        </w:rPr>
        <w:t>3.</w:t>
      </w:r>
      <w:r>
        <w:rPr>
          <w:rFonts w:hint="eastAsia" w:ascii="FangSong" w:hAnsi="FangSong" w:eastAsia="FangSong" w:cs="FangSong"/>
          <w:sz w:val="32"/>
          <w:szCs w:val="32"/>
        </w:rPr>
        <w:t>日常工作稳步进行</w:t>
      </w:r>
    </w:p>
    <w:p w14:paraId="7467BA10">
      <w:pPr>
        <w:ind w:firstLine="640" w:firstLineChars="200"/>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（二）整体支出规模、使用方向、主要内容和涉及范围</w:t>
      </w:r>
    </w:p>
    <w:p w14:paraId="4E216537">
      <w:pPr>
        <w:pStyle w:val="24"/>
        <w:ind w:firstLine="640" w:firstLineChars="200"/>
        <w:rPr>
          <w:rFonts w:ascii="仿宋_GB2312" w:hAnsi="仿宋_GB2312" w:eastAsia="仿宋_GB2312" w:cs="仿宋_GB2312"/>
          <w:color w:val="auto"/>
          <w:kern w:val="2"/>
          <w:sz w:val="32"/>
          <w:szCs w:val="32"/>
        </w:rPr>
      </w:pPr>
      <w:r>
        <w:rPr>
          <w:rFonts w:ascii="仿宋_GB2312" w:hAnsi="FangSong" w:eastAsia="仿宋_GB2312"/>
          <w:sz w:val="32"/>
          <w:szCs w:val="32"/>
        </w:rPr>
        <w:t>2024</w:t>
      </w:r>
      <w:r>
        <w:rPr>
          <w:rFonts w:hint="eastAsia" w:ascii="仿宋_GB2312" w:hAnsi="FangSong" w:eastAsia="仿宋_GB2312"/>
          <w:sz w:val="32"/>
          <w:szCs w:val="32"/>
        </w:rPr>
        <w:t>年度平口文化馆收入、支出年初预算总计</w:t>
      </w:r>
      <w:r>
        <w:rPr>
          <w:rFonts w:ascii="仿宋_GB2312" w:hAnsi="仿宋_GB2312" w:eastAsia="仿宋_GB2312" w:cs="仿宋_GB2312"/>
          <w:sz w:val="32"/>
          <w:szCs w:val="32"/>
        </w:rPr>
        <w:t>51.64</w:t>
      </w:r>
      <w:r>
        <w:rPr>
          <w:rFonts w:hint="eastAsia" w:ascii="仿宋_GB2312" w:hAnsi="FangSong" w:eastAsia="仿宋_GB2312"/>
          <w:sz w:val="32"/>
          <w:szCs w:val="32"/>
        </w:rPr>
        <w:t>万元，全年收入、支出总计</w:t>
      </w:r>
      <w:r>
        <w:rPr>
          <w:rFonts w:ascii="仿宋_GB2312" w:hAnsi="仿宋_GB2312" w:eastAsia="仿宋_GB2312" w:cs="仿宋_GB2312"/>
          <w:sz w:val="32"/>
          <w:szCs w:val="32"/>
        </w:rPr>
        <w:t>123.25</w:t>
      </w:r>
      <w:r>
        <w:rPr>
          <w:rFonts w:hint="eastAsia" w:ascii="仿宋_GB2312" w:hAnsi="FangSong" w:eastAsia="仿宋_GB2312"/>
          <w:sz w:val="32"/>
          <w:szCs w:val="32"/>
        </w:rPr>
        <w:t>万元。</w:t>
      </w:r>
      <w:r>
        <w:rPr>
          <w:rFonts w:hint="eastAsia" w:ascii="仿宋_GB2312" w:hAnsi="仿宋_GB2312" w:eastAsia="仿宋_GB2312" w:cs="仿宋_GB2312"/>
          <w:color w:val="auto"/>
          <w:kern w:val="2"/>
          <w:sz w:val="32"/>
          <w:szCs w:val="32"/>
        </w:rPr>
        <w:t>主要使用方向为：</w:t>
      </w:r>
    </w:p>
    <w:p w14:paraId="61E4113C">
      <w:pPr>
        <w:pStyle w:val="24"/>
        <w:ind w:firstLine="640" w:firstLineChars="200"/>
        <w:rPr>
          <w:rFonts w:ascii="仿宋_GB2312" w:hAnsi="仿宋_GB2312" w:eastAsia="仿宋_GB2312" w:cs="仿宋_GB2312"/>
          <w:color w:val="auto"/>
          <w:kern w:val="2"/>
          <w:sz w:val="32"/>
          <w:szCs w:val="32"/>
        </w:rPr>
      </w:pPr>
      <w:r>
        <w:rPr>
          <w:rFonts w:ascii="仿宋_GB2312" w:hAnsi="仿宋_GB2312" w:eastAsia="仿宋_GB2312" w:cs="仿宋_GB2312"/>
          <w:color w:val="auto"/>
          <w:kern w:val="2"/>
          <w:sz w:val="32"/>
          <w:szCs w:val="32"/>
        </w:rPr>
        <w:t>1.</w:t>
      </w:r>
      <w:r>
        <w:rPr>
          <w:rFonts w:hint="eastAsia" w:ascii="仿宋_GB2312" w:hAnsi="仿宋_GB2312" w:eastAsia="仿宋_GB2312" w:cs="仿宋_GB2312"/>
          <w:color w:val="auto"/>
          <w:kern w:val="2"/>
          <w:sz w:val="32"/>
          <w:szCs w:val="32"/>
        </w:rPr>
        <w:t>文化旅游体育与传媒支出（类）文化和旅游（款）行政运行（项）。年初预算为</w:t>
      </w:r>
      <w:r>
        <w:rPr>
          <w:rFonts w:ascii="仿宋_GB2312" w:hAnsi="仿宋_GB2312" w:eastAsia="仿宋_GB2312" w:cs="仿宋_GB2312"/>
          <w:color w:val="auto"/>
          <w:kern w:val="2"/>
          <w:sz w:val="32"/>
          <w:szCs w:val="32"/>
        </w:rPr>
        <w:t>38.91</w:t>
      </w:r>
      <w:r>
        <w:rPr>
          <w:rFonts w:hint="eastAsia" w:ascii="仿宋_GB2312" w:hAnsi="仿宋_GB2312" w:eastAsia="仿宋_GB2312" w:cs="仿宋_GB2312"/>
          <w:color w:val="auto"/>
          <w:kern w:val="2"/>
          <w:sz w:val="32"/>
          <w:szCs w:val="32"/>
        </w:rPr>
        <w:t>万元，支出决算为</w:t>
      </w:r>
      <w:r>
        <w:rPr>
          <w:rFonts w:ascii="仿宋_GB2312" w:hAnsi="仿宋_GB2312" w:eastAsia="仿宋_GB2312" w:cs="仿宋_GB2312"/>
          <w:color w:val="auto"/>
          <w:kern w:val="2"/>
          <w:sz w:val="32"/>
          <w:szCs w:val="32"/>
        </w:rPr>
        <w:t>40.95</w:t>
      </w:r>
      <w:r>
        <w:rPr>
          <w:rFonts w:hint="eastAsia" w:ascii="仿宋_GB2312" w:hAnsi="仿宋_GB2312" w:eastAsia="仿宋_GB2312" w:cs="仿宋_GB2312"/>
          <w:color w:val="auto"/>
          <w:kern w:val="2"/>
          <w:sz w:val="32"/>
          <w:szCs w:val="32"/>
        </w:rPr>
        <w:t>万元</w:t>
      </w:r>
      <w:r>
        <w:rPr>
          <w:rFonts w:hint="eastAsia" w:ascii="FangSong" w:hAnsi="FangSong" w:eastAsia="FangSong" w:cs="FangSong"/>
          <w:color w:val="auto"/>
          <w:kern w:val="2"/>
          <w:sz w:val="32"/>
          <w:szCs w:val="32"/>
        </w:rPr>
        <w:t>，主要为职工工资津贴及绩效奖金，运行经费等；</w:t>
      </w:r>
    </w:p>
    <w:p w14:paraId="2262BDE0">
      <w:pPr>
        <w:pStyle w:val="24"/>
        <w:ind w:firstLine="640" w:firstLineChars="200"/>
        <w:rPr>
          <w:rFonts w:ascii="仿宋_GB2312" w:hAnsi="仿宋_GB2312" w:eastAsia="仿宋_GB2312" w:cs="仿宋_GB2312"/>
          <w:color w:val="auto"/>
          <w:kern w:val="2"/>
          <w:sz w:val="32"/>
          <w:szCs w:val="32"/>
        </w:rPr>
      </w:pPr>
      <w:r>
        <w:rPr>
          <w:rFonts w:ascii="FangSong" w:hAnsi="FangSong" w:eastAsia="FangSong" w:cs="FangSong"/>
          <w:color w:val="auto"/>
          <w:kern w:val="2"/>
          <w:sz w:val="32"/>
          <w:szCs w:val="32"/>
        </w:rPr>
        <w:t>2.</w:t>
      </w:r>
      <w:r>
        <w:rPr>
          <w:rFonts w:hint="eastAsia" w:ascii="仿宋_GB2312" w:hAnsi="仿宋_GB2312" w:eastAsia="仿宋_GB2312" w:cs="仿宋_GB2312"/>
          <w:color w:val="auto"/>
          <w:kern w:val="2"/>
          <w:sz w:val="32"/>
          <w:szCs w:val="32"/>
        </w:rPr>
        <w:t>文化旅游体育与传媒支出（类）文化和旅游（款）其他文化和旅游支出（项）。年初预算为</w:t>
      </w:r>
      <w:r>
        <w:rPr>
          <w:rFonts w:ascii="仿宋_GB2312" w:hAnsi="仿宋_GB2312" w:eastAsia="仿宋_GB2312" w:cs="仿宋_GB2312"/>
          <w:color w:val="auto"/>
          <w:kern w:val="2"/>
          <w:sz w:val="32"/>
          <w:szCs w:val="32"/>
        </w:rPr>
        <w:t>0</w:t>
      </w:r>
      <w:r>
        <w:rPr>
          <w:rFonts w:hint="eastAsia" w:ascii="仿宋_GB2312" w:hAnsi="仿宋_GB2312" w:eastAsia="仿宋_GB2312" w:cs="仿宋_GB2312"/>
          <w:color w:val="auto"/>
          <w:kern w:val="2"/>
          <w:sz w:val="32"/>
          <w:szCs w:val="32"/>
        </w:rPr>
        <w:t>万元，支出决算为</w:t>
      </w:r>
      <w:r>
        <w:rPr>
          <w:rFonts w:ascii="仿宋_GB2312" w:hAnsi="仿宋_GB2312" w:eastAsia="仿宋_GB2312" w:cs="仿宋_GB2312"/>
          <w:color w:val="auto"/>
          <w:kern w:val="2"/>
          <w:sz w:val="32"/>
          <w:szCs w:val="32"/>
        </w:rPr>
        <w:t>55.32</w:t>
      </w:r>
      <w:r>
        <w:rPr>
          <w:rFonts w:hint="eastAsia" w:ascii="仿宋_GB2312" w:hAnsi="仿宋_GB2312" w:eastAsia="仿宋_GB2312" w:cs="仿宋_GB2312"/>
          <w:color w:val="auto"/>
          <w:kern w:val="2"/>
          <w:sz w:val="32"/>
          <w:szCs w:val="32"/>
        </w:rPr>
        <w:t>万元</w:t>
      </w:r>
      <w:r>
        <w:rPr>
          <w:rFonts w:hint="eastAsia" w:ascii="FangSong" w:hAnsi="FangSong" w:eastAsia="FangSong" w:cs="FangSong"/>
          <w:color w:val="auto"/>
          <w:kern w:val="2"/>
          <w:sz w:val="32"/>
          <w:szCs w:val="32"/>
        </w:rPr>
        <w:t>；主要为</w:t>
      </w:r>
      <w:r>
        <w:rPr>
          <w:rFonts w:hint="eastAsia" w:ascii="仿宋_GB2312" w:hAnsi="仿宋_GB2312" w:eastAsia="仿宋_GB2312" w:cs="仿宋_GB2312"/>
          <w:color w:val="auto"/>
          <w:kern w:val="2"/>
          <w:sz w:val="32"/>
          <w:szCs w:val="32"/>
        </w:rPr>
        <w:t>中央补助地方公共文化服务体系建设，非税收入返还资金；</w:t>
      </w:r>
    </w:p>
    <w:p w14:paraId="3C03DEBF">
      <w:pPr>
        <w:pStyle w:val="24"/>
        <w:ind w:firstLine="640" w:firstLineChars="200"/>
        <w:rPr>
          <w:rFonts w:ascii="仿宋_GB2312" w:hAnsi="仿宋_GB2312" w:eastAsia="仿宋_GB2312" w:cs="仿宋_GB2312"/>
          <w:color w:val="auto"/>
          <w:kern w:val="2"/>
          <w:sz w:val="32"/>
          <w:szCs w:val="32"/>
        </w:rPr>
      </w:pPr>
      <w:r>
        <w:rPr>
          <w:rFonts w:ascii="FangSong" w:hAnsi="FangSong" w:eastAsia="FangSong" w:cs="FangSong"/>
          <w:color w:val="auto"/>
          <w:kern w:val="2"/>
          <w:sz w:val="32"/>
          <w:szCs w:val="32"/>
        </w:rPr>
        <w:t xml:space="preserve">3. </w:t>
      </w:r>
      <w:r>
        <w:rPr>
          <w:rFonts w:hint="eastAsia" w:ascii="FangSong" w:hAnsi="FangSong" w:eastAsia="FangSong" w:cs="FangSong"/>
          <w:color w:val="auto"/>
          <w:kern w:val="2"/>
          <w:sz w:val="32"/>
          <w:szCs w:val="32"/>
        </w:rPr>
        <w:t>文化旅游体育与传媒支出（类）文化和旅游（款）其他文化和旅游支出（项），</w:t>
      </w:r>
      <w:r>
        <w:rPr>
          <w:rFonts w:hint="eastAsia" w:ascii="仿宋_GB2312" w:hAnsi="仿宋_GB2312" w:eastAsia="仿宋_GB2312" w:cs="仿宋_GB2312"/>
          <w:color w:val="auto"/>
          <w:kern w:val="2"/>
          <w:sz w:val="32"/>
          <w:szCs w:val="32"/>
        </w:rPr>
        <w:t>年初预算为</w:t>
      </w:r>
      <w:r>
        <w:rPr>
          <w:rFonts w:ascii="仿宋_GB2312" w:hAnsi="仿宋_GB2312" w:eastAsia="仿宋_GB2312" w:cs="仿宋_GB2312"/>
          <w:color w:val="auto"/>
          <w:kern w:val="2"/>
          <w:sz w:val="32"/>
          <w:szCs w:val="32"/>
        </w:rPr>
        <w:t>0</w:t>
      </w:r>
      <w:r>
        <w:rPr>
          <w:rFonts w:hint="eastAsia" w:ascii="仿宋_GB2312" w:hAnsi="仿宋_GB2312" w:eastAsia="仿宋_GB2312" w:cs="仿宋_GB2312"/>
          <w:color w:val="auto"/>
          <w:kern w:val="2"/>
          <w:sz w:val="32"/>
          <w:szCs w:val="32"/>
        </w:rPr>
        <w:t>万元，支出决算为</w:t>
      </w:r>
      <w:r>
        <w:rPr>
          <w:rFonts w:ascii="仿宋_GB2312" w:hAnsi="仿宋_GB2312" w:eastAsia="仿宋_GB2312" w:cs="仿宋_GB2312"/>
          <w:color w:val="auto"/>
          <w:kern w:val="2"/>
          <w:sz w:val="32"/>
          <w:szCs w:val="32"/>
        </w:rPr>
        <w:t>0.7</w:t>
      </w:r>
      <w:r>
        <w:rPr>
          <w:rFonts w:hint="eastAsia" w:ascii="仿宋_GB2312" w:hAnsi="仿宋_GB2312" w:eastAsia="仿宋_GB2312" w:cs="仿宋_GB2312"/>
          <w:color w:val="auto"/>
          <w:kern w:val="2"/>
          <w:sz w:val="32"/>
          <w:szCs w:val="32"/>
        </w:rPr>
        <w:t>万元，形成差异</w:t>
      </w:r>
      <w:r>
        <w:rPr>
          <w:rFonts w:ascii="仿宋_GB2312" w:hAnsi="仿宋_GB2312" w:eastAsia="仿宋_GB2312" w:cs="仿宋_GB2312"/>
          <w:color w:val="auto"/>
          <w:kern w:val="2"/>
          <w:sz w:val="32"/>
          <w:szCs w:val="32"/>
        </w:rPr>
        <w:t>0.7</w:t>
      </w:r>
      <w:r>
        <w:rPr>
          <w:rFonts w:hint="eastAsia" w:ascii="仿宋_GB2312" w:hAnsi="仿宋_GB2312" w:eastAsia="仿宋_GB2312" w:cs="仿宋_GB2312"/>
          <w:color w:val="auto"/>
          <w:kern w:val="2"/>
          <w:sz w:val="32"/>
          <w:szCs w:val="32"/>
        </w:rPr>
        <w:t>万元，主要</w:t>
      </w:r>
      <w:r>
        <w:rPr>
          <w:rFonts w:hint="eastAsia" w:ascii="FangSong" w:hAnsi="FangSong" w:eastAsia="FangSong" w:cs="FangSong"/>
          <w:color w:val="auto"/>
          <w:kern w:val="2"/>
          <w:sz w:val="32"/>
          <w:szCs w:val="32"/>
        </w:rPr>
        <w:t>为</w:t>
      </w:r>
      <w:r>
        <w:rPr>
          <w:rFonts w:hint="eastAsia" w:ascii="仿宋_GB2312" w:hAnsi="仿宋_GB2312" w:eastAsia="仿宋_GB2312" w:cs="仿宋_GB2312"/>
          <w:color w:val="auto"/>
          <w:kern w:val="2"/>
          <w:sz w:val="32"/>
          <w:szCs w:val="32"/>
        </w:rPr>
        <w:t>中央补助地方公共文化服务体系建设补助奖励资金。</w:t>
      </w:r>
      <w:r>
        <w:rPr>
          <w:rFonts w:ascii="仿宋_GB2312" w:hAnsi="仿宋_GB2312" w:eastAsia="仿宋_GB2312" w:cs="仿宋_GB2312"/>
          <w:color w:val="auto"/>
          <w:kern w:val="2"/>
          <w:sz w:val="32"/>
          <w:szCs w:val="32"/>
        </w:rPr>
        <w:t xml:space="preserve">     </w:t>
      </w:r>
    </w:p>
    <w:p w14:paraId="75CA1C4E">
      <w:pPr>
        <w:jc w:val="left"/>
        <w:rPr>
          <w:rFonts w:ascii="仿宋_GB2312" w:hAnsi="仿宋_GB2312" w:eastAsia="仿宋_GB2312" w:cs="仿宋_GB2312"/>
          <w:sz w:val="32"/>
          <w:szCs w:val="32"/>
        </w:rPr>
      </w:pPr>
      <w:r>
        <w:t xml:space="preserve">        </w:t>
      </w:r>
    </w:p>
    <w:p w14:paraId="24A395B6">
      <w:pPr>
        <w:widowControl/>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二、一般公共预算支出情况</w:t>
      </w:r>
    </w:p>
    <w:p w14:paraId="09A9A16D">
      <w:pPr>
        <w:widowControl/>
        <w:spacing w:line="576" w:lineRule="exact"/>
        <w:ind w:firstLine="640" w:firstLineChars="200"/>
        <w:jc w:val="left"/>
        <w:rPr>
          <w:rFonts w:ascii="楷体_GB2312" w:hAnsi="楷体_GB2312" w:eastAsia="楷体_GB2312" w:cs="楷体_GB2312"/>
          <w:color w:val="000000"/>
          <w:kern w:val="0"/>
          <w:sz w:val="32"/>
          <w:szCs w:val="32"/>
        </w:rPr>
      </w:pPr>
      <w:r>
        <w:rPr>
          <w:rFonts w:hint="eastAsia" w:ascii="楷体_GB2312" w:hAnsi="楷体_GB2312" w:eastAsia="楷体_GB2312" w:cs="楷体_GB2312"/>
          <w:color w:val="000000"/>
          <w:kern w:val="0"/>
          <w:sz w:val="32"/>
          <w:szCs w:val="32"/>
        </w:rPr>
        <w:t>（一）基本支出情况</w:t>
      </w:r>
    </w:p>
    <w:p w14:paraId="33F477D7">
      <w:pPr>
        <w:snapToGrid w:val="0"/>
        <w:ind w:firstLine="640" w:firstLineChars="200"/>
        <w:rPr>
          <w:rFonts w:ascii="仿宋_GB2312" w:hAnsi="FangSong" w:eastAsia="仿宋_GB2312"/>
          <w:sz w:val="32"/>
          <w:szCs w:val="32"/>
        </w:rPr>
      </w:pPr>
      <w:r>
        <w:rPr>
          <w:rFonts w:hint="eastAsia" w:ascii="仿宋_GB2312" w:hAnsi="FangSong" w:eastAsia="仿宋_GB2312"/>
          <w:sz w:val="32"/>
          <w:szCs w:val="32"/>
        </w:rPr>
        <w:t>全年总收入</w:t>
      </w:r>
      <w:r>
        <w:rPr>
          <w:rFonts w:ascii="仿宋_GB2312" w:hAnsi="FangSong" w:eastAsia="仿宋_GB2312"/>
          <w:sz w:val="32"/>
          <w:szCs w:val="32"/>
        </w:rPr>
        <w:t>117.05</w:t>
      </w:r>
      <w:r>
        <w:rPr>
          <w:rFonts w:hint="eastAsia" w:ascii="仿宋_GB2312" w:hAnsi="FangSong" w:eastAsia="仿宋_GB2312"/>
          <w:sz w:val="32"/>
          <w:szCs w:val="32"/>
        </w:rPr>
        <w:t>万元，其中</w:t>
      </w:r>
      <w:r>
        <w:rPr>
          <w:rFonts w:ascii="仿宋_GB2312" w:hAnsi="FangSong" w:eastAsia="仿宋_GB2312"/>
          <w:sz w:val="32"/>
          <w:szCs w:val="32"/>
        </w:rPr>
        <w:t>:</w:t>
      </w:r>
      <w:r>
        <w:rPr>
          <w:rFonts w:hint="eastAsia" w:ascii="仿宋_GB2312" w:hAnsi="FangSong" w:eastAsia="仿宋_GB2312"/>
          <w:sz w:val="32"/>
          <w:szCs w:val="32"/>
        </w:rPr>
        <w:t>一般公共预算财政拨款收入</w:t>
      </w:r>
      <w:r>
        <w:rPr>
          <w:rFonts w:ascii="仿宋_GB2312" w:hAnsi="FangSong" w:eastAsia="仿宋_GB2312"/>
          <w:sz w:val="32"/>
          <w:szCs w:val="32"/>
        </w:rPr>
        <w:t>110.85</w:t>
      </w:r>
      <w:r>
        <w:rPr>
          <w:rFonts w:hint="eastAsia" w:ascii="仿宋_GB2312" w:hAnsi="FangSong" w:eastAsia="仿宋_GB2312"/>
          <w:sz w:val="32"/>
          <w:szCs w:val="32"/>
        </w:rPr>
        <w:t>万元，占总收入的</w:t>
      </w:r>
      <w:r>
        <w:rPr>
          <w:rFonts w:ascii="仿宋_GB2312" w:hAnsi="FangSong" w:eastAsia="仿宋_GB2312"/>
          <w:sz w:val="32"/>
          <w:szCs w:val="32"/>
        </w:rPr>
        <w:t>94.70%</w:t>
      </w:r>
      <w:r>
        <w:rPr>
          <w:rFonts w:hint="eastAsia" w:ascii="仿宋_GB2312" w:hAnsi="FangSong" w:eastAsia="仿宋_GB2312"/>
          <w:sz w:val="32"/>
          <w:szCs w:val="32"/>
        </w:rPr>
        <w:t>；。其他收入</w:t>
      </w:r>
      <w:r>
        <w:rPr>
          <w:rFonts w:ascii="仿宋_GB2312" w:hAnsi="FangSong" w:eastAsia="仿宋_GB2312"/>
          <w:sz w:val="32"/>
          <w:szCs w:val="32"/>
        </w:rPr>
        <w:t>6.2</w:t>
      </w:r>
      <w:r>
        <w:rPr>
          <w:rFonts w:hint="eastAsia" w:ascii="仿宋_GB2312" w:hAnsi="FangSong" w:eastAsia="仿宋_GB2312"/>
          <w:sz w:val="32"/>
          <w:szCs w:val="32"/>
        </w:rPr>
        <w:t>万元，占总收入的</w:t>
      </w:r>
      <w:r>
        <w:rPr>
          <w:rFonts w:ascii="仿宋_GB2312" w:hAnsi="FangSong" w:eastAsia="仿宋_GB2312"/>
          <w:sz w:val="32"/>
          <w:szCs w:val="32"/>
        </w:rPr>
        <w:t>5.3%</w:t>
      </w:r>
      <w:r>
        <w:rPr>
          <w:rFonts w:hint="eastAsia" w:ascii="仿宋_GB2312" w:hAnsi="FangSong" w:eastAsia="仿宋_GB2312"/>
          <w:sz w:val="32"/>
          <w:szCs w:val="32"/>
        </w:rPr>
        <w:t>；</w:t>
      </w:r>
      <w:r>
        <w:rPr>
          <w:rFonts w:hint="eastAsia" w:ascii="仿宋_GB2312" w:hAnsi="仿宋_GB2312" w:eastAsia="仿宋_GB2312" w:cs="仿宋_GB2312"/>
          <w:sz w:val="32"/>
          <w:szCs w:val="32"/>
        </w:rPr>
        <w:t>按支出性质和经济分类，</w:t>
      </w:r>
      <w:r>
        <w:rPr>
          <w:rFonts w:hint="eastAsia" w:ascii="仿宋_GB2312" w:hAnsi="FangSong" w:eastAsia="仿宋_GB2312"/>
          <w:sz w:val="32"/>
          <w:szCs w:val="32"/>
        </w:rPr>
        <w:t>，基本支出</w:t>
      </w:r>
      <w:r>
        <w:rPr>
          <w:rFonts w:ascii="仿宋_GB2312" w:hAnsi="FangSong" w:eastAsia="仿宋_GB2312"/>
          <w:sz w:val="32"/>
          <w:szCs w:val="32"/>
        </w:rPr>
        <w:t>67.82</w:t>
      </w:r>
      <w:r>
        <w:rPr>
          <w:rFonts w:hint="eastAsia" w:ascii="仿宋_GB2312" w:hAnsi="FangSong" w:eastAsia="仿宋_GB2312"/>
          <w:sz w:val="32"/>
          <w:szCs w:val="32"/>
        </w:rPr>
        <w:t>万元，占总支出的</w:t>
      </w:r>
      <w:r>
        <w:rPr>
          <w:rFonts w:ascii="仿宋_GB2312" w:hAnsi="FangSong" w:eastAsia="仿宋_GB2312"/>
          <w:sz w:val="32"/>
          <w:szCs w:val="32"/>
        </w:rPr>
        <w:t>57.94%</w:t>
      </w:r>
      <w:r>
        <w:rPr>
          <w:rFonts w:hint="eastAsia" w:ascii="仿宋_GB2312" w:hAnsi="FangSong" w:eastAsia="仿宋_GB2312"/>
          <w:sz w:val="32"/>
          <w:szCs w:val="32"/>
        </w:rPr>
        <w:t>，其中人员经</w:t>
      </w:r>
      <w:r>
        <w:rPr>
          <w:rFonts w:ascii="仿宋_GB2312" w:hAnsi="FangSong" w:eastAsia="仿宋_GB2312"/>
          <w:sz w:val="32"/>
          <w:szCs w:val="32"/>
        </w:rPr>
        <w:t>61.47</w:t>
      </w:r>
      <w:r>
        <w:rPr>
          <w:rFonts w:hint="eastAsia" w:ascii="仿宋_GB2312" w:hAnsi="FangSong" w:eastAsia="仿宋_GB2312"/>
          <w:sz w:val="32"/>
          <w:szCs w:val="32"/>
        </w:rPr>
        <w:t>万元，公用经费</w:t>
      </w:r>
      <w:r>
        <w:rPr>
          <w:rFonts w:ascii="仿宋_GB2312" w:hAnsi="FangSong" w:eastAsia="仿宋_GB2312"/>
          <w:sz w:val="32"/>
          <w:szCs w:val="32"/>
        </w:rPr>
        <w:t>6.35</w:t>
      </w:r>
      <w:r>
        <w:rPr>
          <w:rFonts w:hint="eastAsia" w:ascii="仿宋_GB2312" w:hAnsi="FangSong" w:eastAsia="仿宋_GB2312"/>
          <w:sz w:val="32"/>
          <w:szCs w:val="32"/>
        </w:rPr>
        <w:t>万元；</w:t>
      </w:r>
    </w:p>
    <w:p w14:paraId="646BEC68">
      <w:pPr>
        <w:snapToGrid w:val="0"/>
        <w:spacing w:line="520" w:lineRule="exact"/>
        <w:ind w:firstLine="960" w:firstLineChars="300"/>
        <w:rPr>
          <w:rFonts w:ascii="楷体_GB2312" w:hAnsi="楷体_GB2312" w:eastAsia="楷体_GB2312" w:cs="楷体_GB2312"/>
          <w:color w:val="000000"/>
          <w:kern w:val="0"/>
          <w:sz w:val="32"/>
          <w:szCs w:val="32"/>
        </w:rPr>
      </w:pPr>
      <w:r>
        <w:rPr>
          <w:rFonts w:hint="eastAsia" w:ascii="仿宋_GB2312" w:hAnsi="FangSong" w:eastAsia="仿宋_GB2312"/>
          <w:sz w:val="32"/>
          <w:szCs w:val="32"/>
        </w:rPr>
        <w:t>（二）</w:t>
      </w:r>
      <w:r>
        <w:rPr>
          <w:rFonts w:hint="eastAsia" w:ascii="楷体_GB2312" w:hAnsi="楷体_GB2312" w:eastAsia="楷体_GB2312" w:cs="楷体_GB2312"/>
          <w:color w:val="000000"/>
          <w:kern w:val="0"/>
          <w:sz w:val="32"/>
          <w:szCs w:val="32"/>
        </w:rPr>
        <w:t>项目支出情况</w:t>
      </w:r>
    </w:p>
    <w:p w14:paraId="1774A03B">
      <w:pPr>
        <w:snapToGrid w:val="0"/>
        <w:spacing w:line="360" w:lineRule="auto"/>
        <w:ind w:firstLine="640" w:firstLineChars="200"/>
        <w:rPr>
          <w:rFonts w:ascii="FangSong" w:hAnsi="FangSong" w:eastAsia="FangSong" w:cs="FangSong"/>
          <w:sz w:val="32"/>
          <w:szCs w:val="32"/>
        </w:rPr>
      </w:pPr>
      <w:r>
        <w:rPr>
          <w:rFonts w:ascii="FangSong" w:hAnsi="FangSong" w:eastAsia="FangSong" w:cs="FangSong"/>
          <w:sz w:val="32"/>
          <w:szCs w:val="32"/>
        </w:rPr>
        <w:t>2024</w:t>
      </w:r>
      <w:r>
        <w:rPr>
          <w:rFonts w:hint="eastAsia" w:ascii="FangSong" w:hAnsi="FangSong" w:eastAsia="FangSong" w:cs="FangSong"/>
          <w:sz w:val="32"/>
          <w:szCs w:val="32"/>
        </w:rPr>
        <w:t>年全年总支出</w:t>
      </w:r>
      <w:r>
        <w:rPr>
          <w:rFonts w:ascii="仿宋_GB2312" w:hAnsi="FangSong" w:eastAsia="仿宋_GB2312"/>
          <w:sz w:val="32"/>
          <w:szCs w:val="32"/>
        </w:rPr>
        <w:t>117.05</w:t>
      </w:r>
      <w:r>
        <w:rPr>
          <w:rFonts w:hint="eastAsia" w:ascii="FangSong" w:hAnsi="FangSong" w:eastAsia="FangSong" w:cs="FangSong"/>
          <w:sz w:val="32"/>
          <w:szCs w:val="32"/>
        </w:rPr>
        <w:t>万元，项目支出</w:t>
      </w:r>
      <w:r>
        <w:rPr>
          <w:rFonts w:ascii="仿宋_GB2312" w:hAnsi="FangSong" w:eastAsia="仿宋_GB2312"/>
          <w:sz w:val="32"/>
          <w:szCs w:val="32"/>
        </w:rPr>
        <w:t>49.23</w:t>
      </w:r>
      <w:r>
        <w:rPr>
          <w:rFonts w:hint="eastAsia" w:ascii="FangSong" w:hAnsi="FangSong" w:eastAsia="FangSong" w:cs="FangSong"/>
          <w:sz w:val="32"/>
          <w:szCs w:val="32"/>
        </w:rPr>
        <w:t>万元，主要用于免费开放活动开展，戏曲进乡村、月月乐等活动，占总支出的</w:t>
      </w:r>
      <w:r>
        <w:rPr>
          <w:rFonts w:ascii="仿宋_GB2312" w:hAnsi="FangSong" w:eastAsia="仿宋_GB2312"/>
          <w:sz w:val="32"/>
          <w:szCs w:val="32"/>
        </w:rPr>
        <w:t>42.06%</w:t>
      </w:r>
      <w:r>
        <w:rPr>
          <w:rFonts w:hint="eastAsia" w:ascii="FangSong" w:hAnsi="FangSong" w:eastAsia="FangSong" w:cs="FangSong"/>
          <w:sz w:val="32"/>
          <w:szCs w:val="32"/>
        </w:rPr>
        <w:t>。</w:t>
      </w:r>
    </w:p>
    <w:p w14:paraId="0646A60E">
      <w:pPr>
        <w:widowControl/>
        <w:numPr>
          <w:ilvl w:val="0"/>
          <w:numId w:val="1"/>
        </w:numPr>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政府性基金预算支出情况</w:t>
      </w:r>
    </w:p>
    <w:p w14:paraId="3460539A">
      <w:pPr>
        <w:widowControl/>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无</w:t>
      </w:r>
    </w:p>
    <w:p w14:paraId="0FE08D24">
      <w:pPr>
        <w:widowControl/>
        <w:numPr>
          <w:ilvl w:val="0"/>
          <w:numId w:val="1"/>
        </w:numPr>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国有资本经营预算支出情况</w:t>
      </w:r>
    </w:p>
    <w:p w14:paraId="59C33B5E">
      <w:pPr>
        <w:widowControl/>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无</w:t>
      </w:r>
    </w:p>
    <w:p w14:paraId="0F966D30">
      <w:pPr>
        <w:widowControl/>
        <w:numPr>
          <w:ilvl w:val="0"/>
          <w:numId w:val="1"/>
        </w:numPr>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社会保险基金预算支出情况</w:t>
      </w:r>
    </w:p>
    <w:p w14:paraId="3583DF9A">
      <w:pPr>
        <w:widowControl/>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无</w:t>
      </w:r>
    </w:p>
    <w:p w14:paraId="6C04AA4B">
      <w:pPr>
        <w:widowControl/>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六、部门整体支出绩效情况</w:t>
      </w:r>
    </w:p>
    <w:p w14:paraId="7BE49F0D">
      <w:pPr>
        <w:snapToGrid w:val="0"/>
        <w:spacing w:line="520" w:lineRule="exact"/>
        <w:ind w:firstLine="640" w:firstLineChars="200"/>
        <w:rPr>
          <w:rFonts w:ascii="FangSong" w:hAnsi="FangSong" w:eastAsia="仿宋_GB2312"/>
          <w:color w:val="000000"/>
          <w:sz w:val="32"/>
          <w:szCs w:val="32"/>
          <w:shd w:val="clear" w:color="auto" w:fill="FFFFFF"/>
        </w:rPr>
      </w:pPr>
      <w:r>
        <w:rPr>
          <w:rFonts w:hint="eastAsia" w:ascii="FangSong" w:hAnsi="FangSong" w:eastAsia="FangSong"/>
          <w:color w:val="000000"/>
          <w:sz w:val="32"/>
          <w:szCs w:val="32"/>
          <w:shd w:val="clear" w:color="auto" w:fill="FFFFFF"/>
        </w:rPr>
        <w:t>本部门在</w:t>
      </w:r>
      <w:r>
        <w:rPr>
          <w:rFonts w:ascii="FangSong" w:hAnsi="FangSong" w:eastAsia="FangSong"/>
          <w:color w:val="000000"/>
          <w:sz w:val="32"/>
          <w:szCs w:val="32"/>
          <w:shd w:val="clear" w:color="auto" w:fill="FFFFFF"/>
        </w:rPr>
        <w:t>2024</w:t>
      </w:r>
      <w:r>
        <w:rPr>
          <w:rFonts w:hint="eastAsia" w:ascii="FangSong" w:hAnsi="FangSong" w:eastAsia="FangSong"/>
          <w:color w:val="000000"/>
          <w:sz w:val="32"/>
          <w:szCs w:val="32"/>
          <w:shd w:val="clear" w:color="auto" w:fill="FFFFFF"/>
        </w:rPr>
        <w:t>年度部门决算中反映</w:t>
      </w:r>
      <w:r>
        <w:rPr>
          <w:rFonts w:ascii="FangSong" w:hAnsi="FangSong" w:eastAsia="FangSong"/>
          <w:color w:val="000000"/>
          <w:sz w:val="32"/>
          <w:szCs w:val="32"/>
          <w:shd w:val="clear" w:color="auto" w:fill="FFFFFF"/>
        </w:rPr>
        <w:t xml:space="preserve"> 1.</w:t>
      </w:r>
      <w:r>
        <w:rPr>
          <w:rFonts w:hint="eastAsia" w:ascii="FangSong" w:hAnsi="FangSong" w:eastAsia="FangSong"/>
          <w:color w:val="000000"/>
          <w:sz w:val="32"/>
          <w:szCs w:val="32"/>
          <w:shd w:val="clear" w:color="auto" w:fill="FFFFFF"/>
        </w:rPr>
        <w:t>公共文化服务体系建设（农村文化建设）省级补助资金；中央支持地方公共文化体系建设（一般项目）补助资金”</w:t>
      </w:r>
      <w:r>
        <w:rPr>
          <w:rFonts w:ascii="FangSong" w:hAnsi="FangSong" w:eastAsia="FangSong"/>
          <w:color w:val="000000"/>
          <w:sz w:val="32"/>
          <w:szCs w:val="32"/>
          <w:shd w:val="clear" w:color="auto" w:fill="FFFFFF"/>
        </w:rPr>
        <w:t>2.</w:t>
      </w:r>
      <w:r>
        <w:rPr>
          <w:rFonts w:hint="eastAsia" w:ascii="FangSong" w:hAnsi="FangSong" w:eastAsia="FangSong"/>
          <w:color w:val="000000"/>
          <w:sz w:val="32"/>
          <w:szCs w:val="32"/>
          <w:shd w:val="clear" w:color="auto" w:fill="FFFFFF"/>
        </w:rPr>
        <w:t>“县派乡村振兴驻村帮扶工作队队员经费；</w:t>
      </w:r>
      <w:r>
        <w:rPr>
          <w:rFonts w:ascii="FangSong" w:hAnsi="FangSong" w:eastAsia="FangSong"/>
          <w:color w:val="000000"/>
          <w:sz w:val="32"/>
          <w:szCs w:val="32"/>
          <w:shd w:val="clear" w:color="auto" w:fill="FFFFFF"/>
        </w:rPr>
        <w:t>3.</w:t>
      </w:r>
      <w:r>
        <w:rPr>
          <w:rFonts w:hint="eastAsia" w:ascii="FangSong" w:hAnsi="FangSong" w:eastAsia="FangSong"/>
          <w:color w:val="000000"/>
          <w:sz w:val="32"/>
          <w:szCs w:val="32"/>
          <w:shd w:val="clear" w:color="auto" w:fill="FFFFFF"/>
        </w:rPr>
        <w:t>文化馆（站）免费开放专项资金；中央补助地方公共文化服务体系建设专项资金；</w:t>
      </w:r>
      <w:r>
        <w:rPr>
          <w:rFonts w:ascii="FangSong" w:hAnsi="FangSong" w:eastAsia="FangSong"/>
          <w:color w:val="000000"/>
          <w:sz w:val="32"/>
          <w:szCs w:val="32"/>
          <w:shd w:val="clear" w:color="auto" w:fill="FFFFFF"/>
        </w:rPr>
        <w:t>4.</w:t>
      </w:r>
      <w:r>
        <w:rPr>
          <w:rFonts w:hint="eastAsia" w:ascii="FangSong" w:hAnsi="FangSong" w:eastAsia="FangSong"/>
          <w:color w:val="000000"/>
          <w:sz w:val="32"/>
          <w:szCs w:val="32"/>
          <w:shd w:val="clear" w:color="auto" w:fill="FFFFFF"/>
        </w:rPr>
        <w:t>“中央支持地方公共文化服务体系建设补助资金；中央支持地方公共文化服务体系建设绩效奖励补助资金等几个大类项目绩效目标实际完成情况，均完成预算的</w:t>
      </w:r>
      <w:r>
        <w:rPr>
          <w:rFonts w:ascii="FangSong" w:hAnsi="FangSong" w:eastAsia="FangSong"/>
          <w:color w:val="000000"/>
          <w:sz w:val="32"/>
          <w:szCs w:val="32"/>
          <w:shd w:val="clear" w:color="auto" w:fill="FFFFFF"/>
        </w:rPr>
        <w:t>100%</w:t>
      </w:r>
      <w:r>
        <w:rPr>
          <w:rFonts w:hint="eastAsia" w:ascii="FangSong" w:hAnsi="FangSong" w:eastAsia="FangSong"/>
          <w:color w:val="000000"/>
          <w:sz w:val="32"/>
          <w:szCs w:val="32"/>
          <w:shd w:val="clear" w:color="auto" w:fill="FFFFFF"/>
        </w:rPr>
        <w:t>。通过项目实施，</w:t>
      </w:r>
      <w:r>
        <w:rPr>
          <w:rFonts w:hint="eastAsia" w:ascii="仿宋_GB2312" w:hAnsi="仿宋_GB2312" w:eastAsia="仿宋_GB2312" w:cs="仿宋_GB2312"/>
          <w:color w:val="000000"/>
          <w:kern w:val="0"/>
          <w:sz w:val="32"/>
          <w:szCs w:val="32"/>
        </w:rPr>
        <w:t>持续推进文化惠民，丰富了群众文化体育生活，促进乡村文化体育振兴，提高了乡村人民生活满意度和幸福感。</w:t>
      </w:r>
    </w:p>
    <w:p w14:paraId="6E75F951">
      <w:pPr>
        <w:widowControl/>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七、存在的问题及原因分析</w:t>
      </w:r>
    </w:p>
    <w:p w14:paraId="278C9391">
      <w:r>
        <w:rPr>
          <w:rFonts w:hint="eastAsia" w:ascii="FangSong" w:hAnsi="FangSong" w:eastAsia="FangSong"/>
          <w:color w:val="000000"/>
          <w:sz w:val="32"/>
          <w:szCs w:val="32"/>
          <w:shd w:val="clear" w:color="auto" w:fill="FFFFFF"/>
        </w:rPr>
        <w:t>绩效目标不够具体；预算管理有待提高；文化旅游广电体育工作基础有待完善。</w:t>
      </w:r>
    </w:p>
    <w:p w14:paraId="6483F7A5">
      <w:pPr>
        <w:widowControl/>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八、下一步改进措施</w:t>
      </w:r>
    </w:p>
    <w:p w14:paraId="296E774B">
      <w:pPr>
        <w:widowControl/>
        <w:spacing w:line="576" w:lineRule="exact"/>
        <w:ind w:firstLine="640" w:firstLineChars="200"/>
        <w:jc w:val="left"/>
        <w:rPr>
          <w:rFonts w:ascii="FangSong" w:hAnsi="FangSong" w:eastAsia="FangSong" w:cs="FangSong"/>
          <w:color w:val="000000"/>
          <w:kern w:val="0"/>
          <w:sz w:val="32"/>
          <w:szCs w:val="32"/>
        </w:rPr>
      </w:pPr>
      <w:r>
        <w:rPr>
          <w:rFonts w:hint="eastAsia" w:ascii="FangSong" w:hAnsi="FangSong" w:eastAsia="FangSong" w:cs="FangSong"/>
          <w:color w:val="000000"/>
          <w:kern w:val="0"/>
          <w:sz w:val="32"/>
          <w:szCs w:val="32"/>
        </w:rPr>
        <w:t>建立健全绩效目标管理制度；加强预算执行管理，降低预算控制率；加强绩效管理工作基础建设。进一步规范绩效目标编制。在编制项目资金绩效目标时要求指向明确、细化量化、合理可行、相应匹配。提高预算编制的科学化精细化水平。</w:t>
      </w:r>
    </w:p>
    <w:p w14:paraId="7FEDC8CE">
      <w:pPr>
        <w:widowControl/>
        <w:numPr>
          <w:ilvl w:val="0"/>
          <w:numId w:val="2"/>
        </w:numPr>
        <w:spacing w:line="576" w:lineRule="exact"/>
        <w:ind w:firstLine="640" w:firstLineChars="200"/>
        <w:jc w:val="left"/>
        <w:rPr>
          <w:rFonts w:ascii="SimHei" w:hAnsi="SimHei" w:eastAsia="SimHei" w:cs="SimSun"/>
          <w:color w:val="000000"/>
          <w:kern w:val="0"/>
          <w:sz w:val="32"/>
          <w:szCs w:val="32"/>
        </w:rPr>
      </w:pPr>
      <w:r>
        <w:rPr>
          <w:rFonts w:hint="eastAsia" w:ascii="SimHei" w:hAnsi="SimHei" w:eastAsia="SimHei" w:cs="SimSun"/>
          <w:color w:val="000000"/>
          <w:kern w:val="0"/>
          <w:sz w:val="32"/>
          <w:szCs w:val="32"/>
        </w:rPr>
        <w:t>绩效自评结果拟应用和公开情况</w:t>
      </w:r>
    </w:p>
    <w:p w14:paraId="376F7696">
      <w:pPr>
        <w:widowControl/>
        <w:spacing w:line="576" w:lineRule="exact"/>
        <w:ind w:firstLine="643"/>
        <w:jc w:val="left"/>
        <w:rPr>
          <w:rFonts w:ascii="FangSong" w:hAnsi="FangSong" w:eastAsia="FangSong" w:cs="FangSong"/>
          <w:b/>
          <w:color w:val="000000"/>
          <w:kern w:val="0"/>
          <w:sz w:val="32"/>
          <w:szCs w:val="32"/>
        </w:rPr>
      </w:pPr>
      <w:r>
        <w:rPr>
          <w:rFonts w:hint="eastAsia" w:ascii="FangSong" w:hAnsi="FangSong" w:eastAsia="FangSong" w:cs="FangSong"/>
          <w:b/>
          <w:color w:val="000000"/>
          <w:kern w:val="0"/>
          <w:sz w:val="32"/>
          <w:szCs w:val="32"/>
        </w:rPr>
        <w:t>拟在我局公示栏公开</w:t>
      </w:r>
    </w:p>
    <w:p w14:paraId="1AC24637">
      <w:pPr>
        <w:widowControl/>
        <w:spacing w:line="576" w:lineRule="exact"/>
        <w:ind w:firstLine="640" w:firstLineChars="200"/>
        <w:jc w:val="left"/>
        <w:rPr>
          <w:rFonts w:eastAsia="SimHei"/>
          <w:kern w:val="0"/>
          <w:sz w:val="22"/>
        </w:rPr>
      </w:pPr>
      <w:r>
        <w:rPr>
          <w:rFonts w:hint="eastAsia" w:ascii="SimHei" w:hAnsi="SimHei" w:eastAsia="SimHei" w:cs="SimSun"/>
          <w:color w:val="000000"/>
          <w:kern w:val="0"/>
          <w:sz w:val="32"/>
          <w:szCs w:val="32"/>
        </w:rPr>
        <w:t>十、其他需要说明的情况。</w:t>
      </w:r>
    </w:p>
    <w:p w14:paraId="57504E9C">
      <w:pPr>
        <w:widowControl/>
        <w:spacing w:line="576" w:lineRule="exact"/>
        <w:ind w:firstLine="480" w:firstLineChars="200"/>
        <w:jc w:val="left"/>
        <w:rPr>
          <w:kern w:val="0"/>
          <w:sz w:val="24"/>
        </w:rPr>
      </w:pPr>
      <w:r>
        <w:rPr>
          <w:rFonts w:hint="eastAsia"/>
          <w:kern w:val="0"/>
          <w:sz w:val="24"/>
        </w:rPr>
        <w:t>无</w:t>
      </w:r>
    </w:p>
    <w:p w14:paraId="54A6BAA8">
      <w:pPr>
        <w:pStyle w:val="9"/>
        <w:shd w:val="clear" w:color="auto" w:fill="FFFFFF"/>
        <w:spacing w:before="0" w:beforeAutospacing="0" w:after="0" w:afterAutospacing="0" w:line="600" w:lineRule="exact"/>
        <w:ind w:right="105" w:rightChars="50" w:firstLine="320" w:firstLineChars="100"/>
        <w:rPr>
          <w:rFonts w:ascii="楷体_GB2312" w:hAnsi="楷体_GB2312" w:eastAsia="楷体_GB2312" w:cs="楷体_GB2312"/>
          <w:sz w:val="32"/>
          <w:szCs w:val="32"/>
        </w:rPr>
      </w:pPr>
    </w:p>
    <w:sectPr>
      <w:headerReference r:id="rId5" w:type="first"/>
      <w:footerReference r:id="rId8" w:type="first"/>
      <w:headerReference r:id="rId3" w:type="default"/>
      <w:footerReference r:id="rId6" w:type="default"/>
      <w:headerReference r:id="rId4" w:type="even"/>
      <w:footerReference r:id="rId7" w:type="even"/>
      <w:pgSz w:w="11905" w:h="16837"/>
      <w:pgMar w:top="2098" w:right="1474" w:bottom="1984" w:left="1474" w:header="850" w:footer="1417" w:gutter="0"/>
      <w:pgNumType w:fmt="numberInDash" w:start="1"/>
      <w:cols w:space="0" w:num="1"/>
      <w:docGrid w:type="lines" w:linePitch="6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_GB2312">
    <w:altName w:val="Times New Roman"/>
    <w:panose1 w:val="00000000000000000000"/>
    <w:charset w:val="00"/>
    <w:family w:val="auto"/>
    <w:pitch w:val="default"/>
    <w:sig w:usb0="00000000" w:usb1="00000000" w:usb2="00000000" w:usb3="00000000" w:csb0="00000001" w:csb1="00000000"/>
  </w:font>
  <w:font w:name="Microsoft YaHei">
    <w:panose1 w:val="020B0503020204020204"/>
    <w:charset w:val="86"/>
    <w:family w:val="swiss"/>
    <w:pitch w:val="default"/>
    <w:sig w:usb0="80000287" w:usb1="280F3C52" w:usb2="00000016" w:usb3="00000000" w:csb0="0004001F" w:csb1="00000000"/>
  </w:font>
  <w:font w:name="FangSong">
    <w:panose1 w:val="02010609060101010101"/>
    <w:charset w:val="86"/>
    <w:family w:val="modern"/>
    <w:pitch w:val="default"/>
    <w:sig w:usb0="800002BF" w:usb1="38CF7CFA" w:usb2="00000016" w:usb3="00000000" w:csb0="00040001" w:csb1="00000000"/>
  </w:font>
  <w:font w:name="楷体_GB2312">
    <w:altName w:val="KaiTi"/>
    <w:panose1 w:val="00000000000000000000"/>
    <w:charset w:val="86"/>
    <w:family w:val="modern"/>
    <w:pitch w:val="default"/>
    <w:sig w:usb0="00000000" w:usb1="00000000" w:usb2="00000010" w:usb3="00000000" w:csb0="00040000" w:csb1="00000000"/>
  </w:font>
  <w:font w:name="KaiTi">
    <w:panose1 w:val="02010609060101010101"/>
    <w:charset w:val="86"/>
    <w:family w:val="auto"/>
    <w:pitch w:val="default"/>
    <w:sig w:usb0="800002BF" w:usb1="38CF7CFA" w:usb2="00000016" w:usb3="00000000" w:csb0="00040001" w:csb1="00000000"/>
  </w:font>
  <w:font w:name="仿宋_GB2312">
    <w:altName w:val="FangSong"/>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0EF54">
    <w:pPr>
      <w:pStyle w:val="5"/>
      <w:ind w:right="360" w:firstLine="360"/>
    </w:pPr>
    <w:r>
      <w:pict>
        <v:shape id="文本框 1025" o:spid="_x0000_s2049"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Ghp&#10;gkvTAAAABQEAAA8AAAAAAAAAAQAgAAAAIgAAAGRycy9kb3ducmV2LnhtbFBLAQIUABQAAAAIAIdO&#10;4kAzymiB7wEAANkDAAAOAAAAAAAAAAEAIAAAACIBAABkcnMvZTJvRG9jLnhtbFBLBQYAAAAABgAG&#10;AFkBAACDBQAAAAA=&#10;">
          <v:path/>
          <v:fill on="f" focussize="0,0"/>
          <v:stroke on="f" weight="1.25pt" joinstyle="miter"/>
          <v:imagedata o:title=""/>
          <o:lock v:ext="edit"/>
          <v:textbox inset="0mm,0mm,0mm,0mm" style="mso-fit-shape-to-text:t;">
            <w:txbxContent>
              <w:p w14:paraId="3461A2F7">
                <w:pPr>
                  <w:pStyle w:val="5"/>
                  <w:rPr>
                    <w:rFonts w:ascii="??_GB2312" w:hAnsi="??_GB2312" w:cs="??_GB2312"/>
                    <w:sz w:val="28"/>
                    <w:szCs w:val="28"/>
                  </w:rPr>
                </w:pPr>
                <w:r>
                  <w:rPr>
                    <w:rFonts w:ascii="??_GB2312" w:hAnsi="??_GB2312" w:cs="??_GB2312"/>
                    <w:sz w:val="28"/>
                    <w:szCs w:val="28"/>
                  </w:rPr>
                  <w:fldChar w:fldCharType="begin"/>
                </w:r>
                <w:r>
                  <w:rPr>
                    <w:rFonts w:ascii="??_GB2312" w:hAnsi="??_GB2312" w:cs="??_GB2312"/>
                    <w:sz w:val="28"/>
                    <w:szCs w:val="28"/>
                  </w:rPr>
                  <w:instrText xml:space="preserve"> PAGE  \* MERGEFORMAT </w:instrText>
                </w:r>
                <w:r>
                  <w:rPr>
                    <w:rFonts w:ascii="??_GB2312" w:hAnsi="??_GB2312" w:cs="??_GB2312"/>
                    <w:sz w:val="28"/>
                    <w:szCs w:val="28"/>
                  </w:rPr>
                  <w:fldChar w:fldCharType="separate"/>
                </w:r>
                <w:r>
                  <w:rPr>
                    <w:rFonts w:ascii="??_GB2312" w:hAnsi="??_GB2312" w:cs="??_GB2312"/>
                    <w:sz w:val="28"/>
                    <w:szCs w:val="28"/>
                  </w:rPr>
                  <w:t>- 1 -</w:t>
                </w:r>
                <w:r>
                  <w:rPr>
                    <w:rFonts w:ascii="??_GB2312" w:hAnsi="??_GB2312" w:cs="??_GB2312"/>
                    <w:sz w:val="28"/>
                    <w:szCs w:val="2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674AF">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E3F5B">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06CA0">
    <w:pPr>
      <w:pStyle w:val="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7D108">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640EA">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7FDEC"/>
    <w:multiLevelType w:val="singleLevel"/>
    <w:tmpl w:val="D957FDEC"/>
    <w:lvl w:ilvl="0" w:tentative="0">
      <w:start w:val="9"/>
      <w:numFmt w:val="chineseCounting"/>
      <w:suff w:val="nothing"/>
      <w:lvlText w:val="%1、"/>
      <w:lvlJc w:val="left"/>
      <w:rPr>
        <w:rFonts w:hint="eastAsia" w:cs="Times New Roman"/>
      </w:rPr>
    </w:lvl>
  </w:abstractNum>
  <w:abstractNum w:abstractNumId="1">
    <w:nsid w:val="5D61867D"/>
    <w:multiLevelType w:val="singleLevel"/>
    <w:tmpl w:val="5D61867D"/>
    <w:lvl w:ilvl="0" w:tentative="0">
      <w:start w:val="3"/>
      <w:numFmt w:val="chineseCounting"/>
      <w:suff w:val="nothing"/>
      <w:lvlText w:val="%1、"/>
      <w:lvlJc w:val="left"/>
      <w:rPr>
        <w:rFonts w:hint="eastAsia"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FmMDFlYTMwZTJkYjA4Yjc1ZDRhZjI0MmZmNGZiN2EifQ=="/>
    <w:docVar w:name="KSO_WPS_MARK_KEY" w:val="efdb9831-49e2-41f3-897e-affe4bfc1ef8"/>
  </w:docVars>
  <w:rsids>
    <w:rsidRoot w:val="5EF91413"/>
    <w:rsid w:val="00017857"/>
    <w:rsid w:val="00034426"/>
    <w:rsid w:val="000D7D46"/>
    <w:rsid w:val="00100ED2"/>
    <w:rsid w:val="001D0828"/>
    <w:rsid w:val="001F27BC"/>
    <w:rsid w:val="00262520"/>
    <w:rsid w:val="002B6C41"/>
    <w:rsid w:val="002D4B0D"/>
    <w:rsid w:val="003062EE"/>
    <w:rsid w:val="003111BE"/>
    <w:rsid w:val="00355E6F"/>
    <w:rsid w:val="003E2793"/>
    <w:rsid w:val="003F11DD"/>
    <w:rsid w:val="003F798E"/>
    <w:rsid w:val="004C5468"/>
    <w:rsid w:val="004D43E2"/>
    <w:rsid w:val="004E640B"/>
    <w:rsid w:val="00512111"/>
    <w:rsid w:val="00592274"/>
    <w:rsid w:val="00596EF1"/>
    <w:rsid w:val="005B19E8"/>
    <w:rsid w:val="00624A5B"/>
    <w:rsid w:val="00630B10"/>
    <w:rsid w:val="00633A04"/>
    <w:rsid w:val="00651AD0"/>
    <w:rsid w:val="00654C9E"/>
    <w:rsid w:val="00673905"/>
    <w:rsid w:val="00697620"/>
    <w:rsid w:val="006D3719"/>
    <w:rsid w:val="006F020D"/>
    <w:rsid w:val="00712ECA"/>
    <w:rsid w:val="007C7F1B"/>
    <w:rsid w:val="007D62DC"/>
    <w:rsid w:val="007F2C1A"/>
    <w:rsid w:val="00814099"/>
    <w:rsid w:val="00817166"/>
    <w:rsid w:val="00826A68"/>
    <w:rsid w:val="008C42C1"/>
    <w:rsid w:val="00901D47"/>
    <w:rsid w:val="00962590"/>
    <w:rsid w:val="00970A76"/>
    <w:rsid w:val="009872D6"/>
    <w:rsid w:val="009A0145"/>
    <w:rsid w:val="009D1B89"/>
    <w:rsid w:val="00A3179B"/>
    <w:rsid w:val="00A40CEF"/>
    <w:rsid w:val="00A51938"/>
    <w:rsid w:val="00A84895"/>
    <w:rsid w:val="00A87A5B"/>
    <w:rsid w:val="00AC7896"/>
    <w:rsid w:val="00AD1332"/>
    <w:rsid w:val="00AD157A"/>
    <w:rsid w:val="00AE5FCA"/>
    <w:rsid w:val="00B02790"/>
    <w:rsid w:val="00B34FCE"/>
    <w:rsid w:val="00B83482"/>
    <w:rsid w:val="00BB6A22"/>
    <w:rsid w:val="00C77BE3"/>
    <w:rsid w:val="00CF00E5"/>
    <w:rsid w:val="00D30D45"/>
    <w:rsid w:val="00D65DC9"/>
    <w:rsid w:val="00DF2F64"/>
    <w:rsid w:val="00E47EB9"/>
    <w:rsid w:val="00E87A79"/>
    <w:rsid w:val="00EA39E5"/>
    <w:rsid w:val="00EF0D1E"/>
    <w:rsid w:val="00EF1239"/>
    <w:rsid w:val="00EF286B"/>
    <w:rsid w:val="00EF7465"/>
    <w:rsid w:val="00F054C3"/>
    <w:rsid w:val="00F16539"/>
    <w:rsid w:val="00F5064A"/>
    <w:rsid w:val="00FB0C45"/>
    <w:rsid w:val="00FB5247"/>
    <w:rsid w:val="01881C21"/>
    <w:rsid w:val="02E230B9"/>
    <w:rsid w:val="053B751D"/>
    <w:rsid w:val="093E032F"/>
    <w:rsid w:val="095202B3"/>
    <w:rsid w:val="0A371C48"/>
    <w:rsid w:val="0A461E15"/>
    <w:rsid w:val="0ABB1601"/>
    <w:rsid w:val="0C485C65"/>
    <w:rsid w:val="0D1F294F"/>
    <w:rsid w:val="0DCF2C29"/>
    <w:rsid w:val="11AF4802"/>
    <w:rsid w:val="11B52A65"/>
    <w:rsid w:val="127960C2"/>
    <w:rsid w:val="128706BB"/>
    <w:rsid w:val="128C289E"/>
    <w:rsid w:val="13F1430E"/>
    <w:rsid w:val="14461BE1"/>
    <w:rsid w:val="15E118C5"/>
    <w:rsid w:val="182445B5"/>
    <w:rsid w:val="18C44B05"/>
    <w:rsid w:val="1921258C"/>
    <w:rsid w:val="1A86539E"/>
    <w:rsid w:val="1D514A07"/>
    <w:rsid w:val="1D736768"/>
    <w:rsid w:val="1D7764E0"/>
    <w:rsid w:val="1E02384E"/>
    <w:rsid w:val="1E2D7B42"/>
    <w:rsid w:val="202355A8"/>
    <w:rsid w:val="216A31A0"/>
    <w:rsid w:val="21887F99"/>
    <w:rsid w:val="21F32188"/>
    <w:rsid w:val="229365CD"/>
    <w:rsid w:val="22E7596F"/>
    <w:rsid w:val="2605582B"/>
    <w:rsid w:val="27666297"/>
    <w:rsid w:val="28264A04"/>
    <w:rsid w:val="29D84B76"/>
    <w:rsid w:val="2B006436"/>
    <w:rsid w:val="2B8F395A"/>
    <w:rsid w:val="2CD96D87"/>
    <w:rsid w:val="2DF15952"/>
    <w:rsid w:val="2E6C7FCB"/>
    <w:rsid w:val="2E88044F"/>
    <w:rsid w:val="3284589B"/>
    <w:rsid w:val="33100617"/>
    <w:rsid w:val="33CF2B0E"/>
    <w:rsid w:val="364A0050"/>
    <w:rsid w:val="36F9338A"/>
    <w:rsid w:val="37779E60"/>
    <w:rsid w:val="39684BBF"/>
    <w:rsid w:val="39E9356E"/>
    <w:rsid w:val="39F525A2"/>
    <w:rsid w:val="3A0D5147"/>
    <w:rsid w:val="3BCE22FA"/>
    <w:rsid w:val="3C7B06AE"/>
    <w:rsid w:val="3D6A1B31"/>
    <w:rsid w:val="3F13799B"/>
    <w:rsid w:val="4015034D"/>
    <w:rsid w:val="406010BA"/>
    <w:rsid w:val="43596284"/>
    <w:rsid w:val="43EB701F"/>
    <w:rsid w:val="44BA060E"/>
    <w:rsid w:val="450C2576"/>
    <w:rsid w:val="454063A9"/>
    <w:rsid w:val="47A66F47"/>
    <w:rsid w:val="48190D72"/>
    <w:rsid w:val="48D943A7"/>
    <w:rsid w:val="491B16E9"/>
    <w:rsid w:val="49B50C04"/>
    <w:rsid w:val="49F422BC"/>
    <w:rsid w:val="49F8427E"/>
    <w:rsid w:val="4A4C5543"/>
    <w:rsid w:val="4A856EB6"/>
    <w:rsid w:val="4BB72B70"/>
    <w:rsid w:val="4CA56075"/>
    <w:rsid w:val="4D765FE4"/>
    <w:rsid w:val="4D7F362E"/>
    <w:rsid w:val="4E1B3885"/>
    <w:rsid w:val="4E465C3F"/>
    <w:rsid w:val="4F670C47"/>
    <w:rsid w:val="553254BE"/>
    <w:rsid w:val="553B4087"/>
    <w:rsid w:val="583020DD"/>
    <w:rsid w:val="592547BC"/>
    <w:rsid w:val="59544026"/>
    <w:rsid w:val="59930F48"/>
    <w:rsid w:val="5AB9755B"/>
    <w:rsid w:val="5AF474F0"/>
    <w:rsid w:val="5B742D21"/>
    <w:rsid w:val="5C0351D3"/>
    <w:rsid w:val="5D973665"/>
    <w:rsid w:val="5EF23C04"/>
    <w:rsid w:val="5EF91413"/>
    <w:rsid w:val="5F567206"/>
    <w:rsid w:val="5F875025"/>
    <w:rsid w:val="60D6222F"/>
    <w:rsid w:val="6217071C"/>
    <w:rsid w:val="62CE02E9"/>
    <w:rsid w:val="632C6B3E"/>
    <w:rsid w:val="633F0072"/>
    <w:rsid w:val="64E07CE5"/>
    <w:rsid w:val="666920D7"/>
    <w:rsid w:val="66A00ADF"/>
    <w:rsid w:val="66F756A1"/>
    <w:rsid w:val="67D94CCC"/>
    <w:rsid w:val="69380B1B"/>
    <w:rsid w:val="697F7DBF"/>
    <w:rsid w:val="6AF15449"/>
    <w:rsid w:val="6C1733E6"/>
    <w:rsid w:val="6CF536F6"/>
    <w:rsid w:val="6F8673D6"/>
    <w:rsid w:val="6FCF75EC"/>
    <w:rsid w:val="70446EA1"/>
    <w:rsid w:val="707537A6"/>
    <w:rsid w:val="71591FCE"/>
    <w:rsid w:val="71F256AB"/>
    <w:rsid w:val="73133AF6"/>
    <w:rsid w:val="736D4488"/>
    <w:rsid w:val="753A5550"/>
    <w:rsid w:val="75B4584A"/>
    <w:rsid w:val="78FDF452"/>
    <w:rsid w:val="79B733A1"/>
    <w:rsid w:val="7B1A1590"/>
    <w:rsid w:val="7BBF2D2E"/>
    <w:rsid w:val="7CEF2B13"/>
    <w:rsid w:val="7D2C3E42"/>
    <w:rsid w:val="7D2F76D5"/>
    <w:rsid w:val="7DAF813A"/>
    <w:rsid w:val="BEF50DB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99" w:name="toc 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semiHidden="0" w:name="header"/>
    <w:lsdException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nhideWhenUsed="0" w:uiPriority="99" w:semiHidden="0" w:name="Body Text First Indent"/>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SimSun" w:cs="Times New Roman"/>
      <w:kern w:val="2"/>
      <w:sz w:val="21"/>
      <w:szCs w:val="24"/>
      <w:lang w:val="en-US" w:eastAsia="zh-CN" w:bidi="ar-SA"/>
    </w:rPr>
  </w:style>
  <w:style w:type="paragraph" w:styleId="2">
    <w:name w:val="heading 1"/>
    <w:basedOn w:val="1"/>
    <w:next w:val="1"/>
    <w:link w:val="14"/>
    <w:autoRedefine/>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5"/>
    <w:autoRedefine/>
    <w:qFormat/>
    <w:uiPriority w:val="99"/>
    <w:pPr>
      <w:keepNext/>
      <w:keepLines/>
      <w:spacing w:line="312" w:lineRule="auto"/>
      <w:jc w:val="center"/>
      <w:outlineLvl w:val="1"/>
    </w:pPr>
    <w:rPr>
      <w:rFonts w:ascii="Cambria" w:hAnsi="Cambria" w:cs="SimSun"/>
      <w:b/>
      <w:bCs/>
      <w:sz w:val="36"/>
      <w:szCs w:val="32"/>
    </w:rPr>
  </w:style>
  <w:style w:type="character" w:default="1" w:styleId="12">
    <w:name w:val="Default Paragraph Font"/>
    <w:semiHidden/>
    <w:uiPriority w:val="99"/>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6"/>
    <w:uiPriority w:val="99"/>
    <w:pPr>
      <w:spacing w:after="120"/>
    </w:pPr>
  </w:style>
  <w:style w:type="paragraph" w:styleId="5">
    <w:name w:val="footer"/>
    <w:basedOn w:val="1"/>
    <w:link w:val="17"/>
    <w:uiPriority w:val="99"/>
    <w:pPr>
      <w:tabs>
        <w:tab w:val="center" w:pos="4153"/>
        <w:tab w:val="right" w:pos="8306"/>
      </w:tabs>
      <w:snapToGrid w:val="0"/>
      <w:jc w:val="left"/>
    </w:pPr>
    <w:rPr>
      <w:sz w:val="18"/>
      <w:szCs w:val="18"/>
    </w:rPr>
  </w:style>
  <w:style w:type="paragraph" w:styleId="6">
    <w:name w:val="header"/>
    <w:basedOn w:val="1"/>
    <w:link w:val="18"/>
    <w:autoRedefine/>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semiHidden/>
    <w:uiPriority w:val="99"/>
    <w:rPr>
      <w:rFonts w:ascii="SimHei" w:hAnsi="SimHei" w:eastAsia="SimHei" w:cs="SimHei"/>
    </w:rPr>
  </w:style>
  <w:style w:type="paragraph" w:styleId="8">
    <w:name w:val="Subtitle"/>
    <w:basedOn w:val="1"/>
    <w:next w:val="1"/>
    <w:link w:val="19"/>
    <w:qFormat/>
    <w:uiPriority w:val="99"/>
    <w:pPr>
      <w:ind w:firstLine="200" w:firstLineChars="200"/>
      <w:jc w:val="left"/>
      <w:outlineLvl w:val="2"/>
    </w:pPr>
    <w:rPr>
      <w:rFonts w:ascii="Cambria" w:hAnsi="Cambria" w:eastAsia="SimHei"/>
      <w:bCs/>
      <w:kern w:val="28"/>
      <w:sz w:val="28"/>
      <w:szCs w:val="32"/>
    </w:rPr>
  </w:style>
  <w:style w:type="paragraph" w:styleId="9">
    <w:name w:val="Normal (Web)"/>
    <w:basedOn w:val="1"/>
    <w:autoRedefine/>
    <w:uiPriority w:val="99"/>
    <w:pPr>
      <w:spacing w:before="100" w:beforeAutospacing="1" w:after="100" w:afterAutospacing="1"/>
      <w:jc w:val="left"/>
    </w:pPr>
    <w:rPr>
      <w:kern w:val="0"/>
      <w:sz w:val="24"/>
      <w:szCs w:val="20"/>
    </w:rPr>
  </w:style>
  <w:style w:type="paragraph" w:styleId="10">
    <w:name w:val="Body Text First Indent"/>
    <w:basedOn w:val="4"/>
    <w:link w:val="20"/>
    <w:uiPriority w:val="99"/>
    <w:pPr>
      <w:ind w:firstLine="664"/>
    </w:pPr>
  </w:style>
  <w:style w:type="character" w:styleId="13">
    <w:name w:val="page number"/>
    <w:basedOn w:val="12"/>
    <w:uiPriority w:val="99"/>
    <w:rPr>
      <w:rFonts w:cs="Times New Roman"/>
    </w:rPr>
  </w:style>
  <w:style w:type="character" w:customStyle="1" w:styleId="14">
    <w:name w:val="Heading 1 Char"/>
    <w:basedOn w:val="12"/>
    <w:link w:val="2"/>
    <w:locked/>
    <w:uiPriority w:val="99"/>
    <w:rPr>
      <w:rFonts w:cs="Times New Roman"/>
      <w:b/>
      <w:bCs/>
      <w:kern w:val="44"/>
      <w:sz w:val="44"/>
      <w:szCs w:val="44"/>
    </w:rPr>
  </w:style>
  <w:style w:type="character" w:customStyle="1" w:styleId="15">
    <w:name w:val="Heading 2 Char"/>
    <w:basedOn w:val="12"/>
    <w:link w:val="3"/>
    <w:semiHidden/>
    <w:locked/>
    <w:uiPriority w:val="99"/>
    <w:rPr>
      <w:rFonts w:ascii="Cambria" w:hAnsi="Cambria" w:eastAsia="SimSun" w:cs="Times New Roman"/>
      <w:b/>
      <w:bCs/>
      <w:sz w:val="32"/>
      <w:szCs w:val="32"/>
    </w:rPr>
  </w:style>
  <w:style w:type="character" w:customStyle="1" w:styleId="16">
    <w:name w:val="Body Text Char"/>
    <w:basedOn w:val="12"/>
    <w:link w:val="4"/>
    <w:semiHidden/>
    <w:locked/>
    <w:uiPriority w:val="99"/>
    <w:rPr>
      <w:rFonts w:cs="Times New Roman"/>
      <w:sz w:val="24"/>
      <w:szCs w:val="24"/>
    </w:rPr>
  </w:style>
  <w:style w:type="character" w:customStyle="1" w:styleId="17">
    <w:name w:val="Footer Char"/>
    <w:basedOn w:val="12"/>
    <w:link w:val="5"/>
    <w:semiHidden/>
    <w:locked/>
    <w:uiPriority w:val="99"/>
    <w:rPr>
      <w:rFonts w:cs="Times New Roman"/>
      <w:sz w:val="18"/>
      <w:szCs w:val="18"/>
    </w:rPr>
  </w:style>
  <w:style w:type="character" w:customStyle="1" w:styleId="18">
    <w:name w:val="Header Char"/>
    <w:basedOn w:val="12"/>
    <w:link w:val="6"/>
    <w:semiHidden/>
    <w:locked/>
    <w:uiPriority w:val="99"/>
    <w:rPr>
      <w:rFonts w:cs="Times New Roman"/>
      <w:sz w:val="18"/>
      <w:szCs w:val="18"/>
    </w:rPr>
  </w:style>
  <w:style w:type="character" w:customStyle="1" w:styleId="19">
    <w:name w:val="Subtitle Char"/>
    <w:basedOn w:val="12"/>
    <w:link w:val="8"/>
    <w:locked/>
    <w:uiPriority w:val="99"/>
    <w:rPr>
      <w:rFonts w:ascii="Cambria" w:hAnsi="Cambria" w:cs="Times New Roman"/>
      <w:b/>
      <w:bCs/>
      <w:kern w:val="28"/>
      <w:sz w:val="32"/>
      <w:szCs w:val="32"/>
    </w:rPr>
  </w:style>
  <w:style w:type="character" w:customStyle="1" w:styleId="20">
    <w:name w:val="Body Text First Indent Char"/>
    <w:basedOn w:val="16"/>
    <w:link w:val="10"/>
    <w:semiHidden/>
    <w:locked/>
    <w:uiPriority w:val="99"/>
  </w:style>
  <w:style w:type="paragraph" w:customStyle="1" w:styleId="21">
    <w:name w:val="引文目录1"/>
    <w:basedOn w:val="1"/>
    <w:next w:val="1"/>
    <w:uiPriority w:val="99"/>
    <w:pPr>
      <w:ind w:left="420" w:leftChars="200"/>
    </w:pPr>
    <w:rPr>
      <w:sz w:val="32"/>
      <w:szCs w:val="32"/>
    </w:rPr>
  </w:style>
  <w:style w:type="paragraph" w:customStyle="1" w:styleId="22">
    <w:name w:val="BodyText1I2"/>
    <w:basedOn w:val="23"/>
    <w:autoRedefine/>
    <w:uiPriority w:val="99"/>
    <w:pPr>
      <w:ind w:firstLine="420"/>
    </w:pPr>
  </w:style>
  <w:style w:type="paragraph" w:customStyle="1" w:styleId="23">
    <w:name w:val="BodyTextIndent"/>
    <w:basedOn w:val="1"/>
    <w:qFormat/>
    <w:uiPriority w:val="99"/>
    <w:pPr>
      <w:spacing w:after="120"/>
      <w:ind w:left="420" w:leftChars="200" w:firstLine="200" w:firstLineChars="200"/>
      <w:textAlignment w:val="baseline"/>
    </w:pPr>
  </w:style>
  <w:style w:type="paragraph" w:customStyle="1" w:styleId="24">
    <w:name w:val="Default"/>
    <w:autoRedefine/>
    <w:qFormat/>
    <w:uiPriority w:val="99"/>
    <w:pPr>
      <w:widowControl w:val="0"/>
      <w:autoSpaceDE w:val="0"/>
      <w:autoSpaceDN w:val="0"/>
      <w:adjustRightInd w:val="0"/>
    </w:pPr>
    <w:rPr>
      <w:rFonts w:ascii="??_GB2312" w:hAnsi="Times New Roman" w:eastAsia="Times New Roman" w:cs="??_GB2312"/>
      <w:color w:val="000000"/>
      <w:kern w:val="0"/>
      <w:sz w:val="24"/>
      <w:szCs w:val="24"/>
      <w:lang w:val="en-US" w:eastAsia="zh-CN" w:bidi="ar-SA"/>
    </w:rPr>
  </w:style>
  <w:style w:type="paragraph" w:customStyle="1" w:styleId="25">
    <w:name w:val="无间隔1"/>
    <w:uiPriority w:val="99"/>
    <w:pPr>
      <w:widowControl w:val="0"/>
      <w:spacing w:beforeLines="50"/>
      <w:jc w:val="center"/>
    </w:pPr>
    <w:rPr>
      <w:rFonts w:ascii="Times New Roman" w:hAnsi="Times New Roman" w:eastAsia="SimSun" w:cs="Times New Roman"/>
      <w:kern w:val="2"/>
      <w:sz w:val="24"/>
      <w:szCs w:val="22"/>
      <w:lang w:val="en-US" w:eastAsia="zh-CN" w:bidi="ar-SA"/>
    </w:rPr>
  </w:style>
  <w:style w:type="paragraph" w:customStyle="1" w:styleId="26">
    <w:name w:val="无缩进"/>
    <w:basedOn w:val="1"/>
    <w:autoRedefine/>
    <w:qFormat/>
    <w:uiPriority w:val="99"/>
    <w:pPr>
      <w:spacing w:line="312" w:lineRule="auto"/>
    </w:pPr>
    <w:rPr>
      <w:sz w:val="24"/>
      <w:szCs w:val="22"/>
    </w:rPr>
  </w:style>
  <w:style w:type="paragraph" w:customStyle="1" w:styleId="27">
    <w:name w:val="列出段落1"/>
    <w:basedOn w:val="1"/>
    <w:qFormat/>
    <w:uiPriority w:val="99"/>
    <w:pPr>
      <w:ind w:firstLine="420" w:firstLineChars="200"/>
    </w:pPr>
  </w:style>
  <w:style w:type="paragraph" w:customStyle="1" w:styleId="28">
    <w:name w:val="列出段落2"/>
    <w:basedOn w:val="1"/>
    <w:qFormat/>
    <w:uiPriority w:val="99"/>
    <w:pPr>
      <w:ind w:firstLine="420" w:firstLineChars="200"/>
    </w:pPr>
    <w:rPr>
      <w:rFonts w:ascii="Calibri" w:hAnsi="Calibri"/>
      <w:szCs w:val="22"/>
    </w:rPr>
  </w:style>
  <w:style w:type="character" w:customStyle="1" w:styleId="29">
    <w:name w:val="font61"/>
    <w:basedOn w:val="12"/>
    <w:uiPriority w:val="99"/>
    <w:rPr>
      <w:rFonts w:ascii="Times New Roman" w:hAnsi="Times New Roman" w:cs="Times New Roman"/>
      <w:b/>
      <w:color w:val="000000"/>
      <w:sz w:val="28"/>
      <w:szCs w:val="28"/>
      <w:u w:val="none"/>
    </w:rPr>
  </w:style>
  <w:style w:type="character" w:customStyle="1" w:styleId="30">
    <w:name w:val="font121"/>
    <w:basedOn w:val="12"/>
    <w:qFormat/>
    <w:uiPriority w:val="99"/>
    <w:rPr>
      <w:rFonts w:ascii="Times New Roman" w:hAnsi="Times New Roman" w:cs="Times New Roman"/>
      <w:color w:val="000000"/>
      <w:sz w:val="20"/>
      <w:szCs w:val="20"/>
      <w:u w:val="none"/>
    </w:rPr>
  </w:style>
  <w:style w:type="character" w:customStyle="1" w:styleId="31">
    <w:name w:val="font11"/>
    <w:basedOn w:val="12"/>
    <w:qFormat/>
    <w:uiPriority w:val="99"/>
    <w:rPr>
      <w:rFonts w:ascii="SimSun" w:hAnsi="SimSun" w:eastAsia="SimSun" w:cs="SimSun"/>
      <w:color w:val="000000"/>
      <w:sz w:val="20"/>
      <w:szCs w:val="20"/>
      <w:u w:val="none"/>
    </w:rPr>
  </w:style>
  <w:style w:type="character" w:customStyle="1" w:styleId="32">
    <w:name w:val="font131"/>
    <w:basedOn w:val="12"/>
    <w:qFormat/>
    <w:uiPriority w:val="99"/>
    <w:rPr>
      <w:rFonts w:ascii="SimSun" w:hAnsi="SimSun" w:eastAsia="SimSun" w:cs="SimSun"/>
      <w:color w:val="000000"/>
      <w:sz w:val="18"/>
      <w:szCs w:val="18"/>
      <w:u w:val="none"/>
    </w:rPr>
  </w:style>
  <w:style w:type="character" w:customStyle="1" w:styleId="33">
    <w:name w:val="font141"/>
    <w:basedOn w:val="12"/>
    <w:qFormat/>
    <w:uiPriority w:val="99"/>
    <w:rPr>
      <w:rFonts w:ascii="Times New Roman" w:hAnsi="Times New Roman" w:cs="Times New Roman"/>
      <w:color w:val="000000"/>
      <w:sz w:val="24"/>
      <w:szCs w:val="24"/>
      <w:u w:val="none"/>
    </w:rPr>
  </w:style>
  <w:style w:type="character" w:customStyle="1" w:styleId="34">
    <w:name w:val="font101"/>
    <w:basedOn w:val="12"/>
    <w:qFormat/>
    <w:uiPriority w:val="99"/>
    <w:rPr>
      <w:rFonts w:ascii="SimSun" w:hAnsi="SimSun" w:eastAsia="SimSun" w:cs="SimSun"/>
      <w:color w:val="000000"/>
      <w:sz w:val="24"/>
      <w:szCs w:val="24"/>
      <w:u w:val="none"/>
    </w:rPr>
  </w:style>
  <w:style w:type="paragraph" w:customStyle="1" w:styleId="35">
    <w:name w:val="Other|1"/>
    <w:basedOn w:val="1"/>
    <w:qFormat/>
    <w:uiPriority w:val="99"/>
    <w:pPr>
      <w:spacing w:line="238" w:lineRule="exact"/>
    </w:pPr>
    <w:rPr>
      <w:rFonts w:ascii="SimSun" w:hAnsi="SimSun" w:cs="SimSun"/>
      <w:color w:val="1D1433"/>
      <w:sz w:val="20"/>
      <w:szCs w:val="20"/>
      <w:lang w:val="zh-TW" w:eastAsia="zh-TW"/>
    </w:rPr>
  </w:style>
  <w:style w:type="paragraph" w:customStyle="1" w:styleId="36">
    <w:name w:val="列出段落"/>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1234</Words>
  <Characters>1345</Characters>
  <Lines>0</Lines>
  <Paragraphs>0</Paragraphs>
  <TotalTime>11</TotalTime>
  <ScaleCrop>false</ScaleCrop>
  <LinksUpToDate>false</LinksUpToDate>
  <CharactersWithSpaces>1360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2025-04-23T08:39:00Z</dcterms:created>
  <dc:creator>greatwall</dc:creator>
  <cp:lastModifiedBy>Joanna</cp:lastModifiedBy>
  <cp:lastPrinted>2024-06-18T09:29:00Z</cp:lastPrinted>
  <dcterms:modified xsi:type="dcterms:W3CDTF">2025-04-28T02:41:05Z</dcterms:modified>
  <dc:title>附件4</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A1C5186D2B234E2DA6DA3F8EFA5CF66D_13</vt:lpwstr>
  </property>
  <property fmtid="{D5CDD505-2E9C-101B-9397-08002B2CF9AE}" pid="4" name="commondata">
    <vt:lpwstr>eyJoZGlkIjoiYTYyNDdjODg3NGNlNDkxMWExODY4YWEyMTRmNzM4NmQifQ==</vt:lpwstr>
  </property>
  <property fmtid="{D5CDD505-2E9C-101B-9397-08002B2CF9AE}" pid="5" name="KSOTemplateDocerSaveRecord">
    <vt:lpwstr>eyJoZGlkIjoiOGFmMDFlYTMwZTJkYjA4Yjc1ZDRhZjI0MmZmNGZiN2EiLCJ1c2VySWQiOiI2OTQyMzUyNjkifQ==</vt:lpwstr>
  </property>
</Properties>
</file>