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35DF1">
      <w:pPr>
        <w:widowControl/>
        <w:autoSpaceDN w:val="0"/>
        <w:spacing w:line="576" w:lineRule="exact"/>
        <w:jc w:val="center"/>
        <w:rPr>
          <w:rFonts w:ascii="微软雅黑" w:hAnsi="仿宋" w:eastAsia="微软雅黑" w:cs="宋体"/>
          <w:bCs/>
          <w:kern w:val="0"/>
          <w:sz w:val="44"/>
          <w:szCs w:val="44"/>
        </w:rPr>
      </w:pPr>
      <w:r>
        <w:rPr>
          <w:rFonts w:hint="eastAsia" w:ascii="微软雅黑" w:hAnsi="仿宋" w:eastAsia="微软雅黑" w:cs="宋体"/>
          <w:bCs/>
          <w:kern w:val="0"/>
          <w:sz w:val="44"/>
          <w:szCs w:val="44"/>
        </w:rPr>
        <w:t>2024年度安化县黑茶博物馆（单位）整体支出</w:t>
      </w:r>
    </w:p>
    <w:p w14:paraId="0D8888E6">
      <w:pPr>
        <w:widowControl/>
        <w:autoSpaceDN w:val="0"/>
        <w:spacing w:line="576" w:lineRule="exact"/>
        <w:jc w:val="center"/>
        <w:rPr>
          <w:rFonts w:ascii="微软雅黑" w:hAnsi="仿宋" w:eastAsia="微软雅黑" w:cs="宋体"/>
          <w:bCs/>
          <w:kern w:val="0"/>
          <w:sz w:val="44"/>
          <w:szCs w:val="44"/>
        </w:rPr>
      </w:pPr>
      <w:r>
        <w:rPr>
          <w:rFonts w:hint="eastAsia" w:ascii="微软雅黑" w:hAnsi="仿宋" w:eastAsia="微软雅黑" w:cs="宋体"/>
          <w:bCs/>
          <w:kern w:val="0"/>
          <w:sz w:val="44"/>
          <w:szCs w:val="44"/>
        </w:rPr>
        <w:t>绩效自评报告</w:t>
      </w:r>
    </w:p>
    <w:p w14:paraId="4ADE9398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一、部门(单位)基本情况</w:t>
      </w:r>
    </w:p>
    <w:p w14:paraId="182B4CFB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(一)职能职责</w:t>
      </w:r>
    </w:p>
    <w:p w14:paraId="003D3D82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1、制订全县博物馆事业发展规划和方案并组织实施。</w:t>
      </w:r>
    </w:p>
    <w:p w14:paraId="4CDC2592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2、负责征集收藏具有历史、艺术、科学价值的文物。</w:t>
      </w:r>
    </w:p>
    <w:p w14:paraId="2DB1756A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3、严格按 照行业规定对馆藏文物进行登记、建账，并实行分类保管，确 保文物安全。</w:t>
      </w:r>
    </w:p>
    <w:p w14:paraId="0FBEE1A4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4、发挥馆藏文物的社会教育功能，提供优质公共文化服务。</w:t>
      </w:r>
    </w:p>
    <w:p w14:paraId="25F62FFB">
      <w:pPr>
        <w:snapToGrid w:val="0"/>
        <w:spacing w:line="5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5、负责开展馆藏文物保护技术及相关课题研究，提高馆藏文物保护与利用水平，开展馆际交流，发挥宣传窗口作用。</w:t>
      </w:r>
    </w:p>
    <w:p w14:paraId="7636E8EB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 机构设置及人员情况</w:t>
      </w:r>
    </w:p>
    <w:p w14:paraId="544235DE"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内设机构设置：办公室、财务室、馆长室。</w:t>
      </w:r>
    </w:p>
    <w:p w14:paraId="69711D21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（一）办公室。1、贯彻执行馆领导的行政指令，负责本馆各部门的综合协调;</w:t>
      </w:r>
    </w:p>
    <w:p w14:paraId="6D709214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2、负责本馆工作计划、总结等综合文件的起草；负责制定有关管理制度；负责馆办公会议、例会等会议的会务安排及会议记录、会议纪要等文字工作;</w:t>
      </w:r>
    </w:p>
    <w:p w14:paraId="613362F0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3、协助馆领导负责日常人事管理工作;</w:t>
      </w:r>
    </w:p>
    <w:p w14:paraId="1BBFAEAE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4、负责职工考勤，监督各项管理制度的落实;</w:t>
      </w:r>
    </w:p>
    <w:p w14:paraId="536F58A0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5、负责文秘、档案资料、文字材料的打印发送及公用物品的采购、管理、发放工作;</w:t>
      </w:r>
    </w:p>
    <w:p w14:paraId="59D1C271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6、负责馆对外接待、日常服务等工作；</w:t>
      </w:r>
    </w:p>
    <w:p w14:paraId="75819437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7、负责本馆有关活动以及各项勤务工作的组织实施;</w:t>
      </w:r>
    </w:p>
    <w:p w14:paraId="68AC9F57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8、负责服务业标准化试点工作；</w:t>
      </w:r>
    </w:p>
    <w:p w14:paraId="22CF141A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9、负责博物馆公众号的运营工作，及时发布通讯报道；</w:t>
      </w:r>
    </w:p>
    <w:p w14:paraId="1DB93819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10、负责创卫工作；</w:t>
      </w:r>
    </w:p>
    <w:p w14:paraId="47E82764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11、负责新进临聘讲解员的培训工作；</w:t>
      </w:r>
    </w:p>
    <w:p w14:paraId="5EB715AE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12、完成馆领导交办的其他工作任务。</w:t>
      </w:r>
    </w:p>
    <w:p w14:paraId="4AA0DA28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（二）财务室。1、按照会计制度，填制转帐凭证，做好记帐、算帐、结帐、报帐工作。同时做好工资核算工作;</w:t>
      </w:r>
    </w:p>
    <w:p w14:paraId="7CD5C9BC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严格票据管理，保管空白收据和部分印章。</w:t>
      </w:r>
    </w:p>
    <w:p w14:paraId="47663A6E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保管好所有财务凭证，及时整理、装订归档，定期编制各种会计报表、统计资料，年终提交决算报告等;</w:t>
      </w:r>
    </w:p>
    <w:p w14:paraId="2981200B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4、负责单位日常的费用报销;</w:t>
      </w:r>
    </w:p>
    <w:p w14:paraId="79714A1F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5、负责日常现金、支票的收与支出，信用卡的核对，及时登记现金及银行存款日记账；</w:t>
      </w:r>
    </w:p>
    <w:p w14:paraId="19EBA8E6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6、负责本馆第三产业的营业收入核对和登记；</w:t>
      </w:r>
    </w:p>
    <w:p w14:paraId="752A73F6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7、每月编制《现金流量表》，并上报馆长;</w:t>
      </w:r>
    </w:p>
    <w:p w14:paraId="3AEC7AB8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8、每月编制好工资表，并负责发放;</w:t>
      </w:r>
    </w:p>
    <w:p w14:paraId="3DEEE9CC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9、兼计生专干，按上级要求搞好本单位婚检、孕检，女工工作；</w:t>
      </w:r>
    </w:p>
    <w:p w14:paraId="2C39CE81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10、完成领导布置的其他工作。</w:t>
      </w:r>
    </w:p>
    <w:p w14:paraId="45C6685E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（三）馆长室。负责博物馆的管理和运行，对干职工进行工作分配和人事任免，带领下属认真开展工作;</w:t>
      </w:r>
    </w:p>
    <w:p w14:paraId="61F99330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负责制定博物馆的工作计划、发展规划，并领导组织实施这些计划;</w:t>
      </w:r>
    </w:p>
    <w:p w14:paraId="25D826DC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协调上级和各有关部门关系，争取财政资金和上级主管部门专项资金；</w:t>
      </w:r>
    </w:p>
    <w:p w14:paraId="0D69A215">
      <w:pPr>
        <w:snapToGrid w:val="0"/>
        <w:spacing w:line="5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4、领导全馆干职工，完成文广新局下达的各项工作任务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。</w:t>
      </w:r>
    </w:p>
    <w:p w14:paraId="563A8897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二、一般公共预算支出情况</w:t>
      </w:r>
    </w:p>
    <w:p w14:paraId="4920F692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全年总支出193.93万元，按支出性质和经济分类，基本支出106.68万元，占总支出的55%；项目支出87.26万元，占总支出的45%。</w:t>
      </w:r>
    </w:p>
    <w:p w14:paraId="07C0C9EF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(一)基本支出情况</w:t>
      </w:r>
    </w:p>
    <w:p w14:paraId="7A128809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2024年年初预算批复的基本支出为83.73万元。</w:t>
      </w:r>
    </w:p>
    <w:p w14:paraId="469A69A5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2024年实际基本支出106.68万元，其中工资福利支出99.93万元、商品和服务支出6.75万元、对个人和家庭的补助0万元。</w:t>
      </w:r>
    </w:p>
    <w:p w14:paraId="1D6F836B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2024年基本支出一般公用经费年初预算数5.6万元，实际支出6.75万元，一般公用经费预算控制率为120%。</w:t>
      </w:r>
    </w:p>
    <w:p w14:paraId="6FBAEE4C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(二)项目支出情况</w:t>
      </w:r>
    </w:p>
    <w:p w14:paraId="7457AEC7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1、项目资金使用情况</w:t>
      </w:r>
    </w:p>
    <w:p w14:paraId="68956635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商品和服务支出万元，其中：办公费1.26万元、水费1.1万元、电费10.25万元、邮电费2.21万元、差旅费4.5万元、维修（护）费3.28万元、专用材料费3.28万元、劳务费32.93、委托业务费15.5万元、工会经费0.85万元、福利费1.83万元、其他商品和服务支出10.32万元；</w:t>
      </w:r>
    </w:p>
    <w:p w14:paraId="5ADC5980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（2）对个人和家庭的补助支出0万元；</w:t>
      </w:r>
    </w:p>
    <w:p w14:paraId="73A9BE8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（3）资本性支出0万元。</w:t>
      </w:r>
    </w:p>
    <w:p w14:paraId="7C0CE541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2、所涉项目内容</w:t>
      </w:r>
    </w:p>
    <w:p w14:paraId="4EBCAC80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项目支出具体包括非税返还、免费开放资金。</w:t>
      </w:r>
    </w:p>
    <w:p w14:paraId="31B3B026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3、“三公”经费的使用及管理情况</w:t>
      </w:r>
    </w:p>
    <w:p w14:paraId="775548E4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2023年“三公经费”年初预算数总额0万元，其中因公出国（境）费用0万元，公务用车购置及运行费0万元，公务接待费0万元。</w:t>
      </w:r>
    </w:p>
    <w:p w14:paraId="3AB40DD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2024年“三公经费”决算数总额0万元，因公出国（境）费用决算数总额0万元，公务用车购置及运行费0万元。</w:t>
      </w:r>
    </w:p>
    <w:p w14:paraId="6FD4EE42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三、政府性基金预算支出情况</w:t>
      </w:r>
    </w:p>
    <w:p w14:paraId="78867471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2024年政府性基金预算支出0万元。</w:t>
      </w:r>
    </w:p>
    <w:p w14:paraId="063B0227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四、国有资本经营预算支出情况</w:t>
      </w:r>
    </w:p>
    <w:p w14:paraId="7A176860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2024年国有资本经营预算支出0万元。</w:t>
      </w:r>
    </w:p>
    <w:p w14:paraId="54889956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五、社会保险基金预算支出情况</w:t>
      </w:r>
    </w:p>
    <w:p w14:paraId="45E54B5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2024年社会保险基金预算支出0万元。</w:t>
      </w:r>
    </w:p>
    <w:p w14:paraId="3B4464C6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六、部门整体支出绩效情况</w:t>
      </w:r>
    </w:p>
    <w:p w14:paraId="4E651D47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1、预算配置指标</w:t>
      </w:r>
    </w:p>
    <w:p w14:paraId="5EB9932D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（1）编制数10人，在职人员7人，在编制控制范围内，在职人员控制率为70%。</w:t>
      </w:r>
    </w:p>
    <w:p w14:paraId="4C15EB3C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（2）三公经费本年预算数0万元。</w:t>
      </w:r>
    </w:p>
    <w:p w14:paraId="784F0EF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2、预算管理指标</w:t>
      </w:r>
    </w:p>
    <w:p w14:paraId="37F52D38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（1）2024年实际支出公用经费总额5.6万元，预算安排公用经费总额6.75万元。2024年实际支出超预算18%。</w:t>
      </w:r>
    </w:p>
    <w:p w14:paraId="33ACD27B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（2）“三公”经费实际支出数为0万元，预算安排数0万元。</w:t>
      </w:r>
    </w:p>
    <w:p w14:paraId="74F21FFB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七、存在的问题及原因分析</w:t>
      </w:r>
    </w:p>
    <w:p w14:paraId="50B24F0B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通过前述对我会整体支出情况的分析，反映出目前在整体支出的预算配置、执行和管理过程中，依然存在一些问题和不足：一是预算还不够精细化；二是需进一步加强项目前期管理，加快项目执行进度。</w:t>
      </w:r>
    </w:p>
    <w:p w14:paraId="4E1800C7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八、下一步改进措施</w:t>
      </w:r>
    </w:p>
    <w:p w14:paraId="040ABFC3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针对上述存在的问题及整体支出管理工作的需要，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黑茶博物馆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拟实施的改进措施如下：</w:t>
      </w:r>
    </w:p>
    <w:p w14:paraId="3FC69BC5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（一）预算进一步精细化</w:t>
      </w:r>
    </w:p>
    <w:p w14:paraId="6B52CE8A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对年初的预算数据测算更加精细、准确，确保预算的编制质量。</w:t>
      </w:r>
    </w:p>
    <w:p w14:paraId="3E858FD9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（二）加快预算执行进度</w:t>
      </w:r>
    </w:p>
    <w:p w14:paraId="6683DB27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加快项目实施进度的推进，加强项目开展进度的跟踪，开展项目绩效评价，确保项目绩效目标的完成，发挥资金的使用效益，压减年末结余资金规模，提高预算完成率。</w:t>
      </w:r>
    </w:p>
    <w:p w14:paraId="215E9EEF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今后工作中，我们将严格按照中央、省、市、县里有关精神及各项规章制度不断完善预算资金绩效管理办法，修改完善我会的制度实施细则，细化项目预算监督评价体系，增强风险监控意识，提高财政资金的使用效益。</w:t>
      </w:r>
    </w:p>
    <w:p w14:paraId="793D0EF6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九、绩效自评结果拟应用和公开情况</w:t>
      </w:r>
    </w:p>
    <w:p w14:paraId="21E6E290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我们将该绩效自评结果作为以后年度部门预算、资金分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配等工作的重要依据，对发现的问题进行整改。将根据要求，在门户网站上对该绩效自评报告进行公开。</w:t>
      </w:r>
    </w:p>
    <w:p w14:paraId="0FBDD565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十、其他需要说明的情况</w:t>
      </w:r>
    </w:p>
    <w:p w14:paraId="02BEE15C">
      <w:pPr>
        <w:spacing w:line="62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JhNmQzMjYzZDE5MTUyZGEyYTllZDM2ZDNjMTI5NzcifQ=="/>
  </w:docVars>
  <w:rsids>
    <w:rsidRoot w:val="00CC1856"/>
    <w:rsid w:val="00033F86"/>
    <w:rsid w:val="00062839"/>
    <w:rsid w:val="00175EF7"/>
    <w:rsid w:val="00266139"/>
    <w:rsid w:val="002A51C2"/>
    <w:rsid w:val="004179A1"/>
    <w:rsid w:val="00566EEA"/>
    <w:rsid w:val="005E09F3"/>
    <w:rsid w:val="0068093F"/>
    <w:rsid w:val="00774ADB"/>
    <w:rsid w:val="00810F81"/>
    <w:rsid w:val="00860AB8"/>
    <w:rsid w:val="008C4B48"/>
    <w:rsid w:val="00B356CE"/>
    <w:rsid w:val="00C363EA"/>
    <w:rsid w:val="00CC1856"/>
    <w:rsid w:val="00EB0B8B"/>
    <w:rsid w:val="00F82ED7"/>
    <w:rsid w:val="00FD0E72"/>
    <w:rsid w:val="0259568F"/>
    <w:rsid w:val="441E765C"/>
    <w:rsid w:val="442428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2150</Words>
  <Characters>2276</Characters>
  <Lines>16</Lines>
  <Paragraphs>4</Paragraphs>
  <TotalTime>16</TotalTime>
  <ScaleCrop>false</ScaleCrop>
  <LinksUpToDate>false</LinksUpToDate>
  <CharactersWithSpaces>2279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2025-04-25T07:02:00Z</dcterms:created>
  <dc:creator>Windows User</dc:creator>
  <cp:lastModifiedBy>Administrator</cp:lastModifiedBy>
  <dcterms:modified xsi:type="dcterms:W3CDTF">2025-09-25T01:48:50Z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49ED9D1ECFF2448CBBC7372F7ACA65AB_13</vt:lpwstr>
  </property>
  <property fmtid="{D5CDD505-2E9C-101B-9397-08002B2CF9AE}" pid="4" name="KSOTemplateDocerSaveRecord">
    <vt:lpwstr>eyJoZGlkIjoiNWJhNmQzMjYzZDE5MTUyZGEyYTllZDM2ZDNjMTI5NzcifQ==</vt:lpwstr>
  </property>
</Properties>
</file>