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DCC" w:rsidRDefault="00E45DCC">
      <w:pPr>
        <w:rPr>
          <w:rFonts w:ascii="黑体" w:eastAsia="黑体" w:hAnsi="黑体" w:cs="仿宋"/>
          <w:sz w:val="32"/>
          <w:szCs w:val="32"/>
        </w:rPr>
      </w:pPr>
      <w:r w:rsidRPr="00B57D17">
        <w:rPr>
          <w:rFonts w:ascii="黑体" w:eastAsia="黑体" w:hAnsi="黑体" w:cs="仿宋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562.5pt">
            <v:imagedata r:id="rId7" o:title=""/>
          </v:shape>
        </w:pict>
      </w:r>
    </w:p>
    <w:p w:rsidR="00E45DCC" w:rsidRDefault="00E45DCC">
      <w:pPr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</w:p>
    <w:p w:rsidR="00E45DCC" w:rsidRDefault="00E45DCC">
      <w:pPr>
        <w:autoSpaceDN w:val="0"/>
        <w:spacing w:line="576" w:lineRule="exact"/>
        <w:jc w:val="center"/>
        <w:rPr>
          <w:rFonts w:ascii="微软雅黑" w:eastAsia="微软雅黑" w:hAnsi="仿宋" w:cs="宋体"/>
          <w:bCs/>
          <w:kern w:val="0"/>
          <w:sz w:val="44"/>
          <w:szCs w:val="44"/>
        </w:rPr>
      </w:pPr>
    </w:p>
    <w:p w:rsidR="00E45DCC" w:rsidRDefault="00E45DCC">
      <w:pPr>
        <w:autoSpaceDN w:val="0"/>
        <w:spacing w:line="576" w:lineRule="exact"/>
        <w:jc w:val="center"/>
        <w:rPr>
          <w:rFonts w:ascii="微软雅黑" w:eastAsia="微软雅黑" w:hAnsi="仿宋" w:cs="宋体"/>
          <w:bCs/>
          <w:kern w:val="0"/>
          <w:sz w:val="44"/>
          <w:szCs w:val="44"/>
        </w:rPr>
      </w:pPr>
      <w:r>
        <w:rPr>
          <w:rFonts w:ascii="微软雅黑" w:eastAsia="微软雅黑" w:hAnsi="仿宋" w:cs="宋体"/>
          <w:bCs/>
          <w:kern w:val="0"/>
          <w:sz w:val="44"/>
          <w:szCs w:val="44"/>
        </w:rPr>
        <w:t>2024</w:t>
      </w:r>
      <w:r>
        <w:rPr>
          <w:rFonts w:ascii="微软雅黑" w:eastAsia="微软雅黑" w:hAnsi="仿宋" w:cs="宋体" w:hint="eastAsia"/>
          <w:bCs/>
          <w:kern w:val="0"/>
          <w:sz w:val="44"/>
          <w:szCs w:val="44"/>
        </w:rPr>
        <w:t>度安化县文保中心整体支出</w:t>
      </w:r>
    </w:p>
    <w:p w:rsidR="00E45DCC" w:rsidRDefault="00E45DCC">
      <w:pPr>
        <w:autoSpaceDN w:val="0"/>
        <w:spacing w:line="576" w:lineRule="exact"/>
        <w:jc w:val="center"/>
        <w:rPr>
          <w:rFonts w:ascii="微软雅黑" w:eastAsia="微软雅黑" w:hAnsi="仿宋" w:cs="宋体"/>
          <w:bCs/>
          <w:kern w:val="0"/>
          <w:sz w:val="44"/>
          <w:szCs w:val="44"/>
        </w:rPr>
      </w:pPr>
      <w:r>
        <w:rPr>
          <w:rFonts w:ascii="微软雅黑" w:eastAsia="微软雅黑" w:hAnsi="仿宋" w:cs="宋体" w:hint="eastAsia"/>
          <w:bCs/>
          <w:kern w:val="0"/>
          <w:sz w:val="44"/>
          <w:szCs w:val="44"/>
        </w:rPr>
        <w:t>绩效自评报告</w:t>
      </w:r>
    </w:p>
    <w:p w:rsidR="00E45DCC" w:rsidRDefault="00E45DCC">
      <w:pPr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</w:p>
    <w:p w:rsidR="00E45DCC" w:rsidRDefault="00E45DCC">
      <w:pPr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一、部门</w:t>
      </w:r>
      <w:r>
        <w:rPr>
          <w:rFonts w:ascii="黑体" w:eastAsia="黑体" w:hAnsi="黑体" w:cs="宋体"/>
          <w:color w:val="000000"/>
          <w:kern w:val="0"/>
          <w:sz w:val="32"/>
          <w:szCs w:val="32"/>
        </w:rPr>
        <w:t>(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单位</w:t>
      </w:r>
      <w:r>
        <w:rPr>
          <w:rFonts w:ascii="黑体" w:eastAsia="黑体" w:hAnsi="黑体" w:cs="宋体"/>
          <w:color w:val="000000"/>
          <w:kern w:val="0"/>
          <w:sz w:val="32"/>
          <w:szCs w:val="32"/>
        </w:rPr>
        <w:t>)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基本情况</w:t>
      </w:r>
    </w:p>
    <w:p w:rsidR="00E45DCC" w:rsidRDefault="00E45DCC">
      <w:pPr>
        <w:spacing w:line="576" w:lineRule="exact"/>
        <w:ind w:firstLineChars="200" w:firstLine="640"/>
        <w:jc w:val="left"/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</w:pP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(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一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)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简要介绍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2024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年度重点工作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;</w:t>
      </w:r>
    </w:p>
    <w:p w:rsidR="00E45DCC" w:rsidRPr="00E66F88" w:rsidRDefault="00E45DCC" w:rsidP="00E66F88">
      <w:pPr>
        <w:ind w:firstLineChars="200" w:firstLine="64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年在文保中心</w:t>
      </w:r>
      <w:r>
        <w:rPr>
          <w:rFonts w:ascii="仿宋_GB2312" w:eastAsia="仿宋_GB2312" w:hAnsi="仿宋_GB2312" w:hint="eastAsia"/>
          <w:sz w:val="32"/>
        </w:rPr>
        <w:t>着力推进安化县第四次全国文物普查工作，</w:t>
      </w:r>
      <w:r>
        <w:rPr>
          <w:rFonts w:ascii="仿宋_GB2312" w:eastAsia="仿宋_GB2312" w:hAnsi="仿宋_GB2312" w:cs="仿宋_GB2312" w:hint="eastAsia"/>
          <w:sz w:val="32"/>
          <w:szCs w:val="32"/>
        </w:rPr>
        <w:t>加强</w:t>
      </w:r>
      <w:r>
        <w:rPr>
          <w:rFonts w:ascii="仿宋_GB2312" w:eastAsia="仿宋_GB2312" w:hAnsi="仿宋_GB2312" w:hint="eastAsia"/>
          <w:sz w:val="32"/>
        </w:rPr>
        <w:t>文物保护与活化利用工作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hint="eastAsia"/>
          <w:sz w:val="32"/>
        </w:rPr>
        <w:t>顺利完成</w:t>
      </w:r>
      <w:r>
        <w:rPr>
          <w:rFonts w:ascii="仿宋_GB2312" w:eastAsia="仿宋_GB2312" w:hAnsi="仿宋_GB2312"/>
          <w:sz w:val="32"/>
        </w:rPr>
        <w:t>2024</w:t>
      </w:r>
      <w:r>
        <w:rPr>
          <w:rFonts w:ascii="仿宋_GB2312" w:eastAsia="仿宋_GB2312" w:hAnsi="仿宋_GB2312" w:hint="eastAsia"/>
          <w:sz w:val="32"/>
        </w:rPr>
        <w:t>年各项工作任务，现将</w:t>
      </w:r>
      <w:r>
        <w:rPr>
          <w:rFonts w:ascii="仿宋_GB2312" w:eastAsia="仿宋_GB2312" w:hAnsi="仿宋_GB2312"/>
          <w:sz w:val="32"/>
        </w:rPr>
        <w:t>2024</w:t>
      </w:r>
      <w:r>
        <w:rPr>
          <w:rFonts w:ascii="仿宋_GB2312" w:eastAsia="仿宋_GB2312" w:hAnsi="仿宋_GB2312" w:hint="eastAsia"/>
          <w:sz w:val="32"/>
        </w:rPr>
        <w:t>年全年重点工作情况汇报如下：</w:t>
      </w:r>
      <w:r w:rsidRPr="00E66F88">
        <w:rPr>
          <w:rFonts w:ascii="仿宋_GB2312" w:eastAsia="仿宋_GB2312" w:hAnsi="仿宋_GB2312"/>
          <w:sz w:val="32"/>
        </w:rPr>
        <w:t>1</w:t>
      </w:r>
      <w:r w:rsidRPr="00E66F88">
        <w:rPr>
          <w:rFonts w:ascii="仿宋_GB2312" w:eastAsia="仿宋_GB2312" w:hAnsi="仿宋_GB2312" w:hint="eastAsia"/>
          <w:sz w:val="32"/>
        </w:rPr>
        <w:t>、全力开展“四普”工作：一是出色完成全县</w:t>
      </w:r>
      <w:r w:rsidRPr="00E66F88">
        <w:rPr>
          <w:rFonts w:ascii="仿宋_GB2312" w:eastAsia="仿宋_GB2312" w:hAnsi="仿宋_GB2312"/>
          <w:sz w:val="32"/>
        </w:rPr>
        <w:t>203</w:t>
      </w:r>
      <w:r w:rsidRPr="00E66F88">
        <w:rPr>
          <w:rFonts w:ascii="仿宋_GB2312" w:eastAsia="仿宋_GB2312" w:hAnsi="仿宋_GB2312" w:hint="eastAsia"/>
          <w:sz w:val="32"/>
        </w:rPr>
        <w:t>处“三普”点复核工作，二是积极做好新发现文物工作；</w:t>
      </w:r>
      <w:r w:rsidRPr="00E66F88">
        <w:rPr>
          <w:rFonts w:ascii="仿宋_GB2312" w:eastAsia="仿宋_GB2312" w:hAnsi="仿宋_GB2312"/>
          <w:sz w:val="32"/>
        </w:rPr>
        <w:t>2</w:t>
      </w:r>
      <w:r w:rsidRPr="00E66F88">
        <w:rPr>
          <w:rFonts w:ascii="仿宋_GB2312" w:eastAsia="仿宋_GB2312" w:hAnsi="仿宋_GB2312" w:hint="eastAsia"/>
          <w:sz w:val="32"/>
        </w:rPr>
        <w:t>、着力做好文物保护工作：一是积极推进文保项目。二是完成第十二批省级文物保护单位申报工作；三是配合做好文物相关工作。四是严格落实文物安全巡查制度。</w:t>
      </w:r>
      <w:r w:rsidRPr="00E66F88">
        <w:rPr>
          <w:rFonts w:ascii="仿宋_GB2312" w:eastAsia="仿宋_GB2312" w:hAnsi="仿宋_GB2312"/>
          <w:sz w:val="32"/>
        </w:rPr>
        <w:t>3</w:t>
      </w:r>
      <w:r w:rsidRPr="00E66F88">
        <w:rPr>
          <w:rFonts w:ascii="仿宋_GB2312" w:eastAsia="仿宋_GB2312" w:hAnsi="仿宋_GB2312" w:hint="eastAsia"/>
          <w:sz w:val="32"/>
        </w:rPr>
        <w:t>、全面落实廊桥保护三年行动计划工作</w:t>
      </w:r>
      <w:r>
        <w:rPr>
          <w:rFonts w:ascii="仿宋_GB2312" w:eastAsia="仿宋_GB2312" w:hAnsi="仿宋_GB2312" w:hint="eastAsia"/>
          <w:sz w:val="32"/>
        </w:rPr>
        <w:t>。</w:t>
      </w:r>
    </w:p>
    <w:p w:rsidR="00E45DCC" w:rsidRDefault="00E45DCC" w:rsidP="00E66F88"/>
    <w:p w:rsidR="00E45DCC" w:rsidRDefault="00E45DCC">
      <w:pPr>
        <w:spacing w:line="576" w:lineRule="exact"/>
        <w:ind w:firstLineChars="100" w:firstLine="320"/>
        <w:jc w:val="left"/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（二）整体支出规模、使用方向、主要内容和涉及范围</w:t>
      </w:r>
    </w:p>
    <w:p w:rsidR="00E45DCC" w:rsidRDefault="00E45DCC">
      <w:pPr>
        <w:pStyle w:val="Defaul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年度</w:t>
      </w:r>
      <w:r>
        <w:rPr>
          <w:rFonts w:ascii="仿宋_GB2312" w:eastAsia="仿宋_GB2312" w:hAnsi="仿宋" w:hint="eastAsia"/>
          <w:sz w:val="32"/>
          <w:szCs w:val="32"/>
        </w:rPr>
        <w:t>县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文物保护与考古研究研究中心收入、支出年初预算总计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92.76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万元。</w:t>
      </w:r>
      <w:r>
        <w:rPr>
          <w:rFonts w:ascii="仿宋_GB2312" w:eastAsia="仿宋_GB2312" w:hAnsi="仿宋" w:hint="eastAsia"/>
          <w:sz w:val="32"/>
          <w:szCs w:val="32"/>
        </w:rPr>
        <w:t>全年总收入</w:t>
      </w:r>
      <w:r>
        <w:rPr>
          <w:rFonts w:ascii="仿宋_GB2312" w:eastAsia="仿宋_GB2312" w:hAnsi="仿宋"/>
          <w:sz w:val="32"/>
          <w:szCs w:val="32"/>
        </w:rPr>
        <w:t>1193.38</w:t>
      </w:r>
      <w:r>
        <w:rPr>
          <w:rFonts w:ascii="仿宋_GB2312" w:eastAsia="仿宋_GB2312" w:hAnsi="仿宋" w:hint="eastAsia"/>
          <w:sz w:val="32"/>
          <w:szCs w:val="32"/>
        </w:rPr>
        <w:t>万元，其中</w:t>
      </w:r>
      <w:r>
        <w:rPr>
          <w:rFonts w:ascii="仿宋_GB2312" w:eastAsia="仿宋_GB2312" w:hAnsi="仿宋"/>
          <w:sz w:val="32"/>
          <w:szCs w:val="32"/>
        </w:rPr>
        <w:t>:</w:t>
      </w:r>
      <w:r>
        <w:rPr>
          <w:rFonts w:ascii="仿宋_GB2312" w:eastAsia="仿宋_GB2312" w:hAnsi="仿宋" w:hint="eastAsia"/>
          <w:sz w:val="32"/>
          <w:szCs w:val="32"/>
        </w:rPr>
        <w:t>一般公共预算财政拨款收入</w:t>
      </w:r>
      <w:r>
        <w:rPr>
          <w:rFonts w:ascii="仿宋_GB2312" w:eastAsia="仿宋_GB2312" w:hAnsi="仿宋"/>
          <w:sz w:val="32"/>
          <w:szCs w:val="32"/>
        </w:rPr>
        <w:t>1181.15</w:t>
      </w:r>
      <w:r>
        <w:rPr>
          <w:rFonts w:ascii="仿宋_GB2312" w:eastAsia="仿宋_GB2312" w:hAnsi="仿宋" w:hint="eastAsia"/>
          <w:sz w:val="32"/>
          <w:szCs w:val="32"/>
        </w:rPr>
        <w:t>万元，占总收入的</w:t>
      </w:r>
      <w:r>
        <w:rPr>
          <w:rFonts w:ascii="仿宋_GB2312" w:eastAsia="仿宋_GB2312" w:hAnsi="仿宋"/>
          <w:sz w:val="32"/>
          <w:szCs w:val="32"/>
        </w:rPr>
        <w:t>98.98%</w:t>
      </w:r>
      <w:r>
        <w:rPr>
          <w:rFonts w:ascii="仿宋_GB2312" w:eastAsia="仿宋_GB2312" w:hAnsi="仿宋" w:hint="eastAsia"/>
          <w:sz w:val="32"/>
          <w:szCs w:val="32"/>
        </w:rPr>
        <w:t>。主要方向为：</w:t>
      </w:r>
    </w:p>
    <w:p w:rsidR="00E45DCC" w:rsidRDefault="00E45DCC" w:rsidP="00FA6DD8">
      <w:pPr>
        <w:pStyle w:val="Default"/>
        <w:numPr>
          <w:ilvl w:val="0"/>
          <w:numId w:val="4"/>
        </w:numP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</w:pPr>
      <w:r w:rsidRPr="00E66F88"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其他科学技术管理事务（类）年初预算为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万元，支出决算为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3.52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万元，系财政拨入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24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年县级解困资金主要用于公用经费支付人员差旅费，办公费等。</w:t>
      </w:r>
    </w:p>
    <w:p w:rsidR="00E45DCC" w:rsidRDefault="00E45DCC" w:rsidP="00E66F88">
      <w:pPr>
        <w:pStyle w:val="Default"/>
        <w:ind w:firstLineChars="200" w:firstLine="640"/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。</w:t>
      </w:r>
    </w:p>
    <w:p w:rsidR="00E45DCC" w:rsidRDefault="00E45DCC" w:rsidP="00FA6DD8">
      <w:pPr>
        <w:pStyle w:val="Default"/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</w:pP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文化旅游体育与传媒支出（类）文化和旅游（款）行政运行（项）。年初预算为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91.31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万元，支出决算为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100.86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元，完成年初预算的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110.46%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，主要用于人员经费如津贴补贴及绩效奖金发放等。</w:t>
      </w:r>
    </w:p>
    <w:p w:rsidR="00E45DCC" w:rsidRDefault="00E45DCC" w:rsidP="00FA6DD8">
      <w:pPr>
        <w:pStyle w:val="Default"/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</w:pP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文化旅游体育与传媒支出（类）文化和旅游（款）文化创作与保护（项）年初预算为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万元，支出决算为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23.6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万元，主要用于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年第四次文物普查，材料仪器及工作经费差旅费。</w:t>
      </w:r>
    </w:p>
    <w:p w:rsidR="00E45DCC" w:rsidRDefault="00E45DCC" w:rsidP="00FA6DD8">
      <w:pPr>
        <w:pStyle w:val="Default"/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</w:pP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文化旅游体育与传媒支出（类）文化和旅游（款）其他文化和旅游支出（项）年初预算为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万元，支出决算为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万元，形成差异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万元，主要原因用于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年指标调剂不可移动文物普查差旅费。</w:t>
      </w:r>
    </w:p>
    <w:p w:rsidR="00E45DCC" w:rsidRDefault="00E45DCC" w:rsidP="00FA6DD8">
      <w:pPr>
        <w:pStyle w:val="Default"/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</w:pP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5.</w:t>
      </w:r>
      <w:r w:rsidRPr="004C0AE6"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文化旅游体育与传媒支出（类）文化和旅游（款）文物保护（项）年初预算为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万元，支出决算为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418.81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元，主要用于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年文物项目保护与巡查勘探，熊绍安故居等文物保</w:t>
      </w:r>
    </w:p>
    <w:p w:rsidR="00E45DCC" w:rsidRDefault="00E45DCC" w:rsidP="00FA6DD8">
      <w:pPr>
        <w:pStyle w:val="Default"/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</w:pP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6.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文化旅游体育与传媒支出（类）文化和旅游（款）其他文物支出（项）。年初预算为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万元，支出决算为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418.81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万元，主要用于：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年梅城文武庙修缮，风雨桥消防工程，马路溪居民建筑群修缮等专项支出。</w:t>
      </w:r>
    </w:p>
    <w:p w:rsidR="00E45DCC" w:rsidRDefault="00E45DCC" w:rsidP="00FA6DD8">
      <w:pPr>
        <w:pStyle w:val="Default"/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</w:pP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7.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其他支出（类）年初预算为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万元，支出决算为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元，主要原因是上年结存转入单位往来款用于未完成的文物项目支出等</w:t>
      </w:r>
      <w:r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。</w:t>
      </w:r>
    </w:p>
    <w:p w:rsidR="00E45DCC" w:rsidRDefault="00E45DCC" w:rsidP="00FA6DD8">
      <w:pPr>
        <w:pStyle w:val="Default"/>
        <w:ind w:firstLineChars="50" w:firstLine="160"/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</w:pPr>
    </w:p>
    <w:p w:rsidR="00E45DCC" w:rsidRDefault="00E45DCC" w:rsidP="00D76102">
      <w:pPr>
        <w:pStyle w:val="Default"/>
        <w:ind w:firstLineChars="200" w:firstLine="640"/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</w:pPr>
    </w:p>
    <w:p w:rsidR="00E45DCC" w:rsidRDefault="00E45DCC" w:rsidP="00D76102">
      <w:pPr>
        <w:pStyle w:val="Default"/>
        <w:ind w:firstLineChars="200" w:firstLine="640"/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</w:pPr>
    </w:p>
    <w:p w:rsidR="00E45DCC" w:rsidRDefault="00E45DCC" w:rsidP="00D76102">
      <w:pPr>
        <w:pStyle w:val="Default"/>
        <w:ind w:firstLineChars="200" w:firstLine="640"/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。</w:t>
      </w:r>
    </w:p>
    <w:p w:rsidR="00E45DCC" w:rsidRDefault="00E45DCC">
      <w:pPr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二、一般公共预算支出情况</w:t>
      </w:r>
    </w:p>
    <w:p w:rsidR="00E45DCC" w:rsidRDefault="00E45DCC">
      <w:pPr>
        <w:spacing w:line="576" w:lineRule="exact"/>
        <w:ind w:firstLineChars="200" w:firstLine="640"/>
        <w:jc w:val="left"/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</w:pP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(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一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)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基本支出情况</w:t>
      </w:r>
    </w:p>
    <w:p w:rsidR="00E45DCC" w:rsidRDefault="00E45DCC" w:rsidP="00FA6DD8">
      <w:pPr>
        <w:snapToGrid w:val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全年总支出</w:t>
      </w:r>
      <w:r>
        <w:rPr>
          <w:rFonts w:ascii="仿宋_GB2312" w:eastAsia="仿宋_GB2312" w:hAnsi="仿宋"/>
          <w:sz w:val="32"/>
          <w:szCs w:val="32"/>
        </w:rPr>
        <w:t>1193.38</w:t>
      </w:r>
      <w:r>
        <w:rPr>
          <w:rFonts w:ascii="仿宋_GB2312" w:eastAsia="仿宋_GB2312" w:hAnsi="仿宋" w:hint="eastAsia"/>
          <w:sz w:val="32"/>
          <w:szCs w:val="32"/>
        </w:rPr>
        <w:t>万元，按支出性质和经济分类，基本支出</w:t>
      </w:r>
      <w:r>
        <w:rPr>
          <w:rFonts w:ascii="仿宋_GB2312" w:eastAsia="仿宋_GB2312" w:hAnsi="仿宋"/>
          <w:sz w:val="32"/>
          <w:szCs w:val="32"/>
        </w:rPr>
        <w:t>142.76</w:t>
      </w:r>
      <w:r>
        <w:rPr>
          <w:rFonts w:ascii="仿宋_GB2312" w:eastAsia="仿宋_GB2312" w:hAnsi="仿宋" w:hint="eastAsia"/>
          <w:sz w:val="32"/>
          <w:szCs w:val="32"/>
        </w:rPr>
        <w:t>万元，占总支出的</w:t>
      </w:r>
      <w:r>
        <w:rPr>
          <w:rFonts w:ascii="仿宋_GB2312" w:eastAsia="仿宋_GB2312" w:hAnsi="仿宋"/>
          <w:sz w:val="32"/>
          <w:szCs w:val="32"/>
        </w:rPr>
        <w:t>11.96%</w:t>
      </w:r>
      <w:r>
        <w:rPr>
          <w:rFonts w:ascii="仿宋_GB2312" w:eastAsia="仿宋_GB2312" w:hAnsi="仿宋" w:hint="eastAsia"/>
          <w:sz w:val="32"/>
          <w:szCs w:val="32"/>
        </w:rPr>
        <w:t>，其中人员经费</w:t>
      </w:r>
      <w:r>
        <w:rPr>
          <w:rFonts w:ascii="仿宋_GB2312" w:eastAsia="仿宋_GB2312" w:hAnsi="仿宋"/>
          <w:sz w:val="32"/>
          <w:szCs w:val="32"/>
        </w:rPr>
        <w:t>130.05</w:t>
      </w:r>
      <w:r>
        <w:rPr>
          <w:rFonts w:ascii="仿宋_GB2312" w:eastAsia="仿宋_GB2312" w:hAnsi="仿宋" w:hint="eastAsia"/>
          <w:sz w:val="32"/>
          <w:szCs w:val="32"/>
        </w:rPr>
        <w:t>万元，公用经费</w:t>
      </w:r>
      <w:r>
        <w:rPr>
          <w:rFonts w:ascii="仿宋_GB2312" w:eastAsia="仿宋_GB2312" w:hAnsi="仿宋"/>
          <w:sz w:val="32"/>
          <w:szCs w:val="32"/>
        </w:rPr>
        <w:t>12.71</w:t>
      </w:r>
      <w:r>
        <w:rPr>
          <w:rFonts w:ascii="仿宋_GB2312" w:eastAsia="仿宋_GB2312" w:hAnsi="仿宋" w:hint="eastAsia"/>
          <w:sz w:val="32"/>
          <w:szCs w:val="32"/>
        </w:rPr>
        <w:t>万元；</w:t>
      </w:r>
    </w:p>
    <w:p w:rsidR="00E45DCC" w:rsidRDefault="00E45DCC" w:rsidP="00FA6DD8">
      <w:pPr>
        <w:snapToGrid w:val="0"/>
        <w:ind w:firstLineChars="250" w:firstLine="800"/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</w:pP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(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二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)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项目支出情况</w:t>
      </w:r>
    </w:p>
    <w:p w:rsidR="00E45DCC" w:rsidRDefault="00E45DCC" w:rsidP="00FA6DD8">
      <w:pPr>
        <w:snapToGrid w:val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  <w:lang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  <w:lang/>
        </w:rPr>
        <w:t>度文保中心</w:t>
      </w:r>
      <w:r>
        <w:rPr>
          <w:rFonts w:ascii="仿宋_GB2312" w:eastAsia="仿宋_GB2312" w:hAnsi="仿宋" w:cs="仿宋_GB2312" w:hint="eastAsia"/>
          <w:sz w:val="32"/>
          <w:szCs w:val="32"/>
          <w:lang/>
        </w:rPr>
        <w:t>项目支出</w:t>
      </w:r>
      <w:r>
        <w:rPr>
          <w:rFonts w:ascii="仿宋_GB2312" w:eastAsia="仿宋_GB2312" w:hAnsi="仿宋" w:hint="eastAsia"/>
          <w:sz w:val="32"/>
          <w:szCs w:val="32"/>
        </w:rPr>
        <w:t>项目支出</w:t>
      </w:r>
      <w:r>
        <w:rPr>
          <w:rFonts w:ascii="仿宋_GB2312" w:eastAsia="仿宋_GB2312" w:hAnsi="仿宋"/>
          <w:sz w:val="32"/>
          <w:szCs w:val="32"/>
        </w:rPr>
        <w:t>1050.62</w:t>
      </w:r>
      <w:r>
        <w:rPr>
          <w:rFonts w:ascii="仿宋_GB2312" w:eastAsia="仿宋_GB2312" w:hAnsi="仿宋" w:hint="eastAsia"/>
          <w:sz w:val="32"/>
          <w:szCs w:val="32"/>
        </w:rPr>
        <w:t>万元，占总支出的</w:t>
      </w:r>
      <w:r>
        <w:rPr>
          <w:rFonts w:ascii="仿宋_GB2312" w:eastAsia="仿宋_GB2312" w:hAnsi="仿宋"/>
          <w:sz w:val="32"/>
          <w:szCs w:val="32"/>
        </w:rPr>
        <w:t>88.04%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E45DCC" w:rsidRDefault="00E45DCC" w:rsidP="00FA6DD8">
      <w:pPr>
        <w:snapToGrid w:val="0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政府性基金预算支出情况</w:t>
      </w:r>
    </w:p>
    <w:p w:rsidR="00E45DCC" w:rsidRDefault="00E45DCC">
      <w:pPr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无</w:t>
      </w:r>
    </w:p>
    <w:p w:rsidR="00E45DCC" w:rsidRDefault="00E45DCC">
      <w:pPr>
        <w:numPr>
          <w:ilvl w:val="0"/>
          <w:numId w:val="2"/>
        </w:numPr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国有资本经营预算支出情况</w:t>
      </w:r>
    </w:p>
    <w:p w:rsidR="00E45DCC" w:rsidRDefault="00E45DCC">
      <w:pPr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无</w:t>
      </w:r>
    </w:p>
    <w:p w:rsidR="00E45DCC" w:rsidRDefault="00E45DCC">
      <w:pPr>
        <w:numPr>
          <w:ilvl w:val="0"/>
          <w:numId w:val="2"/>
        </w:numPr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社会保险基金预算支出情况</w:t>
      </w:r>
    </w:p>
    <w:p w:rsidR="00E45DCC" w:rsidRDefault="00E45DCC">
      <w:pPr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无</w:t>
      </w:r>
    </w:p>
    <w:p w:rsidR="00E45DCC" w:rsidRDefault="00E45DCC">
      <w:pPr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六、部门整体支出绩效情况</w:t>
      </w:r>
    </w:p>
    <w:p w:rsidR="00E45DCC" w:rsidRDefault="00E45DCC" w:rsidP="00441D64"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本部门在</w:t>
      </w:r>
      <w:r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2024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年度部门决算中反映</w:t>
      </w:r>
      <w:r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 xml:space="preserve"> 1.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文物保护利用维修利用专项经费；</w:t>
      </w:r>
      <w:r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2.2024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年省文物保护“六大工程”项目资金；</w:t>
      </w:r>
      <w:r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3.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风雨桥消防工程及梅城文武庙消防工程。</w:t>
      </w:r>
      <w:r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4.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文物普查调研工作经费</w:t>
      </w:r>
      <w:r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.5.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存量资金返还及重新安排。通过项目实施，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持续推进文化文物保护工作，丰富了群众文化生活，促进乡村文物保护保护工作，有力地加强了文物保护力度。丰富了乡村精神文化生活，提高了人们对生活的满意度和幸福指</w:t>
      </w:r>
    </w:p>
    <w:p w:rsidR="00E45DCC" w:rsidRDefault="00E45DCC" w:rsidP="00441D64"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数。</w:t>
      </w:r>
    </w:p>
    <w:p w:rsidR="00E45DCC" w:rsidRDefault="00E45DCC">
      <w:pPr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七、存在的问题及原因分析</w:t>
      </w:r>
    </w:p>
    <w:p w:rsidR="00E45DCC" w:rsidRDefault="00E45DCC">
      <w:pPr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绩效目标不够具体；预算管理有待提高；工作基础水平有待完善。原因为：绩效目标管理制度不够深入细致；预算管理执行不够彻底，预算控制水平不够；基层绩效管理工作基础薄弱。</w:t>
      </w:r>
    </w:p>
    <w:p w:rsidR="00E45DCC" w:rsidRDefault="00E45DCC">
      <w:pPr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八、下一步改进措施</w:t>
      </w:r>
    </w:p>
    <w:p w:rsidR="00E45DCC" w:rsidRDefault="00E45DCC">
      <w:pPr>
        <w:spacing w:line="576" w:lineRule="exact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建立健全绩效目标管理制度；加强预算执行管理，降低预算控制率；加强绩效管理工作基础建设。进一步规范绩效目标编制。在编制项目资金绩效目标时要求指向明确、细化量化、合理可行、相应匹配。提高预算编制的科学化精细化水平。</w:t>
      </w:r>
    </w:p>
    <w:p w:rsidR="00E45DCC" w:rsidRDefault="00E45DCC">
      <w:pPr>
        <w:numPr>
          <w:ilvl w:val="0"/>
          <w:numId w:val="3"/>
        </w:numPr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绩效自评结果拟应用和公开情况</w:t>
      </w:r>
    </w:p>
    <w:p w:rsidR="00E45DCC" w:rsidRDefault="00E45DCC">
      <w:pPr>
        <w:spacing w:line="576" w:lineRule="exact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拟在网站公开</w:t>
      </w:r>
    </w:p>
    <w:p w:rsidR="00E45DCC" w:rsidRDefault="00E45DCC">
      <w:pPr>
        <w:numPr>
          <w:ilvl w:val="0"/>
          <w:numId w:val="3"/>
        </w:numPr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其他需要说明的情况。</w:t>
      </w:r>
    </w:p>
    <w:p w:rsidR="00E45DCC" w:rsidRDefault="00E45DCC" w:rsidP="008803E0">
      <w:pPr>
        <w:spacing w:line="576" w:lineRule="exact"/>
        <w:ind w:leftChars="200" w:left="42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无</w:t>
      </w:r>
    </w:p>
    <w:sectPr w:rsidR="00E45DCC" w:rsidSect="00B300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DCC" w:rsidRDefault="00E45DCC">
      <w:r>
        <w:separator/>
      </w:r>
    </w:p>
  </w:endnote>
  <w:endnote w:type="continuationSeparator" w:id="0">
    <w:p w:rsidR="00E45DCC" w:rsidRDefault="00E45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DCC" w:rsidRDefault="00E45DC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DCC" w:rsidRDefault="00E45DC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DCC" w:rsidRDefault="00E45D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DCC" w:rsidRDefault="00E45DCC">
      <w:r>
        <w:separator/>
      </w:r>
    </w:p>
  </w:footnote>
  <w:footnote w:type="continuationSeparator" w:id="0">
    <w:p w:rsidR="00E45DCC" w:rsidRDefault="00E45D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DCC" w:rsidRDefault="00E45DC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DCC" w:rsidRDefault="00E45DCC" w:rsidP="00E66F88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DCC" w:rsidRDefault="00E45DC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82AC1E4"/>
    <w:multiLevelType w:val="singleLevel"/>
    <w:tmpl w:val="F82AC1E4"/>
    <w:lvl w:ilvl="0">
      <w:start w:val="2"/>
      <w:numFmt w:val="chineseCounting"/>
      <w:lvlText w:val="(%1)"/>
      <w:lvlJc w:val="left"/>
      <w:pPr>
        <w:tabs>
          <w:tab w:val="left" w:pos="312"/>
        </w:tabs>
      </w:pPr>
      <w:rPr>
        <w:rFonts w:cs="Times New Roman" w:hint="eastAsia"/>
      </w:rPr>
    </w:lvl>
  </w:abstractNum>
  <w:abstractNum w:abstractNumId="1">
    <w:nsid w:val="04101327"/>
    <w:multiLevelType w:val="hybridMultilevel"/>
    <w:tmpl w:val="DA6CFF9C"/>
    <w:lvl w:ilvl="0" w:tplc="694616C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abstractNum w:abstractNumId="2">
    <w:nsid w:val="5D61867D"/>
    <w:multiLevelType w:val="singleLevel"/>
    <w:tmpl w:val="5D61867D"/>
    <w:lvl w:ilvl="0">
      <w:start w:val="3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3">
    <w:nsid w:val="6B9B3162"/>
    <w:multiLevelType w:val="singleLevel"/>
    <w:tmpl w:val="6B9B3162"/>
    <w:lvl w:ilvl="0">
      <w:start w:val="9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OGFmMDFlYTMwZTJkYjA4Yjc1ZDRhZjI0MmZmNGZiN2EifQ=="/>
  </w:docVars>
  <w:rsids>
    <w:rsidRoot w:val="00B300A7"/>
    <w:rsid w:val="00441D64"/>
    <w:rsid w:val="004C0AE6"/>
    <w:rsid w:val="006D4B8D"/>
    <w:rsid w:val="008803E0"/>
    <w:rsid w:val="00B300A7"/>
    <w:rsid w:val="00B57D17"/>
    <w:rsid w:val="00D76102"/>
    <w:rsid w:val="00E45DCC"/>
    <w:rsid w:val="00E66F88"/>
    <w:rsid w:val="00FA6DD8"/>
    <w:rsid w:val="01F063C7"/>
    <w:rsid w:val="0208150E"/>
    <w:rsid w:val="0711780F"/>
    <w:rsid w:val="0D3E2F48"/>
    <w:rsid w:val="109A36B9"/>
    <w:rsid w:val="174E29A3"/>
    <w:rsid w:val="1BBC0D60"/>
    <w:rsid w:val="1F9F033C"/>
    <w:rsid w:val="1FEC6807"/>
    <w:rsid w:val="22917163"/>
    <w:rsid w:val="24AB2627"/>
    <w:rsid w:val="25B95B57"/>
    <w:rsid w:val="26946721"/>
    <w:rsid w:val="27E930E8"/>
    <w:rsid w:val="283410B5"/>
    <w:rsid w:val="2A141A7F"/>
    <w:rsid w:val="2EC40E47"/>
    <w:rsid w:val="3027139B"/>
    <w:rsid w:val="3A3E1824"/>
    <w:rsid w:val="3B583A36"/>
    <w:rsid w:val="3BAA6E92"/>
    <w:rsid w:val="3C4A61C4"/>
    <w:rsid w:val="3D0C319E"/>
    <w:rsid w:val="40977DE6"/>
    <w:rsid w:val="48422E5B"/>
    <w:rsid w:val="496113C8"/>
    <w:rsid w:val="4A724E87"/>
    <w:rsid w:val="4B2E0642"/>
    <w:rsid w:val="4CB1710D"/>
    <w:rsid w:val="4D432DDB"/>
    <w:rsid w:val="5389257B"/>
    <w:rsid w:val="555E503B"/>
    <w:rsid w:val="55652EB2"/>
    <w:rsid w:val="59213594"/>
    <w:rsid w:val="5F046BAD"/>
    <w:rsid w:val="60334A52"/>
    <w:rsid w:val="60C34F57"/>
    <w:rsid w:val="60D933FA"/>
    <w:rsid w:val="6C78592B"/>
    <w:rsid w:val="6DE2733E"/>
    <w:rsid w:val="735C5BA8"/>
    <w:rsid w:val="75120509"/>
    <w:rsid w:val="78D7094F"/>
    <w:rsid w:val="7AE33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B300A7"/>
    <w:pPr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autoRedefine/>
    <w:uiPriority w:val="99"/>
    <w:rsid w:val="00B300A7"/>
    <w:pPr>
      <w:spacing w:line="540" w:lineRule="atLeast"/>
      <w:ind w:firstLineChars="200" w:firstLine="640"/>
    </w:pPr>
    <w:rPr>
      <w:rFonts w:eastAsia="仿宋_GB2312"/>
      <w:sz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316EB"/>
  </w:style>
  <w:style w:type="paragraph" w:styleId="TOC1">
    <w:name w:val="toc 1"/>
    <w:basedOn w:val="Normal"/>
    <w:next w:val="Normal"/>
    <w:autoRedefine/>
    <w:uiPriority w:val="99"/>
    <w:semiHidden/>
    <w:rsid w:val="00B300A7"/>
    <w:rPr>
      <w:rFonts w:ascii="黑体" w:eastAsia="黑体" w:hAnsi="黑体" w:cs="黑体"/>
    </w:rPr>
  </w:style>
  <w:style w:type="paragraph" w:styleId="NormalWeb">
    <w:name w:val="Normal (Web)"/>
    <w:basedOn w:val="Normal"/>
    <w:autoRedefine/>
    <w:uiPriority w:val="99"/>
    <w:rsid w:val="00B300A7"/>
    <w:pPr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character" w:styleId="Hyperlink">
    <w:name w:val="Hyperlink"/>
    <w:basedOn w:val="DefaultParagraphFont"/>
    <w:uiPriority w:val="99"/>
    <w:rsid w:val="00B300A7"/>
    <w:rPr>
      <w:rFonts w:cs="Times New Roman"/>
      <w:color w:val="0000FF"/>
      <w:u w:val="single"/>
    </w:rPr>
  </w:style>
  <w:style w:type="paragraph" w:customStyle="1" w:styleId="Default">
    <w:name w:val="Default"/>
    <w:autoRedefine/>
    <w:uiPriority w:val="99"/>
    <w:rsid w:val="00B300A7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6F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316EB"/>
    <w:rPr>
      <w:sz w:val="18"/>
      <w:szCs w:val="18"/>
    </w:rPr>
  </w:style>
  <w:style w:type="paragraph" w:styleId="Footer">
    <w:name w:val="footer"/>
    <w:basedOn w:val="Normal"/>
    <w:link w:val="FooterChar1"/>
    <w:uiPriority w:val="99"/>
    <w:rsid w:val="00E66F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316EB"/>
    <w:rPr>
      <w:sz w:val="18"/>
      <w:szCs w:val="18"/>
    </w:rPr>
  </w:style>
  <w:style w:type="character" w:customStyle="1" w:styleId="FooterChar1">
    <w:name w:val="Footer Char1"/>
    <w:link w:val="Footer"/>
    <w:uiPriority w:val="99"/>
    <w:locked/>
    <w:rsid w:val="00E66F88"/>
    <w:rPr>
      <w:rFonts w:eastAsia="宋体"/>
      <w:kern w:val="2"/>
      <w:sz w:val="18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5</Pages>
  <Words>245</Words>
  <Characters>1402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lenovo354</dc:creator>
  <cp:keywords/>
  <dc:description/>
  <cp:lastModifiedBy>PC</cp:lastModifiedBy>
  <cp:revision>2</cp:revision>
  <cp:lastPrinted>2024-03-13T02:03:00Z</cp:lastPrinted>
  <dcterms:created xsi:type="dcterms:W3CDTF">2025-04-25T06:35:00Z</dcterms:created>
  <dcterms:modified xsi:type="dcterms:W3CDTF">2025-04-25T06:35:00Z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84057538EFBF457D803BB438E6CAEC05_13</vt:lpwstr>
  </property>
</Properties>
</file>