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68AD19">
      <w:pPr>
        <w:spacing w:line="246" w:lineRule="auto"/>
        <w:rPr>
          <w:rFonts w:ascii="Arial"/>
          <w:sz w:val="21"/>
        </w:rPr>
      </w:pPr>
    </w:p>
    <w:p w14:paraId="1728D2E7">
      <w:pPr>
        <w:spacing w:before="101" w:line="224" w:lineRule="auto"/>
        <w:rPr>
          <w:rFonts w:ascii="黑体" w:hAnsi="黑体" w:eastAsia="黑体" w:cs="黑体"/>
          <w:sz w:val="31"/>
          <w:szCs w:val="31"/>
        </w:rPr>
      </w:pPr>
    </w:p>
    <w:p w14:paraId="03C2DE95">
      <w:pPr>
        <w:spacing w:line="248" w:lineRule="auto"/>
        <w:rPr>
          <w:rFonts w:ascii="Arial"/>
          <w:sz w:val="21"/>
        </w:rPr>
      </w:pPr>
    </w:p>
    <w:p w14:paraId="4C1AED2A">
      <w:pPr>
        <w:spacing w:line="248" w:lineRule="auto"/>
        <w:rPr>
          <w:rFonts w:ascii="Arial"/>
          <w:sz w:val="21"/>
        </w:rPr>
      </w:pPr>
    </w:p>
    <w:p w14:paraId="7E1D4953">
      <w:pPr>
        <w:spacing w:line="248" w:lineRule="auto"/>
        <w:rPr>
          <w:rFonts w:ascii="Arial"/>
          <w:sz w:val="21"/>
        </w:rPr>
      </w:pPr>
    </w:p>
    <w:p w14:paraId="63CE27ED">
      <w:pPr>
        <w:spacing w:line="248" w:lineRule="auto"/>
        <w:rPr>
          <w:rFonts w:ascii="Arial"/>
          <w:sz w:val="21"/>
        </w:rPr>
      </w:pPr>
    </w:p>
    <w:p w14:paraId="22CEDC44">
      <w:pPr>
        <w:spacing w:line="248" w:lineRule="auto"/>
        <w:rPr>
          <w:rFonts w:ascii="Arial"/>
          <w:sz w:val="21"/>
        </w:rPr>
      </w:pPr>
    </w:p>
    <w:p w14:paraId="73CDADDC">
      <w:pPr>
        <w:spacing w:line="248" w:lineRule="auto"/>
        <w:rPr>
          <w:rFonts w:ascii="Arial"/>
          <w:sz w:val="21"/>
        </w:rPr>
      </w:pPr>
    </w:p>
    <w:p w14:paraId="762B4C4F">
      <w:pPr>
        <w:spacing w:line="248" w:lineRule="auto"/>
        <w:rPr>
          <w:rFonts w:ascii="Arial"/>
          <w:sz w:val="21"/>
        </w:rPr>
      </w:pPr>
    </w:p>
    <w:p w14:paraId="28A279DC">
      <w:pPr>
        <w:spacing w:line="249" w:lineRule="auto"/>
        <w:rPr>
          <w:rFonts w:ascii="Arial"/>
          <w:sz w:val="21"/>
        </w:rPr>
      </w:pPr>
    </w:p>
    <w:p w14:paraId="0422FAEB">
      <w:pPr>
        <w:spacing w:before="162" w:line="698" w:lineRule="exact"/>
        <w:ind w:left="255"/>
        <w:jc w:val="center"/>
        <w:rPr>
          <w:rFonts w:hint="eastAsia" w:ascii="黑体" w:hAnsi="黑体" w:eastAsia="黑体" w:cs="黑体"/>
          <w:sz w:val="50"/>
          <w:szCs w:val="50"/>
        </w:rPr>
      </w:pPr>
      <w:r>
        <w:rPr>
          <w:rFonts w:hint="eastAsia" w:ascii="黑体" w:hAnsi="黑体" w:eastAsia="黑体" w:cs="黑体"/>
          <w:spacing w:val="11"/>
          <w:sz w:val="50"/>
          <w:szCs w:val="50"/>
        </w:rPr>
        <w:t>202</w:t>
      </w:r>
      <w:r>
        <w:rPr>
          <w:rFonts w:hint="eastAsia" w:ascii="黑体" w:hAnsi="黑体" w:eastAsia="黑体" w:cs="黑体"/>
          <w:spacing w:val="11"/>
          <w:sz w:val="50"/>
          <w:szCs w:val="50"/>
          <w:lang w:val="en-US" w:eastAsia="zh-CN"/>
        </w:rPr>
        <w:t>4</w:t>
      </w:r>
      <w:r>
        <w:rPr>
          <w:rFonts w:hint="eastAsia" w:ascii="黑体" w:hAnsi="黑体" w:eastAsia="黑体" w:cs="黑体"/>
          <w:spacing w:val="11"/>
          <w:sz w:val="50"/>
          <w:szCs w:val="50"/>
        </w:rPr>
        <w:t>年度</w:t>
      </w:r>
      <w:r>
        <w:rPr>
          <w:rFonts w:hint="eastAsia" w:ascii="黑体" w:hAnsi="黑体" w:eastAsia="黑体" w:cs="黑体"/>
          <w:spacing w:val="11"/>
          <w:sz w:val="50"/>
          <w:szCs w:val="50"/>
          <w:lang w:val="en-US" w:eastAsia="zh-CN"/>
        </w:rPr>
        <w:t>安化县农业农村局</w:t>
      </w:r>
      <w:r>
        <w:rPr>
          <w:rFonts w:hint="eastAsia" w:ascii="黑体" w:hAnsi="黑体" w:eastAsia="黑体" w:cs="黑体"/>
          <w:spacing w:val="11"/>
          <w:sz w:val="50"/>
          <w:szCs w:val="50"/>
        </w:rPr>
        <w:t>整体支出绩效自评报告</w:t>
      </w:r>
    </w:p>
    <w:p w14:paraId="2939EAF9">
      <w:pPr>
        <w:spacing w:line="244" w:lineRule="auto"/>
        <w:rPr>
          <w:rFonts w:ascii="Arial"/>
          <w:sz w:val="21"/>
        </w:rPr>
      </w:pPr>
    </w:p>
    <w:p w14:paraId="540F197A">
      <w:pPr>
        <w:spacing w:line="244" w:lineRule="auto"/>
        <w:rPr>
          <w:rFonts w:ascii="Arial"/>
          <w:sz w:val="21"/>
        </w:rPr>
      </w:pPr>
    </w:p>
    <w:p w14:paraId="428BBF6B">
      <w:pPr>
        <w:spacing w:line="244" w:lineRule="auto"/>
        <w:rPr>
          <w:rFonts w:ascii="Arial"/>
          <w:sz w:val="21"/>
        </w:rPr>
      </w:pPr>
    </w:p>
    <w:p w14:paraId="397E36EC">
      <w:pPr>
        <w:spacing w:line="244" w:lineRule="auto"/>
        <w:rPr>
          <w:rFonts w:ascii="Arial"/>
          <w:sz w:val="21"/>
        </w:rPr>
      </w:pPr>
    </w:p>
    <w:p w14:paraId="622A5EFC">
      <w:pPr>
        <w:spacing w:line="244" w:lineRule="auto"/>
        <w:rPr>
          <w:rFonts w:ascii="Arial"/>
          <w:sz w:val="21"/>
        </w:rPr>
      </w:pPr>
    </w:p>
    <w:p w14:paraId="1014802C">
      <w:pPr>
        <w:spacing w:line="244" w:lineRule="auto"/>
        <w:rPr>
          <w:rFonts w:ascii="Arial"/>
          <w:sz w:val="21"/>
        </w:rPr>
      </w:pPr>
    </w:p>
    <w:p w14:paraId="0266D300">
      <w:pPr>
        <w:spacing w:line="244" w:lineRule="auto"/>
        <w:rPr>
          <w:rFonts w:ascii="Arial"/>
          <w:sz w:val="21"/>
        </w:rPr>
      </w:pPr>
    </w:p>
    <w:p w14:paraId="43BCE760">
      <w:pPr>
        <w:spacing w:line="244" w:lineRule="auto"/>
        <w:rPr>
          <w:rFonts w:ascii="Arial"/>
          <w:sz w:val="21"/>
        </w:rPr>
      </w:pPr>
    </w:p>
    <w:p w14:paraId="0CA30356">
      <w:pPr>
        <w:spacing w:line="244" w:lineRule="auto"/>
        <w:rPr>
          <w:rFonts w:ascii="Arial"/>
          <w:sz w:val="21"/>
        </w:rPr>
      </w:pPr>
    </w:p>
    <w:p w14:paraId="46C52FBD">
      <w:pPr>
        <w:spacing w:line="244" w:lineRule="auto"/>
        <w:rPr>
          <w:rFonts w:ascii="Arial"/>
          <w:sz w:val="21"/>
        </w:rPr>
      </w:pPr>
    </w:p>
    <w:p w14:paraId="11BEF2F3">
      <w:pPr>
        <w:spacing w:line="244" w:lineRule="auto"/>
        <w:rPr>
          <w:rFonts w:ascii="Arial"/>
          <w:sz w:val="21"/>
        </w:rPr>
      </w:pPr>
    </w:p>
    <w:p w14:paraId="4F072A79">
      <w:pPr>
        <w:spacing w:line="244" w:lineRule="auto"/>
        <w:rPr>
          <w:rFonts w:ascii="Arial"/>
          <w:sz w:val="21"/>
        </w:rPr>
      </w:pPr>
    </w:p>
    <w:p w14:paraId="062DC79F">
      <w:pPr>
        <w:spacing w:line="244" w:lineRule="auto"/>
        <w:rPr>
          <w:rFonts w:ascii="Arial"/>
          <w:sz w:val="21"/>
        </w:rPr>
      </w:pPr>
    </w:p>
    <w:p w14:paraId="220635E2">
      <w:pPr>
        <w:spacing w:line="244" w:lineRule="auto"/>
        <w:rPr>
          <w:rFonts w:ascii="Arial"/>
          <w:sz w:val="21"/>
        </w:rPr>
      </w:pPr>
    </w:p>
    <w:p w14:paraId="12AAF08F">
      <w:pPr>
        <w:spacing w:line="244" w:lineRule="auto"/>
        <w:rPr>
          <w:rFonts w:ascii="Arial"/>
          <w:sz w:val="21"/>
        </w:rPr>
      </w:pPr>
    </w:p>
    <w:p w14:paraId="722355F0">
      <w:pPr>
        <w:spacing w:line="244" w:lineRule="auto"/>
        <w:rPr>
          <w:rFonts w:ascii="Arial"/>
          <w:sz w:val="21"/>
        </w:rPr>
      </w:pPr>
    </w:p>
    <w:p w14:paraId="544F5E08">
      <w:pPr>
        <w:spacing w:line="244" w:lineRule="auto"/>
        <w:rPr>
          <w:rFonts w:ascii="Arial"/>
          <w:sz w:val="21"/>
        </w:rPr>
      </w:pPr>
    </w:p>
    <w:p w14:paraId="4AA00763">
      <w:pPr>
        <w:spacing w:line="244" w:lineRule="auto"/>
        <w:rPr>
          <w:rFonts w:ascii="Arial"/>
          <w:sz w:val="21"/>
        </w:rPr>
      </w:pPr>
    </w:p>
    <w:p w14:paraId="2BCE9DB2">
      <w:pPr>
        <w:spacing w:line="245" w:lineRule="auto"/>
        <w:rPr>
          <w:rFonts w:ascii="Arial"/>
          <w:sz w:val="21"/>
        </w:rPr>
      </w:pPr>
    </w:p>
    <w:p w14:paraId="76D00D9D">
      <w:pPr>
        <w:spacing w:line="245" w:lineRule="auto"/>
        <w:rPr>
          <w:rFonts w:ascii="Arial"/>
          <w:sz w:val="21"/>
        </w:rPr>
      </w:pPr>
    </w:p>
    <w:p w14:paraId="115A5254">
      <w:pPr>
        <w:spacing w:line="245" w:lineRule="auto"/>
        <w:rPr>
          <w:rFonts w:ascii="Arial"/>
          <w:sz w:val="21"/>
        </w:rPr>
      </w:pPr>
    </w:p>
    <w:p w14:paraId="7B1CC4C4">
      <w:pPr>
        <w:spacing w:line="245" w:lineRule="auto"/>
        <w:rPr>
          <w:rFonts w:ascii="Arial"/>
          <w:sz w:val="21"/>
        </w:rPr>
      </w:pPr>
    </w:p>
    <w:p w14:paraId="6A9171B5">
      <w:pPr>
        <w:spacing w:before="117" w:line="222" w:lineRule="auto"/>
        <w:ind w:left="440"/>
        <w:rPr>
          <w:rFonts w:ascii="黑体" w:hAnsi="黑体" w:eastAsia="黑体" w:cs="黑体"/>
          <w:sz w:val="36"/>
          <w:szCs w:val="36"/>
        </w:rPr>
      </w:pPr>
      <w:r>
        <w:rPr>
          <w:rFonts w:ascii="黑体" w:hAnsi="黑体" w:eastAsia="黑体" w:cs="黑体"/>
          <w:b/>
          <w:bCs/>
          <w:spacing w:val="34"/>
          <w:sz w:val="36"/>
          <w:szCs w:val="36"/>
        </w:rPr>
        <w:t>申报单位(盖章):</w:t>
      </w:r>
      <w:r>
        <w:rPr>
          <w:rFonts w:ascii="黑体" w:hAnsi="黑体" w:eastAsia="黑体" w:cs="黑体"/>
          <w:spacing w:val="73"/>
          <w:sz w:val="36"/>
          <w:szCs w:val="36"/>
        </w:rPr>
        <w:t xml:space="preserve"> </w:t>
      </w:r>
      <w:r>
        <w:rPr>
          <w:rFonts w:ascii="黑体" w:hAnsi="黑体" w:eastAsia="黑体" w:cs="黑体"/>
          <w:sz w:val="36"/>
          <w:szCs w:val="36"/>
          <w:u w:val="single" w:color="auto"/>
        </w:rPr>
        <w:t xml:space="preserve">                     </w:t>
      </w:r>
    </w:p>
    <w:p w14:paraId="01F81A71">
      <w:pPr>
        <w:spacing w:line="243" w:lineRule="auto"/>
        <w:rPr>
          <w:rFonts w:ascii="Arial"/>
          <w:sz w:val="21"/>
        </w:rPr>
      </w:pPr>
    </w:p>
    <w:p w14:paraId="3F34C472">
      <w:pPr>
        <w:spacing w:line="244" w:lineRule="auto"/>
        <w:rPr>
          <w:rFonts w:ascii="Arial"/>
          <w:sz w:val="21"/>
        </w:rPr>
      </w:pPr>
    </w:p>
    <w:p w14:paraId="4BA45FED">
      <w:pPr>
        <w:spacing w:line="244" w:lineRule="auto"/>
        <w:rPr>
          <w:rFonts w:ascii="Arial"/>
          <w:sz w:val="21"/>
        </w:rPr>
      </w:pPr>
    </w:p>
    <w:p w14:paraId="0FE0CFDE">
      <w:pPr>
        <w:spacing w:line="244" w:lineRule="auto"/>
        <w:rPr>
          <w:rFonts w:ascii="Arial"/>
          <w:sz w:val="21"/>
        </w:rPr>
      </w:pPr>
    </w:p>
    <w:p w14:paraId="67664820">
      <w:pPr>
        <w:spacing w:line="244" w:lineRule="auto"/>
        <w:rPr>
          <w:rFonts w:ascii="Arial"/>
          <w:sz w:val="21"/>
        </w:rPr>
      </w:pPr>
    </w:p>
    <w:p w14:paraId="7C06001A">
      <w:pPr>
        <w:spacing w:line="244" w:lineRule="auto"/>
        <w:rPr>
          <w:rFonts w:ascii="Arial"/>
          <w:sz w:val="21"/>
        </w:rPr>
      </w:pPr>
    </w:p>
    <w:p w14:paraId="611AE40D">
      <w:pPr>
        <w:spacing w:before="101" w:line="624" w:lineRule="exact"/>
        <w:rPr>
          <w:rFonts w:hint="eastAsia" w:ascii="黑体" w:hAnsi="黑体" w:eastAsia="黑体" w:cs="黑体"/>
          <w:b/>
          <w:bCs/>
          <w:spacing w:val="-15"/>
          <w:position w:val="23"/>
          <w:sz w:val="31"/>
          <w:szCs w:val="31"/>
          <w:lang w:val="en-US" w:eastAsia="zh-CN"/>
        </w:rPr>
      </w:pPr>
    </w:p>
    <w:p w14:paraId="1A03A0EF">
      <w:pPr>
        <w:spacing w:before="101" w:line="624" w:lineRule="exact"/>
        <w:ind w:firstLine="2531" w:firstLineChars="900"/>
        <w:rPr>
          <w:rFonts w:ascii="黑体" w:hAnsi="黑体" w:eastAsia="黑体" w:cs="黑体"/>
          <w:sz w:val="31"/>
          <w:szCs w:val="31"/>
        </w:rPr>
      </w:pPr>
      <w:r>
        <w:rPr>
          <w:rFonts w:hint="eastAsia" w:ascii="黑体" w:hAnsi="黑体" w:eastAsia="黑体" w:cs="黑体"/>
          <w:b/>
          <w:bCs/>
          <w:spacing w:val="-15"/>
          <w:position w:val="23"/>
          <w:sz w:val="31"/>
          <w:szCs w:val="31"/>
          <w:lang w:val="en-US" w:eastAsia="zh-CN"/>
        </w:rPr>
        <w:t xml:space="preserve">2025   </w:t>
      </w:r>
      <w:r>
        <w:rPr>
          <w:rFonts w:ascii="黑体" w:hAnsi="黑体" w:eastAsia="黑体" w:cs="黑体"/>
          <w:b/>
          <w:bCs/>
          <w:spacing w:val="-15"/>
          <w:position w:val="23"/>
          <w:sz w:val="31"/>
          <w:szCs w:val="31"/>
        </w:rPr>
        <w:t>年</w:t>
      </w:r>
      <w:r>
        <w:rPr>
          <w:rFonts w:ascii="黑体" w:hAnsi="黑体" w:eastAsia="黑体" w:cs="黑体"/>
          <w:spacing w:val="43"/>
          <w:position w:val="23"/>
          <w:sz w:val="31"/>
          <w:szCs w:val="31"/>
        </w:rPr>
        <w:t xml:space="preserve"> </w:t>
      </w:r>
      <w:r>
        <w:rPr>
          <w:rFonts w:hint="eastAsia" w:ascii="黑体" w:hAnsi="黑体" w:eastAsia="黑体" w:cs="黑体"/>
          <w:spacing w:val="43"/>
          <w:position w:val="23"/>
          <w:sz w:val="31"/>
          <w:szCs w:val="31"/>
          <w:lang w:val="en-US" w:eastAsia="zh-CN"/>
        </w:rPr>
        <w:t xml:space="preserve">4 </w:t>
      </w:r>
      <w:r>
        <w:rPr>
          <w:rFonts w:ascii="黑体" w:hAnsi="黑体" w:eastAsia="黑体" w:cs="黑体"/>
          <w:b/>
          <w:bCs/>
          <w:spacing w:val="-15"/>
          <w:position w:val="23"/>
          <w:sz w:val="31"/>
          <w:szCs w:val="31"/>
        </w:rPr>
        <w:t>月</w:t>
      </w:r>
      <w:r>
        <w:rPr>
          <w:rFonts w:ascii="黑体" w:hAnsi="黑体" w:eastAsia="黑体" w:cs="黑体"/>
          <w:spacing w:val="7"/>
          <w:position w:val="23"/>
          <w:sz w:val="31"/>
          <w:szCs w:val="31"/>
        </w:rPr>
        <w:t xml:space="preserve"> </w:t>
      </w:r>
      <w:r>
        <w:rPr>
          <w:rFonts w:hint="eastAsia" w:ascii="黑体" w:hAnsi="黑体" w:eastAsia="黑体" w:cs="黑体"/>
          <w:spacing w:val="7"/>
          <w:position w:val="23"/>
          <w:sz w:val="31"/>
          <w:szCs w:val="31"/>
          <w:lang w:val="en-US" w:eastAsia="zh-CN"/>
        </w:rPr>
        <w:t>17</w:t>
      </w:r>
      <w:r>
        <w:rPr>
          <w:rFonts w:ascii="黑体" w:hAnsi="黑体" w:eastAsia="黑体" w:cs="黑体"/>
          <w:spacing w:val="7"/>
          <w:position w:val="23"/>
          <w:sz w:val="31"/>
          <w:szCs w:val="31"/>
        </w:rPr>
        <w:t xml:space="preserve"> </w:t>
      </w:r>
      <w:r>
        <w:rPr>
          <w:rFonts w:ascii="黑体" w:hAnsi="黑体" w:eastAsia="黑体" w:cs="黑体"/>
          <w:b/>
          <w:bCs/>
          <w:spacing w:val="-15"/>
          <w:position w:val="23"/>
          <w:sz w:val="31"/>
          <w:szCs w:val="31"/>
        </w:rPr>
        <w:t>日</w:t>
      </w:r>
    </w:p>
    <w:p w14:paraId="27692084">
      <w:pPr>
        <w:spacing w:line="230" w:lineRule="auto"/>
        <w:ind w:left="3559"/>
        <w:rPr>
          <w:rFonts w:ascii="楷体" w:hAnsi="楷体" w:eastAsia="楷体" w:cs="楷体"/>
          <w:sz w:val="31"/>
          <w:szCs w:val="31"/>
        </w:rPr>
        <w:sectPr>
          <w:footerReference r:id="rId5" w:type="default"/>
          <w:pgSz w:w="12040" w:h="16920"/>
          <w:pgMar w:top="1438" w:right="1412" w:bottom="1608" w:left="1694" w:header="0" w:footer="1300" w:gutter="0"/>
          <w:cols w:space="720" w:num="1"/>
        </w:sectPr>
      </w:pPr>
    </w:p>
    <w:p w14:paraId="1DCB574C">
      <w:pPr>
        <w:spacing w:before="140" w:line="222" w:lineRule="auto"/>
        <w:ind w:left="919"/>
        <w:jc w:val="center"/>
        <w:rPr>
          <w:rFonts w:ascii="黑体" w:hAnsi="黑体" w:eastAsia="黑体" w:cs="黑体"/>
          <w:spacing w:val="45"/>
          <w:sz w:val="43"/>
          <w:szCs w:val="43"/>
        </w:rPr>
      </w:pPr>
    </w:p>
    <w:p w14:paraId="0EC56218">
      <w:pPr>
        <w:spacing w:before="140" w:line="222" w:lineRule="auto"/>
        <w:jc w:val="center"/>
        <w:rPr>
          <w:rFonts w:ascii="黑体" w:hAnsi="黑体" w:eastAsia="黑体" w:cs="黑体"/>
          <w:sz w:val="43"/>
          <w:szCs w:val="43"/>
        </w:rPr>
      </w:pPr>
      <w:r>
        <w:rPr>
          <w:rFonts w:ascii="黑体" w:hAnsi="黑体" w:eastAsia="黑体" w:cs="黑体"/>
          <w:spacing w:val="45"/>
          <w:sz w:val="43"/>
          <w:szCs w:val="43"/>
        </w:rPr>
        <w:t>202</w:t>
      </w:r>
      <w:r>
        <w:rPr>
          <w:rFonts w:hint="eastAsia" w:ascii="黑体" w:hAnsi="黑体" w:eastAsia="黑体" w:cs="黑体"/>
          <w:spacing w:val="45"/>
          <w:sz w:val="43"/>
          <w:szCs w:val="43"/>
          <w:lang w:val="en-US" w:eastAsia="zh-CN"/>
        </w:rPr>
        <w:t>4</w:t>
      </w:r>
      <w:r>
        <w:rPr>
          <w:rFonts w:ascii="黑体" w:hAnsi="黑体" w:eastAsia="黑体" w:cs="黑体"/>
          <w:spacing w:val="45"/>
          <w:sz w:val="43"/>
          <w:szCs w:val="43"/>
        </w:rPr>
        <w:t>年度</w:t>
      </w:r>
      <w:r>
        <w:rPr>
          <w:rFonts w:hint="eastAsia" w:ascii="黑体" w:hAnsi="黑体" w:eastAsia="黑体" w:cs="黑体"/>
          <w:spacing w:val="45"/>
          <w:sz w:val="43"/>
          <w:szCs w:val="43"/>
          <w:lang w:val="en-US" w:eastAsia="zh-CN"/>
        </w:rPr>
        <w:t>安化县农业农村局</w:t>
      </w:r>
      <w:r>
        <w:rPr>
          <w:rFonts w:ascii="黑体" w:hAnsi="黑体" w:eastAsia="黑体" w:cs="黑体"/>
          <w:spacing w:val="45"/>
          <w:sz w:val="43"/>
          <w:szCs w:val="43"/>
        </w:rPr>
        <w:t>整体支出</w:t>
      </w:r>
      <w:r>
        <w:rPr>
          <w:rFonts w:ascii="黑体" w:hAnsi="黑体" w:eastAsia="黑体" w:cs="黑体"/>
          <w:spacing w:val="8"/>
          <w:sz w:val="43"/>
          <w:szCs w:val="43"/>
        </w:rPr>
        <w:t>绩效自评报告</w:t>
      </w:r>
    </w:p>
    <w:p w14:paraId="2A9603D6">
      <w:pPr>
        <w:pStyle w:val="3"/>
        <w:spacing w:before="172" w:line="222" w:lineRule="auto"/>
        <w:ind w:left="3629"/>
        <w:rPr>
          <w:sz w:val="31"/>
          <w:szCs w:val="31"/>
        </w:rPr>
      </w:pPr>
    </w:p>
    <w:p w14:paraId="4D72E157">
      <w:pPr>
        <w:spacing w:before="214" w:line="222" w:lineRule="auto"/>
        <w:ind w:left="644"/>
        <w:outlineLvl w:val="1"/>
        <w:rPr>
          <w:rFonts w:ascii="黑体" w:hAnsi="黑体" w:eastAsia="黑体" w:cs="黑体"/>
          <w:sz w:val="31"/>
          <w:szCs w:val="31"/>
        </w:rPr>
      </w:pPr>
      <w:r>
        <w:rPr>
          <w:rFonts w:ascii="黑体" w:hAnsi="黑体" w:eastAsia="黑体" w:cs="黑体"/>
          <w:b/>
          <w:bCs/>
          <w:spacing w:val="-8"/>
          <w:sz w:val="31"/>
          <w:szCs w:val="31"/>
        </w:rPr>
        <w:t>一、单位基本情况</w:t>
      </w:r>
    </w:p>
    <w:p w14:paraId="067332D2">
      <w:pPr>
        <w:spacing w:before="183" w:line="222" w:lineRule="auto"/>
        <w:ind w:left="639"/>
        <w:rPr>
          <w:rFonts w:hint="eastAsia" w:ascii="楷体_GB2312" w:hAnsi="仿宋" w:eastAsia="楷体_GB2312"/>
          <w:b/>
          <w:sz w:val="32"/>
          <w:szCs w:val="32"/>
        </w:rPr>
      </w:pPr>
      <w:r>
        <w:rPr>
          <w:rFonts w:ascii="楷体" w:hAnsi="楷体" w:eastAsia="楷体" w:cs="楷体"/>
          <w:spacing w:val="8"/>
          <w:sz w:val="31"/>
          <w:szCs w:val="31"/>
        </w:rPr>
        <w:t>(一)</w:t>
      </w:r>
      <w:r>
        <w:rPr>
          <w:rFonts w:hint="eastAsia" w:ascii="楷体" w:hAnsi="楷体" w:eastAsia="楷体" w:cs="楷体"/>
          <w:spacing w:val="8"/>
          <w:sz w:val="31"/>
          <w:szCs w:val="31"/>
          <w:lang w:val="en-US" w:eastAsia="zh-CN"/>
        </w:rPr>
        <w:t>基本</w:t>
      </w:r>
      <w:r>
        <w:rPr>
          <w:rFonts w:ascii="楷体" w:hAnsi="楷体" w:eastAsia="楷体" w:cs="楷体"/>
          <w:spacing w:val="8"/>
          <w:sz w:val="31"/>
          <w:szCs w:val="31"/>
        </w:rPr>
        <w:t>工作</w:t>
      </w:r>
      <w:r>
        <w:rPr>
          <w:rFonts w:hint="eastAsia" w:ascii="楷体" w:hAnsi="楷体" w:eastAsia="楷体" w:cs="楷体"/>
          <w:spacing w:val="8"/>
          <w:sz w:val="31"/>
          <w:szCs w:val="31"/>
          <w:lang w:val="en-US" w:eastAsia="zh-CN"/>
        </w:rPr>
        <w:t>情况</w:t>
      </w:r>
    </w:p>
    <w:p w14:paraId="44877BE0">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1．主要职能。</w:t>
      </w:r>
    </w:p>
    <w:p w14:paraId="3A0952BD">
      <w:pPr>
        <w:snapToGrid w:val="0"/>
        <w:spacing w:line="560" w:lineRule="exact"/>
        <w:ind w:firstLine="640" w:firstLineChars="200"/>
        <w:rPr>
          <w:rFonts w:hint="eastAsia" w:ascii="仿宋_GB2312" w:hAnsi="仿宋" w:eastAsia="仿宋_GB2312" w:cs="Times New Roman"/>
          <w:sz w:val="32"/>
          <w:szCs w:val="32"/>
        </w:rPr>
      </w:pPr>
      <w:r>
        <w:rPr>
          <w:rFonts w:hint="eastAsia" w:ascii="仿宋_GB2312" w:hAnsi="仿宋" w:eastAsia="仿宋_GB2312" w:cs="Times New Roman"/>
          <w:sz w:val="32"/>
          <w:szCs w:val="32"/>
        </w:rPr>
        <w:t>（1）统筹研究和组织实施“三农”工作的发展中长期规划、重大政策。负责农业综合执法，参与涉农的财税、价格收储、金融保险、进出口等政策制定。</w:t>
      </w:r>
    </w:p>
    <w:p w14:paraId="1CCAEF05">
      <w:pPr>
        <w:snapToGrid w:val="0"/>
        <w:spacing w:line="560" w:lineRule="exact"/>
        <w:ind w:firstLine="640" w:firstLineChars="200"/>
        <w:rPr>
          <w:rFonts w:hint="eastAsia" w:ascii="仿宋_GB2312" w:hAnsi="仿宋" w:eastAsia="仿宋_GB2312" w:cs="Times New Roman"/>
          <w:sz w:val="32"/>
          <w:szCs w:val="32"/>
        </w:rPr>
      </w:pPr>
      <w:r>
        <w:rPr>
          <w:rFonts w:hint="eastAsia" w:ascii="仿宋_GB2312" w:hAnsi="仿宋" w:eastAsia="仿宋_GB2312" w:cs="Times New Roman"/>
          <w:sz w:val="32"/>
          <w:szCs w:val="32"/>
        </w:rPr>
        <w:t>（2）统筹推动发展农村社会事业、农村公共服务、农村文化、农村基础设施和乡村治理。牵头组织改善农村人居环境指导农村精神文明和优秀农耕文化建设。指导农业行业安全生产工作。</w:t>
      </w:r>
    </w:p>
    <w:p w14:paraId="35CAA383">
      <w:pPr>
        <w:snapToGrid w:val="0"/>
        <w:spacing w:line="560" w:lineRule="exact"/>
        <w:ind w:firstLine="640" w:firstLineChars="200"/>
        <w:rPr>
          <w:rFonts w:hint="eastAsia" w:ascii="仿宋_GB2312" w:hAnsi="仿宋" w:eastAsia="仿宋_GB2312" w:cs="Times New Roman"/>
          <w:sz w:val="32"/>
          <w:szCs w:val="32"/>
          <w:lang w:eastAsia="zh-CN"/>
        </w:rPr>
      </w:pPr>
      <w:r>
        <w:rPr>
          <w:rFonts w:hint="eastAsia" w:ascii="仿宋_GB2312" w:hAnsi="仿宋" w:eastAsia="仿宋_GB2312" w:cs="Times New Roman"/>
          <w:sz w:val="32"/>
          <w:szCs w:val="32"/>
        </w:rPr>
        <w:t>（3）研究提出深化农村经济体制改革和巩固完善农村基本经营制度的政策建议。负责农民承包地、农村宅基地改革和管理有关工作，负责农村集体产权制度改革，指导农村集体经济组织发展和集体资产管理工作，指导农民合作经济组织、农业社会化服务体系、新型农业经营主体建设与发展</w:t>
      </w:r>
      <w:r>
        <w:rPr>
          <w:rFonts w:hint="eastAsia" w:ascii="仿宋_GB2312" w:hAnsi="仿宋" w:eastAsia="仿宋_GB2312" w:cs="Times New Roman"/>
          <w:sz w:val="32"/>
          <w:szCs w:val="32"/>
          <w:lang w:eastAsia="zh-CN"/>
        </w:rPr>
        <w:t>。</w:t>
      </w:r>
    </w:p>
    <w:p w14:paraId="655608BD">
      <w:pPr>
        <w:snapToGrid w:val="0"/>
        <w:spacing w:line="560" w:lineRule="exact"/>
        <w:ind w:firstLine="640" w:firstLineChars="200"/>
        <w:rPr>
          <w:rFonts w:hint="eastAsia" w:ascii="仿宋_GB2312" w:hAnsi="仿宋" w:eastAsia="仿宋_GB2312" w:cs="Times New Roman"/>
          <w:sz w:val="32"/>
          <w:szCs w:val="32"/>
        </w:rPr>
      </w:pPr>
      <w:r>
        <w:rPr>
          <w:rFonts w:hint="eastAsia" w:ascii="仿宋_GB2312" w:hAnsi="仿宋" w:eastAsia="仿宋_GB2312" w:cs="Times New Roman"/>
          <w:sz w:val="32"/>
          <w:szCs w:val="32"/>
        </w:rPr>
        <w:t>（4）指导乡村特色产业、农产品加工业、休闲农业和乡镇企业发展工作。提出促进大宗农产品流通的建议，培育</w:t>
      </w:r>
      <w:r>
        <w:rPr>
          <w:rFonts w:hint="eastAsia" w:ascii="仿宋_GB2312" w:hAnsi="仿宋" w:eastAsia="仿宋_GB2312" w:cs="Times New Roman"/>
          <w:sz w:val="32"/>
          <w:szCs w:val="32"/>
          <w:lang w:eastAsia="zh-CN"/>
        </w:rPr>
        <w:t>、</w:t>
      </w:r>
      <w:r>
        <w:rPr>
          <w:rFonts w:hint="eastAsia" w:ascii="仿宋_GB2312" w:hAnsi="仿宋" w:eastAsia="仿宋_GB2312" w:cs="Times New Roman"/>
          <w:sz w:val="32"/>
          <w:szCs w:val="32"/>
        </w:rPr>
        <w:t>保护农业品牌。发布农业农村经济信息，监测分析农业农村经济运行，承担农业统计和农业农村信息化有关工作。</w:t>
      </w:r>
    </w:p>
    <w:p w14:paraId="2305B2D3">
      <w:pPr>
        <w:snapToGrid w:val="0"/>
        <w:spacing w:line="560" w:lineRule="exact"/>
        <w:ind w:firstLine="640" w:firstLineChars="200"/>
        <w:rPr>
          <w:rFonts w:hint="eastAsia" w:ascii="仿宋_GB2312" w:hAnsi="仿宋" w:eastAsia="仿宋_GB2312" w:cs="Times New Roman"/>
          <w:sz w:val="32"/>
          <w:szCs w:val="32"/>
        </w:rPr>
      </w:pPr>
      <w:r>
        <w:rPr>
          <w:rFonts w:hint="eastAsia" w:ascii="仿宋_GB2312" w:hAnsi="仿宋" w:eastAsia="仿宋_GB2312" w:cs="Times New Roman"/>
          <w:sz w:val="32"/>
          <w:szCs w:val="32"/>
        </w:rPr>
        <w:t>（5）负责种植业、畜牧业、渔业、农垦、农业机械化等农业各产业的监督管理。指导粮食等农产品生产。组织构建现代农业产业体系、生产体系、经营体系，指导农业标准化生产负责渔政渔港监督管理。</w:t>
      </w:r>
    </w:p>
    <w:p w14:paraId="60878AD3">
      <w:pPr>
        <w:snapToGrid w:val="0"/>
        <w:spacing w:line="560" w:lineRule="exact"/>
        <w:ind w:firstLine="640" w:firstLineChars="200"/>
        <w:rPr>
          <w:rFonts w:hint="eastAsia" w:ascii="仿宋_GB2312" w:hAnsi="仿宋" w:eastAsia="仿宋_GB2312" w:cs="Times New Roman"/>
          <w:sz w:val="32"/>
          <w:szCs w:val="32"/>
        </w:rPr>
      </w:pPr>
      <w:r>
        <w:rPr>
          <w:rFonts w:hint="eastAsia" w:ascii="仿宋_GB2312" w:hAnsi="仿宋" w:eastAsia="仿宋_GB2312" w:cs="Times New Roman"/>
          <w:sz w:val="32"/>
          <w:szCs w:val="32"/>
        </w:rPr>
        <w:t>（6）负责农产品质量安全监督管理。组织开展农产品质量安全监测、追溯、风险评估，发布农产品质量安全信息</w:t>
      </w:r>
      <w:r>
        <w:rPr>
          <w:rFonts w:hint="eastAsia" w:ascii="仿宋_GB2312" w:hAnsi="仿宋" w:eastAsia="仿宋_GB2312" w:cs="Times New Roman"/>
          <w:sz w:val="32"/>
          <w:szCs w:val="32"/>
          <w:lang w:eastAsia="zh-CN"/>
        </w:rPr>
        <w:t>。</w:t>
      </w:r>
      <w:r>
        <w:rPr>
          <w:rFonts w:hint="eastAsia" w:ascii="仿宋_GB2312" w:hAnsi="仿宋" w:eastAsia="仿宋_GB2312" w:cs="Times New Roman"/>
          <w:sz w:val="32"/>
          <w:szCs w:val="32"/>
        </w:rPr>
        <w:t>贯彻执行农产品质量安全国家标准，参与制定农产品质量安全地方标准并会同有关部门组织实施。指导农业检验检测体系建设。</w:t>
      </w:r>
    </w:p>
    <w:p w14:paraId="727C7A43">
      <w:pPr>
        <w:snapToGrid w:val="0"/>
        <w:spacing w:line="560" w:lineRule="exact"/>
        <w:ind w:firstLine="640" w:firstLineChars="200"/>
        <w:rPr>
          <w:rFonts w:hint="eastAsia" w:ascii="仿宋_GB2312" w:hAnsi="仿宋" w:eastAsia="仿宋_GB2312" w:cs="Times New Roman"/>
          <w:sz w:val="32"/>
          <w:szCs w:val="32"/>
        </w:rPr>
      </w:pPr>
      <w:r>
        <w:rPr>
          <w:rFonts w:hint="eastAsia" w:ascii="仿宋_GB2312" w:hAnsi="仿宋" w:eastAsia="仿宋_GB2312" w:cs="Times New Roman"/>
          <w:sz w:val="32"/>
          <w:szCs w:val="32"/>
        </w:rPr>
        <w:t>（7）组织农业资源区划工作。指导农用地、渔业水域以及农业生物物种资源的保护与管理，负责水生野生动植物保护、耕地及永久基本农田质量保护工作。指导农产品产地环境管理和农业清洁生产。指导设施农业、生态循环农业、节水农业发展以及农村可再生能源综合开发利用、农业生物质产业发展牵头管理外来物种。</w:t>
      </w:r>
    </w:p>
    <w:p w14:paraId="222AE7CE">
      <w:pPr>
        <w:snapToGrid w:val="0"/>
        <w:spacing w:line="560" w:lineRule="exact"/>
        <w:ind w:firstLine="640" w:firstLineChars="200"/>
        <w:rPr>
          <w:rFonts w:hint="eastAsia" w:ascii="仿宋_GB2312" w:hAnsi="仿宋" w:eastAsia="仿宋_GB2312" w:cs="Times New Roman"/>
          <w:sz w:val="32"/>
          <w:szCs w:val="32"/>
        </w:rPr>
      </w:pPr>
      <w:r>
        <w:rPr>
          <w:rFonts w:hint="eastAsia" w:ascii="仿宋_GB2312" w:hAnsi="仿宋" w:eastAsia="仿宋_GB2312" w:cs="Times New Roman"/>
          <w:sz w:val="32"/>
          <w:szCs w:val="32"/>
        </w:rPr>
        <w:t>（8）负责有关农业生产资料和农业投入品的监督管理</w:t>
      </w:r>
      <w:r>
        <w:rPr>
          <w:rFonts w:hint="eastAsia" w:ascii="仿宋_GB2312" w:hAnsi="仿宋" w:eastAsia="仿宋_GB2312" w:cs="Times New Roman"/>
          <w:sz w:val="32"/>
          <w:szCs w:val="32"/>
          <w:lang w:eastAsia="zh-CN"/>
        </w:rPr>
        <w:t>。</w:t>
      </w:r>
      <w:r>
        <w:rPr>
          <w:rFonts w:hint="eastAsia" w:ascii="仿宋_GB2312" w:hAnsi="仿宋" w:eastAsia="仿宋_GB2312" w:cs="Times New Roman"/>
          <w:sz w:val="32"/>
          <w:szCs w:val="32"/>
        </w:rPr>
        <w:t>组织农业生产资料市场体系建设，贯彻执行农业生产资料、兽药质量、兽药残留限量和残留检测方法国家标准并监督实施组织兽医医政、兽药药政药检工作，负责执业兽医和畜禽屠宰行业管理。</w:t>
      </w:r>
    </w:p>
    <w:p w14:paraId="4CF570D8">
      <w:pPr>
        <w:snapToGrid w:val="0"/>
        <w:spacing w:line="560" w:lineRule="exact"/>
        <w:ind w:firstLine="640" w:firstLineChars="200"/>
        <w:rPr>
          <w:rFonts w:hint="eastAsia" w:ascii="仿宋_GB2312" w:hAnsi="仿宋" w:eastAsia="仿宋_GB2312" w:cs="Times New Roman"/>
          <w:sz w:val="32"/>
          <w:szCs w:val="32"/>
        </w:rPr>
      </w:pPr>
      <w:r>
        <w:rPr>
          <w:rFonts w:hint="eastAsia" w:ascii="仿宋_GB2312" w:hAnsi="仿宋" w:eastAsia="仿宋_GB2312" w:cs="Times New Roman"/>
          <w:sz w:val="32"/>
          <w:szCs w:val="32"/>
        </w:rPr>
        <w:t>（9）负责农业防灾减灾、农作物重大病虫害防治工作指导动植物防疫检疫体系建设，组织、监督县内动植物防疫检疫工作，发布疫情并组织扑灭。</w:t>
      </w:r>
    </w:p>
    <w:p w14:paraId="7466FA25">
      <w:pPr>
        <w:snapToGrid w:val="0"/>
        <w:spacing w:line="560" w:lineRule="exact"/>
        <w:ind w:firstLine="640" w:firstLineChars="200"/>
        <w:rPr>
          <w:rFonts w:hint="eastAsia" w:ascii="仿宋_GB2312" w:hAnsi="仿宋" w:eastAsia="仿宋_GB2312" w:cs="Times New Roman"/>
          <w:sz w:val="32"/>
          <w:szCs w:val="32"/>
        </w:rPr>
      </w:pPr>
      <w:r>
        <w:rPr>
          <w:rFonts w:hint="eastAsia" w:ascii="仿宋_GB2312" w:hAnsi="仿宋" w:eastAsia="仿宋_GB2312" w:cs="Times New Roman"/>
          <w:sz w:val="32"/>
          <w:szCs w:val="32"/>
        </w:rPr>
        <w:t>（10）负责农业投资管理。编制农业投资项目建设规划提出农业投资规模和方向，扶持农业农村发展财政项目的建议，按规定权限审批农业投资项目，负责农业投资项目资金安排和监督管理。</w:t>
      </w:r>
    </w:p>
    <w:p w14:paraId="22400AC1">
      <w:pPr>
        <w:snapToGrid w:val="0"/>
        <w:spacing w:line="560" w:lineRule="exact"/>
        <w:ind w:firstLine="640" w:firstLineChars="200"/>
        <w:rPr>
          <w:rFonts w:hint="eastAsia" w:ascii="仿宋_GB2312" w:hAnsi="仿宋" w:eastAsia="仿宋_GB2312" w:cs="Times New Roman"/>
          <w:sz w:val="32"/>
          <w:szCs w:val="32"/>
          <w:lang w:eastAsia="zh-CN"/>
        </w:rPr>
      </w:pPr>
      <w:r>
        <w:rPr>
          <w:rFonts w:hint="eastAsia" w:ascii="仿宋_GB2312" w:hAnsi="仿宋" w:eastAsia="仿宋_GB2312" w:cs="Times New Roman"/>
          <w:sz w:val="32"/>
          <w:szCs w:val="32"/>
        </w:rPr>
        <w:t>（11）推动农业科技体制改革和农业科技创新体系建设指导农业产业技术体系和农技推广体系建设，组织开展农业领域的高新技术和应用技术研究、科技成果转化和技术推广</w:t>
      </w:r>
      <w:r>
        <w:rPr>
          <w:rFonts w:hint="eastAsia" w:ascii="仿宋_GB2312" w:hAnsi="仿宋" w:eastAsia="仿宋_GB2312" w:cs="Times New Roman"/>
          <w:sz w:val="32"/>
          <w:szCs w:val="32"/>
          <w:lang w:eastAsia="zh-CN"/>
        </w:rPr>
        <w:t>。</w:t>
      </w:r>
      <w:r>
        <w:rPr>
          <w:rFonts w:hint="eastAsia" w:ascii="仿宋_GB2312" w:hAnsi="仿宋" w:eastAsia="仿宋_GB2312" w:cs="Times New Roman"/>
          <w:sz w:val="32"/>
          <w:szCs w:val="32"/>
        </w:rPr>
        <w:t>负责农业转基因生物安全监督管理和农业植物新品种保护</w:t>
      </w:r>
      <w:r>
        <w:rPr>
          <w:rFonts w:hint="eastAsia" w:ascii="仿宋_GB2312" w:hAnsi="仿宋" w:eastAsia="仿宋_GB2312" w:cs="Times New Roman"/>
          <w:sz w:val="32"/>
          <w:szCs w:val="32"/>
          <w:lang w:eastAsia="zh-CN"/>
        </w:rPr>
        <w:t>。</w:t>
      </w:r>
    </w:p>
    <w:p w14:paraId="03363B24">
      <w:pPr>
        <w:snapToGrid w:val="0"/>
        <w:spacing w:line="560" w:lineRule="exact"/>
        <w:ind w:firstLine="640" w:firstLineChars="200"/>
        <w:rPr>
          <w:rFonts w:hint="eastAsia" w:ascii="仿宋_GB2312" w:hAnsi="仿宋" w:eastAsia="仿宋_GB2312" w:cs="Times New Roman"/>
          <w:sz w:val="32"/>
          <w:szCs w:val="32"/>
        </w:rPr>
      </w:pPr>
      <w:r>
        <w:rPr>
          <w:rFonts w:hint="eastAsia" w:ascii="仿宋_GB2312" w:hAnsi="仿宋" w:eastAsia="仿宋_GB2312" w:cs="Times New Roman"/>
          <w:sz w:val="32"/>
          <w:szCs w:val="32"/>
        </w:rPr>
        <w:t>（12）指导农业农村人才工作。拟订农业农村人才队伍建设规划并组织实施，指导农业教育和农业职业技能开发，指导新型职业农民培育、农业科技人才培养和农村实用人才培训</w:t>
      </w:r>
      <w:r>
        <w:rPr>
          <w:rFonts w:hint="eastAsia" w:ascii="仿宋_GB2312" w:hAnsi="仿宋" w:eastAsia="仿宋_GB2312" w:cs="Times New Roman"/>
          <w:sz w:val="32"/>
          <w:szCs w:val="32"/>
          <w:lang w:val="en-US" w:eastAsia="zh-CN"/>
        </w:rPr>
        <w:t>工</w:t>
      </w:r>
      <w:r>
        <w:rPr>
          <w:rFonts w:hint="eastAsia" w:ascii="仿宋_GB2312" w:hAnsi="仿宋" w:eastAsia="仿宋_GB2312" w:cs="Times New Roman"/>
          <w:sz w:val="32"/>
          <w:szCs w:val="32"/>
        </w:rPr>
        <w:t>作。</w:t>
      </w:r>
    </w:p>
    <w:p w14:paraId="5A9831F0">
      <w:pPr>
        <w:snapToGrid w:val="0"/>
        <w:spacing w:line="560" w:lineRule="exact"/>
        <w:ind w:firstLine="640" w:firstLineChars="200"/>
        <w:rPr>
          <w:rFonts w:hint="eastAsia" w:ascii="仿宋_GB2312" w:hAnsi="仿宋" w:eastAsia="仿宋_GB2312" w:cs="Times New Roman"/>
          <w:sz w:val="32"/>
          <w:szCs w:val="32"/>
        </w:rPr>
      </w:pPr>
      <w:r>
        <w:rPr>
          <w:rFonts w:hint="eastAsia" w:ascii="仿宋_GB2312" w:hAnsi="仿宋" w:eastAsia="仿宋_GB2312" w:cs="Times New Roman"/>
          <w:sz w:val="32"/>
          <w:szCs w:val="32"/>
        </w:rPr>
        <w:t>（13）组织参与农业对外合作工作。</w:t>
      </w:r>
    </w:p>
    <w:p w14:paraId="0F158AF0">
      <w:pPr>
        <w:snapToGrid w:val="0"/>
        <w:spacing w:line="560" w:lineRule="exact"/>
        <w:ind w:firstLine="640" w:firstLineChars="200"/>
        <w:rPr>
          <w:rFonts w:ascii="楷体" w:hAnsi="楷体" w:eastAsia="楷体" w:cs="楷体"/>
          <w:spacing w:val="8"/>
          <w:sz w:val="31"/>
          <w:szCs w:val="31"/>
        </w:rPr>
      </w:pPr>
      <w:r>
        <w:rPr>
          <w:rFonts w:hint="eastAsia" w:ascii="仿宋_GB2312" w:hAnsi="仿宋" w:eastAsia="仿宋_GB2312" w:cs="Times New Roman"/>
          <w:sz w:val="32"/>
          <w:szCs w:val="32"/>
        </w:rPr>
        <w:t>（14）负责组织制订全县茶产业发展规划，研究产业发展政策。</w:t>
      </w:r>
    </w:p>
    <w:p w14:paraId="3D442061">
      <w:pPr>
        <w:spacing w:line="594" w:lineRule="exact"/>
        <w:ind w:firstLine="640" w:firstLineChars="200"/>
        <w:rPr>
          <w:rFonts w:ascii="Times New Roman" w:hAnsi="Times New Roman" w:eastAsia="楷体_GB2312" w:cs="Times New Roman"/>
          <w:snapToGrid/>
          <w:kern w:val="0"/>
          <w:sz w:val="32"/>
          <w:szCs w:val="32"/>
          <w:lang w:eastAsia="zh-CN"/>
        </w:rPr>
      </w:pPr>
      <w:r>
        <w:rPr>
          <w:rFonts w:ascii="Times New Roman" w:hAnsi="Times New Roman" w:eastAsia="楷体_GB2312" w:cs="Times New Roman"/>
          <w:snapToGrid/>
          <w:kern w:val="0"/>
          <w:sz w:val="32"/>
          <w:szCs w:val="32"/>
          <w:lang w:eastAsia="zh-CN"/>
        </w:rPr>
        <w:t>(二)部门整体支出规模、使用方向、主要内容和涉及范围。</w:t>
      </w:r>
    </w:p>
    <w:p w14:paraId="770C9203">
      <w:pPr>
        <w:pStyle w:val="2"/>
        <w:keepNext w:val="0"/>
        <w:keepLines w:val="0"/>
        <w:pageBreakBefore w:val="0"/>
        <w:widowControl w:val="0"/>
        <w:kinsoku/>
        <w:wordWrap/>
        <w:overflowPunct/>
        <w:topLinePunct w:val="0"/>
        <w:autoSpaceDE/>
        <w:autoSpaceDN/>
        <w:bidi w:val="0"/>
        <w:adjustRightInd/>
        <w:snapToGrid/>
        <w:spacing w:line="594" w:lineRule="exact"/>
        <w:ind w:firstLine="640" w:firstLineChars="200"/>
        <w:jc w:val="left"/>
        <w:textAlignment w:val="auto"/>
      </w:pPr>
      <w:r>
        <w:rPr>
          <w:rFonts w:hint="eastAsia" w:ascii="Times New Roman" w:hAnsi="Times New Roman" w:eastAsia="仿宋_GB2312" w:cs="Times New Roman"/>
          <w:caps w:val="0"/>
          <w:kern w:val="0"/>
          <w:sz w:val="32"/>
          <w:szCs w:val="32"/>
          <w:lang w:val="en-US" w:eastAsia="zh-CN" w:bidi="ar-SA"/>
        </w:rPr>
        <w:t xml:space="preserve"> 2024年度，我单位整体支出2387.83万元，基本支出2264.83万元，主要用于人员经费及行政日常公用经费，项目支出123万元，主要用于高标准农田建设、人居环境整治、村集体经济发展、国家现代农业产业园建设、禁捕退捕、粮食生产等农业专项支出。</w:t>
      </w:r>
    </w:p>
    <w:p w14:paraId="296335EE">
      <w:pPr>
        <w:pStyle w:val="2"/>
        <w:jc w:val="both"/>
      </w:pPr>
    </w:p>
    <w:p w14:paraId="20A7501E">
      <w:pPr>
        <w:spacing w:before="201" w:line="221" w:lineRule="auto"/>
        <w:ind w:left="644"/>
        <w:outlineLvl w:val="1"/>
        <w:rPr>
          <w:rFonts w:ascii="黑体" w:hAnsi="黑体" w:eastAsia="黑体" w:cs="黑体"/>
          <w:sz w:val="31"/>
          <w:szCs w:val="31"/>
        </w:rPr>
      </w:pPr>
      <w:r>
        <w:rPr>
          <w:rFonts w:ascii="黑体" w:hAnsi="黑体" w:eastAsia="黑体" w:cs="黑体"/>
          <w:b/>
          <w:bCs/>
          <w:spacing w:val="-7"/>
          <w:sz w:val="31"/>
          <w:szCs w:val="31"/>
        </w:rPr>
        <w:t>二、</w:t>
      </w:r>
      <w:r>
        <w:rPr>
          <w:rFonts w:ascii="黑体" w:hAnsi="黑体" w:eastAsia="黑体" w:cs="黑体"/>
          <w:spacing w:val="-58"/>
          <w:sz w:val="31"/>
          <w:szCs w:val="31"/>
        </w:rPr>
        <w:t xml:space="preserve"> </w:t>
      </w:r>
      <w:r>
        <w:rPr>
          <w:rFonts w:ascii="黑体" w:hAnsi="黑体" w:eastAsia="黑体" w:cs="黑体"/>
          <w:b/>
          <w:bCs/>
          <w:spacing w:val="-7"/>
          <w:sz w:val="31"/>
          <w:szCs w:val="31"/>
        </w:rPr>
        <w:t>一般公共预算支出情况</w:t>
      </w:r>
    </w:p>
    <w:p w14:paraId="4790EE12">
      <w:pPr>
        <w:spacing w:line="594" w:lineRule="exact"/>
        <w:ind w:firstLine="640" w:firstLineChars="200"/>
        <w:rPr>
          <w:rFonts w:hint="eastAsia" w:ascii="Times New Roman" w:hAnsi="Times New Roman" w:eastAsia="仿宋_GB2312" w:cs="Times New Roman"/>
          <w:caps w:val="0"/>
          <w:snapToGrid w:val="0"/>
          <w:color w:val="000000"/>
          <w:kern w:val="0"/>
          <w:sz w:val="32"/>
          <w:szCs w:val="32"/>
          <w:lang w:val="en-US" w:eastAsia="zh-CN" w:bidi="ar-SA"/>
        </w:rPr>
      </w:pPr>
      <w:r>
        <w:rPr>
          <w:rFonts w:ascii="Times New Roman" w:hAnsi="Times New Roman" w:eastAsia="楷体_GB2312" w:cs="Times New Roman"/>
          <w:snapToGrid/>
          <w:kern w:val="0"/>
          <w:sz w:val="32"/>
          <w:szCs w:val="32"/>
          <w:lang w:eastAsia="zh-CN"/>
        </w:rPr>
        <w:t>（一）基本支出</w:t>
      </w:r>
    </w:p>
    <w:p w14:paraId="44B988E9">
      <w:pPr>
        <w:spacing w:line="594" w:lineRule="exact"/>
        <w:ind w:firstLine="640" w:firstLineChars="200"/>
        <w:rPr>
          <w:rFonts w:hint="eastAsia" w:ascii="Times New Roman" w:hAnsi="Times New Roman" w:eastAsia="仿宋_GB2312" w:cs="Times New Roman"/>
          <w:caps w:val="0"/>
          <w:snapToGrid w:val="0"/>
          <w:color w:val="000000"/>
          <w:kern w:val="0"/>
          <w:sz w:val="32"/>
          <w:szCs w:val="32"/>
          <w:lang w:val="en-US" w:eastAsia="zh-CN" w:bidi="ar-SA"/>
        </w:rPr>
      </w:pPr>
      <w:r>
        <w:rPr>
          <w:rFonts w:hint="eastAsia" w:ascii="Times New Roman" w:hAnsi="Times New Roman" w:eastAsia="仿宋_GB2312" w:cs="Times New Roman"/>
          <w:caps w:val="0"/>
          <w:snapToGrid w:val="0"/>
          <w:color w:val="000000"/>
          <w:kern w:val="0"/>
          <w:sz w:val="32"/>
          <w:szCs w:val="32"/>
          <w:lang w:val="en-US" w:eastAsia="zh-CN" w:bidi="ar-SA"/>
        </w:rPr>
        <w:t>基本支出系保障我局机构正常运转、完成日常工作任务而发生的各项支出，包括用于在职职工基本工资、津贴补贴等人员经费以及办公费、印刷费、水电费、办公设备购置等日常公用经费。2024年基本支出</w:t>
      </w:r>
      <w:r>
        <w:rPr>
          <w:rFonts w:hint="eastAsia" w:ascii="Times New Roman" w:hAnsi="Times New Roman" w:eastAsia="仿宋_GB2312" w:cs="Times New Roman"/>
          <w:caps w:val="0"/>
          <w:kern w:val="0"/>
          <w:sz w:val="32"/>
          <w:szCs w:val="32"/>
          <w:lang w:val="en-US" w:eastAsia="zh-CN" w:bidi="ar-SA"/>
        </w:rPr>
        <w:t>2264.83</w:t>
      </w:r>
      <w:r>
        <w:rPr>
          <w:rFonts w:hint="eastAsia" w:ascii="Times New Roman" w:hAnsi="Times New Roman" w:eastAsia="仿宋_GB2312" w:cs="Times New Roman"/>
          <w:caps w:val="0"/>
          <w:snapToGrid w:val="0"/>
          <w:color w:val="000000"/>
          <w:kern w:val="0"/>
          <w:sz w:val="32"/>
          <w:szCs w:val="32"/>
          <w:lang w:val="en-US" w:eastAsia="zh-CN" w:bidi="ar-SA"/>
        </w:rPr>
        <w:t>万元，较上年减少158.3万元，下降6.53%。</w:t>
      </w:r>
    </w:p>
    <w:p w14:paraId="46E7CF5F">
      <w:pPr>
        <w:spacing w:line="594" w:lineRule="exact"/>
        <w:ind w:firstLine="640" w:firstLineChars="200"/>
        <w:rPr>
          <w:rFonts w:hint="eastAsia" w:ascii="Times New Roman" w:hAnsi="Times New Roman" w:eastAsia="仿宋_GB2312" w:cs="Times New Roman"/>
          <w:caps w:val="0"/>
          <w:snapToGrid w:val="0"/>
          <w:color w:val="000000"/>
          <w:kern w:val="0"/>
          <w:sz w:val="32"/>
          <w:szCs w:val="32"/>
          <w:lang w:val="en-US" w:eastAsia="zh-CN" w:bidi="ar-SA"/>
        </w:rPr>
      </w:pPr>
      <w:r>
        <w:rPr>
          <w:rFonts w:hint="eastAsia" w:ascii="Times New Roman" w:hAnsi="Times New Roman" w:eastAsia="仿宋_GB2312" w:cs="Times New Roman"/>
          <w:caps w:val="0"/>
          <w:snapToGrid w:val="0"/>
          <w:color w:val="000000"/>
          <w:kern w:val="0"/>
          <w:sz w:val="32"/>
          <w:szCs w:val="32"/>
          <w:lang w:val="en-US" w:eastAsia="zh-CN" w:bidi="ar-SA"/>
        </w:rPr>
        <w:t>本年“三公”经费预算36.56万元，公务用车运行维护费12万元，公务接待费24.56万元，本年实际支出公务车运行维护费20.45万元，公务接待费18.84万元。“三公”经费上年预算46.38万元，公务车运行维护费12万元，公务接待费34.38万元，实际支出公务车运行维护费14.73万元，公务接待费27.29万元，“三公”经费逐年下降，支出逐年减少。</w:t>
      </w:r>
    </w:p>
    <w:p w14:paraId="21B04EE0">
      <w:pPr>
        <w:spacing w:line="594" w:lineRule="exact"/>
        <w:ind w:firstLine="640" w:firstLineChars="200"/>
        <w:rPr>
          <w:rFonts w:hint="eastAsia" w:ascii="Times New Roman" w:hAnsi="Times New Roman" w:eastAsia="仿宋_GB2312" w:cs="Times New Roman"/>
          <w:caps w:val="0"/>
          <w:snapToGrid w:val="0"/>
          <w:color w:val="000000"/>
          <w:kern w:val="0"/>
          <w:sz w:val="32"/>
          <w:szCs w:val="32"/>
          <w:lang w:val="en-US" w:eastAsia="zh-CN" w:bidi="ar-SA"/>
        </w:rPr>
      </w:pPr>
      <w:r>
        <w:rPr>
          <w:rFonts w:hint="eastAsia" w:ascii="Times New Roman" w:hAnsi="Times New Roman" w:eastAsia="楷体_GB2312" w:cs="Times New Roman"/>
          <w:snapToGrid/>
          <w:kern w:val="0"/>
          <w:sz w:val="32"/>
          <w:szCs w:val="32"/>
          <w:lang w:val="en-US" w:eastAsia="zh-CN"/>
        </w:rPr>
        <w:t>（二）项目支出</w:t>
      </w:r>
      <w:r>
        <w:rPr>
          <w:rFonts w:hint="eastAsia" w:ascii="Times New Roman" w:hAnsi="Times New Roman" w:eastAsia="仿宋_GB2312" w:cs="Times New Roman"/>
          <w:caps w:val="0"/>
          <w:snapToGrid w:val="0"/>
          <w:color w:val="000000"/>
          <w:kern w:val="0"/>
          <w:sz w:val="32"/>
          <w:szCs w:val="32"/>
          <w:lang w:val="en-US" w:eastAsia="zh-CN" w:bidi="ar-SA"/>
        </w:rPr>
        <w:tab/>
      </w:r>
    </w:p>
    <w:p w14:paraId="4A4649F7">
      <w:pPr>
        <w:spacing w:line="594" w:lineRule="exact"/>
        <w:ind w:firstLine="640" w:firstLineChars="200"/>
        <w:rPr>
          <w:rFonts w:hint="eastAsia" w:ascii="Times New Roman" w:hAnsi="Times New Roman" w:eastAsia="仿宋_GB2312" w:cs="Times New Roman"/>
          <w:caps w:val="0"/>
          <w:snapToGrid w:val="0"/>
          <w:color w:val="000000"/>
          <w:kern w:val="0"/>
          <w:sz w:val="32"/>
          <w:szCs w:val="32"/>
          <w:lang w:val="en-US" w:eastAsia="zh-CN" w:bidi="ar-SA"/>
        </w:rPr>
      </w:pPr>
      <w:r>
        <w:rPr>
          <w:rFonts w:hint="eastAsia" w:ascii="Times New Roman" w:hAnsi="Times New Roman" w:eastAsia="仿宋_GB2312" w:cs="Times New Roman"/>
          <w:caps w:val="0"/>
          <w:snapToGrid w:val="0"/>
          <w:color w:val="000000"/>
          <w:kern w:val="0"/>
          <w:sz w:val="32"/>
          <w:szCs w:val="32"/>
          <w:lang w:val="en-US" w:eastAsia="zh-CN" w:bidi="ar-SA"/>
        </w:rPr>
        <w:t>1. 项目资金（包括财政资金、自筹资金等）安排落实、总投入等情况分析。</w:t>
      </w:r>
    </w:p>
    <w:p w14:paraId="74C8CB4B">
      <w:pPr>
        <w:spacing w:line="594" w:lineRule="exact"/>
        <w:ind w:firstLine="640" w:firstLineChars="200"/>
        <w:rPr>
          <w:rFonts w:hint="eastAsia" w:ascii="Times New Roman" w:hAnsi="Times New Roman" w:eastAsia="仿宋_GB2312" w:cs="Times New Roman"/>
          <w:caps w:val="0"/>
          <w:snapToGrid w:val="0"/>
          <w:color w:val="000000"/>
          <w:kern w:val="0"/>
          <w:sz w:val="32"/>
          <w:szCs w:val="32"/>
          <w:lang w:val="en-US" w:eastAsia="zh-CN" w:bidi="ar-SA"/>
        </w:rPr>
      </w:pPr>
      <w:r>
        <w:rPr>
          <w:rFonts w:hint="eastAsia" w:ascii="Times New Roman" w:hAnsi="Times New Roman" w:eastAsia="仿宋_GB2312" w:cs="Times New Roman"/>
          <w:caps w:val="0"/>
          <w:snapToGrid w:val="0"/>
          <w:color w:val="000000"/>
          <w:kern w:val="0"/>
          <w:sz w:val="32"/>
          <w:szCs w:val="32"/>
          <w:lang w:val="en-US" w:eastAsia="zh-CN" w:bidi="ar-SA"/>
        </w:rPr>
        <w:t>我单位2024年度项目资金总额</w:t>
      </w:r>
      <w:r>
        <w:rPr>
          <w:rFonts w:hint="eastAsia" w:ascii="Times New Roman" w:hAnsi="Times New Roman" w:eastAsia="仿宋_GB2312" w:cs="Times New Roman"/>
          <w:caps w:val="0"/>
          <w:kern w:val="0"/>
          <w:sz w:val="32"/>
          <w:szCs w:val="32"/>
          <w:lang w:val="en-US" w:eastAsia="zh-CN" w:bidi="ar-SA"/>
        </w:rPr>
        <w:t>123</w:t>
      </w:r>
      <w:r>
        <w:rPr>
          <w:rFonts w:hint="eastAsia" w:ascii="Times New Roman" w:hAnsi="Times New Roman" w:eastAsia="仿宋_GB2312" w:cs="Times New Roman"/>
          <w:caps w:val="0"/>
          <w:snapToGrid w:val="0"/>
          <w:color w:val="000000"/>
          <w:kern w:val="0"/>
          <w:sz w:val="32"/>
          <w:szCs w:val="32"/>
          <w:lang w:val="en-US" w:eastAsia="zh-CN" w:bidi="ar-SA"/>
        </w:rPr>
        <w:t>万元，均为财政专项资金，且已拨付至相关项目。</w:t>
      </w:r>
    </w:p>
    <w:p w14:paraId="170A822C">
      <w:pPr>
        <w:spacing w:line="594" w:lineRule="exact"/>
        <w:ind w:firstLine="640" w:firstLineChars="200"/>
        <w:rPr>
          <w:rFonts w:hint="eastAsia" w:ascii="Times New Roman" w:hAnsi="Times New Roman" w:eastAsia="仿宋_GB2312" w:cs="Times New Roman"/>
          <w:caps w:val="0"/>
          <w:snapToGrid w:val="0"/>
          <w:color w:val="000000"/>
          <w:kern w:val="0"/>
          <w:sz w:val="32"/>
          <w:szCs w:val="32"/>
          <w:lang w:val="en-US" w:eastAsia="zh-CN" w:bidi="ar-SA"/>
        </w:rPr>
      </w:pPr>
      <w:r>
        <w:rPr>
          <w:rFonts w:hint="eastAsia" w:ascii="Times New Roman" w:hAnsi="Times New Roman" w:eastAsia="仿宋_GB2312" w:cs="Times New Roman"/>
          <w:caps w:val="0"/>
          <w:snapToGrid w:val="0"/>
          <w:color w:val="000000"/>
          <w:kern w:val="0"/>
          <w:sz w:val="32"/>
          <w:szCs w:val="32"/>
          <w:lang w:val="en-US" w:eastAsia="zh-CN" w:bidi="ar-SA"/>
        </w:rPr>
        <w:t>3. 项目资金管理情况分析，主要包括管理制度、办法的制订及执行情况。</w:t>
      </w:r>
    </w:p>
    <w:p w14:paraId="533C5739">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rPr>
          <w:rFonts w:hint="eastAsia" w:ascii="Times New Roman" w:hAnsi="Times New Roman" w:eastAsia="仿宋_GB2312" w:cs="Times New Roman"/>
          <w:caps w:val="0"/>
          <w:kern w:val="0"/>
          <w:sz w:val="32"/>
          <w:szCs w:val="32"/>
          <w:lang w:val="en-US" w:eastAsia="zh-CN" w:bidi="ar-SA"/>
        </w:rPr>
      </w:pPr>
      <w:r>
        <w:rPr>
          <w:rFonts w:hint="eastAsia" w:ascii="Times New Roman" w:hAnsi="Times New Roman" w:eastAsia="仿宋_GB2312" w:cs="Times New Roman"/>
          <w:caps w:val="0"/>
          <w:kern w:val="0"/>
          <w:sz w:val="32"/>
          <w:szCs w:val="32"/>
          <w:lang w:val="en-US" w:eastAsia="zh-CN" w:bidi="ar-SA"/>
        </w:rPr>
        <w:t>为规范项目资金使用，加强项目资金管理，根据《安化县统筹整合使用财政涉农资金管理办法》及《安化县农业农村局项目资金管理办法》要求，我单位制定了严格的项目资金管理制度，成立以局长为组长，县纪委监委驻局纪检组负责人、局班子成员为副组长，各股室负责人为成员的局项目管理领导小组，统筹管理全局项目。下设项目管理领导小组办公室（项目办），配备专职人员负责全局项目日常管理工作。各业务股室严格执行项目管理制度，监督项目实施进度，项目建设质量、项目安全生产、项目后期管护等。</w:t>
      </w:r>
    </w:p>
    <w:p w14:paraId="2B76FEA5">
      <w:pPr>
        <w:spacing w:before="201" w:line="221" w:lineRule="auto"/>
        <w:ind w:left="644"/>
        <w:outlineLvl w:val="1"/>
        <w:rPr>
          <w:rFonts w:ascii="黑体" w:hAnsi="黑体" w:eastAsia="黑体" w:cs="黑体"/>
          <w:b/>
          <w:bCs/>
          <w:spacing w:val="-7"/>
          <w:sz w:val="31"/>
          <w:szCs w:val="31"/>
          <w:lang w:eastAsia="zh-CN"/>
        </w:rPr>
      </w:pPr>
      <w:r>
        <w:rPr>
          <w:rFonts w:hint="eastAsia" w:ascii="黑体" w:hAnsi="黑体" w:eastAsia="黑体" w:cs="黑体"/>
          <w:b/>
          <w:bCs/>
          <w:spacing w:val="-7"/>
          <w:sz w:val="31"/>
          <w:szCs w:val="31"/>
          <w:lang w:val="en-US" w:eastAsia="zh-CN"/>
        </w:rPr>
        <w:t>三、</w:t>
      </w:r>
      <w:r>
        <w:rPr>
          <w:rFonts w:ascii="黑体" w:hAnsi="黑体" w:eastAsia="黑体" w:cs="黑体"/>
          <w:b/>
          <w:bCs/>
          <w:spacing w:val="-7"/>
          <w:sz w:val="31"/>
          <w:szCs w:val="31"/>
          <w:lang w:eastAsia="zh-CN"/>
        </w:rPr>
        <w:t>部门整体支出绩效情况分析</w:t>
      </w:r>
    </w:p>
    <w:p w14:paraId="31F3DC01">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rPr>
          <w:rFonts w:hint="eastAsia" w:ascii="Times New Roman" w:hAnsi="Times New Roman" w:eastAsia="仿宋_GB2312" w:cs="Times New Roman"/>
          <w:caps w:val="0"/>
          <w:kern w:val="0"/>
          <w:sz w:val="32"/>
          <w:szCs w:val="32"/>
          <w:lang w:val="en-US" w:eastAsia="zh-CN" w:bidi="ar-SA"/>
        </w:rPr>
      </w:pPr>
      <w:r>
        <w:rPr>
          <w:rFonts w:hint="eastAsia" w:ascii="Times New Roman" w:hAnsi="Times New Roman" w:eastAsia="仿宋_GB2312" w:cs="Times New Roman"/>
          <w:caps w:val="0"/>
          <w:kern w:val="0"/>
          <w:sz w:val="32"/>
          <w:szCs w:val="32"/>
          <w:lang w:val="en-US" w:eastAsia="zh-CN" w:bidi="ar-SA"/>
        </w:rPr>
        <w:t>1.奋力夺取全年粮食丰收。推行“五大模式”（集中育秧模式、稻油轮作模式、早专晚优模式、中稻+再生稻模式、大豆玉米带状复合种植模式）稳定粮食面积，今年我县完成粮食播种面积 67.1万亩、粮食总产量23.91 万吨，油菜播种面积 35.33万宙。全县共建设粮油作物单产提升示范区 1.5万亩，示范区单产较上年提高10%左右，产量水平进一步提高，良种良法配套落实到位，关键技术到位率明显提高。粮食和重要农产品实现稳产保供。</w:t>
      </w:r>
    </w:p>
    <w:p w14:paraId="79617D44">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rPr>
          <w:rFonts w:hint="eastAsia" w:ascii="Times New Roman" w:hAnsi="Times New Roman" w:eastAsia="仿宋_GB2312" w:cs="Times New Roman"/>
          <w:caps w:val="0"/>
          <w:kern w:val="0"/>
          <w:sz w:val="32"/>
          <w:szCs w:val="32"/>
          <w:lang w:val="en-US" w:eastAsia="zh-CN" w:bidi="ar-SA"/>
        </w:rPr>
      </w:pPr>
      <w:r>
        <w:rPr>
          <w:rFonts w:hint="eastAsia" w:ascii="Times New Roman" w:hAnsi="Times New Roman" w:eastAsia="仿宋_GB2312" w:cs="Times New Roman"/>
          <w:caps w:val="0"/>
          <w:kern w:val="0"/>
          <w:sz w:val="32"/>
          <w:szCs w:val="32"/>
          <w:lang w:val="en-US" w:eastAsia="zh-CN" w:bidi="ar-SA"/>
        </w:rPr>
        <w:t>2.全域推进人居环境整治。2024年，我县完善健全“党建引领·三员两长网格化管理”责任机制，全县共选聘专职保洁员2165人、义务劝导员16255人、兼职督导员6280人，合理设置垃圾收集点5699个，各村、组、乡镇级以上主干道公路沿线实现农村垃圾统一清收清运，长效治理机制建立健全。清理路域乱堆乱放2985余处、村庄内乱堆乱放2678余处，清理小广告3456余处。清理打捞各类漂浮垃圾100 余吨，清理废旧栅栏1620米，废旧房屋11栋。全县人居环境整治志愿者队伍从原来的8000余人增加到12200多人。与此同时，深入学习运用浙江“千村示范、万村整治”经验，按照“富裕乡村、宜居乡村、文明乡村、和谐(善治)乡村”“四村联创”要求，持续推进美丽庭院、美丽屋场、美丽乡村“三美联建”，完成美丽庭院创建2151户，成功创建市级美丽乡村3个。</w:t>
      </w:r>
    </w:p>
    <w:p w14:paraId="2133AD79">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rPr>
          <w:rFonts w:hint="default" w:ascii="Times New Roman" w:hAnsi="Times New Roman" w:eastAsia="仿宋_GB2312" w:cs="Times New Roman"/>
          <w:caps w:val="0"/>
          <w:kern w:val="0"/>
          <w:sz w:val="32"/>
          <w:szCs w:val="32"/>
          <w:lang w:val="en-US" w:eastAsia="zh-CN" w:bidi="ar-SA"/>
        </w:rPr>
      </w:pPr>
      <w:r>
        <w:rPr>
          <w:rFonts w:hint="eastAsia" w:ascii="Times New Roman" w:hAnsi="Times New Roman" w:eastAsia="仿宋_GB2312" w:cs="Times New Roman"/>
          <w:caps w:val="0"/>
          <w:kern w:val="0"/>
          <w:sz w:val="32"/>
          <w:szCs w:val="32"/>
          <w:lang w:val="en-US" w:eastAsia="zh-CN" w:bidi="ar-SA"/>
        </w:rPr>
        <w:t>3.着力夯实绿色农业根基。稳步实施化肥减量增效。在马路镇完成了水稻、玉米肥料利用率试验，在乐安镇完成了花生肥效校正、有机肥肥效对比试验，稳步实施化肥减量增效。实施化肥减量增效行动，推广应用测土配方施肥技术148.58万亩次，完成退化耕地治理1万亩，示范推广化肥减量“三新”配套新技术6万亩，完成绿肥生产5.46万亩，全县农作物单位面积化肥使用量保持零增长。加快推进病虫害统防统治。坚决打好打赢“虫口夺粮”保卫战，重大病虫害防治处置率达到了95%以上，总体损失率控制在5%以内。完成农作物统防统治面积32万亩，绿色防控面积74万亩，农药商品折百用量总计134.89吨，同比减量1.34%。扎实推进受污染耕地安全利用。严格管控区耕地全面退出水稻生产，调整种植结构1.22万亩；修复治理安全利用区耕地5.78万亩，全县受污染耕地安全利用率达91.62%。统筹推进秸秆综合利用、农膜回收工作，全面完成省市下达任务。持续打好“十年禁渔”持久战。建立健全禁捕退捕机制，严格落实禁捕网格化管理“三员五长”责任，结合专项行动抓实禁捕日常巡查。充分发挥智慧渔政监管效能，完成二期工程29个点位建设，资江流域基本实现“四清四无”。4.稳定粮食生产，促进农民创收。54家服务组织共完成服务标准面积6. 31万亩，全面完成省下达的社会化服务面积任务。开展农业生产托管服务，实现小农户与现代农业的有机街接，为解决农村因缺少劳动力种地难，解决抛荒问题提供了路径，解决了谁来种地问题。全县以社会化服务项目试点为抓手，进一步加强农业生产社会化服务体系建设，提高机械化程度，促进了全县粮⻝生产。全县粮食种植面积稳中有增，今年我县共发展早稻面积6. 6万亩，一季稻和晚稻 31. 05万亩，粮食总产稳定在24万吨以上。比去年增加了0. 19万吨，增幅0.8%。高档优质稻面积15万亩，较去年增加2万亩，增幅15. 38%。通过开展农业生产托管服务，专业化统防统治、新品种、标准化生产、科学施肥等绿色生产技术充分得到应用，克服了部分农户缺乏科学使用农资、绿色防控病虫害等先进技术的困难，达到了“减量控害〞的目标。有效促进了全县农业绿色生产和可持续发展。</w:t>
      </w:r>
    </w:p>
    <w:p w14:paraId="624E5C43">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rPr>
          <w:rFonts w:hint="eastAsia" w:ascii="Times New Roman" w:hAnsi="Times New Roman" w:eastAsia="仿宋_GB2312" w:cs="Times New Roman"/>
          <w:caps w:val="0"/>
          <w:kern w:val="0"/>
          <w:sz w:val="32"/>
          <w:szCs w:val="32"/>
          <w:lang w:val="en-US" w:eastAsia="zh-CN" w:bidi="ar-SA"/>
        </w:rPr>
      </w:pPr>
      <w:r>
        <w:rPr>
          <w:rFonts w:hint="eastAsia" w:ascii="Times New Roman" w:hAnsi="Times New Roman" w:eastAsia="仿宋_GB2312" w:cs="Times New Roman"/>
          <w:caps w:val="0"/>
          <w:kern w:val="0"/>
          <w:sz w:val="32"/>
          <w:szCs w:val="32"/>
          <w:lang w:val="en-US" w:eastAsia="zh-CN" w:bidi="ar-SA"/>
        </w:rPr>
        <w:t>5.提高棉田综合生产效益。2024年我县积极组织开展棉花生产工作，在大福镇、乐安镇等7个乡镇的严格管控区种植棉花面积 3811 亩，籽棉总产量达947.03屯，完成棉田水改旱基础设施建设1670亩。同时，成</w:t>
      </w:r>
      <w:bookmarkStart w:id="0" w:name="_GoBack"/>
      <w:bookmarkEnd w:id="0"/>
      <w:r>
        <w:rPr>
          <w:rFonts w:hint="eastAsia" w:ascii="Times New Roman" w:hAnsi="Times New Roman" w:eastAsia="仿宋_GB2312" w:cs="Times New Roman"/>
          <w:caps w:val="0"/>
          <w:kern w:val="0"/>
          <w:sz w:val="32"/>
          <w:szCs w:val="32"/>
          <w:lang w:val="en-US" w:eastAsia="zh-CN" w:bidi="ar-SA"/>
        </w:rPr>
        <w:t>功创建千亩示范片2个，百亩示范片7个，主要推广湘K28、湘X1107 等抗病虫、高吸水、生育期适宜的品种，并开展新品种试验示范。通过机械化生产、轻简化栽培等技术，提高棉田综合生产效益，籽棉平均亩产248.5公斤，实现亩增收500元以上。</w:t>
      </w:r>
    </w:p>
    <w:p w14:paraId="0F49B2A5">
      <w:pPr>
        <w:pStyle w:val="2"/>
        <w:keepNext w:val="0"/>
        <w:keepLines w:val="0"/>
        <w:pageBreakBefore w:val="0"/>
        <w:widowControl w:val="0"/>
        <w:kinsoku/>
        <w:wordWrap/>
        <w:overflowPunct/>
        <w:topLinePunct w:val="0"/>
        <w:autoSpaceDE/>
        <w:autoSpaceDN/>
        <w:bidi w:val="0"/>
        <w:adjustRightInd/>
        <w:snapToGrid/>
        <w:spacing w:line="594" w:lineRule="exact"/>
        <w:ind w:firstLine="640" w:firstLineChars="200"/>
        <w:jc w:val="both"/>
        <w:textAlignment w:val="auto"/>
        <w:rPr>
          <w:rFonts w:hint="default" w:ascii="Times New Roman" w:hAnsi="Times New Roman" w:eastAsia="仿宋_GB2312" w:cs="Times New Roman"/>
          <w:caps w:val="0"/>
          <w:snapToGrid w:val="0"/>
          <w:color w:val="000000"/>
          <w:kern w:val="0"/>
          <w:sz w:val="32"/>
          <w:szCs w:val="32"/>
          <w:lang w:val="en-US" w:eastAsia="zh-CN" w:bidi="ar-SA"/>
        </w:rPr>
      </w:pPr>
      <w:r>
        <w:rPr>
          <w:rFonts w:hint="eastAsia" w:ascii="Times New Roman" w:hAnsi="Times New Roman" w:eastAsia="仿宋_GB2312" w:cs="Times New Roman"/>
          <w:caps w:val="0"/>
          <w:snapToGrid w:val="0"/>
          <w:color w:val="000000"/>
          <w:kern w:val="0"/>
          <w:sz w:val="32"/>
          <w:szCs w:val="32"/>
          <w:lang w:val="en-US" w:eastAsia="zh-CN" w:bidi="ar-SA"/>
        </w:rPr>
        <w:t>6.建设高标准农田改善农田灌溉。高标准农田建设项目支出用途为建设高标准农田4.6万亩；田块整治1221.44亩；农田地力提升工程4. 1407万亩;新增高效节水灌溉面积958.99亩；山塘加固14口:新建泵站1座; 改造河坝42座;衬砌改造渠道251条126.329km ;整修田间道路73条22. 124km。项目建成新增和改善灌溉达标面4.6万亩，年节水量480万立方米，农业综合机械化提高5%。道路通达率95%，粮食年新增产量382 万公斤，项目区直接受益农业人口数约11874户，农民年收入增加1087.92万元，治理酸化土地面积0.422万亩。</w:t>
      </w:r>
    </w:p>
    <w:p w14:paraId="6D6B3501">
      <w:pPr>
        <w:spacing w:before="201" w:line="221" w:lineRule="auto"/>
        <w:ind w:left="644"/>
        <w:outlineLvl w:val="1"/>
        <w:rPr>
          <w:rFonts w:hint="eastAsia" w:ascii="黑体" w:hAnsi="黑体" w:eastAsia="黑体" w:cs="黑体"/>
          <w:b/>
          <w:bCs/>
          <w:spacing w:val="-7"/>
          <w:sz w:val="31"/>
          <w:szCs w:val="31"/>
          <w:lang w:val="en-US" w:eastAsia="zh-CN"/>
        </w:rPr>
      </w:pPr>
      <w:r>
        <w:rPr>
          <w:rFonts w:hint="eastAsia" w:ascii="黑体" w:hAnsi="黑体" w:eastAsia="黑体" w:cs="黑体"/>
          <w:b/>
          <w:bCs/>
          <w:spacing w:val="-7"/>
          <w:sz w:val="31"/>
          <w:szCs w:val="31"/>
          <w:lang w:val="en-US" w:eastAsia="zh-CN"/>
        </w:rPr>
        <w:t>六、存在的主要问题</w:t>
      </w:r>
    </w:p>
    <w:p w14:paraId="6AA23C4B">
      <w:pPr>
        <w:pStyle w:val="2"/>
        <w:keepNext w:val="0"/>
        <w:keepLines w:val="0"/>
        <w:pageBreakBefore w:val="0"/>
        <w:widowControl w:val="0"/>
        <w:kinsoku/>
        <w:wordWrap/>
        <w:overflowPunct/>
        <w:topLinePunct w:val="0"/>
        <w:autoSpaceDE/>
        <w:autoSpaceDN/>
        <w:bidi w:val="0"/>
        <w:adjustRightInd/>
        <w:snapToGrid/>
        <w:spacing w:line="594" w:lineRule="exact"/>
        <w:ind w:firstLine="640" w:firstLineChars="200"/>
        <w:jc w:val="both"/>
        <w:textAlignment w:val="auto"/>
        <w:rPr>
          <w:rFonts w:hint="default"/>
          <w:lang w:val="en-US" w:eastAsia="zh-CN"/>
        </w:rPr>
      </w:pPr>
      <w:r>
        <w:rPr>
          <w:rFonts w:hint="eastAsia" w:ascii="仿宋_GB2312" w:hAnsi="仿宋_GB2312" w:eastAsia="仿宋_GB2312" w:cs="仿宋_GB2312"/>
          <w:caps w:val="0"/>
          <w:kern w:val="2"/>
          <w:sz w:val="32"/>
          <w:szCs w:val="24"/>
          <w:highlight w:val="none"/>
          <w:lang w:val="en-US" w:eastAsia="zh-CN" w:bidi="ar-SA"/>
        </w:rPr>
        <w:t xml:space="preserve">  一方面，由于实际情况和计划有出入，项目实施方案不全面，须中途变更实施方案，导致项目进度延缓，项目无法如期完工。另一方面，由于项目规模较大，上级对项目管理要求较高，配备的专业技术人员数量不匹配，受天气等客观因素影响，验收不及时，项目结算办理滞后。</w:t>
      </w:r>
    </w:p>
    <w:p w14:paraId="49936B6E">
      <w:pPr>
        <w:spacing w:before="201" w:line="221" w:lineRule="auto"/>
        <w:ind w:left="644"/>
        <w:outlineLvl w:val="1"/>
        <w:rPr>
          <w:rFonts w:hint="eastAsia" w:ascii="黑体" w:hAnsi="黑体" w:eastAsia="黑体" w:cs="黑体"/>
          <w:b/>
          <w:bCs/>
          <w:spacing w:val="-7"/>
          <w:sz w:val="31"/>
          <w:szCs w:val="31"/>
          <w:lang w:val="en-US" w:eastAsia="zh-CN"/>
        </w:rPr>
      </w:pPr>
      <w:r>
        <w:rPr>
          <w:rFonts w:hint="eastAsia" w:ascii="黑体" w:hAnsi="黑体" w:eastAsia="黑体" w:cs="黑体"/>
          <w:b/>
          <w:bCs/>
          <w:spacing w:val="-7"/>
          <w:sz w:val="31"/>
          <w:szCs w:val="31"/>
          <w:lang w:val="en-US" w:eastAsia="zh-CN"/>
        </w:rPr>
        <w:t>七、改进措施和有关建议</w:t>
      </w:r>
    </w:p>
    <w:p w14:paraId="1078A068">
      <w:pPr>
        <w:spacing w:line="594" w:lineRule="exact"/>
        <w:ind w:firstLine="640" w:firstLineChars="200"/>
        <w:rPr>
          <w:rFonts w:hint="default" w:ascii="仿宋_GB2312" w:hAnsi="仿宋_GB2312" w:eastAsia="仿宋_GB2312" w:cs="仿宋_GB2312"/>
          <w:caps w:val="0"/>
          <w:kern w:val="2"/>
          <w:sz w:val="32"/>
          <w:szCs w:val="24"/>
          <w:highlight w:val="none"/>
          <w:lang w:val="en-US" w:eastAsia="zh-CN" w:bidi="ar-SA"/>
        </w:rPr>
      </w:pPr>
      <w:r>
        <w:rPr>
          <w:rFonts w:hint="eastAsia" w:ascii="仿宋_GB2312" w:hAnsi="仿宋_GB2312" w:eastAsia="仿宋_GB2312" w:cs="仿宋_GB2312"/>
          <w:caps w:val="0"/>
          <w:kern w:val="2"/>
          <w:sz w:val="32"/>
          <w:szCs w:val="24"/>
          <w:highlight w:val="none"/>
          <w:lang w:val="en-US" w:eastAsia="zh-CN" w:bidi="ar-SA"/>
        </w:rPr>
        <w:t>首先，加强基础调研，提高项目建设的合理性。涉农项目在申报之前须结合当地实际，提高方案的合理性、可操作性。其次，不断补充专业技术人才，完善项目管理人才库。最后，积极加强与上级的工作对接，提高项目安排的预见性。</w:t>
      </w:r>
    </w:p>
    <w:p w14:paraId="28570C8B">
      <w:pPr>
        <w:pStyle w:val="2"/>
        <w:rPr>
          <w:rFonts w:hint="eastAsia"/>
          <w:lang w:val="en-US" w:eastAsia="zh-CN"/>
        </w:rPr>
      </w:pPr>
    </w:p>
    <w:p w14:paraId="13C2A89A">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rPr>
          <w:rFonts w:hint="eastAsia" w:ascii="Times New Roman" w:hAnsi="Times New Roman" w:eastAsia="仿宋_GB2312" w:cs="Times New Roman"/>
          <w:caps w:val="0"/>
          <w:kern w:val="0"/>
          <w:sz w:val="32"/>
          <w:szCs w:val="32"/>
          <w:lang w:val="en-US" w:eastAsia="zh-CN" w:bidi="ar-SA"/>
        </w:rPr>
      </w:pPr>
    </w:p>
    <w:p w14:paraId="6E1D98A6">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rPr>
          <w:rFonts w:hint="eastAsia" w:ascii="Times New Roman" w:hAnsi="Times New Roman" w:eastAsia="仿宋_GB2312" w:cs="Times New Roman"/>
          <w:caps w:val="0"/>
          <w:kern w:val="0"/>
          <w:sz w:val="32"/>
          <w:szCs w:val="32"/>
          <w:lang w:val="en-US" w:eastAsia="zh-CN" w:bidi="ar-SA"/>
        </w:rPr>
      </w:pPr>
    </w:p>
    <w:p w14:paraId="50DECF9A">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rPr>
          <w:rFonts w:hint="eastAsia" w:ascii="Times New Roman" w:hAnsi="Times New Roman" w:eastAsia="仿宋_GB2312" w:cs="Times New Roman"/>
          <w:caps w:val="0"/>
          <w:kern w:val="0"/>
          <w:sz w:val="32"/>
          <w:szCs w:val="32"/>
          <w:lang w:val="en-US" w:eastAsia="zh-CN" w:bidi="ar-SA"/>
        </w:rPr>
      </w:pPr>
    </w:p>
    <w:sectPr>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C620CA">
    <w:pPr>
      <w:spacing w:before="1" w:line="177" w:lineRule="auto"/>
      <w:jc w:val="right"/>
      <w:rPr>
        <w:rFonts w:ascii="宋体" w:hAnsi="宋体" w:eastAsia="宋体" w:cs="宋体"/>
        <w:sz w:val="31"/>
        <w:szCs w:val="3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5887A">
    <w:pPr>
      <w:spacing w:line="179" w:lineRule="auto"/>
      <w:jc w:val="right"/>
      <w:rPr>
        <w:rFonts w:ascii="黑体" w:hAnsi="黑体" w:eastAsia="黑体" w:cs="黑体"/>
        <w:sz w:val="31"/>
        <w:szCs w:val="3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hhN2E5OTkxZjg1OTZiZmZlOGY4NzBjMDllNGYxN2UifQ=="/>
  </w:docVars>
  <w:rsids>
    <w:rsidRoot w:val="34965858"/>
    <w:rsid w:val="02AF5579"/>
    <w:rsid w:val="04380A7C"/>
    <w:rsid w:val="055C30DB"/>
    <w:rsid w:val="05BB5E95"/>
    <w:rsid w:val="06605C46"/>
    <w:rsid w:val="068368A8"/>
    <w:rsid w:val="09562A7F"/>
    <w:rsid w:val="0A5B7E05"/>
    <w:rsid w:val="0AAC68B2"/>
    <w:rsid w:val="0F912D7B"/>
    <w:rsid w:val="18F27DBB"/>
    <w:rsid w:val="21435075"/>
    <w:rsid w:val="2AB44CE1"/>
    <w:rsid w:val="2B3B61B5"/>
    <w:rsid w:val="34965858"/>
    <w:rsid w:val="355754E9"/>
    <w:rsid w:val="446B370C"/>
    <w:rsid w:val="45494366"/>
    <w:rsid w:val="49AD34D2"/>
    <w:rsid w:val="51BD5A98"/>
    <w:rsid w:val="533E211D"/>
    <w:rsid w:val="536C3B64"/>
    <w:rsid w:val="5A8F1FDE"/>
    <w:rsid w:val="60036AFB"/>
    <w:rsid w:val="677F0CCA"/>
    <w:rsid w:val="68F26C6D"/>
    <w:rsid w:val="74146CF4"/>
    <w:rsid w:val="74D644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0"/>
    <w:pPr>
      <w:spacing w:line="400" w:lineRule="exact"/>
      <w:jc w:val="center"/>
    </w:pPr>
    <w:rPr>
      <w:rFonts w:ascii="Calibri" w:hAnsi="Calibri" w:eastAsia="宋体" w:cs="Times New Roman"/>
      <w:caps/>
      <w:sz w:val="21"/>
      <w:szCs w:val="22"/>
      <w:lang w:val="en-US" w:eastAsia="zh-CN" w:bidi="ar-SA"/>
    </w:rPr>
  </w:style>
  <w:style w:type="paragraph" w:styleId="3">
    <w:name w:val="Body Text"/>
    <w:basedOn w:val="1"/>
    <w:semiHidden/>
    <w:qFormat/>
    <w:uiPriority w:val="0"/>
    <w:rPr>
      <w:rFonts w:ascii="仿宋" w:hAnsi="仿宋" w:eastAsia="仿宋" w:cs="仿宋"/>
      <w:sz w:val="37"/>
      <w:szCs w:val="37"/>
      <w:lang w:val="en-US" w:eastAsia="en-US" w:bidi="ar-SA"/>
    </w:rPr>
  </w:style>
  <w:style w:type="paragraph" w:styleId="4">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4043</Words>
  <Characters>4333</Characters>
  <Lines>0</Lines>
  <Paragraphs>0</Paragraphs>
  <TotalTime>21</TotalTime>
  <ScaleCrop>false</ScaleCrop>
  <LinksUpToDate>false</LinksUpToDate>
  <CharactersWithSpaces>4388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2024-06-18T08:05:00Z</dcterms:created>
  <dc:creator>小熊</dc:creator>
  <cp:lastModifiedBy>小熊</cp:lastModifiedBy>
  <cp:lastPrinted>2025-04-29T08:54:00Z</cp:lastPrinted>
  <dcterms:modified xsi:type="dcterms:W3CDTF">2025-10-10T06:47:25Z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197D40DF327645D285B2DB6E82245266_11</vt:lpwstr>
  </property>
  <property fmtid="{D5CDD505-2E9C-101B-9397-08002B2CF9AE}" pid="4" name="KSOTemplateDocerSaveRecord">
    <vt:lpwstr>eyJoZGlkIjoiZThhN2E5OTkxZjg1OTZiZmZlOGY4NzBjMDllNGYxN2UiLCJ1c2VySWQiOiIxNTQ4NjMzNjA3In0=</vt:lpwstr>
  </property>
</Properties>
</file>