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26C22">
      <w:pPr>
        <w:spacing w:line="560" w:lineRule="exact"/>
        <w:jc w:val="center"/>
        <w:rPr>
          <w:rFonts w:eastAsia="方正小标宋简体"/>
          <w:kern w:val="0"/>
          <w:sz w:val="44"/>
          <w:szCs w:val="44"/>
          <w:highlight w:val="none"/>
        </w:rPr>
      </w:pPr>
      <w:r>
        <w:rPr>
          <w:rFonts w:hint="eastAsia" w:eastAsia="方正小标宋简体"/>
          <w:kern w:val="0"/>
          <w:sz w:val="44"/>
          <w:szCs w:val="44"/>
          <w:highlight w:val="none"/>
          <w:lang w:eastAsia="zh-CN"/>
        </w:rPr>
        <w:t>2024</w:t>
      </w:r>
      <w:r>
        <w:rPr>
          <w:rFonts w:hint="eastAsia" w:eastAsia="方正小标宋简体"/>
          <w:kern w:val="0"/>
          <w:sz w:val="44"/>
          <w:szCs w:val="44"/>
          <w:highlight w:val="none"/>
        </w:rPr>
        <w:t>年度</w:t>
      </w:r>
      <w:r>
        <w:rPr>
          <w:rFonts w:eastAsia="方正小标宋简体"/>
          <w:kern w:val="0"/>
          <w:sz w:val="44"/>
          <w:szCs w:val="44"/>
          <w:highlight w:val="none"/>
        </w:rPr>
        <w:t>部门整体支出绩效报告</w:t>
      </w:r>
    </w:p>
    <w:p w14:paraId="0D1F2058">
      <w:pPr>
        <w:spacing w:line="560" w:lineRule="exact"/>
        <w:ind w:firstLine="880" w:firstLineChars="200"/>
        <w:jc w:val="center"/>
        <w:rPr>
          <w:rFonts w:eastAsia="方正小标宋简体"/>
          <w:kern w:val="0"/>
          <w:sz w:val="44"/>
          <w:szCs w:val="44"/>
          <w:highlight w:val="none"/>
        </w:rPr>
      </w:pPr>
    </w:p>
    <w:p w14:paraId="338B0A45">
      <w:pPr>
        <w:spacing w:line="560" w:lineRule="exact"/>
        <w:ind w:firstLine="640" w:firstLineChars="200"/>
        <w:jc w:val="left"/>
        <w:rPr>
          <w:rFonts w:eastAsia="黑体"/>
          <w:kern w:val="0"/>
          <w:szCs w:val="32"/>
          <w:highlight w:val="none"/>
        </w:rPr>
      </w:pPr>
      <w:r>
        <w:rPr>
          <w:rFonts w:eastAsia="黑体"/>
          <w:bCs/>
          <w:kern w:val="0"/>
          <w:szCs w:val="32"/>
          <w:highlight w:val="none"/>
        </w:rPr>
        <w:t>一、部门概况</w:t>
      </w:r>
      <w:bookmarkStart w:id="0" w:name="_GoBack"/>
      <w:bookmarkEnd w:id="0"/>
    </w:p>
    <w:p w14:paraId="1F245772">
      <w:pPr>
        <w:widowControl/>
        <w:spacing w:line="560" w:lineRule="exact"/>
        <w:ind w:firstLine="640" w:firstLineChars="200"/>
        <w:rPr>
          <w:kern w:val="0"/>
          <w:szCs w:val="32"/>
          <w:highlight w:val="none"/>
        </w:rPr>
      </w:pPr>
      <w:r>
        <w:rPr>
          <w:kern w:val="0"/>
          <w:szCs w:val="32"/>
          <w:highlight w:val="none"/>
        </w:rPr>
        <w:t>（一）部门基本情况。</w:t>
      </w:r>
    </w:p>
    <w:p w14:paraId="230BA1EF">
      <w:pPr>
        <w:widowControl/>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1、机构设置及在职人员情况</w:t>
      </w:r>
    </w:p>
    <w:p w14:paraId="1609E624">
      <w:pPr>
        <w:widowControl/>
        <w:spacing w:line="560" w:lineRule="exact"/>
        <w:ind w:firstLine="640" w:firstLineChars="200"/>
        <w:rPr>
          <w:rFonts w:hint="eastAsia" w:ascii="宋体" w:hAnsi="宋体"/>
          <w:bCs/>
          <w:kern w:val="0"/>
          <w:sz w:val="32"/>
          <w:szCs w:val="32"/>
          <w:highlight w:val="none"/>
        </w:rPr>
      </w:pPr>
      <w:r>
        <w:rPr>
          <w:rFonts w:hint="eastAsia"/>
          <w:kern w:val="0"/>
          <w:szCs w:val="32"/>
          <w:highlight w:val="none"/>
        </w:rPr>
        <w:t>根据编委核定，本级政府内设党政机构</w:t>
      </w:r>
      <w:r>
        <w:rPr>
          <w:rFonts w:hint="eastAsia"/>
          <w:kern w:val="0"/>
          <w:szCs w:val="32"/>
          <w:highlight w:val="none"/>
          <w:lang w:val="en-US" w:eastAsia="zh-CN"/>
        </w:rPr>
        <w:t>7</w:t>
      </w:r>
      <w:r>
        <w:rPr>
          <w:rFonts w:hint="eastAsia"/>
          <w:kern w:val="0"/>
          <w:szCs w:val="32"/>
          <w:highlight w:val="none"/>
        </w:rPr>
        <w:t>个，所属事业单位三中心一站一执法大队</w:t>
      </w:r>
      <w:r>
        <w:rPr>
          <w:rFonts w:hint="eastAsia"/>
          <w:kern w:val="0"/>
          <w:szCs w:val="32"/>
          <w:highlight w:val="none"/>
          <w:lang w:val="en-US" w:eastAsia="zh-CN"/>
        </w:rPr>
        <w:t>一所</w:t>
      </w:r>
      <w:r>
        <w:rPr>
          <w:rFonts w:hint="eastAsia"/>
          <w:kern w:val="0"/>
          <w:szCs w:val="32"/>
          <w:highlight w:val="none"/>
        </w:rPr>
        <w:t>，分别是党政办公室、党建办公室、经济发展办公室、社会事务办公室、自然资源和生态环境办公室、社会治安和应急管理办公室、</w:t>
      </w:r>
      <w:r>
        <w:rPr>
          <w:rFonts w:hint="eastAsia"/>
          <w:kern w:val="0"/>
          <w:szCs w:val="32"/>
          <w:highlight w:val="none"/>
          <w:lang w:val="en-US" w:eastAsia="zh-CN"/>
        </w:rPr>
        <w:t>镇纪委</w:t>
      </w:r>
      <w:r>
        <w:rPr>
          <w:rFonts w:hint="eastAsia"/>
          <w:kern w:val="0"/>
          <w:szCs w:val="32"/>
          <w:highlight w:val="none"/>
        </w:rPr>
        <w:t>办公室；社会事务综合服务中心、农业综合服务中心、党群和政务服务中心、退役军人服务站以及综合执法大队</w:t>
      </w:r>
      <w:r>
        <w:rPr>
          <w:rFonts w:hint="eastAsia"/>
          <w:kern w:val="0"/>
          <w:szCs w:val="32"/>
          <w:highlight w:val="none"/>
          <w:lang w:val="en-US" w:eastAsia="zh-CN"/>
        </w:rPr>
        <w:t>及财政所</w:t>
      </w:r>
      <w:r>
        <w:rPr>
          <w:rFonts w:hint="eastAsia"/>
          <w:kern w:val="0"/>
          <w:szCs w:val="32"/>
          <w:highlight w:val="none"/>
        </w:rPr>
        <w:t>。</w:t>
      </w:r>
      <w:r>
        <w:rPr>
          <w:rFonts w:hint="eastAsia"/>
          <w:kern w:val="0"/>
          <w:szCs w:val="32"/>
          <w:highlight w:val="none"/>
          <w:lang w:val="en-US" w:eastAsia="zh-CN"/>
        </w:rPr>
        <w:t>另设同网同价协调办、集镇区管理办公室及交通建设办公室，</w:t>
      </w:r>
      <w:r>
        <w:rPr>
          <w:rFonts w:hint="eastAsia"/>
          <w:kern w:val="0"/>
          <w:szCs w:val="32"/>
          <w:highlight w:val="none"/>
        </w:rPr>
        <w:t>全部纳入</w:t>
      </w:r>
      <w:r>
        <w:rPr>
          <w:rFonts w:hint="eastAsia"/>
          <w:kern w:val="0"/>
          <w:szCs w:val="32"/>
          <w:highlight w:val="none"/>
          <w:lang w:eastAsia="zh-CN"/>
        </w:rPr>
        <w:t>2024</w:t>
      </w:r>
      <w:r>
        <w:rPr>
          <w:rFonts w:hint="eastAsia"/>
          <w:kern w:val="0"/>
          <w:szCs w:val="32"/>
          <w:highlight w:val="none"/>
        </w:rPr>
        <w:t>年部门预算编制范围。</w:t>
      </w:r>
      <w:r>
        <w:rPr>
          <w:rFonts w:hint="eastAsia" w:ascii="仿宋" w:hAnsi="仿宋" w:eastAsia="仿宋"/>
          <w:sz w:val="32"/>
          <w:lang w:val="en-US" w:eastAsia="zh-CN"/>
        </w:rPr>
        <w:t>2024年本单位年末实有人数108人，公务员编制40人，在职事业编制68人，分流人员7人，比上年减少5人。人员变化的主要原因是：退休6人，调出1人，调进2人，合计减少5人。</w:t>
      </w:r>
    </w:p>
    <w:p w14:paraId="36996A6F">
      <w:pPr>
        <w:widowControl/>
        <w:numPr>
          <w:ilvl w:val="0"/>
          <w:numId w:val="0"/>
        </w:numPr>
        <w:spacing w:line="560" w:lineRule="exact"/>
        <w:ind w:firstLine="640" w:firstLineChars="200"/>
        <w:rPr>
          <w:rFonts w:hint="default"/>
          <w:kern w:val="0"/>
          <w:szCs w:val="32"/>
          <w:highlight w:val="none"/>
          <w:lang w:val="en-US" w:eastAsia="zh-CN"/>
        </w:rPr>
      </w:pPr>
      <w:r>
        <w:rPr>
          <w:rFonts w:hint="eastAsia"/>
          <w:kern w:val="0"/>
          <w:szCs w:val="32"/>
          <w:highlight w:val="none"/>
          <w:lang w:val="en-US" w:eastAsia="zh-CN"/>
        </w:rPr>
        <w:t>2、主要职能</w:t>
      </w:r>
    </w:p>
    <w:p w14:paraId="6024831C">
      <w:pPr>
        <w:widowControl/>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（1）执行上级国家行政机关的决定、命令和国家制定的法令、法规，接受同级党委的领导，执行本级人民代表大会的各项决议，并报告执行决议、决定和命令的情况。</w:t>
      </w:r>
    </w:p>
    <w:p w14:paraId="1995A92C">
      <w:pPr>
        <w:widowControl/>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（2）制定并落实本行政区域的经济计划和措施，促进产业结构调整及其他经济保持平衡协调发展，全面提高人民群众的生活水平和生活质量。</w:t>
      </w:r>
    </w:p>
    <w:p w14:paraId="1B897B73">
      <w:pPr>
        <w:widowControl/>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（3）承担国有资产、集体资产管理、监督及增值保值责任;保护公民私人所有合法财产，保障集体经济组织应有的自主权;监督企业和各种经济联合体、个体户认真执行国家的法律、法令和政策，履行经济合同。</w:t>
      </w:r>
    </w:p>
    <w:p w14:paraId="6EC07BC3">
      <w:pPr>
        <w:widowControl/>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14:paraId="25923B2E">
      <w:pPr>
        <w:widowControl/>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39BE934E">
      <w:pPr>
        <w:widowControl/>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（6）加强镇级财政的监督和管理，按计划组织、管理镇财政收入和支出，执行国家有关财经纪律和政策，保证国家财政收入的完成;做好统计工作。</w:t>
      </w:r>
    </w:p>
    <w:p w14:paraId="09DC4FD7">
      <w:pPr>
        <w:widowControl/>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（7）指导、支持、帮助村(居)民委员会的组织制度建设和业务建设，促进村(居)民委员会民主自治。</w:t>
      </w:r>
    </w:p>
    <w:p w14:paraId="681EA14D">
      <w:pPr>
        <w:widowControl/>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（8）制定和组织实施镇村建设规划;加强公用、市政设施、水利建设和管理以及房屋土地管理和环境综合整治工作，保护和改善生活环境和生态环境。</w:t>
      </w:r>
    </w:p>
    <w:p w14:paraId="1A3F9B6A">
      <w:pPr>
        <w:widowControl/>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（9）协助和支持设置在本行政区域内不隶属于镇的国家机关和企事业单位工作，监督其遵守和执行国家的法律、法规和政策。</w:t>
      </w:r>
    </w:p>
    <w:p w14:paraId="5C1AED42">
      <w:pPr>
        <w:spacing w:line="560" w:lineRule="exact"/>
        <w:ind w:firstLine="640" w:firstLineChars="200"/>
        <w:rPr>
          <w:kern w:val="0"/>
          <w:szCs w:val="32"/>
          <w:highlight w:val="none"/>
        </w:rPr>
      </w:pPr>
      <w:r>
        <w:rPr>
          <w:rFonts w:hint="eastAsia"/>
          <w:kern w:val="0"/>
          <w:szCs w:val="32"/>
          <w:highlight w:val="none"/>
          <w:lang w:val="en-US" w:eastAsia="zh-CN"/>
        </w:rPr>
        <w:t>（10）承办县人民政府交办的其它事项。</w:t>
      </w:r>
    </w:p>
    <w:p w14:paraId="63B43C80">
      <w:p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3、重点工作计划</w:t>
      </w:r>
    </w:p>
    <w:p w14:paraId="51869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（1）紧紧围绕发展主题。一方面狠抓项目建设，增强发展后劲。</w:t>
      </w:r>
      <w:r>
        <w:rPr>
          <w:rFonts w:hint="eastAsia" w:ascii="仿宋_GB2312" w:hAnsi="仿宋_GB2312" w:eastAsia="仿宋_GB2312" w:cs="仿宋_GB2312"/>
          <w:sz w:val="32"/>
          <w:szCs w:val="32"/>
          <w:lang w:val="en-US" w:eastAsia="zh-CN"/>
        </w:rPr>
        <w:t>另一方面抓好巩固拓展脱贫攻坚成果同乡村振兴有效衔接。</w:t>
      </w:r>
      <w:r>
        <w:rPr>
          <w:rFonts w:hint="eastAsia" w:ascii="仿宋_GB2312" w:hAnsi="仿宋_GB2312" w:cs="仿宋_GB2312"/>
          <w:sz w:val="32"/>
          <w:szCs w:val="32"/>
          <w:lang w:val="en-US" w:eastAsia="zh-CN"/>
        </w:rPr>
        <w:t>为</w:t>
      </w:r>
      <w:r>
        <w:rPr>
          <w:rFonts w:hint="eastAsia" w:ascii="仿宋_GB2312" w:hAnsi="仿宋_GB2312" w:eastAsia="仿宋_GB2312" w:cs="仿宋_GB2312"/>
          <w:sz w:val="32"/>
          <w:szCs w:val="32"/>
          <w:lang w:val="en-US" w:eastAsia="zh-CN"/>
        </w:rPr>
        <w:t>乡村振兴工作质量进一步提升。</w:t>
      </w:r>
    </w:p>
    <w:p w14:paraId="776E2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牢牢抓住安全底线。</w:t>
      </w:r>
      <w:r>
        <w:rPr>
          <w:rFonts w:hint="eastAsia" w:ascii="仿宋_GB2312" w:hAnsi="仿宋_GB2312" w:eastAsia="仿宋_GB2312" w:cs="仿宋_GB2312"/>
          <w:sz w:val="32"/>
          <w:szCs w:val="32"/>
          <w:lang w:val="en-US" w:eastAsia="zh-CN"/>
        </w:rPr>
        <w:t>健全信息报送、疫情监测、医疗救治等疫情防控机制，坚决落实国家优化疫情防控措施，全镇疫情防控形势整体平稳。</w:t>
      </w:r>
    </w:p>
    <w:p w14:paraId="08180A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仿宋_GB2312"/>
          <w:lang w:val="en-US" w:eastAsia="zh-CN"/>
        </w:rPr>
      </w:pPr>
      <w:r>
        <w:rPr>
          <w:rFonts w:hint="eastAsia" w:ascii="仿宋_GB2312" w:hAnsi="仿宋_GB2312" w:eastAsia="仿宋_GB2312" w:cs="仿宋_GB2312"/>
          <w:b w:val="0"/>
          <w:bCs w:val="0"/>
          <w:sz w:val="32"/>
          <w:szCs w:val="32"/>
          <w:lang w:val="en-US" w:eastAsia="zh-CN"/>
        </w:rPr>
        <w:t>（3）持续强化民生保障。</w:t>
      </w:r>
      <w:r>
        <w:rPr>
          <w:rFonts w:hint="eastAsia" w:ascii="仿宋_GB2312" w:hAnsi="仿宋_GB2312" w:eastAsia="仿宋_GB2312" w:cs="仿宋_GB2312"/>
          <w:sz w:val="32"/>
          <w:szCs w:val="32"/>
          <w:lang w:val="en-US" w:eastAsia="zh-CN"/>
        </w:rPr>
        <w:t>持续完善交通基础设施建设。</w:t>
      </w:r>
    </w:p>
    <w:p w14:paraId="43F41F8D">
      <w:pPr>
        <w:spacing w:line="560" w:lineRule="exact"/>
        <w:ind w:firstLine="640" w:firstLineChars="200"/>
        <w:rPr>
          <w:kern w:val="0"/>
          <w:szCs w:val="32"/>
          <w:highlight w:val="none"/>
        </w:rPr>
      </w:pPr>
      <w:r>
        <w:rPr>
          <w:kern w:val="0"/>
          <w:szCs w:val="32"/>
          <w:highlight w:val="none"/>
        </w:rPr>
        <w:t>（二）部门整体支出规模、使用方向和主要内容、涉及范围等。</w:t>
      </w:r>
    </w:p>
    <w:p w14:paraId="316C5C4B">
      <w:p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2024年度收入总额3259.77万元，其中财政拨款收入3105.92万元，占总收入的95.28%，</w:t>
      </w:r>
      <w:r>
        <w:rPr>
          <w:rFonts w:hint="eastAsia" w:ascii="仿宋" w:hAnsi="仿宋" w:eastAsia="仿宋"/>
          <w:color w:val="000000"/>
          <w:kern w:val="0"/>
          <w:sz w:val="32"/>
          <w:lang w:val="en-US" w:eastAsia="zh-CN"/>
        </w:rPr>
        <w:t>其他预算收入153.85万元，</w:t>
      </w:r>
      <w:r>
        <w:rPr>
          <w:rFonts w:hint="eastAsia"/>
          <w:kern w:val="0"/>
          <w:szCs w:val="32"/>
          <w:highlight w:val="none"/>
          <w:lang w:val="en-US" w:eastAsia="zh-CN"/>
        </w:rPr>
        <w:t>占总收入的4.72%。本年支出总额3259.77万元，按支出性质区分，基本支出1461.14万元，占比44.82%，项目支出1789.63万元，占比54.90%。</w:t>
      </w:r>
    </w:p>
    <w:p w14:paraId="21922ADD">
      <w:pPr>
        <w:spacing w:line="560" w:lineRule="exact"/>
        <w:ind w:firstLine="640" w:firstLineChars="200"/>
        <w:rPr>
          <w:rFonts w:hint="eastAsia" w:eastAsia="仿宋_GB2312"/>
          <w:kern w:val="0"/>
          <w:szCs w:val="32"/>
          <w:highlight w:val="none"/>
          <w:lang w:val="en-US" w:eastAsia="zh-CN"/>
        </w:rPr>
      </w:pPr>
      <w:r>
        <w:rPr>
          <w:rFonts w:hint="eastAsia"/>
          <w:kern w:val="0"/>
          <w:szCs w:val="32"/>
          <w:highlight w:val="none"/>
          <w:lang w:val="en-US" w:eastAsia="zh-CN"/>
        </w:rPr>
        <w:t>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1B6DBA8D">
      <w:pPr>
        <w:numPr>
          <w:ilvl w:val="0"/>
          <w:numId w:val="0"/>
        </w:numPr>
        <w:spacing w:line="560" w:lineRule="exact"/>
        <w:ind w:firstLine="640" w:firstLineChars="200"/>
      </w:pPr>
      <w:r>
        <w:rPr>
          <w:rFonts w:hint="eastAsia"/>
          <w:kern w:val="0"/>
          <w:szCs w:val="32"/>
          <w:highlight w:val="none"/>
          <w:lang w:eastAsia="zh-CN"/>
        </w:rPr>
        <w:t>（</w:t>
      </w:r>
      <w:r>
        <w:rPr>
          <w:rFonts w:hint="eastAsia"/>
          <w:kern w:val="0"/>
          <w:szCs w:val="32"/>
          <w:highlight w:val="none"/>
          <w:lang w:val="en-US" w:eastAsia="zh-CN"/>
        </w:rPr>
        <w:t>三</w:t>
      </w:r>
      <w:r>
        <w:rPr>
          <w:rFonts w:hint="eastAsia"/>
          <w:kern w:val="0"/>
          <w:szCs w:val="32"/>
          <w:highlight w:val="none"/>
          <w:lang w:eastAsia="zh-CN"/>
        </w:rPr>
        <w:t>）</w:t>
      </w:r>
      <w:r>
        <w:rPr>
          <w:kern w:val="0"/>
          <w:szCs w:val="32"/>
          <w:highlight w:val="none"/>
        </w:rPr>
        <w:t>绩效目标设立情况，主要包括部门中长期绩效目标和年度绩效目标。</w:t>
      </w:r>
    </w:p>
    <w:p w14:paraId="4148EFAE">
      <w:pPr>
        <w:pStyle w:val="2"/>
        <w:spacing w:line="560" w:lineRule="exact"/>
        <w:ind w:firstLine="640" w:firstLineChars="200"/>
        <w:rPr>
          <w:rFonts w:hint="eastAsia" w:eastAsia="仿宋"/>
          <w:lang w:val="en-US" w:eastAsia="zh-CN"/>
        </w:rPr>
      </w:pPr>
      <w:r>
        <w:rPr>
          <w:rFonts w:hint="eastAsia" w:cs="Times New Roman"/>
          <w:bCs/>
          <w:sz w:val="32"/>
          <w:szCs w:val="32"/>
          <w:highlight w:val="none"/>
          <w:lang w:eastAsia="zh-CN"/>
        </w:rPr>
        <w:t>2024</w:t>
      </w:r>
      <w:r>
        <w:rPr>
          <w:rFonts w:cs="Times New Roman"/>
          <w:bCs/>
          <w:sz w:val="32"/>
          <w:szCs w:val="32"/>
          <w:highlight w:val="none"/>
        </w:rPr>
        <w:t>年，我</w:t>
      </w:r>
      <w:r>
        <w:rPr>
          <w:rFonts w:hint="eastAsia" w:cs="Times New Roman"/>
          <w:bCs/>
          <w:sz w:val="32"/>
          <w:szCs w:val="32"/>
          <w:highlight w:val="none"/>
          <w:lang w:val="en-US" w:eastAsia="zh-CN"/>
        </w:rPr>
        <w:t>镇</w:t>
      </w:r>
      <w:r>
        <w:rPr>
          <w:rFonts w:cs="Times New Roman"/>
          <w:bCs/>
          <w:sz w:val="32"/>
          <w:szCs w:val="32"/>
          <w:highlight w:val="none"/>
        </w:rPr>
        <w:t>根据年初工作规划及财政预算计划，积极履职、强化管理，较好的完成了年度工作目标。通过加强预算收支管理、不断建立健全内部管理制度、梳理内部管理流程，部门整体支出管理情况得到提升。</w:t>
      </w:r>
      <w:r>
        <w:rPr>
          <w:rFonts w:hint="eastAsia" w:ascii="仿宋" w:hAnsi="仿宋" w:eastAsia="仿宋"/>
          <w:color w:val="000000"/>
          <w:kern w:val="0"/>
          <w:sz w:val="32"/>
          <w:lang w:eastAsia="zh-CN"/>
        </w:rPr>
        <w:t>2024</w:t>
      </w:r>
      <w:r>
        <w:rPr>
          <w:rFonts w:hint="eastAsia" w:ascii="仿宋" w:hAnsi="仿宋" w:eastAsia="仿宋"/>
          <w:color w:val="000000"/>
          <w:kern w:val="0"/>
          <w:sz w:val="32"/>
        </w:rPr>
        <w:t>年度收入总计</w:t>
      </w:r>
      <w:r>
        <w:rPr>
          <w:rFonts w:hint="eastAsia"/>
          <w:kern w:val="0"/>
          <w:szCs w:val="32"/>
          <w:highlight w:val="none"/>
          <w:lang w:val="en-US" w:eastAsia="zh-CN"/>
        </w:rPr>
        <w:t>3259.77</w:t>
      </w:r>
      <w:r>
        <w:rPr>
          <w:rFonts w:hint="eastAsia" w:ascii="仿宋" w:hAnsi="仿宋" w:eastAsia="仿宋"/>
          <w:color w:val="000000"/>
          <w:kern w:val="0"/>
          <w:sz w:val="32"/>
          <w:lang w:val="en-US" w:eastAsia="zh-CN"/>
        </w:rPr>
        <w:t>万元，其中财政拨款收入</w:t>
      </w:r>
      <w:r>
        <w:rPr>
          <w:rFonts w:hint="eastAsia"/>
          <w:kern w:val="0"/>
          <w:szCs w:val="32"/>
          <w:highlight w:val="none"/>
          <w:lang w:val="en-US" w:eastAsia="zh-CN"/>
        </w:rPr>
        <w:t>3105.92</w:t>
      </w:r>
      <w:r>
        <w:rPr>
          <w:rFonts w:hint="eastAsia" w:ascii="仿宋" w:hAnsi="仿宋" w:eastAsia="仿宋"/>
          <w:color w:val="000000"/>
          <w:kern w:val="0"/>
          <w:sz w:val="32"/>
        </w:rPr>
        <w:t>万元，</w:t>
      </w:r>
      <w:r>
        <w:rPr>
          <w:rFonts w:hint="eastAsia" w:ascii="仿宋" w:hAnsi="仿宋" w:eastAsia="仿宋"/>
          <w:color w:val="000000"/>
          <w:kern w:val="0"/>
          <w:sz w:val="32"/>
          <w:lang w:val="en-US" w:eastAsia="zh-CN"/>
        </w:rPr>
        <w:t>其他预算收入153.85万元，</w:t>
      </w:r>
      <w:r>
        <w:rPr>
          <w:rFonts w:hint="eastAsia" w:ascii="仿宋" w:hAnsi="仿宋" w:eastAsia="仿宋"/>
          <w:color w:val="000000"/>
          <w:kern w:val="0"/>
          <w:sz w:val="32"/>
        </w:rPr>
        <w:t>财政拨款支出总计</w:t>
      </w:r>
      <w:r>
        <w:rPr>
          <w:rFonts w:hint="eastAsia"/>
          <w:kern w:val="0"/>
          <w:szCs w:val="32"/>
          <w:highlight w:val="none"/>
          <w:lang w:val="en-US" w:eastAsia="zh-CN"/>
        </w:rPr>
        <w:t>3259.77</w:t>
      </w:r>
      <w:r>
        <w:rPr>
          <w:rFonts w:hint="eastAsia" w:ascii="仿宋" w:hAnsi="仿宋" w:eastAsia="仿宋"/>
          <w:color w:val="000000"/>
          <w:kern w:val="0"/>
          <w:sz w:val="32"/>
          <w:lang w:val="en-US" w:eastAsia="zh-CN"/>
        </w:rPr>
        <w:t>万元，其中基本支出</w:t>
      </w:r>
      <w:r>
        <w:rPr>
          <w:rFonts w:hint="eastAsia"/>
          <w:kern w:val="0"/>
          <w:szCs w:val="32"/>
          <w:highlight w:val="none"/>
          <w:lang w:val="en-US" w:eastAsia="zh-CN"/>
        </w:rPr>
        <w:t>1461.14</w:t>
      </w:r>
      <w:r>
        <w:rPr>
          <w:rFonts w:hint="eastAsia" w:ascii="仿宋" w:hAnsi="仿宋" w:eastAsia="仿宋"/>
          <w:color w:val="000000"/>
          <w:kern w:val="0"/>
          <w:sz w:val="32"/>
        </w:rPr>
        <w:t>万元，</w:t>
      </w:r>
      <w:r>
        <w:rPr>
          <w:rFonts w:hint="eastAsia" w:ascii="仿宋" w:hAnsi="仿宋" w:eastAsia="仿宋"/>
          <w:color w:val="000000"/>
          <w:kern w:val="0"/>
          <w:sz w:val="32"/>
          <w:lang w:val="en-US" w:eastAsia="zh-CN"/>
        </w:rPr>
        <w:t>项目支出</w:t>
      </w:r>
      <w:r>
        <w:rPr>
          <w:rFonts w:hint="eastAsia"/>
          <w:kern w:val="0"/>
          <w:szCs w:val="32"/>
          <w:highlight w:val="none"/>
          <w:lang w:val="en-US" w:eastAsia="zh-CN"/>
        </w:rPr>
        <w:t>1789.63</w:t>
      </w:r>
      <w:r>
        <w:rPr>
          <w:rFonts w:hint="eastAsia" w:ascii="仿宋" w:hAnsi="仿宋" w:eastAsia="仿宋"/>
          <w:color w:val="000000"/>
          <w:kern w:val="0"/>
          <w:sz w:val="32"/>
          <w:lang w:val="en-US" w:eastAsia="zh-CN"/>
        </w:rPr>
        <w:t>万元，</w:t>
      </w:r>
      <w:r>
        <w:rPr>
          <w:rFonts w:hint="eastAsia" w:ascii="仿宋" w:hAnsi="仿宋" w:eastAsia="仿宋"/>
          <w:color w:val="000000"/>
          <w:kern w:val="0"/>
          <w:sz w:val="32"/>
        </w:rPr>
        <w:t>部门整体支出支付进度达100%，全面提高了辖区内的可持续发展能力，形成区域经济建设与社会发展相互促进，人口、资源、环境和谐统一的可持续发展模式和机制。202</w:t>
      </w:r>
      <w:r>
        <w:rPr>
          <w:rFonts w:hint="eastAsia" w:ascii="仿宋" w:hAnsi="仿宋" w:eastAsia="仿宋"/>
          <w:color w:val="000000"/>
          <w:kern w:val="0"/>
          <w:sz w:val="32"/>
          <w:lang w:val="en-US" w:eastAsia="zh-CN"/>
        </w:rPr>
        <w:t>3</w:t>
      </w:r>
      <w:r>
        <w:rPr>
          <w:rFonts w:hint="eastAsia" w:ascii="仿宋" w:hAnsi="仿宋" w:eastAsia="仿宋"/>
          <w:color w:val="000000"/>
          <w:kern w:val="0"/>
          <w:sz w:val="32"/>
        </w:rPr>
        <w:t>年部门预决算和</w:t>
      </w:r>
      <w:r>
        <w:rPr>
          <w:rFonts w:hint="eastAsia" w:ascii="仿宋" w:hAnsi="仿宋" w:eastAsia="仿宋"/>
          <w:color w:val="000000"/>
          <w:kern w:val="0"/>
          <w:sz w:val="32"/>
          <w:lang w:eastAsia="zh-CN"/>
        </w:rPr>
        <w:t>2024</w:t>
      </w:r>
      <w:r>
        <w:rPr>
          <w:rFonts w:hint="eastAsia" w:ascii="仿宋" w:hAnsi="仿宋" w:eastAsia="仿宋"/>
          <w:color w:val="000000"/>
          <w:kern w:val="0"/>
          <w:sz w:val="32"/>
        </w:rPr>
        <w:t>年部门预算已按时按要求公开</w:t>
      </w:r>
      <w:r>
        <w:rPr>
          <w:rFonts w:hint="eastAsia" w:ascii="仿宋" w:hAnsi="仿宋" w:eastAsia="仿宋"/>
          <w:color w:val="000000"/>
          <w:kern w:val="0"/>
          <w:sz w:val="32"/>
          <w:lang w:eastAsia="zh-CN"/>
        </w:rPr>
        <w:t>，</w:t>
      </w:r>
      <w:r>
        <w:rPr>
          <w:rFonts w:hint="eastAsia" w:ascii="仿宋" w:hAnsi="仿宋" w:eastAsia="仿宋"/>
          <w:color w:val="000000"/>
          <w:kern w:val="0"/>
          <w:sz w:val="32"/>
        </w:rPr>
        <w:t>部门重点项目工作办结率达到了100%</w:t>
      </w:r>
      <w:r>
        <w:rPr>
          <w:rFonts w:hint="eastAsia" w:ascii="仿宋" w:hAnsi="仿宋" w:eastAsia="仿宋"/>
          <w:color w:val="000000"/>
          <w:kern w:val="0"/>
          <w:sz w:val="32"/>
          <w:lang w:eastAsia="zh-CN"/>
        </w:rPr>
        <w:t>，</w:t>
      </w:r>
      <w:r>
        <w:rPr>
          <w:rFonts w:hint="eastAsia" w:ascii="仿宋" w:hAnsi="仿宋" w:eastAsia="仿宋"/>
          <w:color w:val="000000"/>
          <w:kern w:val="0"/>
          <w:sz w:val="32"/>
        </w:rPr>
        <w:t>服务对象满意度达98%。财政拨款项目支出</w:t>
      </w:r>
      <w:r>
        <w:rPr>
          <w:rFonts w:hint="eastAsia"/>
          <w:kern w:val="0"/>
          <w:szCs w:val="32"/>
          <w:highlight w:val="none"/>
          <w:lang w:val="en-US" w:eastAsia="zh-CN"/>
        </w:rPr>
        <w:t>1789.63</w:t>
      </w:r>
      <w:r>
        <w:rPr>
          <w:rFonts w:hint="eastAsia" w:ascii="仿宋" w:hAnsi="仿宋" w:eastAsia="仿宋"/>
          <w:color w:val="000000"/>
          <w:kern w:val="0"/>
          <w:sz w:val="32"/>
        </w:rPr>
        <w:t>万元，通过村基础设施建设，拓宽了辖区内各自然村的脱贫路径，提高了群众的满意度</w:t>
      </w:r>
      <w:r>
        <w:rPr>
          <w:rFonts w:hint="eastAsia" w:ascii="仿宋" w:hAnsi="仿宋" w:eastAsia="仿宋"/>
          <w:color w:val="000000"/>
          <w:kern w:val="0"/>
          <w:sz w:val="32"/>
          <w:lang w:eastAsia="zh-CN"/>
        </w:rPr>
        <w:t>。</w:t>
      </w:r>
    </w:p>
    <w:p w14:paraId="11618F67">
      <w:pPr>
        <w:spacing w:line="560" w:lineRule="exact"/>
        <w:ind w:firstLine="640" w:firstLineChars="200"/>
        <w:rPr>
          <w:kern w:val="0"/>
          <w:szCs w:val="32"/>
          <w:highlight w:val="none"/>
        </w:rPr>
      </w:pPr>
      <w:r>
        <w:rPr>
          <w:rFonts w:eastAsia="黑体"/>
          <w:bCs/>
          <w:kern w:val="0"/>
          <w:szCs w:val="32"/>
          <w:highlight w:val="none"/>
        </w:rPr>
        <w:t>二、部门整体支出管理及使用情况分析</w:t>
      </w:r>
    </w:p>
    <w:p w14:paraId="750ABBAF">
      <w:pPr>
        <w:spacing w:line="560" w:lineRule="exact"/>
        <w:ind w:firstLine="640" w:firstLineChars="200"/>
        <w:rPr>
          <w:rFonts w:eastAsia="楷体_GB2312"/>
          <w:kern w:val="0"/>
          <w:szCs w:val="32"/>
          <w:highlight w:val="none"/>
        </w:rPr>
      </w:pPr>
      <w:r>
        <w:rPr>
          <w:rFonts w:eastAsia="楷体_GB2312"/>
          <w:kern w:val="0"/>
          <w:szCs w:val="32"/>
          <w:highlight w:val="none"/>
        </w:rPr>
        <w:t>（一）基本支出</w:t>
      </w:r>
    </w:p>
    <w:p w14:paraId="1125438A">
      <w:pPr>
        <w:spacing w:line="560" w:lineRule="exact"/>
        <w:ind w:firstLine="640" w:firstLineChars="200"/>
      </w:pPr>
      <w:r>
        <w:rPr>
          <w:kern w:val="0"/>
          <w:szCs w:val="32"/>
          <w:highlight w:val="none"/>
        </w:rPr>
        <w:t>根据基本支出的主要用途、范围以及资金的管理和制度的建立与落实等情况进行分析，尤其是“三公”经费的使用和管理等情况。</w:t>
      </w:r>
      <w:r>
        <w:rPr>
          <w:rFonts w:hint="eastAsia"/>
          <w:kern w:val="0"/>
          <w:szCs w:val="32"/>
          <w:highlight w:val="none"/>
          <w:lang w:val="en-US" w:eastAsia="zh-CN"/>
        </w:rPr>
        <w:t>2024年我镇基本支出1461.14万元，主要是人员经费支出1323.68万元，日常公用经费支出137.47万元。</w:t>
      </w:r>
      <w:r>
        <w:rPr>
          <w:rFonts w:hint="eastAsia" w:ascii="仿宋_GB2312" w:hAnsi="仿宋" w:eastAsia="仿宋_GB2312"/>
          <w:b w:val="0"/>
          <w:bCs w:val="0"/>
          <w:sz w:val="32"/>
          <w:szCs w:val="32"/>
        </w:rPr>
        <w:t>“三公”经费支出情况：</w:t>
      </w:r>
      <w:r>
        <w:rPr>
          <w:rFonts w:hint="eastAsia" w:ascii="仿宋" w:hAnsi="仿宋" w:eastAsia="仿宋"/>
          <w:b w:val="0"/>
          <w:bCs w:val="0"/>
          <w:sz w:val="32"/>
          <w:lang w:eastAsia="zh-CN"/>
        </w:rPr>
        <w:t>2024</w:t>
      </w:r>
      <w:r>
        <w:rPr>
          <w:rFonts w:hint="eastAsia" w:ascii="仿宋" w:hAnsi="仿宋" w:eastAsia="仿宋"/>
          <w:b w:val="0"/>
          <w:bCs w:val="0"/>
          <w:sz w:val="32"/>
        </w:rPr>
        <w:t>年，</w:t>
      </w:r>
      <w:r>
        <w:rPr>
          <w:rFonts w:ascii="仿宋" w:hAnsi="仿宋" w:eastAsia="仿宋"/>
          <w:b w:val="0"/>
          <w:bCs w:val="0"/>
          <w:sz w:val="32"/>
        </w:rPr>
        <w:t>“</w:t>
      </w:r>
      <w:r>
        <w:rPr>
          <w:rFonts w:hint="eastAsia" w:ascii="仿宋" w:hAnsi="仿宋" w:eastAsia="仿宋"/>
          <w:b w:val="0"/>
          <w:bCs w:val="0"/>
          <w:sz w:val="32"/>
        </w:rPr>
        <w:t>三公</w:t>
      </w:r>
      <w:r>
        <w:rPr>
          <w:rFonts w:ascii="仿宋" w:hAnsi="仿宋" w:eastAsia="仿宋"/>
          <w:b w:val="0"/>
          <w:bCs w:val="0"/>
          <w:sz w:val="32"/>
        </w:rPr>
        <w:t>”</w:t>
      </w:r>
      <w:r>
        <w:rPr>
          <w:rFonts w:hint="eastAsia" w:ascii="仿宋" w:hAnsi="仿宋" w:eastAsia="仿宋"/>
          <w:b w:val="0"/>
          <w:bCs w:val="0"/>
          <w:sz w:val="32"/>
        </w:rPr>
        <w:t>经费完成</w:t>
      </w:r>
      <w:r>
        <w:rPr>
          <w:rFonts w:hint="eastAsia" w:ascii="仿宋" w:hAnsi="仿宋" w:eastAsia="仿宋"/>
          <w:b w:val="0"/>
          <w:bCs w:val="0"/>
          <w:sz w:val="32"/>
          <w:lang w:val="en-US" w:eastAsia="zh-CN"/>
        </w:rPr>
        <w:t>34.32万</w:t>
      </w:r>
      <w:r>
        <w:rPr>
          <w:rFonts w:hint="eastAsia" w:ascii="仿宋" w:hAnsi="仿宋" w:eastAsia="仿宋"/>
          <w:b w:val="0"/>
          <w:bCs w:val="0"/>
          <w:sz w:val="32"/>
        </w:rPr>
        <w:t>元，比上年</w:t>
      </w:r>
      <w:r>
        <w:rPr>
          <w:rFonts w:hint="eastAsia" w:ascii="仿宋" w:hAnsi="仿宋" w:eastAsia="仿宋"/>
          <w:b w:val="0"/>
          <w:bCs w:val="0"/>
          <w:sz w:val="32"/>
          <w:lang w:val="en-US" w:eastAsia="zh-CN"/>
        </w:rPr>
        <w:t>增加0.03万</w:t>
      </w:r>
      <w:r>
        <w:rPr>
          <w:rFonts w:hint="eastAsia" w:ascii="仿宋" w:hAnsi="仿宋" w:eastAsia="仿宋"/>
          <w:b w:val="0"/>
          <w:bCs w:val="0"/>
          <w:sz w:val="32"/>
        </w:rPr>
        <w:t>元，</w:t>
      </w:r>
      <w:r>
        <w:rPr>
          <w:rFonts w:hint="eastAsia" w:ascii="仿宋" w:hAnsi="仿宋" w:eastAsia="仿宋"/>
          <w:b w:val="0"/>
          <w:bCs w:val="0"/>
          <w:sz w:val="32"/>
          <w:lang w:val="en-US" w:eastAsia="zh-CN"/>
        </w:rPr>
        <w:t>增加0.09</w:t>
      </w:r>
      <w:r>
        <w:rPr>
          <w:rFonts w:ascii="仿宋" w:hAnsi="仿宋" w:eastAsia="仿宋"/>
          <w:b w:val="0"/>
          <w:bCs w:val="0"/>
          <w:sz w:val="32"/>
        </w:rPr>
        <w:t>%</w:t>
      </w:r>
      <w:r>
        <w:rPr>
          <w:rFonts w:hint="eastAsia" w:ascii="仿宋" w:hAnsi="仿宋" w:eastAsia="仿宋"/>
          <w:b w:val="0"/>
          <w:bCs w:val="0"/>
          <w:sz w:val="32"/>
        </w:rPr>
        <w:t>，增减变化的主要原因是：</w:t>
      </w:r>
      <w:r>
        <w:rPr>
          <w:rFonts w:hint="eastAsia" w:ascii="仿宋" w:hAnsi="仿宋" w:eastAsia="仿宋"/>
          <w:b w:val="0"/>
          <w:bCs w:val="0"/>
          <w:sz w:val="32"/>
          <w:lang w:eastAsia="zh-CN"/>
        </w:rPr>
        <w:t>2023年因打款账号错误导致退回300</w:t>
      </w:r>
      <w:r>
        <w:rPr>
          <w:rFonts w:hint="eastAsia" w:ascii="仿宋" w:hAnsi="仿宋" w:eastAsia="仿宋"/>
          <w:b w:val="0"/>
          <w:bCs w:val="0"/>
          <w:sz w:val="32"/>
        </w:rPr>
        <w:t>。</w:t>
      </w:r>
      <w:r>
        <w:rPr>
          <w:rFonts w:hint="eastAsia" w:ascii="仿宋" w:hAnsi="仿宋" w:eastAsia="仿宋"/>
          <w:sz w:val="32"/>
        </w:rPr>
        <w:t>在支出管理方面，我镇坚决贯彻落实省委省政府关于落实党政机关厉行节约工作的有关精神，严格执行中央“八项规定”的要求，严格控制单位行政运行基本支出，特别是“三公”经费的管理，改进文风会风，加强经费及资产管理，有效地降低了行政成本。</w:t>
      </w:r>
      <w:r>
        <w:rPr>
          <w:rFonts w:hint="eastAsia" w:ascii="仿宋" w:hAnsi="仿宋" w:eastAsia="仿宋"/>
          <w:sz w:val="32"/>
          <w:lang w:eastAsia="zh-CN"/>
        </w:rPr>
        <w:t>2024</w:t>
      </w:r>
      <w:r>
        <w:rPr>
          <w:rFonts w:hint="eastAsia" w:ascii="仿宋" w:hAnsi="仿宋" w:eastAsia="仿宋"/>
          <w:sz w:val="32"/>
        </w:rPr>
        <w:t>年部门预算及决算按上级部门要求，及时规范完成申报，并在政府门户网站进行了公示公开。</w:t>
      </w:r>
    </w:p>
    <w:p w14:paraId="46421DEF">
      <w:pPr>
        <w:numPr>
          <w:ilvl w:val="0"/>
          <w:numId w:val="1"/>
        </w:numPr>
        <w:tabs>
          <w:tab w:val="left" w:pos="3396"/>
        </w:tabs>
        <w:spacing w:line="560" w:lineRule="exact"/>
        <w:ind w:firstLine="640" w:firstLineChars="200"/>
      </w:pPr>
      <w:r>
        <w:rPr>
          <w:rFonts w:eastAsia="楷体_GB2312"/>
          <w:kern w:val="0"/>
          <w:szCs w:val="32"/>
          <w:highlight w:val="none"/>
        </w:rPr>
        <w:t>项目支出</w:t>
      </w:r>
      <w:r>
        <w:rPr>
          <w:rFonts w:eastAsia="楷体_GB2312"/>
          <w:kern w:val="0"/>
          <w:szCs w:val="32"/>
          <w:highlight w:val="none"/>
        </w:rPr>
        <w:tab/>
      </w:r>
    </w:p>
    <w:p w14:paraId="535A2BCE">
      <w:pPr>
        <w:numPr>
          <w:ilvl w:val="0"/>
          <w:numId w:val="2"/>
        </w:numPr>
        <w:spacing w:line="560" w:lineRule="exact"/>
        <w:ind w:firstLine="640" w:firstLineChars="200"/>
        <w:rPr>
          <w:rFonts w:hint="eastAsia"/>
          <w:kern w:val="0"/>
          <w:szCs w:val="32"/>
          <w:highlight w:val="none"/>
          <w:lang w:val="en-US" w:eastAsia="zh-CN"/>
        </w:rPr>
      </w:pPr>
      <w:r>
        <w:rPr>
          <w:kern w:val="0"/>
          <w:szCs w:val="32"/>
          <w:highlight w:val="none"/>
        </w:rPr>
        <w:t>项目资金（包括财政资金、自筹资金等）安排落实、总投入等情况分析。</w:t>
      </w:r>
    </w:p>
    <w:p w14:paraId="111A377E">
      <w:pPr>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2024年我镇项目支出1789.63万元。</w:t>
      </w:r>
    </w:p>
    <w:p w14:paraId="78E28B78">
      <w:pPr>
        <w:numPr>
          <w:ilvl w:val="0"/>
          <w:numId w:val="2"/>
        </w:numPr>
        <w:spacing w:line="560" w:lineRule="exact"/>
        <w:ind w:firstLine="640" w:firstLineChars="200"/>
        <w:rPr>
          <w:kern w:val="0"/>
          <w:szCs w:val="32"/>
          <w:highlight w:val="none"/>
        </w:rPr>
      </w:pPr>
      <w:r>
        <w:rPr>
          <w:kern w:val="0"/>
          <w:szCs w:val="32"/>
          <w:highlight w:val="none"/>
        </w:rPr>
        <w:t>项目资金（主要指财政资金）实际使用情况分析。</w:t>
      </w:r>
    </w:p>
    <w:p w14:paraId="25C971ED">
      <w:pPr>
        <w:pStyle w:val="2"/>
        <w:spacing w:line="560" w:lineRule="exact"/>
        <w:ind w:firstLine="640" w:firstLineChars="200"/>
        <w:rPr>
          <w:rFonts w:hint="default" w:eastAsia="仿宋_GB2312"/>
          <w:lang w:val="en-US" w:eastAsia="zh-CN"/>
        </w:rPr>
      </w:pPr>
      <w:r>
        <w:rPr>
          <w:rFonts w:hint="eastAsia"/>
          <w:kern w:val="0"/>
          <w:szCs w:val="32"/>
          <w:highlight w:val="none"/>
          <w:lang w:val="en-US" w:eastAsia="zh-CN"/>
        </w:rPr>
        <w:t>2024年我镇项目支出1789.63万元。主要是农村公益事业财政奖补和同网同价电费补贴等。</w:t>
      </w:r>
    </w:p>
    <w:p w14:paraId="25964F7B">
      <w:pPr>
        <w:numPr>
          <w:ilvl w:val="0"/>
          <w:numId w:val="2"/>
        </w:numPr>
        <w:spacing w:line="560" w:lineRule="exact"/>
        <w:ind w:left="0" w:leftChars="0" w:firstLine="640" w:firstLineChars="200"/>
        <w:rPr>
          <w:kern w:val="0"/>
          <w:szCs w:val="32"/>
          <w:highlight w:val="none"/>
        </w:rPr>
      </w:pPr>
      <w:r>
        <w:rPr>
          <w:kern w:val="0"/>
          <w:szCs w:val="32"/>
          <w:highlight w:val="none"/>
        </w:rPr>
        <w:t>项目资金管理情况分析，主要包括管理制度、办法的制订及执行情况。</w:t>
      </w:r>
    </w:p>
    <w:p w14:paraId="2682DDB5">
      <w:pPr>
        <w:pStyle w:val="2"/>
        <w:numPr>
          <w:ilvl w:val="0"/>
          <w:numId w:val="0"/>
        </w:numPr>
        <w:spacing w:line="560" w:lineRule="exact"/>
        <w:ind w:firstLine="640" w:firstLineChars="200"/>
        <w:rPr>
          <w:rFonts w:hint="eastAsia" w:eastAsia="仿宋_GB2312"/>
          <w:lang w:eastAsia="zh-CN"/>
        </w:rPr>
      </w:pPr>
      <w:r>
        <w:rPr>
          <w:rFonts w:hint="eastAsia"/>
        </w:rPr>
        <w:t>我镇项目支出严格按照国家财经法规、预算资金管理办法、财务管理制度以及省级政府对财政专项资金管理有关法规的规定执行，把项目资金的审批分配、监督检查与绩效评价结合</w:t>
      </w:r>
      <w:r>
        <w:rPr>
          <w:rFonts w:hint="eastAsia"/>
          <w:lang w:val="en-US" w:eastAsia="zh-CN"/>
        </w:rPr>
        <w:t>起</w:t>
      </w:r>
      <w:r>
        <w:rPr>
          <w:rFonts w:hint="eastAsia"/>
        </w:rPr>
        <w:t>来。项目支出中用于采购货物、服务类、拨款类等资金支出由国库集中支付，其他支出遵循先预算、再审批、后支出的原则，确保了财政资金分配和财政审批程序合法，保证了项目资金的合理使用</w:t>
      </w:r>
      <w:r>
        <w:rPr>
          <w:rFonts w:hint="eastAsia"/>
          <w:lang w:eastAsia="zh-CN"/>
        </w:rPr>
        <w:t>。</w:t>
      </w:r>
    </w:p>
    <w:p w14:paraId="36E27B95">
      <w:pPr>
        <w:spacing w:line="560" w:lineRule="exact"/>
        <w:ind w:firstLine="640" w:firstLineChars="200"/>
        <w:rPr>
          <w:rFonts w:eastAsia="黑体"/>
          <w:bCs/>
          <w:kern w:val="0"/>
          <w:szCs w:val="32"/>
          <w:highlight w:val="none"/>
        </w:rPr>
      </w:pPr>
      <w:r>
        <w:rPr>
          <w:rFonts w:eastAsia="黑体"/>
          <w:bCs/>
          <w:kern w:val="0"/>
          <w:szCs w:val="32"/>
          <w:highlight w:val="none"/>
        </w:rPr>
        <w:t>三、项目组织实施情况分析</w:t>
      </w:r>
    </w:p>
    <w:p w14:paraId="3CC3EC36">
      <w:pPr>
        <w:spacing w:line="560" w:lineRule="exact"/>
        <w:ind w:firstLine="640" w:firstLineChars="200"/>
        <w:rPr>
          <w:kern w:val="0"/>
          <w:szCs w:val="32"/>
          <w:highlight w:val="none"/>
        </w:rPr>
      </w:pPr>
      <w:r>
        <w:rPr>
          <w:kern w:val="0"/>
          <w:szCs w:val="32"/>
          <w:highlight w:val="none"/>
        </w:rPr>
        <w:t>（一）项目组织情况分析，主要包括项目招投标、调整、竣工验收等情况。</w:t>
      </w:r>
    </w:p>
    <w:p w14:paraId="1DA331AF">
      <w:pPr>
        <w:spacing w:line="560" w:lineRule="exact"/>
        <w:ind w:firstLine="640" w:firstLineChars="200"/>
        <w:rPr>
          <w:kern w:val="0"/>
          <w:szCs w:val="32"/>
          <w:highlight w:val="none"/>
        </w:rPr>
      </w:pPr>
      <w:r>
        <w:rPr>
          <w:rFonts w:hint="eastAsia"/>
          <w:kern w:val="0"/>
          <w:szCs w:val="32"/>
          <w:highlight w:val="none"/>
          <w:lang w:eastAsia="zh-CN"/>
        </w:rPr>
        <w:t>2024</w:t>
      </w:r>
      <w:r>
        <w:rPr>
          <w:rFonts w:hint="eastAsia"/>
          <w:kern w:val="0"/>
          <w:szCs w:val="32"/>
          <w:highlight w:val="none"/>
        </w:rPr>
        <w:t>年度因我镇限额以上的项目没有，没有实行招投标。限额以下的项目根据政府相关文件的要求，全部按照先申报后立项的原则实施管理，严格管理专项项目资金的支出，安排专人跟进管理项目，及时组织基数专家和上级部门进行验收，到村的项目通过“四议两公开”全部进行公开。整个项目生命周期均受财政、纪检等行政监督部门及群众监督。</w:t>
      </w:r>
    </w:p>
    <w:p w14:paraId="18E929D1">
      <w:pPr>
        <w:numPr>
          <w:ilvl w:val="0"/>
          <w:numId w:val="0"/>
        </w:numPr>
        <w:spacing w:line="560" w:lineRule="exact"/>
        <w:ind w:firstLine="640" w:firstLineChars="200"/>
        <w:jc w:val="left"/>
      </w:pPr>
      <w:r>
        <w:rPr>
          <w:rFonts w:hint="eastAsia"/>
          <w:kern w:val="0"/>
          <w:szCs w:val="32"/>
          <w:highlight w:val="none"/>
          <w:lang w:eastAsia="zh-CN"/>
        </w:rPr>
        <w:t>（</w:t>
      </w:r>
      <w:r>
        <w:rPr>
          <w:rFonts w:hint="eastAsia"/>
          <w:kern w:val="0"/>
          <w:szCs w:val="32"/>
          <w:highlight w:val="none"/>
          <w:lang w:val="en-US" w:eastAsia="zh-CN"/>
        </w:rPr>
        <w:t>二</w:t>
      </w:r>
      <w:r>
        <w:rPr>
          <w:rFonts w:hint="eastAsia"/>
          <w:kern w:val="0"/>
          <w:szCs w:val="32"/>
          <w:highlight w:val="none"/>
          <w:lang w:eastAsia="zh-CN"/>
        </w:rPr>
        <w:t>）</w:t>
      </w:r>
      <w:r>
        <w:rPr>
          <w:kern w:val="0"/>
          <w:szCs w:val="32"/>
          <w:highlight w:val="none"/>
        </w:rPr>
        <w:t>项目管理情况分析，主要包括项目管理制度建设、日常检查监督管理等情况。</w:t>
      </w:r>
    </w:p>
    <w:p w14:paraId="6F715E46">
      <w:pPr>
        <w:numPr>
          <w:ilvl w:val="0"/>
          <w:numId w:val="3"/>
        </w:numPr>
        <w:spacing w:line="560" w:lineRule="exact"/>
        <w:ind w:firstLine="640" w:firstLineChars="200"/>
        <w:rPr>
          <w:rFonts w:hint="eastAsia"/>
          <w:lang w:val="en-US" w:eastAsia="zh-CN"/>
        </w:rPr>
      </w:pPr>
      <w:r>
        <w:rPr>
          <w:rFonts w:hint="eastAsia"/>
        </w:rPr>
        <w:t>以绩效为导向开展工作：一是设定预算绩效目标，严格管控开支，提高资金使用效益，实现财政资金的社会效益，经济效益及生态效益；二是严格按照预算执行，对自己支出的合法合规性进行绩效评价，包括资金的使用情况。财务管理状况、资产配置和使用等；三是对于项目资金使用情况、项目实施情况，及项目所取得的经济效益、社会效益和生态环境效益进行评价。</w:t>
      </w:r>
    </w:p>
    <w:p w14:paraId="14A756ED">
      <w:pPr>
        <w:numPr>
          <w:ilvl w:val="0"/>
          <w:numId w:val="3"/>
        </w:numPr>
        <w:spacing w:line="560" w:lineRule="exact"/>
        <w:ind w:firstLine="640" w:firstLineChars="200"/>
      </w:pPr>
      <w:r>
        <w:rPr>
          <w:rFonts w:hint="eastAsia"/>
        </w:rPr>
        <w:t>以部门为主体规范管理，一方面是加强对本级各部门，个事业站所的管理，严格控制各项经费的支出，另一方面加强对村级资金的管理，规范村账代管，加强对村级项目建设监管。</w:t>
      </w:r>
    </w:p>
    <w:p w14:paraId="7AC7C28C">
      <w:pPr>
        <w:spacing w:line="560" w:lineRule="exact"/>
        <w:ind w:firstLine="640" w:firstLineChars="200"/>
        <w:rPr>
          <w:rFonts w:eastAsia="黑体"/>
          <w:bCs/>
          <w:kern w:val="0"/>
          <w:szCs w:val="32"/>
          <w:highlight w:val="none"/>
        </w:rPr>
      </w:pPr>
      <w:r>
        <w:rPr>
          <w:rFonts w:eastAsia="黑体"/>
          <w:bCs/>
          <w:kern w:val="0"/>
          <w:szCs w:val="32"/>
          <w:highlight w:val="none"/>
        </w:rPr>
        <w:t>四、部门整体支出绩效情况分析</w:t>
      </w:r>
    </w:p>
    <w:p w14:paraId="7ACB81D7">
      <w:pPr>
        <w:spacing w:line="560" w:lineRule="exact"/>
        <w:ind w:firstLine="640" w:firstLineChars="200"/>
        <w:rPr>
          <w:rFonts w:hint="default" w:eastAsia="仿宋_GB2312"/>
          <w:kern w:val="0"/>
          <w:szCs w:val="32"/>
          <w:highlight w:val="none"/>
          <w:lang w:val="en-US" w:eastAsia="zh-CN"/>
        </w:rPr>
      </w:pPr>
      <w:r>
        <w:rPr>
          <w:rFonts w:hint="eastAsia"/>
          <w:kern w:val="0"/>
          <w:szCs w:val="32"/>
          <w:highlight w:val="none"/>
          <w:lang w:val="en-US" w:eastAsia="zh-CN"/>
        </w:rPr>
        <w:t>（一）单位总支出情况的绩效分析</w:t>
      </w:r>
    </w:p>
    <w:p w14:paraId="14363433">
      <w:pPr>
        <w:spacing w:line="560" w:lineRule="exact"/>
        <w:ind w:firstLine="640" w:firstLineChars="200"/>
        <w:rPr>
          <w:rFonts w:hint="eastAsia"/>
          <w:kern w:val="0"/>
          <w:szCs w:val="32"/>
          <w:highlight w:val="none"/>
        </w:rPr>
      </w:pPr>
      <w:r>
        <w:rPr>
          <w:rFonts w:hint="eastAsia"/>
          <w:kern w:val="0"/>
          <w:szCs w:val="32"/>
          <w:highlight w:val="none"/>
          <w:lang w:eastAsia="zh-CN"/>
        </w:rPr>
        <w:t>2024</w:t>
      </w:r>
      <w:r>
        <w:rPr>
          <w:rFonts w:hint="eastAsia"/>
          <w:kern w:val="0"/>
          <w:szCs w:val="32"/>
          <w:highlight w:val="none"/>
        </w:rPr>
        <w:t>年度支出总额</w:t>
      </w:r>
      <w:r>
        <w:rPr>
          <w:rFonts w:hint="eastAsia"/>
          <w:kern w:val="0"/>
          <w:szCs w:val="32"/>
          <w:highlight w:val="none"/>
          <w:lang w:val="en-US" w:eastAsia="zh-CN"/>
        </w:rPr>
        <w:t>3259.77</w:t>
      </w:r>
      <w:r>
        <w:rPr>
          <w:rFonts w:hint="eastAsia"/>
          <w:kern w:val="0"/>
          <w:szCs w:val="32"/>
          <w:highlight w:val="none"/>
        </w:rPr>
        <w:t>万元，其中基本支出</w:t>
      </w:r>
      <w:r>
        <w:rPr>
          <w:rFonts w:hint="eastAsia"/>
          <w:kern w:val="0"/>
          <w:szCs w:val="32"/>
          <w:highlight w:val="none"/>
          <w:lang w:val="en-US" w:eastAsia="zh-CN"/>
        </w:rPr>
        <w:t>1461.14</w:t>
      </w:r>
      <w:r>
        <w:rPr>
          <w:rFonts w:hint="eastAsia"/>
          <w:kern w:val="0"/>
          <w:szCs w:val="32"/>
          <w:highlight w:val="none"/>
        </w:rPr>
        <w:t>万元，基本支出保障了单位正常运转的日常支出，包括基本工资、津贴补贴等人员经费以及办公费、水电费、差旅费等日常公用经费；项目支出金额</w:t>
      </w:r>
      <w:r>
        <w:rPr>
          <w:rFonts w:hint="eastAsia"/>
          <w:kern w:val="0"/>
          <w:szCs w:val="32"/>
          <w:highlight w:val="none"/>
          <w:lang w:val="en-US" w:eastAsia="zh-CN"/>
        </w:rPr>
        <w:t>1789.63</w:t>
      </w:r>
      <w:r>
        <w:rPr>
          <w:rFonts w:hint="eastAsia"/>
          <w:kern w:val="0"/>
          <w:szCs w:val="32"/>
          <w:highlight w:val="none"/>
        </w:rPr>
        <w:t>万元，项目支出主要用于基础设施建设支出、水利支出等，包括办公费、印刷费、邮电费、差旅费、租赁费、会议费、劳务费及其他对企业补助等。</w:t>
      </w:r>
    </w:p>
    <w:p w14:paraId="3F89D57B">
      <w:pPr>
        <w:numPr>
          <w:ilvl w:val="0"/>
          <w:numId w:val="0"/>
        </w:numPr>
        <w:spacing w:line="560" w:lineRule="exact"/>
        <w:ind w:firstLine="640" w:firstLineChars="200"/>
        <w:rPr>
          <w:rFonts w:hint="eastAsia"/>
          <w:kern w:val="0"/>
          <w:szCs w:val="32"/>
          <w:highlight w:val="none"/>
          <w:lang w:val="en-US" w:eastAsia="zh-CN"/>
        </w:rPr>
      </w:pPr>
      <w:r>
        <w:rPr>
          <w:rFonts w:hint="eastAsia"/>
          <w:kern w:val="0"/>
          <w:szCs w:val="32"/>
          <w:highlight w:val="none"/>
          <w:lang w:val="en-US" w:eastAsia="zh-CN"/>
        </w:rPr>
        <w:t>（二）单位项目资金的绩效分析</w:t>
      </w:r>
    </w:p>
    <w:p w14:paraId="7DDE6CCA">
      <w:pPr>
        <w:numPr>
          <w:ilvl w:val="0"/>
          <w:numId w:val="0"/>
        </w:numPr>
        <w:spacing w:line="560" w:lineRule="exact"/>
        <w:ind w:firstLine="640" w:firstLineChars="200"/>
        <w:rPr>
          <w:rFonts w:hint="default"/>
          <w:kern w:val="0"/>
          <w:szCs w:val="32"/>
          <w:highlight w:val="none"/>
          <w:lang w:val="en-US" w:eastAsia="zh-CN"/>
        </w:rPr>
      </w:pPr>
      <w:r>
        <w:rPr>
          <w:rFonts w:hint="eastAsia"/>
          <w:kern w:val="0"/>
          <w:szCs w:val="32"/>
          <w:highlight w:val="none"/>
          <w:lang w:val="en-US" w:eastAsia="zh-CN"/>
        </w:rPr>
        <w:t>2024</w:t>
      </w:r>
      <w:r>
        <w:rPr>
          <w:rFonts w:hint="default"/>
          <w:kern w:val="0"/>
          <w:szCs w:val="32"/>
          <w:highlight w:val="none"/>
          <w:lang w:val="en-US" w:eastAsia="zh-CN"/>
        </w:rPr>
        <w:t>年度项目资金收入</w:t>
      </w:r>
      <w:r>
        <w:rPr>
          <w:rFonts w:hint="eastAsia"/>
          <w:kern w:val="0"/>
          <w:szCs w:val="32"/>
          <w:highlight w:val="none"/>
          <w:lang w:val="en-US" w:eastAsia="zh-CN"/>
        </w:rPr>
        <w:t>1789.63</w:t>
      </w:r>
      <w:r>
        <w:rPr>
          <w:rFonts w:hint="default"/>
          <w:kern w:val="0"/>
          <w:szCs w:val="32"/>
          <w:highlight w:val="none"/>
          <w:lang w:val="en-US" w:eastAsia="zh-CN"/>
        </w:rPr>
        <w:t>万元，支出</w:t>
      </w:r>
      <w:r>
        <w:rPr>
          <w:rFonts w:hint="eastAsia"/>
          <w:kern w:val="0"/>
          <w:szCs w:val="32"/>
          <w:highlight w:val="none"/>
          <w:lang w:val="en-US" w:eastAsia="zh-CN"/>
        </w:rPr>
        <w:t>1789.63</w:t>
      </w:r>
      <w:r>
        <w:rPr>
          <w:rFonts w:hint="default"/>
          <w:kern w:val="0"/>
          <w:szCs w:val="32"/>
          <w:highlight w:val="none"/>
          <w:lang w:val="en-US" w:eastAsia="zh-CN"/>
        </w:rPr>
        <w:t>万元，资金到位率100%，实际使用率100%。根据项目资金实际使用情况，对项目资金开展绩效自评，在自己使用上。我镇严格执行项目资金管理制度，实行专款专用，无挪用项目资金问题。</w:t>
      </w:r>
    </w:p>
    <w:p w14:paraId="74C7ED4C">
      <w:pPr>
        <w:spacing w:line="560" w:lineRule="exact"/>
        <w:ind w:firstLine="640" w:firstLineChars="200"/>
        <w:rPr>
          <w:kern w:val="0"/>
          <w:szCs w:val="32"/>
          <w:highlight w:val="none"/>
        </w:rPr>
      </w:pPr>
      <w:r>
        <w:rPr>
          <w:rFonts w:eastAsia="黑体"/>
          <w:bCs/>
          <w:kern w:val="0"/>
          <w:szCs w:val="32"/>
          <w:highlight w:val="none"/>
        </w:rPr>
        <w:t>五、绩效评价工作开展情况</w:t>
      </w:r>
    </w:p>
    <w:p w14:paraId="19869BA6">
      <w:pPr>
        <w:widowControl/>
        <w:spacing w:line="560" w:lineRule="exact"/>
        <w:ind w:firstLine="640" w:firstLineChars="200"/>
        <w:rPr>
          <w:kern w:val="0"/>
          <w:szCs w:val="32"/>
          <w:highlight w:val="none"/>
        </w:rPr>
      </w:pPr>
      <w:r>
        <w:rPr>
          <w:kern w:val="0"/>
          <w:szCs w:val="32"/>
          <w:highlight w:val="none"/>
        </w:rPr>
        <w:t>（一）绩效评价目的</w:t>
      </w:r>
    </w:p>
    <w:p w14:paraId="457BDA95">
      <w:pPr>
        <w:widowControl/>
        <w:spacing w:line="560" w:lineRule="exact"/>
        <w:ind w:firstLine="640" w:firstLineChars="200"/>
        <w:rPr>
          <w:kern w:val="0"/>
          <w:szCs w:val="32"/>
          <w:highlight w:val="none"/>
        </w:rPr>
      </w:pPr>
      <w:r>
        <w:rPr>
          <w:rFonts w:hint="eastAsia" w:cs="Times New Roman"/>
          <w:bCs/>
          <w:sz w:val="32"/>
          <w:szCs w:val="32"/>
          <w:highlight w:val="none"/>
        </w:rPr>
        <w:t>此次绩效评价的目的是：严格落实《预算法》及省、市、县绩效管理工作的有关规定，进一步规范财政资金的管理，强化财政支出绩效理念，提升部门责任意识，提高资金使用效益，促进行政工作的发展。</w:t>
      </w:r>
    </w:p>
    <w:p w14:paraId="78168354">
      <w:pPr>
        <w:widowControl/>
        <w:numPr>
          <w:ilvl w:val="0"/>
          <w:numId w:val="4"/>
        </w:numPr>
        <w:spacing w:line="560" w:lineRule="exact"/>
        <w:ind w:firstLine="640" w:firstLineChars="200"/>
        <w:rPr>
          <w:kern w:val="0"/>
          <w:szCs w:val="32"/>
          <w:highlight w:val="none"/>
        </w:rPr>
      </w:pPr>
      <w:r>
        <w:rPr>
          <w:kern w:val="0"/>
          <w:szCs w:val="32"/>
          <w:highlight w:val="none"/>
        </w:rPr>
        <w:t>绩效评价工作过程，主要包括前期准备、组织实施和分析评价等内容</w:t>
      </w:r>
      <w:r>
        <w:rPr>
          <w:rFonts w:hint="eastAsia"/>
          <w:kern w:val="0"/>
          <w:szCs w:val="32"/>
          <w:highlight w:val="none"/>
          <w:lang w:eastAsia="zh-CN"/>
        </w:rPr>
        <w:t>。</w:t>
      </w:r>
    </w:p>
    <w:p w14:paraId="3B593735">
      <w:pPr>
        <w:widowControl/>
        <w:shd w:val="clear" w:color="auto" w:fill="FFFFFF"/>
        <w:spacing w:line="560" w:lineRule="exact"/>
        <w:ind w:firstLine="640" w:firstLineChars="200"/>
        <w:jc w:val="left"/>
        <w:rPr>
          <w:rFonts w:hint="default" w:eastAsia="仿宋_GB2312"/>
          <w:kern w:val="0"/>
          <w:szCs w:val="32"/>
          <w:highlight w:val="none"/>
          <w:lang w:val="en-US" w:eastAsia="zh-CN"/>
        </w:rPr>
      </w:pPr>
      <w:r>
        <w:rPr>
          <w:rFonts w:hint="eastAsia" w:ascii="宋体" w:hAnsi="宋体"/>
          <w:bCs/>
          <w:kern w:val="0"/>
          <w:sz w:val="32"/>
          <w:szCs w:val="32"/>
          <w:highlight w:val="none"/>
        </w:rPr>
        <w:t>根据绩效评价的要求，</w:t>
      </w:r>
      <w:r>
        <w:rPr>
          <w:rFonts w:hint="eastAsia" w:ascii="宋体" w:hAnsi="宋体"/>
          <w:bCs/>
          <w:kern w:val="0"/>
          <w:sz w:val="32"/>
          <w:szCs w:val="32"/>
          <w:highlight w:val="none"/>
          <w:lang w:val="en-US" w:eastAsia="zh-CN"/>
        </w:rPr>
        <w:t>一是</w:t>
      </w:r>
      <w:r>
        <w:rPr>
          <w:rFonts w:hint="eastAsia" w:ascii="宋体" w:hAnsi="宋体"/>
          <w:bCs/>
          <w:kern w:val="0"/>
          <w:sz w:val="32"/>
          <w:szCs w:val="32"/>
          <w:highlight w:val="none"/>
        </w:rPr>
        <w:t>我们成立了自评工作领导小组，对照自评方案进行研究和布署，按照自评方案的要求，对照各实施项目的内容逐条逐项自评。在自评过程发现问题，查找原因，及时纠正偏差，为下一步工作夯实基础。</w:t>
      </w:r>
      <w:r>
        <w:rPr>
          <w:rFonts w:hint="eastAsia" w:ascii="宋体" w:hAnsi="宋体"/>
          <w:bCs/>
          <w:kern w:val="0"/>
          <w:sz w:val="32"/>
          <w:szCs w:val="32"/>
          <w:highlight w:val="none"/>
          <w:lang w:val="en-US" w:eastAsia="zh-CN"/>
        </w:rPr>
        <w:t>二是认真组织开展绩效评价工作，综合运用定量定性分析方法，对我镇2024年度部门整体支出绩效和各项支出的绩效目标的设立等投入情况、预算配置、执行、管理及资产管理整个过程、以及职责履行与履职效益等效果产出进行自评。根据部门整体支出绩效评价指标体系，我单位2024年度自评得分99.5分。</w:t>
      </w:r>
    </w:p>
    <w:p w14:paraId="32C680A3">
      <w:pPr>
        <w:numPr>
          <w:ilvl w:val="0"/>
          <w:numId w:val="0"/>
        </w:numPr>
        <w:spacing w:line="560" w:lineRule="exact"/>
        <w:ind w:firstLine="640" w:firstLineChars="200"/>
        <w:rPr>
          <w:rFonts w:hint="default" w:eastAsia="仿宋_GB2312"/>
          <w:kern w:val="0"/>
          <w:szCs w:val="32"/>
          <w:highlight w:val="none"/>
          <w:lang w:val="en-US" w:eastAsia="zh-CN"/>
        </w:rPr>
      </w:pPr>
      <w:r>
        <w:rPr>
          <w:rFonts w:hint="eastAsia" w:eastAsia="黑体"/>
          <w:bCs/>
          <w:kern w:val="0"/>
          <w:szCs w:val="32"/>
          <w:highlight w:val="none"/>
          <w:lang w:val="en-US" w:eastAsia="zh-CN"/>
        </w:rPr>
        <w:t>六、</w:t>
      </w:r>
      <w:r>
        <w:rPr>
          <w:rFonts w:eastAsia="黑体"/>
          <w:bCs/>
          <w:kern w:val="0"/>
          <w:szCs w:val="32"/>
          <w:highlight w:val="none"/>
        </w:rPr>
        <w:t>存在的主要问题</w:t>
      </w:r>
    </w:p>
    <w:p w14:paraId="718C0200">
      <w:pPr>
        <w:numPr>
          <w:ilvl w:val="0"/>
          <w:numId w:val="0"/>
        </w:numPr>
        <w:spacing w:line="560" w:lineRule="exact"/>
        <w:ind w:firstLine="640" w:firstLineChars="200"/>
        <w:rPr>
          <w:rFonts w:hint="eastAsia"/>
          <w:kern w:val="0"/>
          <w:szCs w:val="32"/>
          <w:highlight w:val="none"/>
        </w:rPr>
      </w:pPr>
      <w:r>
        <w:rPr>
          <w:rFonts w:hint="eastAsia"/>
          <w:kern w:val="0"/>
          <w:szCs w:val="32"/>
          <w:highlight w:val="none"/>
        </w:rPr>
        <w:t>（</w:t>
      </w:r>
      <w:r>
        <w:rPr>
          <w:rFonts w:hint="eastAsia"/>
          <w:kern w:val="0"/>
          <w:szCs w:val="32"/>
          <w:highlight w:val="none"/>
          <w:lang w:val="en-US" w:eastAsia="zh-CN"/>
        </w:rPr>
        <w:t>一</w:t>
      </w:r>
      <w:r>
        <w:rPr>
          <w:rFonts w:hint="eastAsia"/>
          <w:kern w:val="0"/>
          <w:szCs w:val="32"/>
          <w:highlight w:val="none"/>
        </w:rPr>
        <w:t>）预算绩效观念不深入。我乡在日常财务工作中存在着一定程度的“重分配、轻管理、重支出、轻绩效”的情况，造成该问题的主要原因是自身绩效理念较薄弱，单位绩效目标编制仍有缺失，需要进一步加强对资金绩效管理的重视程度</w:t>
      </w:r>
    </w:p>
    <w:p w14:paraId="7D9696E6">
      <w:pPr>
        <w:widowControl/>
        <w:spacing w:line="560" w:lineRule="exact"/>
        <w:ind w:firstLine="640" w:firstLineChars="200"/>
        <w:rPr>
          <w:rFonts w:hint="eastAsia" w:ascii="宋体" w:hAnsi="宋体"/>
          <w:bCs/>
          <w:kern w:val="0"/>
          <w:sz w:val="32"/>
          <w:szCs w:val="32"/>
          <w:highlight w:val="none"/>
        </w:rPr>
      </w:pPr>
      <w:r>
        <w:rPr>
          <w:rFonts w:hint="eastAsia"/>
          <w:kern w:val="0"/>
          <w:szCs w:val="32"/>
          <w:highlight w:val="none"/>
        </w:rPr>
        <w:t>（</w:t>
      </w:r>
      <w:r>
        <w:rPr>
          <w:rFonts w:hint="eastAsia"/>
          <w:kern w:val="0"/>
          <w:szCs w:val="32"/>
          <w:highlight w:val="none"/>
          <w:lang w:val="en-US" w:eastAsia="zh-CN"/>
        </w:rPr>
        <w:t>二</w:t>
      </w:r>
      <w:r>
        <w:rPr>
          <w:rFonts w:hint="eastAsia"/>
          <w:kern w:val="0"/>
          <w:szCs w:val="32"/>
          <w:highlight w:val="none"/>
        </w:rPr>
        <w:t>）预算绩效规范管理有盲点。在市财政逐步加强绩效管理的情况下，我乡财务人员面对当前绩效管理工作既没有现成的经验可供借鉴，又</w:t>
      </w:r>
      <w:r>
        <w:rPr>
          <w:rFonts w:hint="eastAsia" w:ascii="宋体" w:hAnsi="宋体"/>
          <w:bCs/>
          <w:kern w:val="0"/>
          <w:sz w:val="32"/>
          <w:szCs w:val="32"/>
          <w:highlight w:val="none"/>
        </w:rPr>
        <w:t>缺乏专业性很强的技能储备，只能是边工作、边学习、边积累，短期内部分工作只能停留在表面，难以做到程序规范、管理科学，难以满足当前绩效管理要求。</w:t>
      </w:r>
    </w:p>
    <w:p w14:paraId="2C81AC5A">
      <w:pPr>
        <w:spacing w:line="560" w:lineRule="exact"/>
        <w:ind w:firstLine="640" w:firstLineChars="200"/>
        <w:rPr>
          <w:rFonts w:eastAsia="黑体"/>
          <w:bCs/>
          <w:kern w:val="0"/>
          <w:szCs w:val="32"/>
          <w:highlight w:val="none"/>
        </w:rPr>
      </w:pPr>
      <w:r>
        <w:rPr>
          <w:rFonts w:hint="eastAsia" w:ascii="黑体" w:hAnsi="黑体" w:eastAsia="黑体" w:cs="黑体"/>
          <w:kern w:val="0"/>
          <w:szCs w:val="32"/>
          <w:highlight w:val="none"/>
          <w:lang w:val="en-US" w:eastAsia="zh-CN"/>
        </w:rPr>
        <w:t>七、</w:t>
      </w:r>
      <w:r>
        <w:rPr>
          <w:rFonts w:eastAsia="黑体"/>
          <w:bCs/>
          <w:kern w:val="0"/>
          <w:szCs w:val="32"/>
          <w:highlight w:val="none"/>
        </w:rPr>
        <w:t>改进措施和有关建议</w:t>
      </w:r>
    </w:p>
    <w:p w14:paraId="1AA102E7">
      <w:pPr>
        <w:spacing w:line="560" w:lineRule="exact"/>
        <w:ind w:firstLine="640" w:firstLineChars="200"/>
        <w:rPr>
          <w:rFonts w:hint="eastAsia" w:ascii="宋体" w:hAnsi="宋体"/>
          <w:bCs/>
          <w:kern w:val="0"/>
          <w:sz w:val="32"/>
          <w:szCs w:val="32"/>
          <w:highlight w:val="none"/>
        </w:rPr>
      </w:pPr>
      <w:r>
        <w:rPr>
          <w:rFonts w:hint="eastAsia" w:ascii="宋体" w:hAnsi="宋体"/>
          <w:bCs/>
          <w:kern w:val="0"/>
          <w:sz w:val="32"/>
          <w:szCs w:val="32"/>
          <w:highlight w:val="none"/>
        </w:rPr>
        <w:t>（</w:t>
      </w:r>
      <w:r>
        <w:rPr>
          <w:rFonts w:hint="eastAsia" w:ascii="宋体" w:hAnsi="宋体"/>
          <w:bCs/>
          <w:kern w:val="0"/>
          <w:sz w:val="32"/>
          <w:szCs w:val="32"/>
          <w:highlight w:val="none"/>
          <w:lang w:val="en-US" w:eastAsia="zh-CN"/>
        </w:rPr>
        <w:t>一</w:t>
      </w:r>
      <w:r>
        <w:rPr>
          <w:rFonts w:hint="eastAsia" w:ascii="宋体" w:hAnsi="宋体"/>
          <w:bCs/>
          <w:kern w:val="0"/>
          <w:sz w:val="32"/>
          <w:szCs w:val="32"/>
          <w:highlight w:val="none"/>
        </w:rPr>
        <w:t>）进一步增强绩效管理理念。在管理和使用预算资金的过程中，我乡将更加突出资金使用绩效，做到“花钱必问效”。加强与财政绩效科的沟通协调，按照绩效评价原则，开展资金安全性、规范性的监督，确保专项资金的使用符合绩效管理要求。</w:t>
      </w:r>
    </w:p>
    <w:p w14:paraId="3D5332F5">
      <w:pPr>
        <w:spacing w:line="560" w:lineRule="exact"/>
        <w:ind w:firstLine="640" w:firstLineChars="200"/>
        <w:rPr>
          <w:rFonts w:hint="eastAsia" w:ascii="宋体" w:hAnsi="宋体"/>
          <w:bCs/>
          <w:kern w:val="0"/>
          <w:sz w:val="32"/>
          <w:szCs w:val="32"/>
          <w:highlight w:val="none"/>
        </w:rPr>
      </w:pPr>
      <w:r>
        <w:rPr>
          <w:rFonts w:hint="eastAsia" w:ascii="宋体" w:hAnsi="宋体"/>
          <w:bCs/>
          <w:kern w:val="0"/>
          <w:sz w:val="32"/>
          <w:szCs w:val="32"/>
          <w:highlight w:val="none"/>
        </w:rPr>
        <w:t>（</w:t>
      </w:r>
      <w:r>
        <w:rPr>
          <w:rFonts w:hint="eastAsia" w:ascii="宋体" w:hAnsi="宋体"/>
          <w:bCs/>
          <w:kern w:val="0"/>
          <w:sz w:val="32"/>
          <w:szCs w:val="32"/>
          <w:highlight w:val="none"/>
          <w:lang w:val="en-US" w:eastAsia="zh-CN"/>
        </w:rPr>
        <w:t>二</w:t>
      </w:r>
      <w:r>
        <w:rPr>
          <w:rFonts w:hint="eastAsia" w:ascii="宋体" w:hAnsi="宋体"/>
          <w:bCs/>
          <w:kern w:val="0"/>
          <w:sz w:val="32"/>
          <w:szCs w:val="32"/>
          <w:highlight w:val="none"/>
        </w:rPr>
        <w:t>）进一步加强财务素养和专业技能培训。我乡希望县财政局相关科室，针对预算资金绩效管理和相关法律法规，对全县乡镇财务人员开展培训，学习预算绩效管理的法律法规、规范要求，让绩效理念深入人心、让绩效管理人员熟知政策、知行合一。</w:t>
      </w:r>
    </w:p>
    <w:p w14:paraId="02544193">
      <w:pPr>
        <w:numPr>
          <w:ilvl w:val="0"/>
          <w:numId w:val="0"/>
        </w:numPr>
        <w:spacing w:line="560" w:lineRule="exact"/>
        <w:ind w:firstLine="640" w:firstLineChars="200"/>
      </w:pPr>
      <w:r>
        <w:rPr>
          <w:kern w:val="0"/>
          <w:szCs w:val="32"/>
          <w:highlight w:val="none"/>
        </w:rPr>
        <w:t>今后工作中，按照预算规定的项目和用途严格财务审计，经费支出严格按预算规定项目的财务支出内容进行财务预算，在预算金额内严控费用支出。推动建立过紧日子的长效机制。推进预算一体化系统建设，使预算管理水平更上台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FB3164-26AA-4A6A-A6D0-13DB1D4D17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B55497-912A-413E-9440-190AE2F0C93D}"/>
  </w:font>
  <w:font w:name="仿宋_GB2312">
    <w:panose1 w:val="02010609030101010101"/>
    <w:charset w:val="86"/>
    <w:family w:val="modern"/>
    <w:pitch w:val="default"/>
    <w:sig w:usb0="00000001" w:usb1="080E0000" w:usb2="00000000" w:usb3="00000000" w:csb0="00040000" w:csb1="00000000"/>
    <w:embedRegular r:id="rId3" w:fontKey="{370D0C5A-D6CB-4EA9-AA63-942A86D36823}"/>
  </w:font>
  <w:font w:name="方正小标宋简体">
    <w:panose1 w:val="02000000000000000000"/>
    <w:charset w:val="86"/>
    <w:family w:val="auto"/>
    <w:pitch w:val="default"/>
    <w:sig w:usb0="00000001" w:usb1="08000000" w:usb2="00000000" w:usb3="00000000" w:csb0="00040000" w:csb1="00000000"/>
    <w:embedRegular r:id="rId4" w:fontKey="{B97C4E84-EAA0-453C-A80A-A79E5CF09666}"/>
  </w:font>
  <w:font w:name="仿宋">
    <w:panose1 w:val="02010609060101010101"/>
    <w:charset w:val="86"/>
    <w:family w:val="auto"/>
    <w:pitch w:val="default"/>
    <w:sig w:usb0="800002BF" w:usb1="38CF7CFA" w:usb2="00000016" w:usb3="00000000" w:csb0="00040001" w:csb1="00000000"/>
    <w:embedRegular r:id="rId5" w:fontKey="{F84CE629-E282-4A08-8278-BC13EE7E76C1}"/>
  </w:font>
  <w:font w:name="楷体_GB2312">
    <w:altName w:val="楷体"/>
    <w:panose1 w:val="02010609030101010101"/>
    <w:charset w:val="86"/>
    <w:family w:val="modern"/>
    <w:pitch w:val="default"/>
    <w:sig w:usb0="00000000" w:usb1="00000000" w:usb2="00000000" w:usb3="00000000" w:csb0="00040000" w:csb1="00000000"/>
    <w:embedRegular r:id="rId6" w:fontKey="{209BBE65-1336-441B-8230-209F73F7D72A}"/>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3C7F4"/>
    <w:multiLevelType w:val="singleLevel"/>
    <w:tmpl w:val="8D43C7F4"/>
    <w:lvl w:ilvl="0" w:tentative="0">
      <w:start w:val="2"/>
      <w:numFmt w:val="chineseCounting"/>
      <w:suff w:val="nothing"/>
      <w:lvlText w:val="（%1）"/>
      <w:lvlJc w:val="left"/>
      <w:rPr>
        <w:rFonts w:hint="eastAsia"/>
      </w:rPr>
    </w:lvl>
  </w:abstractNum>
  <w:abstractNum w:abstractNumId="1">
    <w:nsid w:val="0A29F7CB"/>
    <w:multiLevelType w:val="singleLevel"/>
    <w:tmpl w:val="0A29F7CB"/>
    <w:lvl w:ilvl="0" w:tentative="0">
      <w:start w:val="1"/>
      <w:numFmt w:val="decimal"/>
      <w:suff w:val="nothing"/>
      <w:lvlText w:val="%1、"/>
      <w:lvlJc w:val="left"/>
    </w:lvl>
  </w:abstractNum>
  <w:abstractNum w:abstractNumId="2">
    <w:nsid w:val="20EE0A7C"/>
    <w:multiLevelType w:val="singleLevel"/>
    <w:tmpl w:val="20EE0A7C"/>
    <w:lvl w:ilvl="0" w:tentative="0">
      <w:start w:val="2"/>
      <w:numFmt w:val="chineseCounting"/>
      <w:suff w:val="nothing"/>
      <w:lvlText w:val="（%1）"/>
      <w:lvlJc w:val="left"/>
      <w:rPr>
        <w:rFonts w:hint="eastAsia"/>
      </w:rPr>
    </w:lvl>
  </w:abstractNum>
  <w:abstractNum w:abstractNumId="3">
    <w:nsid w:val="46F77834"/>
    <w:multiLevelType w:val="singleLevel"/>
    <w:tmpl w:val="46F77834"/>
    <w:lvl w:ilvl="0" w:tentative="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N2MzN2ViYTZmMzQ2NzFlYWVjMmUzNTgzZjYyMmUifQ=="/>
  </w:docVars>
  <w:rsids>
    <w:rsidRoot w:val="440155B9"/>
    <w:rsid w:val="1BCC7E49"/>
    <w:rsid w:val="383E51C0"/>
    <w:rsid w:val="440155B9"/>
    <w:rsid w:val="499C7E44"/>
    <w:rsid w:val="5C313978"/>
    <w:rsid w:val="60E168F5"/>
    <w:rsid w:val="72740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4283</Words>
  <Characters>4529</Characters>
  <Lines>0</Lines>
  <Paragraphs>0</Paragraphs>
  <TotalTime>112</TotalTime>
  <ScaleCrop>false</ScaleCrop>
  <LinksUpToDate>false</LinksUpToDate>
  <CharactersWithSpaces>4530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2024-07-08T07:01:00Z</dcterms:created>
  <dc:creator>爱爸比妈咪爱崽崽们 </dc:creator>
  <cp:lastModifiedBy>爱爸比妈咪爱崽崽们 </cp:lastModifiedBy>
  <dcterms:modified xsi:type="dcterms:W3CDTF">2025-10-30T01:53:10Z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3694127C1DF646EBBE967B4DF15E62FB_11</vt:lpwstr>
  </property>
  <property fmtid="{D5CDD505-2E9C-101B-9397-08002B2CF9AE}" pid="4" name="KSOTemplateDocerSaveRecord">
    <vt:lpwstr>eyJoZGlkIjoiNTFkZWMwMmU3MWY5NzllNGE5NDk3ZGE3NzQ1MTQxNWIiLCJ1c2VySWQiOiIyMTY5NzI1NTEifQ==</vt:lpwstr>
  </property>
</Properties>
</file>