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66B8B">
      <w:pPr>
        <w:rPr>
          <w:rFonts w:hint="eastAsia" w:ascii="黑体" w:hAnsi="黑体" w:eastAsia="黑体" w:cs="仿宋"/>
          <w:sz w:val="32"/>
          <w:szCs w:val="32"/>
          <w:lang w:val="en-US" w:eastAsia="zh-CN"/>
        </w:rPr>
      </w:pPr>
    </w:p>
    <w:p w14:paraId="5F99E810">
      <w:pPr>
        <w:rPr>
          <w:rFonts w:hint="eastAsia"/>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7347A9DD">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val="en-US" w:eastAsia="zh-CN"/>
        </w:rPr>
      </w:pPr>
      <w:r>
        <w:rPr>
          <w:rFonts w:hint="eastAsia" w:ascii="微软雅黑" w:hAnsi="微软雅黑" w:eastAsia="微软雅黑" w:cs="微软雅黑"/>
          <w:sz w:val="52"/>
          <w:szCs w:val="52"/>
          <w:lang w:val="en-US" w:eastAsia="zh-CN"/>
        </w:rPr>
        <w:t>2024年度安化县自然资源局</w:t>
      </w: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69A9DDCF">
      <w:pPr>
        <w:pStyle w:val="2"/>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2"/>
      </w:pPr>
    </w:p>
    <w:p w14:paraId="311F1E4D">
      <w:pPr>
        <w:widowControl/>
        <w:ind w:firstLine="361" w:firstLineChars="100"/>
        <w:rPr>
          <w:rFonts w:hint="eastAsia" w:ascii="楷体" w:hAnsi="楷体" w:eastAsia="楷体" w:cs="楷体"/>
          <w:b/>
          <w:bCs/>
          <w:kern w:val="0"/>
          <w:sz w:val="36"/>
          <w:szCs w:val="36"/>
        </w:rPr>
      </w:pPr>
    </w:p>
    <w:p w14:paraId="53151079">
      <w:pPr>
        <w:jc w:val="center"/>
        <w:rPr>
          <w:rFonts w:hint="eastAsia" w:ascii="微软雅黑" w:hAnsi="仿宋" w:eastAsia="微软雅黑" w:cs="宋体"/>
          <w:b w:val="0"/>
          <w:bCs/>
          <w:kern w:val="0"/>
          <w:sz w:val="44"/>
          <w:szCs w:val="44"/>
          <w:lang w:eastAsia="zh-CN"/>
        </w:rPr>
      </w:pPr>
      <w:r>
        <w:rPr>
          <w:rFonts w:hint="eastAsia" w:ascii="微软雅黑" w:hAnsi="仿宋" w:eastAsia="微软雅黑" w:cs="宋体"/>
          <w:b w:val="0"/>
          <w:bCs/>
          <w:kern w:val="0"/>
          <w:sz w:val="44"/>
          <w:szCs w:val="44"/>
          <w:lang w:eastAsia="zh-CN"/>
        </w:rPr>
        <w:t>安化县自然资源局</w:t>
      </w: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2CE5B0A2">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p>
    <w:p w14:paraId="4303846B">
      <w:pPr>
        <w:pStyle w:val="2"/>
        <w:rPr>
          <w:rFonts w:hint="eastAsia" w:ascii="微软雅黑" w:hAnsi="仿宋" w:eastAsia="微软雅黑" w:cs="宋体"/>
          <w:b w:val="0"/>
          <w:bCs/>
          <w:kern w:val="0"/>
          <w:sz w:val="44"/>
          <w:szCs w:val="44"/>
          <w:lang w:val="en-US" w:eastAsia="zh-CN"/>
        </w:rPr>
      </w:pPr>
    </w:p>
    <w:p w14:paraId="38ADF3EA">
      <w:pPr>
        <w:rPr>
          <w:rFonts w:hint="eastAsia" w:ascii="微软雅黑" w:hAnsi="仿宋" w:eastAsia="微软雅黑" w:cs="宋体"/>
          <w:b w:val="0"/>
          <w:bCs/>
          <w:kern w:val="0"/>
          <w:sz w:val="44"/>
          <w:szCs w:val="44"/>
          <w:lang w:val="en-US" w:eastAsia="zh-CN"/>
        </w:rPr>
      </w:pPr>
    </w:p>
    <w:p w14:paraId="1AE66012">
      <w:pPr>
        <w:pStyle w:val="2"/>
        <w:rPr>
          <w:rFonts w:hint="eastAsia" w:ascii="微软雅黑" w:hAnsi="仿宋" w:eastAsia="微软雅黑" w:cs="宋体"/>
          <w:b w:val="0"/>
          <w:bCs/>
          <w:kern w:val="0"/>
          <w:sz w:val="44"/>
          <w:szCs w:val="44"/>
          <w:lang w:val="en-US" w:eastAsia="zh-CN"/>
        </w:rPr>
      </w:pPr>
    </w:p>
    <w:p w14:paraId="742F9CCB">
      <w:pPr>
        <w:pStyle w:val="2"/>
        <w:rPr>
          <w:rFonts w:hint="eastAsia"/>
          <w:lang w:val="en-US" w:eastAsia="zh-CN"/>
        </w:rPr>
      </w:pPr>
    </w:p>
    <w:p w14:paraId="0D2C8DC2">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eastAsia="zh-CN"/>
        </w:rPr>
        <w:t>安化县自然资源局</w:t>
      </w:r>
      <w:r>
        <w:rPr>
          <w:rFonts w:hint="eastAsia" w:ascii="微软雅黑" w:hAnsi="仿宋" w:eastAsia="微软雅黑" w:cs="宋体"/>
          <w:b w:val="0"/>
          <w:bCs/>
          <w:kern w:val="0"/>
          <w:sz w:val="44"/>
          <w:szCs w:val="44"/>
        </w:rPr>
        <w:t>整体支出</w:t>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4E7CB549">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b w:val="0"/>
          <w:bCs w:val="0"/>
          <w:kern w:val="2"/>
          <w:sz w:val="32"/>
          <w:szCs w:val="32"/>
          <w:lang w:val="en-US" w:eastAsia="zh-CN" w:bidi="ar-SA"/>
        </w:rPr>
        <w:t>国土空间规划编制有序推进；</w:t>
      </w:r>
      <w:r>
        <w:rPr>
          <w:rFonts w:hint="eastAsia" w:ascii="仿宋" w:hAnsi="仿宋" w:eastAsia="仿宋" w:cs="仿宋"/>
          <w:sz w:val="32"/>
          <w:szCs w:val="32"/>
        </w:rPr>
        <w:t>2、</w:t>
      </w:r>
      <w:r>
        <w:rPr>
          <w:rFonts w:hint="eastAsia" w:ascii="仿宋" w:hAnsi="仿宋" w:eastAsia="仿宋" w:cs="仿宋"/>
          <w:b w:val="0"/>
          <w:bCs w:val="0"/>
          <w:kern w:val="2"/>
          <w:sz w:val="32"/>
          <w:szCs w:val="32"/>
          <w:lang w:val="en-US" w:eastAsia="zh-CN" w:bidi="ar-SA"/>
        </w:rPr>
        <w:t>服务社会经济发展高效有力</w:t>
      </w:r>
      <w:r>
        <w:rPr>
          <w:rFonts w:hint="eastAsia" w:ascii="仿宋" w:hAnsi="仿宋" w:eastAsia="仿宋" w:cs="仿宋"/>
          <w:sz w:val="32"/>
          <w:szCs w:val="32"/>
        </w:rPr>
        <w:t>；3、</w:t>
      </w:r>
      <w:r>
        <w:rPr>
          <w:rFonts w:hint="eastAsia" w:ascii="仿宋" w:hAnsi="仿宋" w:eastAsia="仿宋" w:cs="仿宋"/>
          <w:b w:val="0"/>
          <w:bCs w:val="0"/>
          <w:kern w:val="2"/>
          <w:sz w:val="32"/>
          <w:szCs w:val="32"/>
          <w:lang w:val="en-US" w:eastAsia="zh-CN" w:bidi="ar-SA"/>
        </w:rPr>
        <w:t>耕地保护能力不断加强</w:t>
      </w:r>
      <w:r>
        <w:rPr>
          <w:rFonts w:hint="eastAsia" w:ascii="仿宋" w:hAnsi="仿宋" w:eastAsia="仿宋" w:cs="仿宋"/>
          <w:sz w:val="32"/>
          <w:szCs w:val="32"/>
        </w:rPr>
        <w:t>；4、</w:t>
      </w:r>
      <w:r>
        <w:rPr>
          <w:rFonts w:hint="eastAsia" w:ascii="仿宋" w:hAnsi="仿宋" w:eastAsia="仿宋" w:cs="仿宋"/>
          <w:b w:val="0"/>
          <w:bCs w:val="0"/>
          <w:kern w:val="2"/>
          <w:sz w:val="32"/>
          <w:szCs w:val="32"/>
          <w:lang w:val="en-US" w:eastAsia="zh-CN" w:bidi="ar-SA"/>
        </w:rPr>
        <w:t>用地用矿秩序持续好转</w:t>
      </w:r>
      <w:r>
        <w:rPr>
          <w:rFonts w:hint="eastAsia" w:ascii="仿宋" w:hAnsi="仿宋" w:eastAsia="仿宋" w:cs="仿宋"/>
          <w:sz w:val="32"/>
          <w:szCs w:val="32"/>
        </w:rPr>
        <w:t>；5、</w:t>
      </w:r>
      <w:r>
        <w:rPr>
          <w:rFonts w:hint="eastAsia" w:ascii="仿宋" w:hAnsi="仿宋" w:eastAsia="仿宋" w:cs="仿宋"/>
          <w:b w:val="0"/>
          <w:bCs w:val="0"/>
          <w:kern w:val="2"/>
          <w:sz w:val="32"/>
          <w:szCs w:val="32"/>
          <w:lang w:val="en-US" w:eastAsia="zh-CN" w:bidi="ar-SA"/>
        </w:rPr>
        <w:t>为民服务水平不断提高</w:t>
      </w:r>
      <w:r>
        <w:rPr>
          <w:rFonts w:hint="eastAsia" w:ascii="仿宋" w:hAnsi="仿宋" w:eastAsia="仿宋" w:cs="仿宋"/>
          <w:sz w:val="32"/>
          <w:szCs w:val="32"/>
        </w:rPr>
        <w:t>；6、</w:t>
      </w:r>
      <w:r>
        <w:rPr>
          <w:rFonts w:hint="eastAsia" w:ascii="仿宋" w:hAnsi="仿宋" w:eastAsia="仿宋" w:cs="仿宋"/>
          <w:b w:val="0"/>
          <w:bCs w:val="0"/>
          <w:kern w:val="2"/>
          <w:sz w:val="32"/>
          <w:szCs w:val="32"/>
          <w:lang w:val="en-US" w:eastAsia="zh-CN" w:bidi="ar-SA"/>
        </w:rPr>
        <w:t>作风效能不断提升</w:t>
      </w:r>
      <w:r>
        <w:rPr>
          <w:rFonts w:hint="eastAsia" w:ascii="仿宋" w:hAnsi="仿宋" w:eastAsia="仿宋" w:cs="仿宋"/>
          <w:sz w:val="32"/>
          <w:szCs w:val="32"/>
          <w:lang w:eastAsia="zh-CN"/>
        </w:rPr>
        <w:t>。</w:t>
      </w: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1A5CC25F">
      <w:pPr>
        <w:spacing w:line="594"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年部门整体支出规模</w:t>
      </w:r>
      <w:r>
        <w:rPr>
          <w:rFonts w:hint="eastAsia" w:ascii="仿宋_GB2312" w:eastAsia="仿宋_GB2312"/>
          <w:sz w:val="32"/>
          <w:szCs w:val="32"/>
          <w:lang w:val="en-US" w:eastAsia="zh-CN"/>
        </w:rPr>
        <w:t>25568.19</w:t>
      </w:r>
      <w:r>
        <w:rPr>
          <w:rFonts w:hint="eastAsia" w:ascii="仿宋_GB2312" w:eastAsia="仿宋_GB2312"/>
          <w:sz w:val="32"/>
          <w:szCs w:val="32"/>
        </w:rPr>
        <w:t>万元，主要使用方向是</w:t>
      </w:r>
      <w:r>
        <w:rPr>
          <w:rFonts w:hint="eastAsia" w:ascii="仿宋" w:hAnsi="仿宋" w:eastAsia="仿宋" w:cs="仿宋"/>
          <w:sz w:val="32"/>
          <w:szCs w:val="32"/>
        </w:rPr>
        <w:t>履行全民所有土地、矿产、森林、草原、湿地、水等自然资源资产所有者职责和国土空间用途管制、城乡规划管理工作</w:t>
      </w:r>
      <w:r>
        <w:rPr>
          <w:rFonts w:hint="eastAsia" w:ascii="仿宋_GB2312" w:eastAsia="仿宋_GB2312"/>
          <w:sz w:val="32"/>
          <w:szCs w:val="32"/>
        </w:rPr>
        <w:t>，主要内容与涉及范围是依法履行职能所发生的各项费用，包括基本支出和项目支出，基本支出为保障</w:t>
      </w:r>
      <w:r>
        <w:rPr>
          <w:rFonts w:hint="eastAsia" w:ascii="仿宋_GB2312" w:eastAsia="仿宋_GB2312"/>
          <w:sz w:val="32"/>
          <w:szCs w:val="32"/>
          <w:lang w:eastAsia="zh-CN"/>
        </w:rPr>
        <w:t>单位</w:t>
      </w:r>
      <w:r>
        <w:rPr>
          <w:rFonts w:hint="eastAsia" w:ascii="仿宋_GB2312" w:eastAsia="仿宋_GB2312"/>
          <w:sz w:val="32"/>
          <w:szCs w:val="32"/>
        </w:rPr>
        <w:t>运转和完成日常工作任务发生的支出，包括人员支出和公用经费支出，项目支出为包括列入项目支出的业务经费、基础设施建设经费等。</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default"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基本支出3617.62万元，是为保障各部门正常运转、完成日常工作任务而发生的各项支出，主要包括工资福利支出3041.49万元，商品和服务支出512.36万元，对个人和家庭支出33.2万元。资本性支出30.57万元。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“三公”经费支出情况：2024年，“三公”经费完成23.39万元，比上年减少2.6万元，主要原因是：厉行节约严控公用经费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无公车购置费，无</w:t>
      </w:r>
      <w:r>
        <w:rPr>
          <w:rFonts w:hint="eastAsia" w:ascii="仿宋" w:hAnsi="仿宋" w:eastAsia="仿宋"/>
          <w:sz w:val="32"/>
          <w:szCs w:val="24"/>
        </w:rPr>
        <w:t>公务用车运行维护费</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项目支出21950.57万元，包含：</w:t>
      </w:r>
      <w:r>
        <w:rPr>
          <w:rFonts w:hint="eastAsia" w:ascii="仿宋_GB2312" w:eastAsia="仿宋_GB2312"/>
          <w:sz w:val="32"/>
          <w:szCs w:val="32"/>
        </w:rPr>
        <w:t>上级补助</w:t>
      </w:r>
      <w:r>
        <w:rPr>
          <w:rFonts w:hint="eastAsia" w:ascii="仿宋_GB2312" w:eastAsia="仿宋_GB2312"/>
          <w:sz w:val="32"/>
          <w:szCs w:val="32"/>
          <w:lang w:eastAsia="zh-CN"/>
        </w:rPr>
        <w:t>办公</w:t>
      </w:r>
      <w:r>
        <w:rPr>
          <w:rFonts w:hint="eastAsia" w:ascii="仿宋_GB2312" w:eastAsia="仿宋_GB2312"/>
          <w:sz w:val="32"/>
          <w:szCs w:val="32"/>
        </w:rPr>
        <w:t>经费和上级补助</w:t>
      </w:r>
      <w:r>
        <w:rPr>
          <w:rFonts w:hint="eastAsia" w:ascii="仿宋_GB2312" w:eastAsia="仿宋_GB2312"/>
          <w:sz w:val="32"/>
          <w:szCs w:val="32"/>
          <w:lang w:eastAsia="zh-CN"/>
        </w:rPr>
        <w:t>业务</w:t>
      </w:r>
      <w:r>
        <w:rPr>
          <w:rFonts w:hint="eastAsia" w:ascii="仿宋_GB2312" w:eastAsia="仿宋_GB2312"/>
          <w:sz w:val="32"/>
          <w:szCs w:val="32"/>
        </w:rPr>
        <w:t>经费</w:t>
      </w:r>
      <w:r>
        <w:rPr>
          <w:rFonts w:hint="eastAsia" w:ascii="仿宋_GB2312" w:eastAsia="仿宋_GB2312"/>
          <w:sz w:val="32"/>
          <w:szCs w:val="32"/>
          <w:lang w:eastAsia="zh-CN"/>
        </w:rPr>
        <w:t>以及项目建设支出经费等。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eastAsia"/>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17015.2</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0A4D8EE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根据《部门整体支出绩效评价指标》评分，得分</w:t>
      </w:r>
      <w:r>
        <w:rPr>
          <w:rFonts w:hint="eastAsia" w:ascii="仿宋_GB2312" w:eastAsia="仿宋_GB2312"/>
          <w:sz w:val="32"/>
          <w:szCs w:val="32"/>
          <w:lang w:val="en-US" w:eastAsia="zh-CN"/>
        </w:rPr>
        <w:t>100</w:t>
      </w:r>
      <w:r>
        <w:rPr>
          <w:rFonts w:hint="eastAsia" w:ascii="仿宋_GB2312" w:eastAsia="仿宋_GB2312"/>
          <w:sz w:val="32"/>
          <w:szCs w:val="32"/>
        </w:rPr>
        <w:t>分，绩效评价等级为“优”。主要绩效如下：</w:t>
      </w:r>
    </w:p>
    <w:p w14:paraId="5D3DA547">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（一）国土空间规划编制有序推进</w:t>
      </w:r>
    </w:p>
    <w:p w14:paraId="3D05F93A">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Style w:val="10"/>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kern w:val="2"/>
          <w:sz w:val="32"/>
          <w:szCs w:val="32"/>
          <w:lang w:val="en-US" w:eastAsia="zh-CN" w:bidi="ar-SA"/>
        </w:rPr>
        <w:t>坚持规划引领高质量发展，</w:t>
      </w:r>
      <w:r>
        <w:rPr>
          <w:rFonts w:hint="eastAsia" w:ascii="仿宋" w:hAnsi="仿宋" w:eastAsia="仿宋" w:cs="仿宋"/>
          <w:b w:val="0"/>
          <w:bCs w:val="0"/>
          <w:color w:val="auto"/>
          <w:sz w:val="32"/>
          <w:szCs w:val="32"/>
        </w:rPr>
        <w:t>统筹推进国土空间规划编制</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kern w:val="2"/>
          <w:sz w:val="32"/>
          <w:szCs w:val="32"/>
          <w:lang w:val="en-US" w:eastAsia="zh-CN" w:bidi="ar-SA"/>
        </w:rPr>
        <w:t>第三次国土调查和“三区三线”成果正式启用，</w:t>
      </w:r>
      <w:r>
        <w:rPr>
          <w:rFonts w:hint="eastAsia" w:ascii="仿宋" w:hAnsi="仿宋" w:eastAsia="仿宋" w:cs="仿宋"/>
          <w:b w:val="0"/>
          <w:bCs w:val="0"/>
          <w:color w:val="auto"/>
          <w:sz w:val="32"/>
          <w:szCs w:val="32"/>
        </w:rPr>
        <w:t>划定永久基本农田43.37万亩</w:t>
      </w:r>
      <w:r>
        <w:rPr>
          <w:rFonts w:hint="eastAsia" w:ascii="仿宋" w:hAnsi="仿宋" w:eastAsia="仿宋" w:cs="仿宋"/>
          <w:b w:val="0"/>
          <w:bCs w:val="0"/>
          <w:color w:val="auto"/>
          <w:sz w:val="32"/>
          <w:szCs w:val="32"/>
          <w:lang w:eastAsia="zh-CN"/>
        </w:rPr>
        <w:t>，划定</w:t>
      </w:r>
      <w:r>
        <w:rPr>
          <w:rFonts w:hint="eastAsia" w:ascii="仿宋" w:hAnsi="仿宋" w:eastAsia="仿宋" w:cs="仿宋"/>
          <w:b w:val="0"/>
          <w:bCs w:val="0"/>
          <w:color w:val="auto"/>
          <w:sz w:val="32"/>
          <w:szCs w:val="32"/>
        </w:rPr>
        <w:t>生态保护红线1326.25平方公里，</w:t>
      </w:r>
      <w:r>
        <w:rPr>
          <w:rFonts w:hint="eastAsia" w:ascii="仿宋" w:hAnsi="仿宋" w:eastAsia="仿宋" w:cs="仿宋"/>
          <w:b w:val="0"/>
          <w:bCs w:val="0"/>
          <w:color w:val="auto"/>
          <w:sz w:val="32"/>
          <w:szCs w:val="32"/>
          <w:lang w:eastAsia="zh-CN"/>
        </w:rPr>
        <w:t>划定</w:t>
      </w:r>
      <w:r>
        <w:rPr>
          <w:rFonts w:hint="eastAsia" w:ascii="仿宋" w:hAnsi="仿宋" w:eastAsia="仿宋" w:cs="仿宋"/>
          <w:b w:val="0"/>
          <w:bCs w:val="0"/>
          <w:color w:val="auto"/>
          <w:sz w:val="32"/>
          <w:szCs w:val="32"/>
        </w:rPr>
        <w:t>城镇开发边界规模35.93平方公里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县级国土空间总体规划</w:t>
      </w:r>
      <w:r>
        <w:rPr>
          <w:rFonts w:hint="eastAsia" w:ascii="仿宋" w:hAnsi="仿宋" w:eastAsia="仿宋" w:cs="仿宋"/>
          <w:b w:val="0"/>
          <w:bCs w:val="0"/>
          <w:color w:val="auto"/>
          <w:sz w:val="32"/>
          <w:szCs w:val="32"/>
          <w:lang w:eastAsia="zh-CN"/>
        </w:rPr>
        <w:t>初稿</w:t>
      </w:r>
      <w:r>
        <w:rPr>
          <w:rFonts w:hint="eastAsia" w:ascii="仿宋" w:hAnsi="仿宋" w:eastAsia="仿宋" w:cs="仿宋"/>
          <w:b w:val="0"/>
          <w:bCs w:val="0"/>
          <w:color w:val="auto"/>
          <w:sz w:val="32"/>
          <w:szCs w:val="32"/>
        </w:rPr>
        <w:t>编制</w:t>
      </w:r>
      <w:r>
        <w:rPr>
          <w:rFonts w:hint="eastAsia" w:ascii="仿宋" w:hAnsi="仿宋" w:eastAsia="仿宋" w:cs="仿宋"/>
          <w:b w:val="0"/>
          <w:bCs w:val="0"/>
          <w:color w:val="auto"/>
          <w:sz w:val="32"/>
          <w:szCs w:val="32"/>
          <w:lang w:eastAsia="zh-CN"/>
        </w:rPr>
        <w:t>完成</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kern w:val="2"/>
          <w:sz w:val="32"/>
          <w:szCs w:val="32"/>
          <w:lang w:val="en-US" w:eastAsia="zh-CN" w:bidi="ar-SA"/>
        </w:rPr>
        <w:t>乡镇国土空间规划编制正在开展试点，国土空间规划“一张图”实施监督系统已通过市级初审。按照省厅关于2024年度村庄规划编制工作要求，完成185个村庄规划编制任务。</w:t>
      </w:r>
    </w:p>
    <w:p w14:paraId="56673841">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（二）服务社会经济发展高效有力</w:t>
      </w:r>
    </w:p>
    <w:p w14:paraId="4BC938A2">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1.全力开展土地报批。</w:t>
      </w:r>
      <w:r>
        <w:rPr>
          <w:rFonts w:hint="eastAsia" w:ascii="仿宋" w:hAnsi="仿宋" w:eastAsia="仿宋" w:cs="仿宋"/>
          <w:b w:val="0"/>
          <w:bCs w:val="0"/>
          <w:sz w:val="32"/>
          <w:szCs w:val="32"/>
        </w:rPr>
        <w:t>根据承诺供地期限和指标节余情况统筹开展农用地转用、土地征收</w:t>
      </w:r>
      <w:r>
        <w:rPr>
          <w:rFonts w:hint="eastAsia" w:ascii="仿宋" w:hAnsi="仿宋" w:eastAsia="仿宋" w:cs="仿宋"/>
          <w:b w:val="0"/>
          <w:bCs w:val="0"/>
          <w:sz w:val="32"/>
          <w:szCs w:val="32"/>
          <w:lang w:eastAsia="zh-CN"/>
        </w:rPr>
        <w:t>报</w:t>
      </w:r>
      <w:r>
        <w:rPr>
          <w:rFonts w:hint="eastAsia" w:ascii="仿宋" w:hAnsi="仿宋" w:eastAsia="仿宋" w:cs="仿宋"/>
          <w:b w:val="0"/>
          <w:bCs w:val="0"/>
          <w:sz w:val="32"/>
          <w:szCs w:val="32"/>
        </w:rPr>
        <w:t>批工作，</w:t>
      </w:r>
      <w:r>
        <w:rPr>
          <w:rFonts w:hint="eastAsia" w:ascii="仿宋" w:hAnsi="仿宋" w:eastAsia="仿宋" w:cs="仿宋"/>
          <w:b w:val="0"/>
          <w:bCs w:val="0"/>
          <w:kern w:val="2"/>
          <w:sz w:val="32"/>
          <w:szCs w:val="32"/>
          <w:lang w:val="en-US" w:eastAsia="zh-CN" w:bidi="ar-SA"/>
        </w:rPr>
        <w:t>全年上报新增建设用地29批次，1548亩，新增建设储备土地571.998亩，较好地保障了全县基础设施、民生工程、城镇建设等重大项目用地需求。</w:t>
      </w:r>
      <w:r>
        <w:rPr>
          <w:rFonts w:hint="eastAsia" w:ascii="仿宋" w:hAnsi="仿宋" w:eastAsia="仿宋" w:cs="仿宋"/>
          <w:b w:val="0"/>
          <w:bCs w:val="0"/>
          <w:sz w:val="32"/>
          <w:szCs w:val="32"/>
          <w:lang w:eastAsia="zh-CN"/>
        </w:rPr>
        <w:t>批准农村村民建房农用地转用</w:t>
      </w:r>
      <w:r>
        <w:rPr>
          <w:rFonts w:hint="eastAsia" w:ascii="仿宋" w:hAnsi="仿宋" w:eastAsia="仿宋" w:cs="仿宋"/>
          <w:b w:val="0"/>
          <w:bCs w:val="0"/>
          <w:sz w:val="32"/>
          <w:szCs w:val="32"/>
          <w:lang w:val="en-US" w:eastAsia="zh-CN"/>
        </w:rPr>
        <w:t>63</w:t>
      </w:r>
      <w:r>
        <w:rPr>
          <w:rFonts w:hint="eastAsia" w:ascii="仿宋" w:hAnsi="仿宋" w:eastAsia="仿宋" w:cs="仿宋"/>
          <w:b w:val="0"/>
          <w:bCs w:val="0"/>
          <w:sz w:val="32"/>
          <w:szCs w:val="32"/>
          <w:lang w:eastAsia="zh-CN"/>
        </w:rPr>
        <w:t>批次，涉及村民</w:t>
      </w:r>
      <w:r>
        <w:rPr>
          <w:rFonts w:hint="eastAsia" w:ascii="仿宋" w:hAnsi="仿宋" w:eastAsia="仿宋" w:cs="仿宋"/>
          <w:b w:val="0"/>
          <w:bCs w:val="0"/>
          <w:sz w:val="32"/>
          <w:szCs w:val="32"/>
          <w:lang w:val="en-US" w:eastAsia="zh-CN"/>
        </w:rPr>
        <w:t>563</w:t>
      </w:r>
      <w:r>
        <w:rPr>
          <w:rFonts w:hint="eastAsia" w:ascii="仿宋" w:hAnsi="仿宋" w:eastAsia="仿宋" w:cs="仿宋"/>
          <w:b w:val="0"/>
          <w:bCs w:val="0"/>
          <w:sz w:val="32"/>
          <w:szCs w:val="32"/>
          <w:lang w:eastAsia="zh-CN"/>
        </w:rPr>
        <w:t>户批准用地总面积</w:t>
      </w:r>
      <w:r>
        <w:rPr>
          <w:rFonts w:hint="eastAsia" w:ascii="仿宋" w:hAnsi="仿宋" w:eastAsia="仿宋" w:cs="仿宋"/>
          <w:b w:val="0"/>
          <w:bCs w:val="0"/>
          <w:kern w:val="2"/>
          <w:sz w:val="32"/>
          <w:szCs w:val="32"/>
          <w:lang w:val="en-US" w:eastAsia="zh-CN" w:bidi="ar-SA"/>
        </w:rPr>
        <w:t>136</w:t>
      </w:r>
      <w:r>
        <w:rPr>
          <w:rFonts w:hint="eastAsia" w:ascii="仿宋" w:hAnsi="仿宋" w:eastAsia="仿宋" w:cs="仿宋"/>
          <w:b w:val="0"/>
          <w:bCs w:val="0"/>
          <w:sz w:val="32"/>
          <w:szCs w:val="32"/>
          <w:lang w:val="en-US" w:eastAsia="zh-CN"/>
        </w:rPr>
        <w:t>亩，</w:t>
      </w:r>
      <w:r>
        <w:rPr>
          <w:rFonts w:hint="eastAsia" w:ascii="仿宋" w:hAnsi="仿宋" w:eastAsia="仿宋" w:cs="仿宋"/>
          <w:b w:val="0"/>
          <w:bCs w:val="0"/>
          <w:kern w:val="2"/>
          <w:sz w:val="32"/>
          <w:szCs w:val="32"/>
          <w:lang w:val="en-US" w:eastAsia="zh-CN" w:bidi="ar-SA"/>
        </w:rPr>
        <w:t>充分保障农村村民建房用地需求</w:t>
      </w:r>
      <w:r>
        <w:rPr>
          <w:rFonts w:hint="eastAsia" w:ascii="仿宋" w:hAnsi="仿宋" w:eastAsia="仿宋" w:cs="仿宋"/>
          <w:b w:val="0"/>
          <w:bCs w:val="0"/>
          <w:sz w:val="32"/>
          <w:szCs w:val="32"/>
          <w:lang w:eastAsia="zh-CN"/>
        </w:rPr>
        <w:t>；</w:t>
      </w:r>
    </w:p>
    <w:p w14:paraId="375F362A">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2.全力加强土地供应。</w:t>
      </w:r>
      <w:r>
        <w:rPr>
          <w:rFonts w:hint="eastAsia" w:ascii="仿宋" w:hAnsi="仿宋" w:eastAsia="仿宋" w:cs="仿宋"/>
          <w:b w:val="0"/>
          <w:bCs w:val="0"/>
          <w:sz w:val="32"/>
          <w:szCs w:val="32"/>
        </w:rPr>
        <w:t>坚持“依法依规、从严从紧、有保有压、节约集约”的原则，严格审批土地供应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坚持土地配置联席会议制度，全面实行工业用地弹性出让，切实做好“净地”供应，</w:t>
      </w:r>
      <w:r>
        <w:rPr>
          <w:rFonts w:hint="eastAsia" w:ascii="仿宋" w:hAnsi="仿宋" w:eastAsia="仿宋" w:cs="仿宋"/>
          <w:b w:val="0"/>
          <w:bCs w:val="0"/>
          <w:sz w:val="32"/>
          <w:szCs w:val="32"/>
          <w:lang w:eastAsia="zh-CN"/>
        </w:rPr>
        <w:t>全成</w:t>
      </w:r>
      <w:r>
        <w:rPr>
          <w:rFonts w:hint="eastAsia" w:ascii="仿宋" w:hAnsi="仿宋" w:eastAsia="仿宋" w:cs="仿宋"/>
          <w:b w:val="0"/>
          <w:bCs w:val="0"/>
          <w:kern w:val="2"/>
          <w:sz w:val="32"/>
          <w:szCs w:val="32"/>
          <w:lang w:val="en-US" w:eastAsia="zh-CN" w:bidi="ar-SA"/>
        </w:rPr>
        <w:t>完成划拨及出让各类建设用地327宗1242.9亩，实现土地总收益3.07亿元，完成协税控税2.33亿元。</w:t>
      </w:r>
    </w:p>
    <w:p w14:paraId="7CE2B518">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（三）耕地保护能力不断加强</w:t>
      </w:r>
    </w:p>
    <w:p w14:paraId="765D00AE">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全面推进田长制工作，县委县政府印发</w:t>
      </w:r>
      <w:r>
        <w:rPr>
          <w:rFonts w:hint="eastAsia" w:ascii="仿宋" w:hAnsi="仿宋" w:eastAsia="仿宋" w:cs="仿宋"/>
          <w:b w:val="0"/>
          <w:bCs w:val="0"/>
          <w:sz w:val="32"/>
          <w:szCs w:val="32"/>
          <w:lang w:val="en-US" w:eastAsia="zh-CN"/>
        </w:rPr>
        <w:t>了《安化县全面推行田长制严格耕地保护实施方案》等一系列制度文件，设立县、乡、村、组四级田长2179名（县级田长25名、乡镇级田长262名、村级田长419名，组级网格1473名），全县田长制体系和基础设施建设基本完成，实现村组（网格）田长全覆盖。</w:t>
      </w:r>
      <w:r>
        <w:rPr>
          <w:rFonts w:hint="eastAsia" w:ascii="仿宋" w:hAnsi="仿宋" w:eastAsia="仿宋" w:cs="仿宋"/>
          <w:b w:val="0"/>
          <w:bCs w:val="0"/>
          <w:color w:val="auto"/>
          <w:sz w:val="32"/>
          <w:szCs w:val="32"/>
          <w:lang w:val="en-US" w:eastAsia="zh-CN"/>
        </w:rPr>
        <w:t>带位置下达耕地保护底线目标，</w:t>
      </w:r>
      <w:r>
        <w:rPr>
          <w:rFonts w:hint="eastAsia" w:ascii="仿宋" w:hAnsi="仿宋" w:eastAsia="仿宋" w:cs="仿宋"/>
          <w:b w:val="0"/>
          <w:bCs w:val="0"/>
          <w:sz w:val="32"/>
          <w:szCs w:val="32"/>
          <w:lang w:val="en-US" w:eastAsia="zh-CN"/>
        </w:rPr>
        <w:t>完成2024年国土变更调查耕地减少整改补足任务1568.44亩，完成2024年恢复耕地任务1.3361万亩，确保了全县年度49.14万亩耕地底线目标不被突破。</w:t>
      </w:r>
      <w:r>
        <w:rPr>
          <w:rFonts w:hint="eastAsia" w:ascii="仿宋" w:hAnsi="仿宋" w:eastAsia="仿宋" w:cs="仿宋"/>
          <w:b w:val="0"/>
          <w:bCs w:val="0"/>
          <w:color w:val="auto"/>
          <w:sz w:val="32"/>
          <w:szCs w:val="32"/>
          <w:lang w:val="en-US" w:eastAsia="zh-CN"/>
        </w:rPr>
        <w:t>完成部系统下发357个图斑核实和现场举证，举证流入211.35亩耕地，对流出的耕地面积43.35亩进行补足，</w:t>
      </w:r>
      <w:r>
        <w:rPr>
          <w:rFonts w:hint="eastAsia" w:ascii="仿宋" w:hAnsi="仿宋" w:eastAsia="仿宋" w:cs="仿宋"/>
          <w:b w:val="0"/>
          <w:bCs w:val="0"/>
          <w:color w:val="auto"/>
          <w:kern w:val="0"/>
          <w:sz w:val="32"/>
          <w:szCs w:val="32"/>
        </w:rPr>
        <w:t>“进”大于“出”</w:t>
      </w:r>
      <w:r>
        <w:rPr>
          <w:rFonts w:hint="eastAsia" w:ascii="仿宋" w:hAnsi="仿宋" w:eastAsia="仿宋" w:cs="仿宋"/>
          <w:b w:val="0"/>
          <w:bCs w:val="0"/>
          <w:color w:val="auto"/>
          <w:kern w:val="0"/>
          <w:sz w:val="32"/>
          <w:szCs w:val="32"/>
          <w:lang w:val="en-US" w:eastAsia="zh-CN"/>
        </w:rPr>
        <w:t>168</w:t>
      </w:r>
      <w:r>
        <w:rPr>
          <w:rFonts w:hint="eastAsia" w:ascii="仿宋" w:hAnsi="仿宋" w:eastAsia="仿宋" w:cs="仿宋"/>
          <w:b w:val="0"/>
          <w:bCs w:val="0"/>
          <w:color w:val="auto"/>
          <w:kern w:val="0"/>
          <w:sz w:val="32"/>
          <w:szCs w:val="32"/>
        </w:rPr>
        <w:t>亩</w:t>
      </w:r>
      <w:r>
        <w:rPr>
          <w:rFonts w:hint="eastAsia" w:ascii="仿宋" w:hAnsi="仿宋" w:eastAsia="仿宋" w:cs="仿宋"/>
          <w:b w:val="0"/>
          <w:bCs w:val="0"/>
          <w:color w:val="auto"/>
          <w:kern w:val="0"/>
          <w:sz w:val="32"/>
          <w:szCs w:val="32"/>
          <w:lang w:eastAsia="zh-CN"/>
        </w:rPr>
        <w:t>，实现</w:t>
      </w:r>
      <w:r>
        <w:rPr>
          <w:rFonts w:hint="eastAsia" w:ascii="仿宋" w:hAnsi="仿宋" w:eastAsia="仿宋" w:cs="仿宋"/>
          <w:b w:val="0"/>
          <w:bCs w:val="0"/>
          <w:color w:val="auto"/>
          <w:kern w:val="0"/>
          <w:sz w:val="32"/>
          <w:szCs w:val="32"/>
          <w:lang w:val="en-US" w:eastAsia="zh-CN"/>
        </w:rPr>
        <w:t>年度耕地</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进出平衡</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w:t>
      </w:r>
      <w:r>
        <w:rPr>
          <w:rFonts w:hint="eastAsia" w:ascii="仿宋" w:hAnsi="仿宋" w:eastAsia="仿宋" w:cs="仿宋"/>
          <w:b w:val="0"/>
          <w:bCs w:val="0"/>
          <w:sz w:val="32"/>
          <w:szCs w:val="32"/>
          <w:lang w:val="en-US" w:eastAsia="zh-CN"/>
        </w:rPr>
        <w:t>加大争资立项，鼓励社会投资，多渠道进行耕地补充，完成补充耕地“回头看”项目指标入库（销号）20个；完成复核选址社会投资土地开发项目10个，立项实施9个，项目建设规模53.3337公顷，预计新增耕地47.6915公顷；结合矿山生态修复启动2023年度城乡建设用地增减挂钩项目，完成前期选址、实施方案编制等工作，并将任务分解下达至各乡镇，复垦面积38.1563公顷。</w:t>
      </w:r>
    </w:p>
    <w:p w14:paraId="6B875D36">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（四）用地用矿秩序持续好转</w:t>
      </w:r>
    </w:p>
    <w:p w14:paraId="2563B0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1.有效推动“三地”清理。</w:t>
      </w:r>
      <w:r>
        <w:rPr>
          <w:rFonts w:hint="eastAsia" w:ascii="仿宋" w:hAnsi="仿宋" w:eastAsia="仿宋" w:cs="仿宋"/>
          <w:b w:val="0"/>
          <w:bCs w:val="0"/>
          <w:sz w:val="32"/>
          <w:szCs w:val="32"/>
          <w:lang w:val="en-US" w:eastAsia="zh-CN"/>
        </w:rPr>
        <w:t>累计收到违法用地整治任务45宗255.35亩，其中耕地面积77.47亩（包含永久基本农田面积34.82亩），整改到位16宗31.95亩，整改率35.56%；收到新增批而未供土地处置任务6宗320.17亩，完成处置314.41亩，处置率98.2%；收到新增闲置土地处置任务6宗37.33亩，其中净地攻坚行动任务2宗22.49亩，执法行动任务3宗14.84亩，完成处置37.33亩，处置率100%。</w:t>
      </w:r>
    </w:p>
    <w:p w14:paraId="696D86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2.严格自然资源督查执法。</w:t>
      </w:r>
      <w:r>
        <w:rPr>
          <w:rFonts w:hint="eastAsia" w:ascii="仿宋" w:hAnsi="仿宋" w:eastAsia="仿宋" w:cs="仿宋"/>
          <w:b w:val="0"/>
          <w:bCs w:val="0"/>
          <w:sz w:val="32"/>
          <w:szCs w:val="32"/>
          <w:lang w:val="en-US" w:eastAsia="zh-CN"/>
        </w:rPr>
        <w:t>建立自然资源调查监测系统，构建“天空地网”一体化监测体系，完成铁塔监测视频摄像头安装69个，有效地补充了卫星监测的不足。加强督察反馈问题整改，2024年耕地保护督察反馈问题78个，整改到位63个，整改率80.77%；矿产资源督察反馈问题7个，均已整改到位；加强监督执法，全年立案查处违法用地共立案查处违法案件68件，移送公安部门追究刑事责任共2件，向法院申请强制执行8件，全年共处罚款1600万元。</w:t>
      </w:r>
    </w:p>
    <w:p w14:paraId="437255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3.推动矿山生态环境整治。</w:t>
      </w:r>
      <w:r>
        <w:rPr>
          <w:rFonts w:hint="eastAsia" w:ascii="仿宋" w:hAnsi="仿宋" w:eastAsia="仿宋" w:cs="仿宋"/>
          <w:b w:val="0"/>
          <w:bCs w:val="0"/>
          <w:sz w:val="32"/>
          <w:szCs w:val="32"/>
          <w:lang w:val="en-US" w:eastAsia="zh-CN"/>
        </w:rPr>
        <w:t>深入开展砂石土矿专项整治，规划设置25个砂石土矿规划开采区块，完成14个区块的前期勘察工作，挂牌出让矿权2个；成功申报并获批山水林田湖沙一体化保护和修复工程项目，开展历史遗留矿山生态修复，完成历史遗留矿山图斑8个8.23公顷的生态修复。不断提升绿色矿山建设质量，严格绿色矿山监管，2024年完成绿色矿山建设2家，至2024年底我县已完成绿色矿山建设9家。</w:t>
      </w:r>
    </w:p>
    <w:p w14:paraId="2043A00E">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（五）为民服务水平不断提高</w:t>
      </w:r>
    </w:p>
    <w:p w14:paraId="06A272F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color w:val="000000"/>
          <w:kern w:val="2"/>
          <w:sz w:val="32"/>
          <w:szCs w:val="32"/>
          <w:shd w:val="clear" w:color="auto" w:fill="FFFFFF"/>
          <w:lang w:val="en-US" w:eastAsia="zh-CN" w:bidi="ar-SA"/>
        </w:rPr>
      </w:pPr>
      <w:r>
        <w:rPr>
          <w:rFonts w:hint="eastAsia" w:ascii="仿宋" w:hAnsi="仿宋" w:eastAsia="仿宋" w:cs="仿宋"/>
          <w:b w:val="0"/>
          <w:bCs w:val="0"/>
          <w:kern w:val="2"/>
          <w:sz w:val="32"/>
          <w:szCs w:val="32"/>
          <w:lang w:val="en-US" w:eastAsia="zh-CN" w:bidi="ar-SA"/>
        </w:rPr>
        <w:t>1.营商环境进一步优化。</w:t>
      </w:r>
      <w:r>
        <w:rPr>
          <w:rFonts w:hint="eastAsia" w:ascii="仿宋" w:hAnsi="仿宋" w:eastAsia="仿宋" w:cs="仿宋"/>
          <w:b w:val="0"/>
          <w:bCs w:val="0"/>
          <w:color w:val="000000"/>
          <w:sz w:val="32"/>
          <w:szCs w:val="32"/>
          <w:lang w:eastAsia="zh-CN"/>
        </w:rPr>
        <w:t>持续</w:t>
      </w:r>
      <w:r>
        <w:rPr>
          <w:rFonts w:hint="eastAsia" w:ascii="仿宋" w:hAnsi="仿宋" w:eastAsia="仿宋" w:cs="仿宋"/>
          <w:b w:val="0"/>
          <w:bCs w:val="0"/>
          <w:color w:val="000000"/>
          <w:kern w:val="2"/>
          <w:sz w:val="32"/>
          <w:szCs w:val="32"/>
          <w:shd w:val="clear" w:color="auto" w:fill="FFFFFF"/>
          <w:lang w:val="en-US" w:eastAsia="zh-CN" w:bidi="ar-SA"/>
        </w:rPr>
        <w:t>完善平台建设，建立自然资源电子政务系统，积极推进“三集中三到位”“一库一平台”工作；根据“一件事一次办”要求，对窗口职能进一步整合优化，实现二手房过户与预告登记“一窗受理、一站办结”，所有类型登记业务平行办理，全年共办理各类登记业务176694笔，发放证书证明</w:t>
      </w:r>
      <w:r>
        <w:rPr>
          <w:rFonts w:hint="eastAsia" w:ascii="仿宋" w:hAnsi="仿宋" w:eastAsia="仿宋" w:cs="仿宋"/>
          <w:b w:val="0"/>
          <w:bCs w:val="0"/>
          <w:color w:val="000000"/>
          <w:sz w:val="32"/>
          <w:szCs w:val="32"/>
          <w:lang w:val="en-US" w:eastAsia="zh-CN"/>
        </w:rPr>
        <w:t>211511</w:t>
      </w:r>
      <w:r>
        <w:rPr>
          <w:rFonts w:hint="eastAsia" w:ascii="仿宋" w:hAnsi="仿宋" w:eastAsia="仿宋" w:cs="仿宋"/>
          <w:b w:val="0"/>
          <w:bCs w:val="0"/>
          <w:color w:val="000000"/>
          <w:sz w:val="32"/>
          <w:szCs w:val="32"/>
        </w:rPr>
        <w:t>本</w:t>
      </w:r>
      <w:r>
        <w:rPr>
          <w:rFonts w:hint="eastAsia" w:ascii="仿宋" w:hAnsi="仿宋" w:eastAsia="仿宋" w:cs="仿宋"/>
          <w:b w:val="0"/>
          <w:bCs w:val="0"/>
          <w:color w:val="000000"/>
          <w:kern w:val="2"/>
          <w:sz w:val="32"/>
          <w:szCs w:val="32"/>
          <w:shd w:val="clear" w:color="auto" w:fill="FFFFFF"/>
          <w:lang w:val="en-US" w:eastAsia="zh-CN" w:bidi="ar-SA"/>
        </w:rPr>
        <w:t>。</w:t>
      </w:r>
    </w:p>
    <w:p w14:paraId="084AC9F4">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kern w:val="2"/>
          <w:sz w:val="32"/>
          <w:szCs w:val="32"/>
          <w:lang w:val="en-US" w:eastAsia="zh-CN" w:bidi="ar-SA"/>
        </w:rPr>
        <w:t>2.新建商品房“交房即交证”工作全面铺开。</w:t>
      </w:r>
      <w:r>
        <w:rPr>
          <w:rFonts w:hint="eastAsia" w:ascii="仿宋" w:hAnsi="仿宋" w:eastAsia="仿宋" w:cs="仿宋"/>
          <w:b w:val="0"/>
          <w:bCs w:val="0"/>
          <w:color w:val="000000"/>
          <w:kern w:val="2"/>
          <w:sz w:val="32"/>
          <w:szCs w:val="32"/>
          <w:lang w:val="en-US" w:eastAsia="zh-CN" w:bidi="ar-SA"/>
        </w:rPr>
        <w:t>聚焦不动产登记发证的必备条件，进一步简化办事流程，推进信息共享，压实主体责任，加强诚信管理，全县纳入改革范围的11个建设项目，已实施完成6个项目2335户的“交房即交证”，典型工作经验在各级主流媒体宣传推广。</w:t>
      </w:r>
    </w:p>
    <w:p w14:paraId="317149C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kern w:val="2"/>
          <w:sz w:val="32"/>
          <w:szCs w:val="32"/>
          <w:lang w:val="en-US" w:eastAsia="zh-CN" w:bidi="ar-SA"/>
        </w:rPr>
        <w:t>3.问题楼盘化解持续推进。</w:t>
      </w:r>
      <w:r>
        <w:rPr>
          <w:rFonts w:hint="eastAsia" w:ascii="仿宋" w:hAnsi="仿宋" w:eastAsia="仿宋" w:cs="仿宋"/>
          <w:b w:val="0"/>
          <w:bCs w:val="0"/>
          <w:color w:val="000000"/>
          <w:kern w:val="2"/>
          <w:sz w:val="32"/>
          <w:szCs w:val="32"/>
          <w:lang w:val="en-US" w:eastAsia="zh-CN" w:bidi="ar-SA"/>
        </w:rPr>
        <w:t>持续推进房地产办证信访突出问题集中化解专项行动，强势解决楼盘发证难题。</w:t>
      </w:r>
      <w:r>
        <w:rPr>
          <w:rFonts w:hint="eastAsia" w:ascii="仿宋" w:hAnsi="仿宋" w:eastAsia="仿宋" w:cs="仿宋"/>
          <w:b w:val="0"/>
          <w:bCs w:val="0"/>
          <w:color w:val="000000"/>
          <w:sz w:val="32"/>
          <w:szCs w:val="32"/>
          <w:lang w:val="en-US" w:eastAsia="zh-CN"/>
        </w:rPr>
        <w:t>全县累计排查房地产办证问题线索200余个，解决办证遗留问题60余个；分批推进19个问题楼盘项目化解工作，完成项目化解5个，为500余户购房人解决了办证难题。</w:t>
      </w:r>
    </w:p>
    <w:p w14:paraId="37640846">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4.农村宅基地房地一体确权登记发证基本完成。</w:t>
      </w:r>
      <w:r>
        <w:rPr>
          <w:rFonts w:hint="eastAsia" w:ascii="仿宋" w:hAnsi="仿宋" w:eastAsia="仿宋" w:cs="仿宋"/>
          <w:b w:val="0"/>
          <w:bCs w:val="0"/>
          <w:sz w:val="32"/>
          <w:szCs w:val="32"/>
          <w:lang w:val="en-US" w:eastAsia="zh-CN"/>
        </w:rPr>
        <w:t>完成权籍调查188416宗，其中宅基地187399宗，占总宗地数的99.46%，集体建设用地1017宗。目前共完成登记发证168656宗，完成率100%。此项工作获得“全省农村房地一体确权登记工作表扬激励县”称号。</w:t>
      </w:r>
    </w:p>
    <w:p w14:paraId="157A45E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5.地质灾害防范有效。</w:t>
      </w:r>
      <w:r>
        <w:rPr>
          <w:rFonts w:hint="eastAsia" w:ascii="仿宋" w:hAnsi="仿宋" w:eastAsia="仿宋" w:cs="仿宋"/>
          <w:b w:val="0"/>
          <w:bCs w:val="0"/>
          <w:sz w:val="32"/>
          <w:szCs w:val="32"/>
          <w:lang w:eastAsia="zh-CN"/>
        </w:rPr>
        <w:t>加强</w:t>
      </w:r>
      <w:r>
        <w:rPr>
          <w:rFonts w:hint="eastAsia" w:ascii="仿宋" w:hAnsi="仿宋" w:eastAsia="仿宋" w:cs="仿宋"/>
          <w:b w:val="0"/>
          <w:bCs w:val="0"/>
          <w:sz w:val="32"/>
          <w:szCs w:val="32"/>
        </w:rPr>
        <w:t>预警预报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值班值守</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巡查排查，</w:t>
      </w:r>
      <w:r>
        <w:rPr>
          <w:rFonts w:hint="eastAsia" w:ascii="仿宋" w:hAnsi="仿宋" w:eastAsia="仿宋" w:cs="仿宋"/>
          <w:b w:val="0"/>
          <w:bCs w:val="0"/>
          <w:sz w:val="32"/>
          <w:szCs w:val="32"/>
          <w:lang w:eastAsia="zh-CN"/>
        </w:rPr>
        <w:t>严格落实</w:t>
      </w:r>
      <w:r>
        <w:rPr>
          <w:rFonts w:hint="eastAsia" w:ascii="仿宋" w:hAnsi="仿宋" w:eastAsia="仿宋" w:cs="仿宋"/>
          <w:b w:val="0"/>
          <w:bCs w:val="0"/>
          <w:sz w:val="32"/>
          <w:szCs w:val="32"/>
        </w:rPr>
        <w:t>“四包一”责任机制</w:t>
      </w:r>
      <w:r>
        <w:rPr>
          <w:rFonts w:hint="eastAsia" w:ascii="仿宋" w:hAnsi="仿宋" w:eastAsia="仿宋" w:cs="仿宋"/>
          <w:b w:val="0"/>
          <w:bCs w:val="0"/>
          <w:sz w:val="32"/>
          <w:szCs w:val="32"/>
          <w:lang w:eastAsia="zh-CN"/>
        </w:rPr>
        <w:t>，开展地灾治理，成功实现</w:t>
      </w:r>
      <w:r>
        <w:rPr>
          <w:rFonts w:hint="eastAsia" w:ascii="仿宋" w:hAnsi="仿宋" w:eastAsia="仿宋" w:cs="仿宋"/>
          <w:b w:val="0"/>
          <w:bCs w:val="0"/>
          <w:sz w:val="32"/>
          <w:szCs w:val="32"/>
          <w:lang w:val="en-US" w:eastAsia="zh-CN"/>
        </w:rPr>
        <w:t>2024年地质灾害“零”伤亡的目标。</w:t>
      </w:r>
      <w:r>
        <w:rPr>
          <w:rFonts w:hint="eastAsia" w:ascii="仿宋" w:hAnsi="仿宋" w:eastAsia="仿宋" w:cs="仿宋"/>
          <w:b w:val="0"/>
          <w:bCs w:val="0"/>
          <w:kern w:val="2"/>
          <w:sz w:val="32"/>
          <w:szCs w:val="32"/>
          <w:lang w:val="en-US" w:eastAsia="zh-CN" w:bidi="ar-SA"/>
        </w:rPr>
        <w:t>2024年</w:t>
      </w:r>
      <w:r>
        <w:rPr>
          <w:rFonts w:hint="eastAsia" w:ascii="仿宋" w:hAnsi="仿宋" w:eastAsia="仿宋" w:cs="仿宋"/>
          <w:b w:val="0"/>
          <w:bCs w:val="0"/>
          <w:sz w:val="32"/>
          <w:szCs w:val="32"/>
          <w:lang w:val="en-US" w:eastAsia="zh-CN"/>
        </w:rPr>
        <w:t>我县共应对3轮强降雨，启动地质灾害四级应急响应3次，升级三级应急响应1次，不同程度地损坏房屋1500余间，累计转移群众5347余人，成功避险2处；争</w:t>
      </w:r>
      <w:r>
        <w:rPr>
          <w:rFonts w:hint="eastAsia" w:ascii="仿宋" w:hAnsi="仿宋" w:eastAsia="仿宋" w:cs="仿宋"/>
          <w:b w:val="0"/>
          <w:bCs w:val="0"/>
          <w:sz w:val="32"/>
          <w:szCs w:val="32"/>
        </w:rPr>
        <w:t>取重大地质灾害搬迁避让补助资金</w:t>
      </w:r>
      <w:r>
        <w:rPr>
          <w:rFonts w:hint="eastAsia" w:ascii="仿宋" w:hAnsi="仿宋" w:eastAsia="仿宋" w:cs="仿宋"/>
          <w:b w:val="0"/>
          <w:bCs w:val="0"/>
          <w:sz w:val="32"/>
          <w:szCs w:val="32"/>
          <w:lang w:val="en-US" w:eastAsia="zh-CN"/>
        </w:rPr>
        <w:t>1086</w:t>
      </w:r>
      <w:r>
        <w:rPr>
          <w:rFonts w:hint="eastAsia" w:ascii="仿宋" w:hAnsi="仿宋" w:eastAsia="仿宋" w:cs="仿宋"/>
          <w:b w:val="0"/>
          <w:bCs w:val="0"/>
          <w:sz w:val="32"/>
          <w:szCs w:val="32"/>
        </w:rPr>
        <w:t>万元，为</w:t>
      </w:r>
      <w:r>
        <w:rPr>
          <w:rFonts w:hint="eastAsia" w:ascii="仿宋" w:hAnsi="仿宋" w:eastAsia="仿宋" w:cs="仿宋"/>
          <w:b w:val="0"/>
          <w:bCs w:val="0"/>
          <w:sz w:val="32"/>
          <w:szCs w:val="32"/>
          <w:lang w:val="en-US" w:eastAsia="zh-CN"/>
        </w:rPr>
        <w:t>2000余</w:t>
      </w:r>
      <w:r>
        <w:rPr>
          <w:rFonts w:hint="eastAsia" w:ascii="仿宋" w:hAnsi="仿宋" w:eastAsia="仿宋" w:cs="仿宋"/>
          <w:b w:val="0"/>
          <w:bCs w:val="0"/>
          <w:sz w:val="32"/>
          <w:szCs w:val="32"/>
        </w:rPr>
        <w:t>名受灾群众解除了地灾的威胁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投</w:t>
      </w:r>
      <w:r>
        <w:rPr>
          <w:rFonts w:hint="eastAsia" w:ascii="仿宋" w:hAnsi="仿宋" w:eastAsia="仿宋" w:cs="仿宋"/>
          <w:b w:val="0"/>
          <w:bCs w:val="0"/>
          <w:sz w:val="32"/>
          <w:szCs w:val="32"/>
        </w:rPr>
        <w:t>入地质灾害治理</w:t>
      </w:r>
      <w:r>
        <w:rPr>
          <w:rFonts w:hint="eastAsia" w:ascii="仿宋" w:hAnsi="仿宋" w:eastAsia="仿宋" w:cs="仿宋"/>
          <w:b w:val="0"/>
          <w:bCs w:val="0"/>
          <w:sz w:val="32"/>
          <w:szCs w:val="32"/>
          <w:lang w:eastAsia="zh-CN"/>
        </w:rPr>
        <w:t>资金</w:t>
      </w:r>
      <w:r>
        <w:rPr>
          <w:rFonts w:hint="eastAsia" w:ascii="仿宋" w:hAnsi="仿宋" w:eastAsia="仿宋" w:cs="仿宋"/>
          <w:b w:val="0"/>
          <w:bCs w:val="0"/>
          <w:sz w:val="32"/>
          <w:szCs w:val="32"/>
          <w:lang w:val="en-US" w:eastAsia="zh-CN"/>
        </w:rPr>
        <w:t>267</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，完成</w:t>
      </w:r>
      <w:r>
        <w:rPr>
          <w:rFonts w:hint="eastAsia" w:ascii="仿宋" w:hAnsi="仿宋" w:eastAsia="仿宋" w:cs="仿宋"/>
          <w:b w:val="0"/>
          <w:bCs w:val="0"/>
          <w:sz w:val="32"/>
          <w:szCs w:val="32"/>
          <w:lang w:val="en-US" w:eastAsia="zh-CN"/>
        </w:rPr>
        <w:t>渠江镇中心学校</w:t>
      </w:r>
      <w:r>
        <w:rPr>
          <w:rFonts w:hint="eastAsia" w:ascii="仿宋" w:hAnsi="仿宋" w:eastAsia="仿宋" w:cs="仿宋"/>
          <w:b w:val="0"/>
          <w:bCs w:val="0"/>
          <w:sz w:val="32"/>
          <w:szCs w:val="32"/>
          <w:lang w:eastAsia="zh-CN"/>
        </w:rPr>
        <w:t>等</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处突发地质灾害应急处置</w:t>
      </w:r>
      <w:r>
        <w:rPr>
          <w:rFonts w:hint="eastAsia" w:ascii="仿宋" w:hAnsi="仿宋" w:eastAsia="仿宋" w:cs="仿宋"/>
          <w:b w:val="0"/>
          <w:bCs w:val="0"/>
          <w:sz w:val="32"/>
          <w:szCs w:val="32"/>
          <w:lang w:val="en-US" w:eastAsia="zh-CN"/>
        </w:rPr>
        <w:t>。</w:t>
      </w:r>
    </w:p>
    <w:p w14:paraId="0EADB178">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（六）作风效能不断提升</w:t>
      </w:r>
    </w:p>
    <w:p w14:paraId="55B89ED0">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严格组织生活。坚持党建+模式，认真开展以党的建设高质量推动自然资源局工作高质量发展；严格执行党内政治生活和各项制度，认真落实“一岗双责”“三会一课”；严格落实“第一议题”制度，实行支部“同主题同步学”，全年开展中心组理论学习12次、党组会26次，民主生活会2次，主题党日活动12次，组织生活会2次，党员大会4次，上党课11次。</w:t>
      </w:r>
    </w:p>
    <w:p w14:paraId="1F7F9043">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深入从严治党。严格落实《中国共产党党内监督条例》、党管意识形态工作责任，把握正确舆论导向，切实发挥宣传效应，充分利用微信公众号等网络平台传播新形势下党对各项工作的新要求，全年发布新闻信息60余篇，多渠道增强全体干职工的政治敏锐性，及时发现并处置苗头性倾向性问题。全面开展“珍爱生命拒绝酒驾”宣传，共发放倡议书300余份；持续开展“刹人情歪风 树文明新风”专项整治，全年共收到婚丧喜庆事前事后报告表19份;深入开展整治领导干部违规收送红包礼金问题专项整治行动，收到自查自纠报告195份，主动上交红包礼金1人。全年开展作风建设专项检查16次，同级同类警示教育活动1次，发布作风通报2期、会纪会风通报1期，组织处理10人，立案查处3人，进一步整肃了队伍政风行风。</w:t>
      </w:r>
    </w:p>
    <w:p w14:paraId="5A07182F">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_GB2312" w:eastAsia="仿宋_GB2312"/>
          <w:sz w:val="32"/>
          <w:szCs w:val="32"/>
        </w:rPr>
      </w:pPr>
      <w:r>
        <w:rPr>
          <w:rFonts w:hint="eastAsia" w:ascii="仿宋" w:hAnsi="仿宋" w:eastAsia="仿宋" w:cs="仿宋"/>
          <w:b w:val="0"/>
          <w:bCs w:val="0"/>
          <w:kern w:val="2"/>
          <w:sz w:val="32"/>
          <w:szCs w:val="32"/>
          <w:lang w:val="en-US" w:eastAsia="zh-CN" w:bidi="ar-SA"/>
        </w:rPr>
        <w:t>3.其他工作有序开展。文秘工作不断规范，政务工作有条不紊，宣传工作不断深入，跟踪督办有效强化，后勤保障不断加强；干部队伍不断壮大，人才体系不断完善，自然资源行政执法改革</w:t>
      </w:r>
      <w:r>
        <w:rPr>
          <w:rFonts w:hint="eastAsia" w:ascii="仿宋" w:hAnsi="仿宋" w:eastAsia="仿宋" w:cs="仿宋"/>
          <w:b w:val="0"/>
          <w:bCs w:val="0"/>
          <w:kern w:val="2"/>
          <w:sz w:val="32"/>
          <w:szCs w:val="32"/>
          <w:u w:val="none"/>
          <w:lang w:val="en-US" w:eastAsia="zh-CN" w:bidi="ar-SA"/>
        </w:rPr>
        <w:t>如期完成</w:t>
      </w:r>
      <w:r>
        <w:rPr>
          <w:rFonts w:hint="eastAsia" w:ascii="仿宋" w:hAnsi="仿宋" w:eastAsia="仿宋" w:cs="仿宋"/>
          <w:b w:val="0"/>
          <w:bCs w:val="0"/>
          <w:kern w:val="2"/>
          <w:sz w:val="32"/>
          <w:szCs w:val="32"/>
          <w:lang w:val="en-US" w:eastAsia="zh-CN" w:bidi="ar-SA"/>
        </w:rPr>
        <w:t>；财务核算、管理规范有序，资金安排科学统筹，保工资，保运转，保项目“三保”目标得以实现;派驻18名队员下沉到村，投入资金200余万元，脱贫成果持续巩固，乡村振兴成效显著；派出机构高效运转，规划技术服务、政策法规、信访稳定、信息化建设、档案管理、工会、老干、妇女儿童等工作齐头并进，自然资源工作合力不断凝聚。</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46D2F2F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（一）部分项目绩效目标设置欠规范 </w:t>
      </w:r>
    </w:p>
    <w:p w14:paraId="55B89D8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部分项目在申报项目绩效目标时，未将绩效目标细化为 </w:t>
      </w:r>
    </w:p>
    <w:p w14:paraId="42F9E737">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具体的绩效指标。主要原因是绩效管理不够精细。 </w:t>
      </w:r>
    </w:p>
    <w:p w14:paraId="3B9B308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（二）部分项目实施效果有偏差 </w:t>
      </w:r>
    </w:p>
    <w:p w14:paraId="21A896D0">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部分项目完成效果不理想，项目实施过程与目标还存在 </w:t>
      </w:r>
    </w:p>
    <w:p w14:paraId="7542F7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着一些差距，产出时效存在一定滞后性。主要原因为前期准 </w:t>
      </w:r>
    </w:p>
    <w:p w14:paraId="568642D2">
      <w:pPr>
        <w:keepNext w:val="0"/>
        <w:keepLines w:val="0"/>
        <w:widowControl/>
        <w:suppressLineNumbers w:val="0"/>
        <w:jc w:val="left"/>
        <w:rPr>
          <w:rFonts w:hint="eastAsia" w:eastAsia="仿宋"/>
          <w:kern w:val="0"/>
          <w:szCs w:val="32"/>
          <w:lang w:val="en-US" w:eastAsia="zh-CN"/>
        </w:rPr>
      </w:pPr>
      <w:r>
        <w:rPr>
          <w:rFonts w:hint="eastAsia" w:ascii="仿宋" w:hAnsi="仿宋" w:eastAsia="仿宋" w:cs="仿宋"/>
          <w:color w:val="000000"/>
          <w:kern w:val="0"/>
          <w:sz w:val="32"/>
          <w:szCs w:val="32"/>
          <w:lang w:val="en-US" w:eastAsia="zh-CN" w:bidi="ar"/>
        </w:rPr>
        <w:t>备不充分，加上疫情反复、项目执行过程中经费不足，导致工作完成时间较计划有所推迟。</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2ED91E65">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（一）提高项目单位责任意识和绩效意识，科学设定、 </w:t>
      </w:r>
    </w:p>
    <w:p w14:paraId="183A2A81">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做实做细项目支出绩效目标，夯实绩效管理基础。根据设定的预期效益目标和设立各阶段细化的绩效目标预算，核拨资 </w:t>
      </w:r>
    </w:p>
    <w:p w14:paraId="3FC76778">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金。</w:t>
      </w:r>
    </w:p>
    <w:p w14:paraId="2F22E33D">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（二）加强绩效自评结果应用。高度重视绩效自评结果 </w:t>
      </w:r>
    </w:p>
    <w:p w14:paraId="1D4BFD07">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应用，发挥绩效评价应有作用。坚持“花钱必问效，无效必 </w:t>
      </w:r>
    </w:p>
    <w:p w14:paraId="0D5DC99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问责”原则，将绩效评价和监督有机融合，加强评价结果应 </w:t>
      </w:r>
    </w:p>
    <w:p w14:paraId="4EFC3D9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用，将绩效评价结果作为预算安排的重要依据。根据绩效评 </w:t>
      </w:r>
    </w:p>
    <w:p w14:paraId="269A8BB3">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价结果分析诊断资金支出的管理问题，加强财政资金的监控， 提高管理水平。</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3"/>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33357B76"/>
    <w:rsid w:val="45636E9D"/>
    <w:rsid w:val="4CA04F06"/>
    <w:rsid w:val="568B0F3B"/>
    <w:rsid w:val="5C6A0446"/>
    <w:rsid w:val="6A8C0313"/>
    <w:rsid w:val="6D445020"/>
    <w:rsid w:val="75F6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pPr>
    <w:rPr>
      <w:rFonts w:hint="eastAsia"/>
      <w:sz w:val="21"/>
    </w:rPr>
  </w:style>
  <w:style w:type="paragraph" w:styleId="3">
    <w:name w:val="Body Text"/>
    <w:basedOn w:val="1"/>
    <w:unhideWhenUsed/>
    <w:qFormat/>
    <w:uiPriority w:val="99"/>
    <w:rPr>
      <w:rFonts w:ascii="Times New Roman" w:hAnsi="Times New Roman"/>
    </w:rPr>
  </w:style>
  <w:style w:type="paragraph" w:styleId="4">
    <w:name w:val="Body Text Indent"/>
    <w:basedOn w:val="1"/>
    <w:qFormat/>
    <w:uiPriority w:val="99"/>
    <w:pPr>
      <w:ind w:firstLine="640" w:firstLineChars="200"/>
    </w:pPr>
    <w:rPr>
      <w:sz w:val="32"/>
      <w:szCs w:val="32"/>
    </w:rPr>
  </w:style>
  <w:style w:type="paragraph" w:styleId="5">
    <w:name w:val="toc 5"/>
    <w:basedOn w:val="1"/>
    <w:next w:val="1"/>
    <w:unhideWhenUsed/>
    <w:qFormat/>
    <w:uiPriority w:val="39"/>
    <w:pPr>
      <w:ind w:left="1680" w:leftChars="800"/>
    </w:pPr>
    <w:rPr>
      <w:rFonts w:ascii="等线" w:hAnsi="等线" w:eastAsia="等线" w:cs="Times New Roman"/>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4"/>
    <w:uiPriority w:val="99"/>
    <w:pPr>
      <w:ind w:firstLine="420"/>
    </w:pPr>
  </w:style>
  <w:style w:type="character" w:styleId="10">
    <w:name w:val="Strong"/>
    <w:basedOn w:val="9"/>
    <w:qFormat/>
    <w:uiPriority w:val="0"/>
    <w:rPr>
      <w:b/>
      <w:bC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4063</Words>
  <Characters>4437</Characters>
  <Lines>0</Lines>
  <Paragraphs>0</Paragraphs>
  <TotalTime>20</TotalTime>
  <ScaleCrop>false</ScaleCrop>
  <LinksUpToDate>false</LinksUpToDate>
  <CharactersWithSpaces>4454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Administrator</cp:lastModifiedBy>
  <cp:lastPrinted>2025-04-22T07:51:41Z</cp:lastPrinted>
  <dcterms:modified xsi:type="dcterms:W3CDTF">2025-04-22T07:54:13Z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8A1E901CF521458983F4FF98BEBAEF22_13</vt:lpwstr>
  </property>
  <property fmtid="{D5CDD505-2E9C-101B-9397-08002B2CF9AE}" pid="4" name="KSOTemplateDocerSaveRecord">
    <vt:lpwstr>eyJoZGlkIjoiMjBkMGQyNGI2ZDEzNjdhMmY4YjczZDMzNGQxZWQwZWEifQ==</vt:lpwstr>
  </property>
</Properties>
</file>