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eastAsiaTheme="minorEastAsia"/>
          <w:lang w:eastAsia="zh-CN"/>
        </w:rPr>
      </w:pPr>
      <w:r>
        <w:rPr>
          <w:rFonts w:hint="eastAsia" w:eastAsiaTheme="minorEastAsia"/>
          <w:lang w:eastAsia="zh-CN"/>
        </w:rPr>
        <w:drawing>
          <wp:inline distT="0" distB="0" distL="114300" distR="114300">
            <wp:extent cx="5265420" cy="7412355"/>
            <wp:effectExtent l="0" t="0" r="11430" b="17145"/>
            <wp:docPr id="1" name="图片 1" descr="defau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fault (1)"/>
                    <pic:cNvPicPr>
                      <a:picLocks noChangeAspect="1"/>
                    </pic:cNvPicPr>
                  </pic:nvPicPr>
                  <pic:blipFill>
                    <a:blip r:embed="rId4"/>
                    <a:stretch>
                      <a:fillRect/>
                    </a:stretch>
                  </pic:blipFill>
                  <pic:spPr>
                    <a:xfrm>
                      <a:off x="0" y="0"/>
                      <a:ext cx="5265420" cy="7412355"/>
                    </a:xfrm>
                    <a:prstGeom prst="rect">
                      <a:avLst/>
                    </a:prstGeom>
                  </pic:spPr>
                </pic:pic>
              </a:graphicData>
            </a:graphic>
          </wp:inline>
        </w:drawing>
      </w:r>
    </w:p>
    <w:p>
      <w:pPr>
        <w:jc w:val="center"/>
        <w:rPr>
          <w:rFonts w:hint="eastAsia" w:ascii="微软雅黑" w:hAnsi="微软雅黑" w:eastAsia="微软雅黑" w:cs="微软雅黑"/>
          <w:sz w:val="40"/>
          <w:szCs w:val="48"/>
          <w:lang w:val="en-US" w:eastAsia="zh-CN"/>
        </w:rPr>
      </w:pPr>
    </w:p>
    <w:p>
      <w:pPr>
        <w:jc w:val="center"/>
        <w:rPr>
          <w:rFonts w:hint="eastAsia" w:ascii="微软雅黑" w:hAnsi="微软雅黑" w:eastAsia="微软雅黑" w:cs="微软雅黑"/>
          <w:sz w:val="40"/>
          <w:szCs w:val="48"/>
          <w:lang w:val="en-US" w:eastAsia="zh-CN"/>
        </w:rPr>
      </w:pPr>
      <w:r>
        <w:rPr>
          <w:rFonts w:hint="eastAsia" w:ascii="微软雅黑" w:hAnsi="微软雅黑" w:eastAsia="微软雅黑" w:cs="微软雅黑"/>
          <w:sz w:val="40"/>
          <w:szCs w:val="48"/>
          <w:lang w:val="en-US" w:eastAsia="zh-CN"/>
        </w:rPr>
        <w:t>2024年度益阳市大福皮肤病防治所整体支出绩效自评报告</w:t>
      </w:r>
    </w:p>
    <w:p>
      <w:pPr>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为深入贯彻落实《中共中央国务院关于全面实施预算绩效管理的意见》指示精神，进一步规范财政资金管理，强化绩效和责任意识，切实提高财政资金使用效益，根据《安化县财政局关于2024年度预算支出绩效自评工作的通知[安财绩(2025)1号]》等文件要求，我单位认真组织开展了2024年部门整体支出绩效自评工作。现将有关情况报告如下：</w:t>
      </w:r>
    </w:p>
    <w:p>
      <w:pPr>
        <w:numPr>
          <w:ilvl w:val="0"/>
          <w:numId w:val="1"/>
        </w:numPr>
        <w:ind w:left="0" w:leftChars="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单位基本情况</w:t>
      </w:r>
    </w:p>
    <w:p>
      <w:pPr>
        <w:numPr>
          <w:ilvl w:val="0"/>
          <w:numId w:val="0"/>
        </w:numPr>
        <w:jc w:val="left"/>
        <w:rPr>
          <w:rFonts w:hint="eastAsia" w:ascii="宋体" w:hAnsi="宋体" w:eastAsia="宋体" w:cs="宋体"/>
          <w:b w:val="0"/>
          <w:bCs w:val="0"/>
          <w:sz w:val="28"/>
          <w:szCs w:val="36"/>
          <w:lang w:val="en-US" w:eastAsia="zh-CN"/>
        </w:rPr>
      </w:pPr>
      <w:r>
        <w:rPr>
          <w:rFonts w:hint="eastAsia" w:ascii="宋体" w:hAnsi="宋体" w:eastAsia="宋体" w:cs="宋体"/>
          <w:b w:val="0"/>
          <w:bCs w:val="0"/>
          <w:kern w:val="2"/>
          <w:sz w:val="28"/>
          <w:szCs w:val="36"/>
          <w:lang w:val="en-US" w:eastAsia="zh-CN" w:bidi="ar-SA"/>
        </w:rPr>
        <w:t>（一）</w:t>
      </w:r>
      <w:r>
        <w:rPr>
          <w:rFonts w:hint="eastAsia" w:ascii="宋体" w:hAnsi="宋体" w:eastAsia="宋体" w:cs="宋体"/>
          <w:b w:val="0"/>
          <w:bCs w:val="0"/>
          <w:sz w:val="28"/>
          <w:szCs w:val="36"/>
          <w:lang w:val="en-US" w:eastAsia="zh-CN"/>
        </w:rPr>
        <w:t>强化病例发现，开展症状监测、疫点调查、接解触者检查。2024年将近10年内有新发、复发病例，有历史病人的乐安镇官家村，伊中村，伊水村，蚩尤社区，清塘镇太平村，长塘镇兰溪村6个行政村村民定为强化对象，我所联合乐安镇卫生院、清塘镇医院、长塘镇医院医务人员对6个行政村村民开展了麻风病强化病例发现工作。本年度参与调查工作人员总数84人次，计划调查人数1200人，实际调查人数1140人，上报可疑线索数147条，排除麻风疑似症状患者147人，强化覆盖率100%，疫点人群检查率90.6%。</w:t>
      </w:r>
    </w:p>
    <w:p>
      <w:pPr>
        <w:numPr>
          <w:ilvl w:val="0"/>
          <w:numId w:val="0"/>
        </w:numPr>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二）我所是一家麻风病防治机构，主要工作是负责湘北地区（益阳、岳阳、长沙、湘潭等地市）的麻风病防治、宣教等工作。益阳市大福皮肤病防治所单位内设机构包括：门诊部，社会防治股，办公室，财务室，人事政工股。</w:t>
      </w:r>
    </w:p>
    <w:p>
      <w:pPr>
        <w:numPr>
          <w:ilvl w:val="0"/>
          <w:numId w:val="0"/>
        </w:numPr>
        <w:jc w:val="left"/>
        <w:rPr>
          <w:rFonts w:hint="default" w:ascii="宋体" w:hAnsi="宋体" w:eastAsia="宋体" w:cs="宋体"/>
          <w:sz w:val="28"/>
          <w:szCs w:val="36"/>
          <w:lang w:val="en-US" w:eastAsia="zh-CN"/>
        </w:rPr>
      </w:pPr>
      <w:r>
        <w:rPr>
          <w:rFonts w:hint="default" w:ascii="宋体" w:hAnsi="宋体" w:eastAsia="宋体" w:cs="宋体"/>
          <w:sz w:val="28"/>
          <w:szCs w:val="36"/>
          <w:lang w:val="en-US" w:eastAsia="zh-CN"/>
        </w:rPr>
        <w:t>2024年，在所领导班子的带领下，单位注重加强思想政治建设，树牢“四个意识”，坚定“四个自信”，坚决做到“两个维护”，坚持把习近平新时代中国特色社会主义思想作为提升领导班子政治理论素养的主要内容。紧密结合单位发展大局和发展实际，充分发挥所党支部的战斗堡垒作用和党员干部的示范引领作用，着力推进单位各项工作，较好地完成了全年工作任务。</w:t>
      </w:r>
    </w:p>
    <w:p>
      <w:pPr>
        <w:numPr>
          <w:ilvl w:val="0"/>
          <w:numId w:val="1"/>
        </w:numPr>
        <w:ind w:left="0" w:leftChars="0" w:firstLine="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一般公共预算支出情况</w:t>
      </w:r>
    </w:p>
    <w:p>
      <w:pPr>
        <w:numPr>
          <w:ilvl w:val="0"/>
          <w:numId w:val="0"/>
        </w:numPr>
        <w:ind w:leftChars="0"/>
        <w:jc w:val="left"/>
        <w:rPr>
          <w:rFonts w:hint="default" w:ascii="宋体" w:hAnsi="宋体" w:eastAsia="宋体" w:cs="宋体"/>
          <w:sz w:val="28"/>
          <w:szCs w:val="36"/>
          <w:lang w:val="en-US" w:eastAsia="zh-CN"/>
        </w:rPr>
      </w:pPr>
      <w:r>
        <w:rPr>
          <w:rFonts w:hint="eastAsia" w:ascii="宋体" w:hAnsi="宋体" w:eastAsia="宋体" w:cs="宋体"/>
          <w:sz w:val="28"/>
          <w:szCs w:val="36"/>
          <w:lang w:val="en-US" w:eastAsia="zh-CN"/>
        </w:rPr>
        <w:t>2024年度支出决算数为588.49万元，按功能分类支出主要用于以下方面：社会保障和就业支出29.7万元，占5.04%；传染病医院支出202.87万元，占34.47%；其他基层医疗卫生机构支出7.22万元，占1.22%；重大公共卫生服务246.5万元，占41.88%；其他公共卫生支出83.19万元，占14.13%；其他巩固脱贫攻坚成果衔接乡村振兴支出10.4万元，占1.76%；住房保障支出8.6万元，占1.46%。</w:t>
      </w:r>
    </w:p>
    <w:p>
      <w:pPr>
        <w:numPr>
          <w:ilvl w:val="0"/>
          <w:numId w:val="1"/>
        </w:numPr>
        <w:ind w:left="0" w:leftChars="0" w:firstLine="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政府性基金预算支出情况</w:t>
      </w:r>
    </w:p>
    <w:p>
      <w:pPr>
        <w:numPr>
          <w:ilvl w:val="0"/>
          <w:numId w:val="0"/>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无</w:t>
      </w:r>
    </w:p>
    <w:p>
      <w:pPr>
        <w:numPr>
          <w:ilvl w:val="0"/>
          <w:numId w:val="1"/>
        </w:numPr>
        <w:ind w:left="0" w:leftChars="0" w:firstLine="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国有资本经营预算支出情况</w:t>
      </w:r>
    </w:p>
    <w:p>
      <w:pPr>
        <w:numPr>
          <w:ilvl w:val="0"/>
          <w:numId w:val="0"/>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无</w:t>
      </w:r>
    </w:p>
    <w:p>
      <w:pPr>
        <w:numPr>
          <w:ilvl w:val="0"/>
          <w:numId w:val="1"/>
        </w:numPr>
        <w:ind w:left="0" w:leftChars="0" w:firstLine="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社会保险基金预算支出情况</w:t>
      </w:r>
    </w:p>
    <w:p>
      <w:pPr>
        <w:numPr>
          <w:ilvl w:val="0"/>
          <w:numId w:val="0"/>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无</w:t>
      </w:r>
    </w:p>
    <w:p>
      <w:pPr>
        <w:numPr>
          <w:ilvl w:val="0"/>
          <w:numId w:val="1"/>
        </w:numPr>
        <w:ind w:left="0" w:leftChars="0" w:firstLine="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部门整体支出绩效情况</w:t>
      </w:r>
    </w:p>
    <w:p>
      <w:pPr>
        <w:numPr>
          <w:ilvl w:val="0"/>
          <w:numId w:val="0"/>
        </w:numPr>
        <w:jc w:val="left"/>
        <w:rPr>
          <w:rFonts w:hint="eastAsia" w:ascii="宋体" w:hAnsi="宋体" w:eastAsia="宋体" w:cs="宋体"/>
          <w:b/>
          <w:bCs/>
          <w:sz w:val="28"/>
          <w:szCs w:val="36"/>
          <w:lang w:val="en-US" w:eastAsia="zh-CN"/>
        </w:rPr>
      </w:pPr>
      <w:r>
        <w:rPr>
          <w:rFonts w:hint="eastAsia" w:ascii="宋体" w:hAnsi="宋体" w:eastAsia="宋体" w:cs="宋体"/>
          <w:sz w:val="28"/>
          <w:szCs w:val="36"/>
          <w:lang w:val="en-US" w:eastAsia="zh-CN"/>
        </w:rPr>
        <w:t>加强健康宣教。全年发放麻风防治手册宣传资料约35000余本。并对现症密切接触者,愈后监测者，近10年内有新发、复发病例，历史病人较多的乡镇开展了义诊暨健康宣教活动，义诊活动共诊治皮肤患者446人次，提供健康咨询约6000余人次，免费发放药物2万余元，发放科普宣传资料约20000余份，收到知晓率问卷600份，知晓人数 522人，知晓率达85%以上。</w:t>
      </w:r>
    </w:p>
    <w:p>
      <w:pPr>
        <w:numPr>
          <w:ilvl w:val="0"/>
          <w:numId w:val="2"/>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 xml:space="preserve"> 构建常态化麻风病监测体系建设。按照《2024年湖南省麻风病防治工作要点》《2024年益阳市麻风病症状监测方案》的通知要求，结合我市实际，对全市症状监测工作进行质控，具体包括对转诊和上报的疑似症状者及时开展进一步的筛查、收集、核对、整理相关信息等，并通过全国麻风病防治信息管理系统每季度进行上报，对各县市区症状监测工作的开展进行了督导，积极开展了宣传培训工作，全市收到症状监测线索如期完成了省级下达的700条任务指标，无确诊病例。</w:t>
      </w:r>
    </w:p>
    <w:p>
      <w:pPr>
        <w:numPr>
          <w:ilvl w:val="0"/>
          <w:numId w:val="2"/>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落实麻风病愈后病人管理。我市共有治愈存活病人（信息系统）62人，其中II级畸残32人，I级畸残8人，其他畸残9人，麻风治愈存活者中慢性病者居多，主要为高血压、糖尿病、冠心病等。管理措施：①加强宣传教育，鼓励关心病人；②指导病人加强功能锻炼和自我护理；③保障生活质量，满足病人合理需求。</w:t>
      </w:r>
    </w:p>
    <w:p>
      <w:pPr>
        <w:numPr>
          <w:ilvl w:val="0"/>
          <w:numId w:val="2"/>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 xml:space="preserve">争取各界关怀，努力消除麻风社会歧视。2024年1月28日，是第71届“世界防治麻风病日”暨第37届“中国麻风节”，1月26日，由益阳市人民政府副秘书长袁野、市卫健委副主任杨建明、安化县卫生健康局局长夏玉中带队, 联合市、县两级卫健等多部门组成的联合慰问团，来到我所慰问住村休养员及防治工作人员，送来了慰问金与慰问物资，让麻风病人切实感受到了党和政府的温暖，消除社会歧视，提高广大群众对麻风病的认知和关注度。 </w:t>
      </w:r>
    </w:p>
    <w:p>
      <w:pPr>
        <w:numPr>
          <w:ilvl w:val="0"/>
          <w:numId w:val="1"/>
        </w:numPr>
        <w:ind w:left="0" w:leftChars="0" w:firstLine="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存在的问题及原因分析</w:t>
      </w:r>
    </w:p>
    <w:p>
      <w:pPr>
        <w:numPr>
          <w:ilvl w:val="0"/>
          <w:numId w:val="3"/>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防治人才匮乏。皮防所定编42人，实际在编36人，普遍学历低、职称较低、薪资低，职称晋升困难、人员结构老化，老一代麻防工作者即将退休，吸引不来医学人才。现皮防所承担了益阳市及湖南湘北地区麻风病防治、重症麻风病救治和技术指导任务，防治范围广、工作量大，且跨区域管理协调困难，专业防治人员不足，防控能力下降。</w:t>
      </w:r>
    </w:p>
    <w:p>
      <w:pPr>
        <w:numPr>
          <w:ilvl w:val="0"/>
          <w:numId w:val="3"/>
        </w:numPr>
        <w:ind w:leftChars="0"/>
        <w:jc w:val="left"/>
        <w:rPr>
          <w:rFonts w:hint="default" w:ascii="宋体" w:hAnsi="宋体" w:eastAsia="宋体" w:cs="宋体"/>
          <w:sz w:val="28"/>
          <w:szCs w:val="36"/>
          <w:lang w:val="en-US" w:eastAsia="zh-CN"/>
        </w:rPr>
      </w:pPr>
      <w:r>
        <w:rPr>
          <w:rFonts w:hint="eastAsia" w:ascii="宋体" w:hAnsi="宋体" w:eastAsia="宋体" w:cs="宋体"/>
          <w:sz w:val="28"/>
          <w:szCs w:val="36"/>
          <w:lang w:val="en-US" w:eastAsia="zh-CN"/>
        </w:rPr>
        <w:t>防治经费不足。低流行状态下，麻风病各级财政经费支持少，专项经费申请困难。皮防所临床诊疗业务萎缩，没有收入，防治经费得不到补充，严重影响到了麻风病防治工作的开展。</w:t>
      </w:r>
    </w:p>
    <w:p>
      <w:pPr>
        <w:numPr>
          <w:ilvl w:val="0"/>
          <w:numId w:val="1"/>
        </w:numPr>
        <w:ind w:left="0" w:leftChars="0" w:firstLine="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下一步改进措施</w:t>
      </w:r>
    </w:p>
    <w:p>
      <w:pPr>
        <w:numPr>
          <w:ilvl w:val="0"/>
          <w:numId w:val="4"/>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为加强专业人才培养，以服务质量为切入点，开展新技术、新项目，随时为单位转型提供人才与技术保障，单位每年选派业务骨干至省级三甲医院进行对口轮训，并获得专业证书。今年2名医师已完成进修培训。</w:t>
      </w:r>
    </w:p>
    <w:p>
      <w:pPr>
        <w:numPr>
          <w:ilvl w:val="0"/>
          <w:numId w:val="4"/>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科学编制预算，严格执行预算。加强预算编制的前瞻性，按政策规定及本部门的发展规划，结合上一年度预算执行情况和本年度预算收支变化因素，科学、合理地编制本年度预算草案，避免项目支出与基本支出划分不准或预算支出与实际执行出现偏差的情况，执行中确需调剂预算的，按规定程序报经批准。</w:t>
      </w:r>
    </w:p>
    <w:p>
      <w:pPr>
        <w:numPr>
          <w:ilvl w:val="0"/>
          <w:numId w:val="4"/>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增强节约意识。积极营造勤俭节约的良好氛围，努力建设节约型单位，确保每一分钱都用在麻风病防治事业的创新发展上。</w:t>
      </w:r>
    </w:p>
    <w:p>
      <w:pPr>
        <w:numPr>
          <w:ilvl w:val="0"/>
          <w:numId w:val="1"/>
        </w:numPr>
        <w:ind w:left="0" w:leftChars="0" w:firstLine="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绩效自评结果拟应用和公开情况</w:t>
      </w:r>
    </w:p>
    <w:p>
      <w:pPr>
        <w:numPr>
          <w:ilvl w:val="0"/>
          <w:numId w:val="0"/>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我单位将充分运用绩效考评结果，调整工作方向，加强与财政部门的沟通协调，不断完善财政资金的预算编制工作。</w:t>
      </w:r>
    </w:p>
    <w:p>
      <w:pPr>
        <w:numPr>
          <w:ilvl w:val="0"/>
          <w:numId w:val="0"/>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按照县财政局相关通知要求，我单位将在规定时间及网站向社会公开本部门预决算信息、部门绩效目标和整体绩效自评情况。</w:t>
      </w:r>
    </w:p>
    <w:p>
      <w:pPr>
        <w:numPr>
          <w:ilvl w:val="0"/>
          <w:numId w:val="1"/>
        </w:numPr>
        <w:ind w:left="0" w:leftChars="0" w:firstLine="0" w:firstLineChars="0"/>
        <w:jc w:val="left"/>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其他需要说明的情况</w:t>
      </w:r>
    </w:p>
    <w:p>
      <w:pPr>
        <w:numPr>
          <w:ilvl w:val="0"/>
          <w:numId w:val="0"/>
        </w:numPr>
        <w:ind w:leftChars="0"/>
        <w:jc w:val="left"/>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无其他需要说明的情况。</w:t>
      </w: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tbl>
      <w:tblPr>
        <w:tblStyle w:val="4"/>
        <w:tblW w:w="84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132"/>
        <w:gridCol w:w="749"/>
        <w:gridCol w:w="749"/>
        <w:gridCol w:w="1104"/>
        <w:gridCol w:w="759"/>
        <w:gridCol w:w="571"/>
        <w:gridCol w:w="14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6" w:hRule="atLeast"/>
        </w:trPr>
        <w:tc>
          <w:tcPr>
            <w:tcW w:w="844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8"/>
                <w:szCs w:val="28"/>
                <w:u w:val="none"/>
                <w:lang w:val="en-US" w:eastAsia="zh-CN" w:bidi="ar"/>
              </w:rPr>
              <w:t>基础数据表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财政供养人员情况</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编制数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2024年实际在职人数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控制率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经费控制情况(万元)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2023年决算数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2024年预算数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2024年决算数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1、公务用车购置和维护经费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其中：公车购置</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公车运行维护</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2、出国经费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3、公务接待</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40</w:t>
            </w:r>
            <w:bookmarkStart w:id="0" w:name="_GoBack"/>
            <w:bookmarkEnd w:id="0"/>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1、业务工作经费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2、运行维护经费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3、省级专项资金（麻风病医疗保障）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266.96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189.52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189.52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其中：办公经费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水费、电费、差旅费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会议费、培训费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政府采购金额</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53.49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部门基本支出预算调整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9" w:hRule="atLeast"/>
        </w:trPr>
        <w:tc>
          <w:tcPr>
            <w:tcW w:w="2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楼堂馆所控制情况 </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（2024年完工项目）</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批复规模 </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实际规模</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规模控制率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预算投资</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实际投资</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投资概算控制率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厉行节约保障措施</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bl>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p>
      <w:pPr>
        <w:numPr>
          <w:ilvl w:val="0"/>
          <w:numId w:val="0"/>
        </w:numPr>
        <w:ind w:leftChars="0"/>
        <w:jc w:val="left"/>
        <w:rPr>
          <w:rFonts w:hint="eastAsia" w:ascii="宋体" w:hAnsi="宋体" w:eastAsia="宋体" w:cs="宋体"/>
          <w:sz w:val="28"/>
          <w:szCs w:val="36"/>
          <w:lang w:val="en-US" w:eastAsia="zh-CN"/>
        </w:rPr>
      </w:pPr>
    </w:p>
    <w:tbl>
      <w:tblPr>
        <w:tblStyle w:val="4"/>
        <w:tblW w:w="90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5"/>
        <w:gridCol w:w="797"/>
        <w:gridCol w:w="964"/>
        <w:gridCol w:w="986"/>
        <w:gridCol w:w="994"/>
        <w:gridCol w:w="761"/>
        <w:gridCol w:w="734"/>
        <w:gridCol w:w="735"/>
        <w:gridCol w:w="630"/>
        <w:gridCol w:w="861"/>
        <w:gridCol w:w="8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9040" w:type="dxa"/>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预算部门名称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益阳市大福皮肤病防治所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1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Microsoft YaHei UI" w:hAnsi="Microsoft YaHei UI" w:eastAsia="Microsoft YaHei UI" w:cs="Microsoft YaHei UI"/>
                <w:i w:val="0"/>
                <w:iCs w:val="0"/>
                <w:color w:val="000000"/>
                <w:sz w:val="18"/>
                <w:szCs w:val="18"/>
                <w:u w:val="none"/>
              </w:rPr>
            </w:pPr>
            <w:r>
              <w:rPr>
                <w:rFonts w:hint="default" w:ascii="Microsoft YaHei UI" w:hAnsi="Microsoft YaHei UI" w:eastAsia="Microsoft YaHei UI" w:cs="Microsoft YaHei UI"/>
                <w:i w:val="0"/>
                <w:iCs w:val="0"/>
                <w:color w:val="000000"/>
                <w:kern w:val="0"/>
                <w:sz w:val="18"/>
                <w:szCs w:val="18"/>
                <w:u w:val="none"/>
                <w:lang w:val="en-US" w:eastAsia="zh-CN" w:bidi="ar"/>
              </w:rPr>
              <w:t>年度预算申请</w:t>
            </w:r>
            <w:r>
              <w:rPr>
                <w:rFonts w:hint="default" w:ascii="Microsoft YaHei UI" w:hAnsi="Microsoft YaHei UI" w:eastAsia="Microsoft YaHei UI" w:cs="Microsoft YaHei UI"/>
                <w:i w:val="0"/>
                <w:iCs w:val="0"/>
                <w:color w:val="000000"/>
                <w:kern w:val="0"/>
                <w:sz w:val="18"/>
                <w:szCs w:val="18"/>
                <w:u w:val="none"/>
                <w:lang w:val="en-US" w:eastAsia="zh-CN" w:bidi="ar"/>
              </w:rPr>
              <w:br w:type="textWrapping"/>
            </w:r>
            <w:r>
              <w:rPr>
                <w:rFonts w:hint="default" w:ascii="Microsoft YaHei UI" w:hAnsi="Microsoft YaHei UI" w:eastAsia="Microsoft YaHei UI" w:cs="Microsoft YaHei UI"/>
                <w:i w:val="0"/>
                <w:iCs w:val="0"/>
                <w:color w:val="000000"/>
                <w:kern w:val="0"/>
                <w:sz w:val="18"/>
                <w:szCs w:val="18"/>
                <w:u w:val="none"/>
                <w:lang w:val="en-US" w:eastAsia="zh-CN" w:bidi="ar"/>
              </w:rPr>
              <w:t>(万元)</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年初预算数</w:t>
            </w:r>
            <w:r>
              <w:rPr>
                <w:rFonts w:hint="default" w:ascii="仿宋_GB2312" w:hAnsi="宋体" w:eastAsia="仿宋_GB2312" w:cs="仿宋_GB2312"/>
                <w:b/>
                <w:bCs/>
                <w:i w:val="0"/>
                <w:iCs w:val="0"/>
                <w:color w:val="000000"/>
                <w:kern w:val="0"/>
                <w:sz w:val="18"/>
                <w:szCs w:val="18"/>
                <w:u w:val="none"/>
                <w:lang w:val="en-US" w:eastAsia="zh-CN" w:bidi="ar"/>
              </w:rPr>
              <w:br w:type="textWrapping"/>
            </w:r>
            <w:r>
              <w:rPr>
                <w:rFonts w:hint="default" w:ascii="仿宋_GB2312" w:hAnsi="宋体" w:eastAsia="仿宋_GB2312" w:cs="仿宋_GB2312"/>
                <w:b/>
                <w:bCs/>
                <w:i w:val="0"/>
                <w:iCs w:val="0"/>
                <w:color w:val="000000"/>
                <w:kern w:val="0"/>
                <w:sz w:val="18"/>
                <w:szCs w:val="18"/>
                <w:u w:val="none"/>
                <w:lang w:val="en-US" w:eastAsia="zh-CN" w:bidi="ar"/>
              </w:rPr>
              <w:t>(万元)</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1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Microsoft YaHei UI" w:hAnsi="Microsoft YaHei UI" w:eastAsia="Microsoft YaHei UI" w:cs="Microsoft YaHei UI"/>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年度资金总额：</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lang w:val="en-US"/>
              </w:rPr>
            </w:pPr>
            <w:r>
              <w:rPr>
                <w:rFonts w:hint="eastAsia" w:ascii="Times New Roman" w:hAnsi="Times New Roman" w:eastAsia="宋体" w:cs="Times New Roman"/>
                <w:i w:val="0"/>
                <w:iCs w:val="0"/>
                <w:color w:val="000000"/>
                <w:kern w:val="0"/>
                <w:sz w:val="18"/>
                <w:szCs w:val="18"/>
                <w:u w:val="none"/>
                <w:lang w:val="en-US" w:eastAsia="zh-CN" w:bidi="ar"/>
              </w:rPr>
              <w:t>138.55</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588.49</w:t>
            </w:r>
          </w:p>
        </w:tc>
        <w:tc>
          <w:tcPr>
            <w:tcW w:w="22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588.49</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100.00%</w:t>
            </w:r>
          </w:p>
        </w:tc>
        <w:tc>
          <w:tcPr>
            <w:tcW w:w="8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1" w:hRule="atLeast"/>
        </w:trPr>
        <w:tc>
          <w:tcPr>
            <w:tcW w:w="1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Microsoft YaHei UI" w:hAnsi="Microsoft YaHei UI" w:eastAsia="Microsoft YaHei UI" w:cs="Microsoft YaHei UI"/>
                <w:i w:val="0"/>
                <w:iCs w:val="0"/>
                <w:color w:val="000000"/>
                <w:sz w:val="18"/>
                <w:szCs w:val="18"/>
                <w:u w:val="none"/>
              </w:rPr>
            </w:pPr>
          </w:p>
        </w:tc>
        <w:tc>
          <w:tcPr>
            <w:tcW w:w="51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按收入性质分：</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按支出性质分：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1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Microsoft YaHei UI" w:hAnsi="Microsoft YaHei UI" w:eastAsia="Microsoft YaHei UI" w:cs="Microsoft YaHei UI"/>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一般公共预算：</w:t>
            </w:r>
          </w:p>
        </w:tc>
        <w:tc>
          <w:tcPr>
            <w:tcW w:w="42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468.08</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其中:基本支出：</w:t>
            </w:r>
          </w:p>
        </w:tc>
        <w:tc>
          <w:tcPr>
            <w:tcW w:w="15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588.49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1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Microsoft YaHei UI" w:hAnsi="Microsoft YaHei UI" w:eastAsia="Microsoft YaHei UI" w:cs="Microsoft YaHei UI"/>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政府性基金拨款：</w:t>
            </w:r>
          </w:p>
        </w:tc>
        <w:tc>
          <w:tcPr>
            <w:tcW w:w="42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5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7" w:hRule="atLeast"/>
        </w:trPr>
        <w:tc>
          <w:tcPr>
            <w:tcW w:w="1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Microsoft YaHei UI" w:hAnsi="Microsoft YaHei UI" w:eastAsia="Microsoft YaHei UI" w:cs="Microsoft YaHei UI"/>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纳入专户管理的非税收入拨款：</w:t>
            </w:r>
          </w:p>
        </w:tc>
        <w:tc>
          <w:tcPr>
            <w:tcW w:w="42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lang w:val="en-US"/>
              </w:rPr>
            </w:pPr>
            <w:r>
              <w:rPr>
                <w:rFonts w:hint="eastAsia" w:ascii="Times New Roman" w:hAnsi="Times New Roman" w:eastAsia="宋体" w:cs="Times New Roman"/>
                <w:i w:val="0"/>
                <w:iCs w:val="0"/>
                <w:color w:val="000000"/>
                <w:kern w:val="0"/>
                <w:sz w:val="18"/>
                <w:szCs w:val="18"/>
                <w:u w:val="none"/>
                <w:lang w:val="en-US" w:eastAsia="zh-CN" w:bidi="ar"/>
              </w:rPr>
              <w:t>0.00</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5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1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Microsoft YaHei UI" w:hAnsi="Microsoft YaHei UI" w:eastAsia="Microsoft YaHei UI" w:cs="Microsoft YaHei UI"/>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其他资金</w:t>
            </w:r>
          </w:p>
        </w:tc>
        <w:tc>
          <w:tcPr>
            <w:tcW w:w="42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lang w:val="en-US"/>
              </w:rPr>
            </w:pPr>
            <w:r>
              <w:rPr>
                <w:rFonts w:hint="eastAsia" w:ascii="Times New Roman" w:hAnsi="Times New Roman" w:eastAsia="宋体" w:cs="Times New Roman"/>
                <w:i w:val="0"/>
                <w:iCs w:val="0"/>
                <w:color w:val="000000"/>
                <w:kern w:val="0"/>
                <w:sz w:val="18"/>
                <w:szCs w:val="18"/>
                <w:u w:val="none"/>
                <w:lang w:val="en-US" w:eastAsia="zh-CN" w:bidi="ar"/>
              </w:rPr>
              <w:t>120.41</w:t>
            </w: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5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1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年度总体目标</w:t>
            </w:r>
          </w:p>
        </w:tc>
        <w:tc>
          <w:tcPr>
            <w:tcW w:w="51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预期目标</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1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51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2024年度部门整体支出进度，全年支出138.55万元，第一季度支出34万元，第二季度支出34万元，第三季度支出34万元，第四季度支出36.55万元。</w:t>
            </w:r>
          </w:p>
        </w:tc>
        <w:tc>
          <w:tcPr>
            <w:tcW w:w="21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绩效指标</w:t>
            </w: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一级指标</w:t>
            </w:r>
          </w:p>
        </w:tc>
        <w:tc>
          <w:tcPr>
            <w:tcW w:w="9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三级指标</w:t>
            </w:r>
          </w:p>
        </w:tc>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年度指标值</w:t>
            </w:r>
          </w:p>
        </w:tc>
        <w:tc>
          <w:tcPr>
            <w:tcW w:w="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实际完成值</w:t>
            </w: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评扣分标准</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分值</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sz w:val="18"/>
                <w:szCs w:val="18"/>
                <w:u w:val="none"/>
              </w:rPr>
            </w:pPr>
            <w:r>
              <w:rPr>
                <w:rFonts w:hint="default" w:ascii="仿宋_GB2312" w:hAnsi="宋体" w:eastAsia="仿宋_GB2312" w:cs="仿宋_GB2312"/>
                <w:b/>
                <w:bCs/>
                <w:i w:val="0"/>
                <w:iCs w:val="0"/>
                <w:color w:val="000000"/>
                <w:kern w:val="0"/>
                <w:sz w:val="18"/>
                <w:szCs w:val="18"/>
                <w:u w:val="none"/>
                <w:lang w:val="en-US" w:eastAsia="zh-CN" w:bidi="ar"/>
              </w:rPr>
              <w:t>得分</w:t>
            </w:r>
          </w:p>
        </w:tc>
        <w:tc>
          <w:tcPr>
            <w:tcW w:w="0" w:type="auto"/>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9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0" w:type="auto"/>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绩效指标</w:t>
            </w: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产出指标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年度内按时完成重点工作任务完成</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138.55万元</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按支出的百分比</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医疗公共卫生工作覆盖率</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工作开展百分比</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年度内按时完成重点工作任务</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1年</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季度支出百分比</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7"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效益指标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医疗公共卫生健康服务</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医疗公共卫生健康事业发展</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医疗卫生健康服务完成率</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履行医疗公共卫生工作职责</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职责履行情况</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履行工作百分比</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7"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医疗公共卫生健康服务</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医疗公共卫生健康事业发展</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医疗卫生健康服务完成率</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1"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人民群众医疗健康服务受益度</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稳步提高</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稳步提高</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人民群众医疗健康服务满意度</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满意度指标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服务对象满意度</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0.95</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0.92</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满意度</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8</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成本指标</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成本控制有效性</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严格按照财政有关经费标准执行</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成本控制率</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1"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服务患者、维护员工权益及为社会做出贡献方面的表现</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0.95</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0.95</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满意度</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sz w:val="18"/>
                <w:szCs w:val="18"/>
                <w:u w:val="none"/>
              </w:rPr>
            </w:pP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对环境的影响和对环保的投入</w:t>
            </w:r>
          </w:p>
        </w:tc>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得到有效控制和满足</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控制率</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18"/>
                <w:szCs w:val="18"/>
                <w:u w:val="none"/>
              </w:rPr>
            </w:pPr>
            <w:r>
              <w:rPr>
                <w:rFonts w:hint="default" w:ascii="仿宋_GB2312" w:hAnsi="宋体" w:eastAsia="仿宋_GB2312" w:cs="仿宋_GB2312"/>
                <w:i w:val="0"/>
                <w:iCs w:val="0"/>
                <w:color w:val="000000"/>
                <w:kern w:val="0"/>
                <w:sz w:val="18"/>
                <w:szCs w:val="18"/>
                <w:u w:val="none"/>
                <w:lang w:val="en-US" w:eastAsia="zh-CN" w:bidi="ar"/>
              </w:rPr>
              <w:t>10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98.00</w:t>
            </w:r>
          </w:p>
        </w:tc>
      </w:tr>
    </w:tbl>
    <w:p>
      <w:pPr>
        <w:numPr>
          <w:ilvl w:val="0"/>
          <w:numId w:val="0"/>
        </w:numPr>
        <w:ind w:leftChars="0"/>
        <w:jc w:val="left"/>
        <w:rPr>
          <w:rFonts w:hint="eastAsia" w:ascii="宋体" w:hAnsi="宋体" w:eastAsia="宋体" w:cs="宋体"/>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Microsoft YaHei UI">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4603D4"/>
    <w:multiLevelType w:val="singleLevel"/>
    <w:tmpl w:val="834603D4"/>
    <w:lvl w:ilvl="0" w:tentative="0">
      <w:start w:val="1"/>
      <w:numFmt w:val="chineseCounting"/>
      <w:suff w:val="nothing"/>
      <w:lvlText w:val="（%1）"/>
      <w:lvlJc w:val="left"/>
      <w:rPr>
        <w:rFonts w:hint="eastAsia"/>
      </w:rPr>
    </w:lvl>
  </w:abstractNum>
  <w:abstractNum w:abstractNumId="1">
    <w:nsid w:val="AD9658AC"/>
    <w:multiLevelType w:val="singleLevel"/>
    <w:tmpl w:val="AD9658AC"/>
    <w:lvl w:ilvl="0" w:tentative="0">
      <w:start w:val="1"/>
      <w:numFmt w:val="chineseCounting"/>
      <w:suff w:val="nothing"/>
      <w:lvlText w:val="（%1）"/>
      <w:lvlJc w:val="left"/>
      <w:rPr>
        <w:rFonts w:hint="eastAsia"/>
        <w:b w:val="0"/>
        <w:bCs w:val="0"/>
      </w:rPr>
    </w:lvl>
  </w:abstractNum>
  <w:abstractNum w:abstractNumId="2">
    <w:nsid w:val="AEC21198"/>
    <w:multiLevelType w:val="singleLevel"/>
    <w:tmpl w:val="AEC21198"/>
    <w:lvl w:ilvl="0" w:tentative="0">
      <w:start w:val="1"/>
      <w:numFmt w:val="chineseCounting"/>
      <w:suff w:val="nothing"/>
      <w:lvlText w:val="（%1）"/>
      <w:lvlJc w:val="left"/>
      <w:rPr>
        <w:rFonts w:hint="eastAsia"/>
      </w:rPr>
    </w:lvl>
  </w:abstractNum>
  <w:abstractNum w:abstractNumId="3">
    <w:nsid w:val="02CB46C4"/>
    <w:multiLevelType w:val="singleLevel"/>
    <w:tmpl w:val="02CB46C4"/>
    <w:lvl w:ilvl="0" w:tentative="0">
      <w:start w:val="1"/>
      <w:numFmt w:val="chineseCounting"/>
      <w:suff w:val="nothing"/>
      <w:lvlText w:val="%1、"/>
      <w:lvlJc w:val="left"/>
      <w:pPr>
        <w:ind w:left="0"/>
      </w:pPr>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YThmOGI0NGJhZDRkMjdkZTBkMWNjNDZhOTdmNzIifQ=="/>
  </w:docVars>
  <w:rsids>
    <w:rsidRoot w:val="00000000"/>
    <w:rsid w:val="052F5A8F"/>
    <w:rsid w:val="056F1060"/>
    <w:rsid w:val="06120390"/>
    <w:rsid w:val="19232435"/>
    <w:rsid w:val="19E96649"/>
    <w:rsid w:val="1E5135A1"/>
    <w:rsid w:val="2025113B"/>
    <w:rsid w:val="228E19AA"/>
    <w:rsid w:val="237A259B"/>
    <w:rsid w:val="26E85D2C"/>
    <w:rsid w:val="29346A55"/>
    <w:rsid w:val="2B76618B"/>
    <w:rsid w:val="2B87105A"/>
    <w:rsid w:val="2CDA00C2"/>
    <w:rsid w:val="2DE75388"/>
    <w:rsid w:val="2EAD74C6"/>
    <w:rsid w:val="2F745341"/>
    <w:rsid w:val="31B2784E"/>
    <w:rsid w:val="32BC3287"/>
    <w:rsid w:val="346F7C09"/>
    <w:rsid w:val="34990E98"/>
    <w:rsid w:val="384519C5"/>
    <w:rsid w:val="385E26EA"/>
    <w:rsid w:val="3A95616C"/>
    <w:rsid w:val="3C602A22"/>
    <w:rsid w:val="3C7325EB"/>
    <w:rsid w:val="41193EF0"/>
    <w:rsid w:val="46BF6F41"/>
    <w:rsid w:val="47601659"/>
    <w:rsid w:val="4B5C0884"/>
    <w:rsid w:val="4BB57ADD"/>
    <w:rsid w:val="512A6B18"/>
    <w:rsid w:val="51304E67"/>
    <w:rsid w:val="5212481A"/>
    <w:rsid w:val="52AA17B9"/>
    <w:rsid w:val="586438F5"/>
    <w:rsid w:val="590F7B11"/>
    <w:rsid w:val="59682F71"/>
    <w:rsid w:val="59861649"/>
    <w:rsid w:val="5B8B084B"/>
    <w:rsid w:val="5F8A1E93"/>
    <w:rsid w:val="628B0C56"/>
    <w:rsid w:val="64DF6B47"/>
    <w:rsid w:val="661727E3"/>
    <w:rsid w:val="66A73B12"/>
    <w:rsid w:val="6EBC5389"/>
    <w:rsid w:val="6F9738A6"/>
    <w:rsid w:val="72443961"/>
    <w:rsid w:val="74B915CD"/>
    <w:rsid w:val="75182D18"/>
    <w:rsid w:val="76BB2405"/>
    <w:rsid w:val="76CC2346"/>
    <w:rsid w:val="781955B2"/>
    <w:rsid w:val="79F85C83"/>
    <w:rsid w:val="7DC74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15</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2025-04-25T01:24:00Z</dcterms:created>
  <dc:creator>Administrator</dc:creator>
  <cp:lastModifiedBy>Administrator</cp:lastModifiedBy>
  <dcterms:modified xsi:type="dcterms:W3CDTF">2025-04-28T03:19:52Z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82B422E06C0B436E9A15CB5B166B96DC_12</vt:lpwstr>
  </property>
</Properties>
</file>