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drawing>
          <wp:inline distT="0" distB="0" distL="114300" distR="114300">
            <wp:extent cx="5132705" cy="8858250"/>
            <wp:effectExtent l="0" t="0" r="10795" b="0"/>
            <wp:docPr id="2" name="图片 2" descr="整体支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整体支出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2705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2024年度安化县人民医院整体支出绩效自评报告</w:t>
      </w:r>
    </w:p>
    <w:p>
      <w:pPr>
        <w:numPr>
          <w:ilvl w:val="0"/>
          <w:numId w:val="1"/>
        </w:num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安化县人民医院基本情况</w:t>
      </w:r>
    </w:p>
    <w:p>
      <w:pPr>
        <w:spacing w:beforeLines="0" w:afterLines="0" w:line="520" w:lineRule="exact"/>
        <w:ind w:firstLine="64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化县人民医院是一家集医疗、教学、科研、预防、急救、康复于一体的三级乙等综合医院,组建紧密型医共体两家。医院占地面积共120亩,总资产11.88亿元，拥有100万元以上的大型设备25台、50至100万元的先进设备24台、20至50万元设备122台、层流净化手术间7间等先进的设施设备。现有职工1304名，其中卫生专业技术人员1215人，高级职称199人（占比15.26%），编制床位1200张，实际开放床位1000张。拥有24个病区、20个门急诊医技科室；现有3个省级重点学科、12个市级重点学科，6个省级临床重点专科建设项目。是全县医疗、急救救治中心，承担着全县人民防病治病的任务。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2024年我院总支出70136.07万元，其中基本支出51518.2万元，项目支出18617.87万元。主要用于卫生材料、药品采购，职工工资支出等方面。2024年继续抓好医疗质量与安全，促进业务提升，强力推进人才队伍建设，培养、引进多学科高素质专业人才。保障全县人民的身体健康，做好基层的医疗服务，减轻人民群众的疾患痛苦；不断深化县级公立医院改革，促进医院健康持续发展；加强重点专科建设，提升医院综合服务能力。</w:t>
      </w:r>
    </w:p>
    <w:p>
      <w:pPr>
        <w:numPr>
          <w:ilvl w:val="0"/>
          <w:numId w:val="1"/>
        </w:numPr>
        <w:spacing w:beforeLines="0" w:afterLines="0" w:line="520" w:lineRule="exact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一般公共预算支出情况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基本支出情况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2024年我院基本支出51518.2万元，其中人员经费20483.49万元，公用经费31034.71万元。基本支出主要用于人员经费、公用经费等维持医院日常运转的支出。</w:t>
      </w:r>
    </w:p>
    <w:p>
      <w:pPr>
        <w:numPr>
          <w:ilvl w:val="0"/>
          <w:numId w:val="2"/>
        </w:numPr>
        <w:spacing w:beforeLines="0" w:afterLines="0" w:line="520" w:lineRule="exact"/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项目支出情况</w:t>
      </w:r>
    </w:p>
    <w:p>
      <w:pPr>
        <w:numPr>
          <w:ilvl w:val="0"/>
          <w:numId w:val="0"/>
        </w:numPr>
        <w:spacing w:beforeLines="0" w:afterLines="0" w:line="520" w:lineRule="exact"/>
        <w:ind w:firstLine="60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2024年我院项目支出18617.87万元。包括东部新区建设162.47万元，助理全科医生培训160.94万元，新冠患者救治费194.84万元，新冠感染重症救治和运转能力提升304.89万元，县级医院专科能力建设200万元，驻村帮扶经费5.2万元，以及非财政拨款项目支出17579.52万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国有资本经营预算支出情况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社会保险基金预算支出情况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部门整体支出绩效情况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320" w:firstLineChars="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1. 资金到位情况：2024年财政拨款资金及时足额到位，有力保障了医院各项工作的顺利开展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2. 资金执行情况：基本支出严格按照预算安排执行，资金使用合理规范；项目支出根据项目进度和合同约定支付，资金执行率达到93.24%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3. 资金管理情况：医院建立健全了财务管理制度和内部控制制度，严格执行资金审批流程，加强对资金使用的监督和管理，确保资金安全、规范、有效使用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1、产出指标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数量指标。医疗服务收入（不含药品、耗材、检查、化验收入）占公立医院收入的比例为31.62%，高于指标值，原因是业务水平提升，医疗服务收入增加；公立医院资产负债率为41.94%，低于年度指标值，原因是偿还部分银行贷款，负债减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（2）、出院者平均住院天数7.35天，略高于指标数据；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2、效益指标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（1）、社会效益指标。为社会培养基层卫生技术人才合格；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（2）、可持续影响指标。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专科</w:t>
      </w: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建设取得进展，专科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诊疗能力</w:t>
      </w: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提升。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3、满意度指标。职工满意度为95%，达到指标值；患者满意度为94%，大于指标值；学员对培训基地的满意度为94%，大于指标值。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4、成本指标。百元医疗收入的医疗支出（不含药品收入）为106.92，略高于上年数据。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 xml:space="preserve">   基于以上数据，我单位自评得分为92.32分，自评为优。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绩效评价指标体系有待进一步完善，部分指标的科学性和可操作性有待提高。原因是绩效评价指标制定没有完全从实际出发反映日常业务。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2. 预算管理的精细化程度不够，预算执行过程中存在一定的随意性。原因是预算管理制度执行不到位，奖惩措施没有落到实处。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3. 项目管理的规范化水平有待提升，项目实施过程中的监督和管理不够严格。原因是对项目管理人员培训不够，对项目各流程追缺乏全流程踪管理。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4. 成本控制的压力较大，医院的运营成本较高，盈利能力有待增强。原因是收入成本结构有待优化。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0" w:firstLineChars="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下一步改进措施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1. 进一步完善绩效评价指标体系，结合医院实际情况和发展战略，科学合理地设置评价指标，提高指标的科学性和可操作性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2. 加强预算管理的精细化程度，细化预算项目和支出标准，严格预算执行，减少预算调整的随意性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3. 加强项目管理的规范化建设，完善项目管理制度和流程，加强项目实施过程中的监督和管理，确保项目顺利实施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4. 加大成本控制力度，优化医院成本结构，降低运营成本；加强医院内涵建设，提高医疗服务质量和效率，增强医院的盈利能力 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一、绩效自评结果的拟应用方向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1. 优化预算编制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调整资金分配：根据自评结果，对低效或无效项目减少预算，向高效益项目倾斜。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完善项目设计：针对自评中发现的问题（如目标设定不合理、执行流程繁琐），优化下一年度项目实施方案。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2. 强化绩效管理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责任落实：将自评结果与部门、人员考核挂钩，督促改进工作。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建立反馈机制：通过自评发现管理漏洞，完善绩效管理制度和流程。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3. 指导政策调整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政策评估：评估政策实施效果，为政策延续、修订或终止提供依据。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资源整合：对重复建设、交叉管理的项目进行整合，避免资源浪费。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4. 信息共享与经验推广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内部学习：将优秀项目案例在单位内部推广，促进经验交流。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外部合作：与其他部门或机构分享成果，推动行业管理水平提升。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二、绩效自评结果的公开情况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1. 公开原则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透明规范：遵循“谁评价、谁公开”原则，确保内容真实、数据准确。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公开方式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 xml:space="preserve">  根据上级要求，在预算管理一体化系统上传，并在相关网站公开。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十、其他需要说明的情况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640" w:firstLineChars="200"/>
        <w:jc w:val="left"/>
        <w:textAlignment w:val="auto"/>
        <w:rPr>
          <w:rFonts w:eastAsia="Times New Roman"/>
          <w:kern w:val="0"/>
          <w:sz w:val="2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  <w:r>
        <w:rPr>
          <w:rFonts w:eastAsia="Times New Roman"/>
          <w:kern w:val="0"/>
          <w:sz w:val="22"/>
        </w:rPr>
        <w:br w:type="page"/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7034E"/>
    <w:multiLevelType w:val="singleLevel"/>
    <w:tmpl w:val="C787034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89C5800"/>
    <w:multiLevelType w:val="singleLevel"/>
    <w:tmpl w:val="089C580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308FD07"/>
    <w:multiLevelType w:val="singleLevel"/>
    <w:tmpl w:val="5308FD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5ZDA1ZDJhOWEwNzFkMGUzNmY1YWE5MDg1MzExZDQifQ=="/>
  </w:docVars>
  <w:rsids>
    <w:rsidRoot w:val="4B9464EF"/>
    <w:rsid w:val="16E46098"/>
    <w:rsid w:val="1BB969B5"/>
    <w:rsid w:val="1FEA509A"/>
    <w:rsid w:val="3F6E2B4C"/>
    <w:rsid w:val="4B9464EF"/>
    <w:rsid w:val="566A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2045</Words>
  <Characters>2228</Characters>
  <Lines>0</Lines>
  <Paragraphs>0</Paragraphs>
  <TotalTime>31</TotalTime>
  <ScaleCrop>false</ScaleCrop>
  <LinksUpToDate>false</LinksUpToDate>
  <CharactersWithSpaces>2257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2025-04-18T00:20:00Z</dcterms:created>
  <dc:creator>窗边的小豆豆</dc:creator>
  <cp:lastModifiedBy>YC</cp:lastModifiedBy>
  <dcterms:modified xsi:type="dcterms:W3CDTF">2025-04-21T01:31:55Z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68FB4702982141C5B5BEE7C47F1E00C5_11</vt:lpwstr>
  </property>
  <property fmtid="{D5CDD505-2E9C-101B-9397-08002B2CF9AE}" pid="4" name="KSOTemplateDocerSaveRecord">
    <vt:lpwstr>eyJoZGlkIjoiNTM1ODQ4YWQ0ZjQ2NmU4ZWE5ZmRhZWM1ZTQ3YjI3MmYiLCJ1c2VySWQiOiI0NDE1NjEwNjEifQ==</vt:lpwstr>
  </property>
</Properties>
</file>