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ED27A82">
      <w:pPr>
        <w:keepNext w:val="0"/>
        <w:keepLines w:val="0"/>
        <w:pageBreakBefore w:val="0"/>
        <w:widowControl/>
        <w:kinsoku/>
        <w:wordWrap/>
        <w:overflowPunct/>
        <w:topLinePunct w:val="0"/>
        <w:autoSpaceDE/>
        <w:autoSpaceDN w:val="0"/>
        <w:bidi w:val="0"/>
        <w:adjustRightInd/>
        <w:snapToGrid/>
        <w:spacing w:line="240" w:lineRule="auto"/>
        <w:jc w:val="center"/>
        <w:textAlignment w:val="auto"/>
        <w:rPr>
          <w:rFonts w:hint="eastAsia" w:ascii="方正小标宋简体" w:hAnsi="方正小标宋简体" w:eastAsia="方正小标宋简体" w:cs="方正小标宋简体"/>
          <w:b w:val="0"/>
          <w:bCs/>
          <w:kern w:val="0"/>
          <w:sz w:val="44"/>
          <w:szCs w:val="44"/>
          <w:lang w:val="en-US" w:eastAsia="zh-CN"/>
        </w:rPr>
        <w:sectPr>
          <w:headerReference r:id="rId3" w:type="default"/>
          <w:footerReference r:id="rId4" w:type="default"/>
          <w:pgSz w:w="11905" w:h="16837"/>
          <w:pgMar w:top="2098" w:right="1474" w:bottom="1984" w:left="1474" w:header="850" w:footer="1417" w:gutter="0"/>
          <w:pgNumType w:fmt="decimal" w:start="1"/>
          <w:cols w:space="0" w:num="1"/>
          <w:rtlGutter w:val="0"/>
          <w:docGrid w:type="lines" w:linePitch="636" w:charSpace="0"/>
        </w:sectPr>
      </w:pPr>
      <w:r>
        <w:rPr>
          <w:rFonts w:hint="eastAsia" w:ascii="方正小标宋简体" w:hAnsi="方正小标宋简体" w:eastAsia="方正小标宋简体" w:cs="方正小标宋简体"/>
          <w:b w:val="0"/>
          <w:bCs/>
          <w:kern w:val="0"/>
          <w:sz w:val="44"/>
          <w:szCs w:val="44"/>
          <w:lang w:val="en-US" w:eastAsia="zh-CN"/>
        </w:rPr>
        <w:drawing>
          <wp:inline distT="0" distB="0" distL="114300" distR="114300">
            <wp:extent cx="6325235" cy="8946515"/>
            <wp:effectExtent l="0" t="0" r="18415" b="6985"/>
            <wp:docPr id="1" name="图片 1" descr="IMG_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0002"/>
                    <pic:cNvPicPr>
                      <a:picLocks noChangeAspect="1"/>
                    </pic:cNvPicPr>
                  </pic:nvPicPr>
                  <pic:blipFill>
                    <a:blip r:embed="rId6"/>
                    <a:stretch>
                      <a:fillRect/>
                    </a:stretch>
                  </pic:blipFill>
                  <pic:spPr>
                    <a:xfrm>
                      <a:off x="0" y="0"/>
                      <a:ext cx="6325235" cy="8946515"/>
                    </a:xfrm>
                    <a:prstGeom prst="rect">
                      <a:avLst/>
                    </a:prstGeom>
                  </pic:spPr>
                </pic:pic>
              </a:graphicData>
            </a:graphic>
          </wp:inline>
        </w:drawing>
      </w:r>
      <w:bookmarkStart w:id="0" w:name="_GoBack"/>
      <w:bookmarkEnd w:id="0"/>
    </w:p>
    <w:p w14:paraId="3C90DCD9">
      <w:pPr>
        <w:keepNext w:val="0"/>
        <w:keepLines w:val="0"/>
        <w:pageBreakBefore w:val="0"/>
        <w:widowControl/>
        <w:kinsoku/>
        <w:wordWrap/>
        <w:overflowPunct/>
        <w:topLinePunct w:val="0"/>
        <w:autoSpaceDE/>
        <w:autoSpaceDN w:val="0"/>
        <w:bidi w:val="0"/>
        <w:adjustRightInd/>
        <w:snapToGrid/>
        <w:spacing w:line="576" w:lineRule="exact"/>
        <w:jc w:val="center"/>
        <w:textAlignment w:val="auto"/>
        <w:rPr>
          <w:rFonts w:hint="eastAsia" w:ascii="方正小标宋简体" w:hAnsi="方正小标宋简体" w:eastAsia="方正小标宋简体" w:cs="方正小标宋简体"/>
          <w:b w:val="0"/>
          <w:bCs/>
          <w:kern w:val="0"/>
          <w:sz w:val="44"/>
          <w:szCs w:val="44"/>
        </w:rPr>
      </w:pPr>
      <w:r>
        <w:rPr>
          <w:rFonts w:hint="eastAsia" w:ascii="方正小标宋简体" w:hAnsi="方正小标宋简体" w:eastAsia="方正小标宋简体" w:cs="方正小标宋简体"/>
          <w:b w:val="0"/>
          <w:bCs/>
          <w:kern w:val="0"/>
          <w:sz w:val="44"/>
          <w:szCs w:val="44"/>
          <w:lang w:val="en-US" w:eastAsia="zh-CN"/>
        </w:rPr>
        <w:t>2024</w:t>
      </w:r>
      <w:r>
        <w:rPr>
          <w:rFonts w:hint="eastAsia" w:ascii="方正小标宋简体" w:hAnsi="方正小标宋简体" w:eastAsia="方正小标宋简体" w:cs="方正小标宋简体"/>
          <w:b w:val="0"/>
          <w:bCs/>
          <w:kern w:val="0"/>
          <w:sz w:val="44"/>
          <w:szCs w:val="44"/>
        </w:rPr>
        <w:t>年度</w:t>
      </w:r>
      <w:r>
        <w:rPr>
          <w:rFonts w:hint="eastAsia" w:ascii="方正小标宋简体" w:hAnsi="方正小标宋简体" w:eastAsia="方正小标宋简体" w:cs="方正小标宋简体"/>
          <w:b/>
          <w:bCs w:val="0"/>
          <w:kern w:val="0"/>
          <w:sz w:val="44"/>
          <w:szCs w:val="44"/>
          <w:lang w:val="en-US" w:eastAsia="zh-CN"/>
        </w:rPr>
        <w:t>安化县第二人民医院</w:t>
      </w:r>
      <w:r>
        <w:rPr>
          <w:rFonts w:hint="eastAsia" w:ascii="方正小标宋简体" w:hAnsi="方正小标宋简体" w:eastAsia="方正小标宋简体" w:cs="方正小标宋简体"/>
          <w:b w:val="0"/>
          <w:bCs/>
          <w:kern w:val="0"/>
          <w:sz w:val="44"/>
          <w:szCs w:val="44"/>
        </w:rPr>
        <w:t>整体支出</w:t>
      </w:r>
    </w:p>
    <w:p w14:paraId="00D62BCC">
      <w:pPr>
        <w:keepNext w:val="0"/>
        <w:keepLines w:val="0"/>
        <w:pageBreakBefore w:val="0"/>
        <w:widowControl/>
        <w:kinsoku/>
        <w:wordWrap/>
        <w:overflowPunct/>
        <w:topLinePunct w:val="0"/>
        <w:autoSpaceDE/>
        <w:autoSpaceDN w:val="0"/>
        <w:bidi w:val="0"/>
        <w:adjustRightInd/>
        <w:snapToGrid/>
        <w:spacing w:line="576" w:lineRule="exact"/>
        <w:jc w:val="center"/>
        <w:textAlignment w:val="auto"/>
        <w:rPr>
          <w:rFonts w:hint="eastAsia" w:ascii="方正小标宋简体" w:hAnsi="方正小标宋简体" w:eastAsia="方正小标宋简体" w:cs="方正小标宋简体"/>
          <w:b w:val="0"/>
          <w:bCs/>
          <w:kern w:val="0"/>
          <w:sz w:val="44"/>
          <w:szCs w:val="44"/>
        </w:rPr>
      </w:pPr>
      <w:r>
        <w:rPr>
          <w:rFonts w:hint="eastAsia" w:ascii="方正小标宋简体" w:hAnsi="方正小标宋简体" w:eastAsia="方正小标宋简体" w:cs="方正小标宋简体"/>
          <w:b w:val="0"/>
          <w:bCs/>
          <w:kern w:val="0"/>
          <w:sz w:val="44"/>
          <w:szCs w:val="44"/>
        </w:rPr>
        <w:t>绩效自评报告</w:t>
      </w:r>
    </w:p>
    <w:p w14:paraId="740AAB76">
      <w:pPr>
        <w:keepNext w:val="0"/>
        <w:keepLines w:val="0"/>
        <w:pageBreakBefore w:val="0"/>
        <w:widowControl/>
        <w:kinsoku/>
        <w:wordWrap/>
        <w:overflowPunct/>
        <w:topLinePunct w:val="0"/>
        <w:autoSpaceDE/>
        <w:autoSpaceDN/>
        <w:bidi w:val="0"/>
        <w:adjustRightInd/>
        <w:snapToGrid/>
        <w:spacing w:line="576" w:lineRule="exact"/>
        <w:ind w:firstLine="640" w:firstLineChars="200"/>
        <w:jc w:val="left"/>
        <w:textAlignment w:val="auto"/>
        <w:rPr>
          <w:rFonts w:hint="eastAsia" w:ascii="黑体" w:hAnsi="黑体" w:eastAsia="黑体" w:cs="宋体"/>
          <w:color w:val="000000"/>
          <w:kern w:val="0"/>
          <w:sz w:val="32"/>
          <w:szCs w:val="32"/>
        </w:rPr>
      </w:pPr>
      <w:r>
        <w:rPr>
          <w:rFonts w:hint="eastAsia" w:ascii="黑体" w:hAnsi="黑体" w:eastAsia="黑体" w:cs="宋体"/>
          <w:color w:val="000000"/>
          <w:kern w:val="0"/>
          <w:sz w:val="32"/>
          <w:szCs w:val="32"/>
        </w:rPr>
        <w:t>一、部门(单位)基本情况</w:t>
      </w:r>
    </w:p>
    <w:p w14:paraId="6340C4CF">
      <w:pPr>
        <w:keepNext w:val="0"/>
        <w:keepLines w:val="0"/>
        <w:pageBreakBefore w:val="0"/>
        <w:widowControl/>
        <w:kinsoku/>
        <w:wordWrap/>
        <w:overflowPunct/>
        <w:topLinePunct w:val="0"/>
        <w:autoSpaceDE/>
        <w:autoSpaceDN/>
        <w:bidi w:val="0"/>
        <w:adjustRightInd/>
        <w:snapToGrid/>
        <w:spacing w:line="576" w:lineRule="exact"/>
        <w:ind w:firstLine="640" w:firstLineChars="200"/>
        <w:jc w:val="left"/>
        <w:textAlignment w:val="auto"/>
        <w:rPr>
          <w:rFonts w:hint="eastAsia" w:ascii="楷体_GB2312" w:hAnsi="楷体_GB2312" w:eastAsia="楷体_GB2312" w:cs="楷体_GB2312"/>
          <w:color w:val="000000"/>
          <w:kern w:val="0"/>
          <w:sz w:val="32"/>
          <w:szCs w:val="32"/>
        </w:rPr>
      </w:pPr>
      <w:r>
        <w:rPr>
          <w:rFonts w:hint="eastAsia" w:ascii="楷体_GB2312" w:hAnsi="楷体_GB2312" w:eastAsia="楷体_GB2312" w:cs="楷体_GB2312"/>
          <w:color w:val="000000"/>
          <w:kern w:val="0"/>
          <w:sz w:val="32"/>
          <w:szCs w:val="32"/>
        </w:rPr>
        <w:t>(一)简要介绍202</w:t>
      </w:r>
      <w:r>
        <w:rPr>
          <w:rFonts w:hint="eastAsia" w:ascii="楷体_GB2312" w:hAnsi="楷体_GB2312" w:eastAsia="楷体_GB2312" w:cs="楷体_GB2312"/>
          <w:color w:val="000000"/>
          <w:kern w:val="0"/>
          <w:sz w:val="32"/>
          <w:szCs w:val="32"/>
          <w:lang w:val="en-US" w:eastAsia="zh-CN"/>
        </w:rPr>
        <w:t>4</w:t>
      </w:r>
      <w:r>
        <w:rPr>
          <w:rFonts w:hint="eastAsia" w:ascii="楷体_GB2312" w:hAnsi="楷体_GB2312" w:eastAsia="楷体_GB2312" w:cs="楷体_GB2312"/>
          <w:color w:val="000000"/>
          <w:kern w:val="0"/>
          <w:sz w:val="32"/>
          <w:szCs w:val="32"/>
        </w:rPr>
        <w:t>年度重点工作;</w:t>
      </w:r>
    </w:p>
    <w:p w14:paraId="7CDA3528">
      <w:pPr>
        <w:keepNext w:val="0"/>
        <w:keepLines w:val="0"/>
        <w:pageBreakBefore w:val="0"/>
        <w:widowControl w:val="0"/>
        <w:kinsoku/>
        <w:wordWrap/>
        <w:overflowPunct/>
        <w:topLinePunct w:val="0"/>
        <w:autoSpaceDE/>
        <w:autoSpaceDN/>
        <w:bidi w:val="0"/>
        <w:adjustRightInd/>
        <w:snapToGrid w:val="0"/>
        <w:spacing w:line="520" w:lineRule="exact"/>
        <w:ind w:firstLine="640" w:firstLineChars="200"/>
        <w:textAlignment w:val="auto"/>
        <w:rPr>
          <w:rFonts w:hint="eastAsia" w:ascii="仿宋_GB2312" w:hAnsi="仿宋_GB2312" w:eastAsia="仿宋_GB2312" w:cs="仿宋_GB2312"/>
          <w:color w:val="333333"/>
          <w:sz w:val="32"/>
          <w:szCs w:val="32"/>
        </w:rPr>
      </w:pPr>
      <w:r>
        <w:rPr>
          <w:rFonts w:hint="eastAsia" w:ascii="楷体_GB2312" w:hAnsi="楷体_GB2312" w:eastAsia="楷体_GB2312" w:cs="楷体_GB2312"/>
          <w:color w:val="000000"/>
          <w:kern w:val="0"/>
          <w:sz w:val="32"/>
          <w:szCs w:val="32"/>
        </w:rPr>
        <w:t xml:space="preserve"> </w:t>
      </w:r>
      <w:r>
        <w:rPr>
          <w:rFonts w:hint="eastAsia" w:ascii="仿宋_GB2312" w:hAnsi="仿宋" w:eastAsia="仿宋_GB2312"/>
          <w:sz w:val="32"/>
          <w:szCs w:val="32"/>
          <w:lang w:eastAsia="zh-CN"/>
        </w:rPr>
        <w:t>承担安化县前乡片区常见病、多发病的诊治任务，开展二级专科服务，</w:t>
      </w:r>
      <w:r>
        <w:rPr>
          <w:rFonts w:hint="eastAsia" w:ascii="仿宋_GB2312" w:hAnsi="仿宋_GB2312" w:eastAsia="仿宋_GB2312" w:cs="仿宋_GB2312"/>
          <w:color w:val="333333"/>
          <w:sz w:val="32"/>
          <w:szCs w:val="32"/>
        </w:rPr>
        <w:t>承担急危重症抢救和复杂疑难病症诊治任务；承担安化县前乡片120急救和各类突发事故的现场抢救及院内急救；接受下级医疗卫生机构的转诊,指导乡(镇)卫生院做好医疗、康复、预防保健等业务技术工作；贯彻执行传染病预防诊治和管理工作,开展健康教育,进行防病指导；承担基层医疗卫生机构卫生技术人员的进修和培训,承担医学院校临床教学、实习任务；承担县卫健局下达的其它任务。</w:t>
      </w:r>
    </w:p>
    <w:p w14:paraId="2C923CC8">
      <w:pPr>
        <w:keepNext w:val="0"/>
        <w:keepLines w:val="0"/>
        <w:pageBreakBefore w:val="0"/>
        <w:widowControl/>
        <w:kinsoku/>
        <w:wordWrap/>
        <w:overflowPunct/>
        <w:topLinePunct w:val="0"/>
        <w:autoSpaceDE/>
        <w:autoSpaceDN/>
        <w:bidi w:val="0"/>
        <w:adjustRightInd/>
        <w:snapToGrid/>
        <w:spacing w:line="576" w:lineRule="exact"/>
        <w:ind w:firstLine="640" w:firstLineChars="200"/>
        <w:jc w:val="left"/>
        <w:textAlignment w:val="auto"/>
        <w:rPr>
          <w:rFonts w:hint="eastAsia" w:ascii="楷体_GB2312" w:hAnsi="楷体_GB2312" w:eastAsia="楷体_GB2312" w:cs="楷体_GB2312"/>
          <w:color w:val="000000"/>
          <w:kern w:val="0"/>
          <w:sz w:val="32"/>
          <w:szCs w:val="32"/>
        </w:rPr>
      </w:pPr>
    </w:p>
    <w:p w14:paraId="563A75F5">
      <w:pPr>
        <w:keepNext w:val="0"/>
        <w:keepLines w:val="0"/>
        <w:pageBreakBefore w:val="0"/>
        <w:widowControl/>
        <w:numPr>
          <w:ilvl w:val="0"/>
          <w:numId w:val="1"/>
        </w:numPr>
        <w:kinsoku/>
        <w:wordWrap/>
        <w:overflowPunct/>
        <w:topLinePunct w:val="0"/>
        <w:autoSpaceDE/>
        <w:autoSpaceDN/>
        <w:bidi w:val="0"/>
        <w:adjustRightInd/>
        <w:snapToGrid/>
        <w:spacing w:line="576" w:lineRule="exact"/>
        <w:ind w:firstLine="640" w:firstLineChars="200"/>
        <w:jc w:val="left"/>
        <w:textAlignment w:val="auto"/>
        <w:rPr>
          <w:rFonts w:hint="eastAsia" w:ascii="楷体_GB2312" w:hAnsi="楷体_GB2312" w:eastAsia="楷体_GB2312" w:cs="楷体_GB2312"/>
          <w:color w:val="000000"/>
          <w:kern w:val="0"/>
          <w:sz w:val="32"/>
          <w:szCs w:val="32"/>
        </w:rPr>
      </w:pPr>
      <w:r>
        <w:rPr>
          <w:rFonts w:hint="eastAsia" w:ascii="楷体_GB2312" w:hAnsi="楷体_GB2312" w:eastAsia="楷体_GB2312" w:cs="楷体_GB2312"/>
          <w:color w:val="000000"/>
          <w:kern w:val="0"/>
          <w:sz w:val="32"/>
          <w:szCs w:val="32"/>
        </w:rPr>
        <w:t>部门整体支出规模、使用方向、主要内容和涉及范围。</w:t>
      </w:r>
    </w:p>
    <w:p w14:paraId="11FDC148">
      <w:pPr>
        <w:pStyle w:val="17"/>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仿宋_GB2312" w:hAnsi="仿宋_GB2312" w:eastAsia="仿宋_GB2312" w:cs="仿宋_GB2312"/>
          <w:sz w:val="32"/>
          <w:szCs w:val="32"/>
        </w:rPr>
      </w:pPr>
      <w:r>
        <w:rPr>
          <w:rFonts w:hint="eastAsia" w:ascii="楷体_GB2312" w:hAnsi="楷体_GB2312" w:eastAsia="楷体_GB2312" w:cs="楷体_GB2312"/>
          <w:color w:val="000000"/>
          <w:kern w:val="0"/>
          <w:sz w:val="32"/>
          <w:szCs w:val="32"/>
          <w:lang w:val="en-US" w:eastAsia="zh-CN"/>
        </w:rPr>
        <w:t xml:space="preserve">    </w:t>
      </w:r>
      <w:r>
        <w:rPr>
          <w:rFonts w:hint="eastAsia" w:ascii="宋体" w:hAnsi="宋体" w:eastAsia="宋体" w:cs="宋体"/>
          <w:color w:val="000000"/>
          <w:kern w:val="0"/>
          <w:sz w:val="32"/>
          <w:szCs w:val="32"/>
          <w:lang w:val="en-US" w:eastAsia="zh-CN"/>
        </w:rPr>
        <w:t xml:space="preserve"> </w:t>
      </w:r>
      <w:r>
        <w:rPr>
          <w:rFonts w:hint="eastAsia" w:ascii="仿宋_GB2312" w:hAnsi="仿宋_GB2312" w:eastAsia="仿宋_GB2312" w:cs="仿宋_GB2312"/>
          <w:sz w:val="32"/>
          <w:szCs w:val="32"/>
        </w:rPr>
        <w:t>202</w:t>
      </w:r>
      <w:r>
        <w:rPr>
          <w:rFonts w:hint="eastAsia" w:hAnsi="仿宋_GB2312" w:cs="仿宋_GB2312"/>
          <w:sz w:val="32"/>
          <w:szCs w:val="32"/>
          <w:lang w:val="en-US" w:eastAsia="zh-CN"/>
        </w:rPr>
        <w:t>4</w:t>
      </w:r>
      <w:r>
        <w:rPr>
          <w:rFonts w:hint="eastAsia" w:ascii="仿宋_GB2312" w:hAnsi="仿宋_GB2312" w:eastAsia="仿宋_GB2312" w:cs="仿宋_GB2312"/>
          <w:sz w:val="32"/>
          <w:szCs w:val="32"/>
        </w:rPr>
        <w:t>年度</w:t>
      </w:r>
      <w:r>
        <w:rPr>
          <w:rFonts w:hint="eastAsia" w:ascii="仿宋_GB2312" w:hAnsi="仿宋_GB2312" w:eastAsia="仿宋_GB2312" w:cs="仿宋_GB2312"/>
          <w:sz w:val="32"/>
          <w:szCs w:val="32"/>
          <w:lang w:eastAsia="zh-CN"/>
        </w:rPr>
        <w:t>部门整体</w:t>
      </w:r>
      <w:r>
        <w:rPr>
          <w:rFonts w:hint="eastAsia" w:ascii="仿宋_GB2312" w:hAnsi="仿宋_GB2312" w:eastAsia="仿宋_GB2312" w:cs="仿宋_GB2312"/>
          <w:sz w:val="32"/>
          <w:szCs w:val="32"/>
        </w:rPr>
        <w:t>支出</w:t>
      </w:r>
      <w:r>
        <w:rPr>
          <w:rFonts w:hint="eastAsia" w:ascii="仿宋_GB2312" w:hAnsi="仿宋_GB2312" w:eastAsia="仿宋_GB2312" w:cs="仿宋_GB2312"/>
          <w:sz w:val="32"/>
          <w:szCs w:val="32"/>
          <w:lang w:val="en-US" w:eastAsia="zh-CN"/>
        </w:rPr>
        <w:t>18</w:t>
      </w:r>
      <w:r>
        <w:rPr>
          <w:rFonts w:hint="eastAsia" w:hAnsi="仿宋_GB2312" w:cs="仿宋_GB2312"/>
          <w:sz w:val="32"/>
          <w:szCs w:val="32"/>
          <w:lang w:val="en-US" w:eastAsia="zh-CN"/>
        </w:rPr>
        <w:t>658.88</w:t>
      </w:r>
      <w:r>
        <w:rPr>
          <w:rFonts w:hint="eastAsia" w:ascii="仿宋_GB2312" w:hAnsi="仿宋_GB2312" w:eastAsia="仿宋_GB2312" w:cs="仿宋_GB2312"/>
          <w:sz w:val="32"/>
          <w:szCs w:val="32"/>
        </w:rPr>
        <w:t>万元，其中：</w:t>
      </w:r>
    </w:p>
    <w:p w14:paraId="4CCC5205">
      <w:pPr>
        <w:pStyle w:val="17"/>
        <w:keepNext w:val="0"/>
        <w:keepLines w:val="0"/>
        <w:pageBreakBefore w:val="0"/>
        <w:widowControl w:val="0"/>
        <w:kinsoku/>
        <w:wordWrap/>
        <w:overflowPunct/>
        <w:topLinePunct w:val="0"/>
        <w:bidi w:val="0"/>
        <w:snapToGrid/>
        <w:spacing w:line="600" w:lineRule="exact"/>
        <w:ind w:firstLine="643" w:firstLineChars="200"/>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b/>
          <w:bCs/>
          <w:sz w:val="32"/>
          <w:szCs w:val="32"/>
        </w:rPr>
        <w:t>人员经费</w:t>
      </w:r>
      <w:r>
        <w:rPr>
          <w:rFonts w:hint="eastAsia" w:hAnsi="仿宋_GB2312" w:cs="仿宋_GB2312"/>
          <w:b/>
          <w:bCs/>
          <w:sz w:val="32"/>
          <w:szCs w:val="32"/>
          <w:lang w:val="en-US" w:eastAsia="zh-CN"/>
        </w:rPr>
        <w:t>9278.58</w:t>
      </w:r>
      <w:r>
        <w:rPr>
          <w:rFonts w:hint="eastAsia" w:ascii="仿宋_GB2312" w:hAnsi="仿宋_GB2312" w:eastAsia="仿宋_GB2312" w:cs="仿宋_GB2312"/>
          <w:sz w:val="32"/>
          <w:szCs w:val="32"/>
        </w:rPr>
        <w:t>万元，占基本支出的</w:t>
      </w:r>
      <w:r>
        <w:rPr>
          <w:rFonts w:hint="eastAsia" w:hAnsi="仿宋_GB2312" w:cs="仿宋_GB2312"/>
          <w:sz w:val="32"/>
          <w:szCs w:val="32"/>
          <w:lang w:val="en-US" w:eastAsia="zh-CN"/>
        </w:rPr>
        <w:t>49.73</w:t>
      </w:r>
      <w:r>
        <w:rPr>
          <w:rFonts w:hint="eastAsia" w:ascii="仿宋_GB2312" w:hAnsi="仿宋_GB2312" w:eastAsia="仿宋_GB2312" w:cs="仿宋_GB2312"/>
          <w:sz w:val="32"/>
          <w:szCs w:val="32"/>
        </w:rPr>
        <w:t>%,主要包括基本工资、</w:t>
      </w:r>
      <w:r>
        <w:rPr>
          <w:rFonts w:hint="eastAsia" w:ascii="仿宋_GB2312" w:hAnsi="仿宋_GB2312" w:eastAsia="仿宋_GB2312" w:cs="仿宋_GB2312"/>
          <w:sz w:val="32"/>
          <w:szCs w:val="32"/>
          <w:lang w:eastAsia="zh-CN"/>
        </w:rPr>
        <w:t>绩效工资</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eastAsia="zh-CN"/>
        </w:rPr>
        <w:t>津补贴</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eastAsia="zh-CN"/>
        </w:rPr>
        <w:t>五险和住房公积金。</w:t>
      </w:r>
    </w:p>
    <w:p w14:paraId="02C84428">
      <w:pPr>
        <w:pStyle w:val="17"/>
        <w:keepNext w:val="0"/>
        <w:keepLines w:val="0"/>
        <w:pageBreakBefore w:val="0"/>
        <w:widowControl w:val="0"/>
        <w:kinsoku/>
        <w:wordWrap/>
        <w:overflowPunct/>
        <w:topLinePunct w:val="0"/>
        <w:bidi w:val="0"/>
        <w:snapToGrid/>
        <w:spacing w:line="600" w:lineRule="exact"/>
        <w:ind w:firstLine="643" w:firstLineChars="200"/>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b/>
          <w:bCs/>
          <w:sz w:val="32"/>
          <w:szCs w:val="32"/>
        </w:rPr>
        <w:t>公用经费</w:t>
      </w:r>
      <w:r>
        <w:rPr>
          <w:rFonts w:hint="eastAsia" w:hAnsi="仿宋_GB2312" w:cs="仿宋_GB2312"/>
          <w:b/>
          <w:bCs/>
          <w:sz w:val="32"/>
          <w:szCs w:val="32"/>
          <w:lang w:val="en-US" w:eastAsia="zh-CN"/>
        </w:rPr>
        <w:t>9371.7</w:t>
      </w:r>
      <w:r>
        <w:rPr>
          <w:rFonts w:hint="eastAsia" w:ascii="仿宋_GB2312" w:hAnsi="仿宋_GB2312" w:eastAsia="仿宋_GB2312" w:cs="仿宋_GB2312"/>
          <w:sz w:val="32"/>
          <w:szCs w:val="32"/>
        </w:rPr>
        <w:t>万元，占基本支出的</w:t>
      </w:r>
      <w:r>
        <w:rPr>
          <w:rFonts w:hint="eastAsia" w:ascii="仿宋_GB2312" w:hAnsi="仿宋_GB2312" w:eastAsia="仿宋_GB2312" w:cs="仿宋_GB2312"/>
          <w:sz w:val="32"/>
          <w:szCs w:val="32"/>
          <w:lang w:val="en-US" w:eastAsia="zh-CN"/>
        </w:rPr>
        <w:t>5</w:t>
      </w:r>
      <w:r>
        <w:rPr>
          <w:rFonts w:hint="eastAsia" w:hAnsi="仿宋_GB2312" w:cs="仿宋_GB2312"/>
          <w:sz w:val="32"/>
          <w:szCs w:val="32"/>
          <w:lang w:val="en-US" w:eastAsia="zh-CN"/>
        </w:rPr>
        <w:t>0.22</w:t>
      </w:r>
      <w:r>
        <w:rPr>
          <w:rFonts w:hint="eastAsia" w:ascii="仿宋_GB2312" w:hAnsi="仿宋_GB2312" w:eastAsia="仿宋_GB2312" w:cs="仿宋_GB2312"/>
          <w:sz w:val="32"/>
          <w:szCs w:val="32"/>
        </w:rPr>
        <w:t>%，主要</w:t>
      </w:r>
      <w:r>
        <w:rPr>
          <w:rFonts w:hint="eastAsia" w:ascii="仿宋_GB2312" w:hAnsi="仿宋_GB2312" w:eastAsia="仿宋_GB2312" w:cs="仿宋_GB2312"/>
          <w:sz w:val="32"/>
          <w:szCs w:val="32"/>
          <w:lang w:eastAsia="zh-CN"/>
        </w:rPr>
        <w:t>用于保证医院正常运转的各项公用经费，如办公费</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eastAsia="zh-CN"/>
        </w:rPr>
        <w:t>印刷费</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eastAsia="zh-CN"/>
        </w:rPr>
        <w:t>差旅费</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eastAsia="zh-CN"/>
        </w:rPr>
        <w:t>公务用车运行维护费</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eastAsia="zh-CN"/>
        </w:rPr>
        <w:t>水电费</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eastAsia="zh-CN"/>
        </w:rPr>
        <w:t>专用材料费等等。</w:t>
      </w:r>
    </w:p>
    <w:p w14:paraId="50D50012">
      <w:pPr>
        <w:pStyle w:val="17"/>
        <w:keepNext w:val="0"/>
        <w:keepLines w:val="0"/>
        <w:pageBreakBefore w:val="0"/>
        <w:widowControl w:val="0"/>
        <w:kinsoku/>
        <w:wordWrap/>
        <w:overflowPunct/>
        <w:topLinePunct w:val="0"/>
        <w:bidi w:val="0"/>
        <w:snapToGrid/>
        <w:spacing w:line="600" w:lineRule="exact"/>
        <w:ind w:firstLine="643" w:firstLineChars="200"/>
        <w:textAlignment w:val="auto"/>
        <w:rPr>
          <w:rFonts w:hint="default" w:ascii="仿宋_GB2312" w:hAnsi="仿宋_GB2312" w:eastAsia="仿宋_GB2312" w:cs="仿宋_GB2312"/>
          <w:sz w:val="32"/>
          <w:szCs w:val="32"/>
          <w:lang w:val="en-US" w:eastAsia="zh-CN"/>
        </w:rPr>
      </w:pPr>
      <w:r>
        <w:rPr>
          <w:rFonts w:hint="eastAsia" w:hAnsi="仿宋_GB2312" w:cs="仿宋_GB2312"/>
          <w:b/>
          <w:bCs/>
          <w:sz w:val="32"/>
          <w:szCs w:val="32"/>
          <w:lang w:eastAsia="zh-CN"/>
        </w:rPr>
        <w:t>项目支出</w:t>
      </w:r>
      <w:r>
        <w:rPr>
          <w:rFonts w:hint="eastAsia" w:hAnsi="仿宋_GB2312" w:cs="仿宋_GB2312"/>
          <w:b/>
          <w:bCs/>
          <w:sz w:val="32"/>
          <w:szCs w:val="32"/>
          <w:lang w:val="en-US" w:eastAsia="zh-CN"/>
        </w:rPr>
        <w:t>8.6</w:t>
      </w:r>
      <w:r>
        <w:rPr>
          <w:rFonts w:hint="eastAsia" w:hAnsi="仿宋_GB2312" w:cs="仿宋_GB2312"/>
          <w:sz w:val="32"/>
          <w:szCs w:val="32"/>
          <w:lang w:val="en-US" w:eastAsia="zh-CN"/>
        </w:rPr>
        <w:t>万元，占基本支出的0.05%，</w:t>
      </w:r>
      <w:r>
        <w:rPr>
          <w:rFonts w:hint="eastAsia" w:ascii="仿宋_GB2312" w:hAnsi="仿宋_GB2312" w:eastAsia="仿宋_GB2312" w:cs="仿宋_GB2312"/>
          <w:sz w:val="32"/>
          <w:szCs w:val="32"/>
        </w:rPr>
        <w:t>主要</w:t>
      </w:r>
      <w:r>
        <w:rPr>
          <w:rFonts w:hint="eastAsia" w:ascii="仿宋_GB2312" w:hAnsi="仿宋_GB2312" w:eastAsia="仿宋_GB2312" w:cs="仿宋_GB2312"/>
          <w:sz w:val="32"/>
          <w:szCs w:val="32"/>
          <w:lang w:eastAsia="zh-CN"/>
        </w:rPr>
        <w:t>用于</w:t>
      </w:r>
      <w:r>
        <w:rPr>
          <w:rFonts w:hint="eastAsia" w:hAnsi="仿宋_GB2312" w:cs="仿宋_GB2312"/>
          <w:sz w:val="32"/>
          <w:szCs w:val="32"/>
          <w:lang w:eastAsia="zh-CN"/>
        </w:rPr>
        <w:t>残疾人评残鉴定费。</w:t>
      </w:r>
    </w:p>
    <w:p w14:paraId="25C2EAEE">
      <w:pPr>
        <w:pStyle w:val="17"/>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202</w:t>
      </w:r>
      <w:r>
        <w:rPr>
          <w:rFonts w:hint="eastAsia" w:hAnsi="仿宋_GB2312" w:cs="仿宋_GB2312"/>
          <w:sz w:val="32"/>
          <w:szCs w:val="32"/>
          <w:lang w:val="en-US" w:eastAsia="zh-CN"/>
        </w:rPr>
        <w:t>4</w:t>
      </w:r>
      <w:r>
        <w:rPr>
          <w:rFonts w:hint="eastAsia" w:ascii="仿宋_GB2312" w:hAnsi="仿宋_GB2312" w:eastAsia="仿宋_GB2312" w:cs="仿宋_GB2312"/>
          <w:sz w:val="32"/>
          <w:szCs w:val="32"/>
        </w:rPr>
        <w:t>年度财政拨款支出</w:t>
      </w:r>
      <w:r>
        <w:rPr>
          <w:rFonts w:hint="eastAsia" w:hAnsi="仿宋_GB2312" w:cs="仿宋_GB2312"/>
          <w:sz w:val="32"/>
          <w:szCs w:val="32"/>
          <w:lang w:val="en-US" w:eastAsia="zh-CN"/>
        </w:rPr>
        <w:t>1107.48</w:t>
      </w:r>
      <w:r>
        <w:rPr>
          <w:rFonts w:hint="eastAsia" w:ascii="仿宋_GB2312" w:hAnsi="仿宋_GB2312" w:eastAsia="仿宋_GB2312" w:cs="仿宋_GB2312"/>
          <w:sz w:val="32"/>
          <w:szCs w:val="32"/>
        </w:rPr>
        <w:t>万元，其中：</w:t>
      </w:r>
    </w:p>
    <w:p w14:paraId="0588DFF9">
      <w:pPr>
        <w:pStyle w:val="17"/>
        <w:keepNext w:val="0"/>
        <w:keepLines w:val="0"/>
        <w:pageBreakBefore w:val="0"/>
        <w:widowControl w:val="0"/>
        <w:kinsoku/>
        <w:wordWrap/>
        <w:overflowPunct/>
        <w:topLinePunct w:val="0"/>
        <w:bidi w:val="0"/>
        <w:snapToGrid/>
        <w:spacing w:line="600" w:lineRule="exact"/>
        <w:ind w:firstLine="643" w:firstLineChars="200"/>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b/>
          <w:bCs/>
          <w:sz w:val="32"/>
          <w:szCs w:val="32"/>
        </w:rPr>
        <w:t>人员经费</w:t>
      </w:r>
      <w:r>
        <w:rPr>
          <w:rFonts w:hint="eastAsia" w:hAnsi="仿宋_GB2312" w:cs="仿宋_GB2312"/>
          <w:b/>
          <w:bCs/>
          <w:sz w:val="32"/>
          <w:szCs w:val="32"/>
          <w:lang w:val="en-US" w:eastAsia="zh-CN"/>
        </w:rPr>
        <w:t>942.91</w:t>
      </w:r>
      <w:r>
        <w:rPr>
          <w:rFonts w:hint="eastAsia" w:ascii="仿宋_GB2312" w:hAnsi="仿宋_GB2312" w:eastAsia="仿宋_GB2312" w:cs="仿宋_GB2312"/>
          <w:sz w:val="32"/>
          <w:szCs w:val="32"/>
        </w:rPr>
        <w:t>万元，占基本支出的</w:t>
      </w:r>
      <w:r>
        <w:rPr>
          <w:rFonts w:hint="eastAsia" w:hAnsi="仿宋_GB2312" w:cs="仿宋_GB2312"/>
          <w:sz w:val="32"/>
          <w:szCs w:val="32"/>
          <w:lang w:val="en-US" w:eastAsia="zh-CN"/>
        </w:rPr>
        <w:t>85.14</w:t>
      </w:r>
      <w:r>
        <w:rPr>
          <w:rFonts w:hint="eastAsia" w:ascii="仿宋_GB2312" w:hAnsi="仿宋_GB2312" w:eastAsia="仿宋_GB2312" w:cs="仿宋_GB2312"/>
          <w:sz w:val="32"/>
          <w:szCs w:val="32"/>
        </w:rPr>
        <w:t>%,主要包括基本工资、</w:t>
      </w:r>
      <w:r>
        <w:rPr>
          <w:rFonts w:hint="eastAsia" w:ascii="仿宋_GB2312" w:hAnsi="仿宋_GB2312" w:eastAsia="仿宋_GB2312" w:cs="仿宋_GB2312"/>
          <w:sz w:val="32"/>
          <w:szCs w:val="32"/>
          <w:lang w:eastAsia="zh-CN"/>
        </w:rPr>
        <w:t>绩效工资</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eastAsia="zh-CN"/>
        </w:rPr>
        <w:t>养老保险和住房公积金。</w:t>
      </w:r>
    </w:p>
    <w:p w14:paraId="166942D9">
      <w:pPr>
        <w:pStyle w:val="17"/>
        <w:keepNext w:val="0"/>
        <w:keepLines w:val="0"/>
        <w:pageBreakBefore w:val="0"/>
        <w:widowControl w:val="0"/>
        <w:kinsoku/>
        <w:wordWrap/>
        <w:overflowPunct/>
        <w:topLinePunct w:val="0"/>
        <w:bidi w:val="0"/>
        <w:snapToGrid/>
        <w:spacing w:line="600" w:lineRule="exact"/>
        <w:ind w:firstLine="643" w:firstLineChars="200"/>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b/>
          <w:bCs/>
          <w:sz w:val="32"/>
          <w:szCs w:val="32"/>
        </w:rPr>
        <w:t>公用经费</w:t>
      </w:r>
      <w:r>
        <w:rPr>
          <w:rFonts w:hint="eastAsia" w:hAnsi="仿宋_GB2312" w:cs="仿宋_GB2312"/>
          <w:b/>
          <w:bCs/>
          <w:sz w:val="32"/>
          <w:szCs w:val="32"/>
          <w:lang w:val="en-US" w:eastAsia="zh-CN"/>
        </w:rPr>
        <w:t>155.97</w:t>
      </w:r>
      <w:r>
        <w:rPr>
          <w:rFonts w:hint="eastAsia" w:ascii="仿宋_GB2312" w:hAnsi="仿宋_GB2312" w:eastAsia="仿宋_GB2312" w:cs="仿宋_GB2312"/>
          <w:sz w:val="32"/>
          <w:szCs w:val="32"/>
        </w:rPr>
        <w:t>万元，占基本支出的</w:t>
      </w:r>
      <w:r>
        <w:rPr>
          <w:rFonts w:hint="eastAsia" w:hAnsi="仿宋_GB2312" w:cs="仿宋_GB2312"/>
          <w:sz w:val="32"/>
          <w:szCs w:val="32"/>
          <w:lang w:val="en-US" w:eastAsia="zh-CN"/>
        </w:rPr>
        <w:t>14.08</w:t>
      </w:r>
      <w:r>
        <w:rPr>
          <w:rFonts w:hint="eastAsia" w:ascii="仿宋_GB2312" w:hAnsi="仿宋_GB2312" w:eastAsia="仿宋_GB2312" w:cs="仿宋_GB2312"/>
          <w:sz w:val="32"/>
          <w:szCs w:val="32"/>
        </w:rPr>
        <w:t>%，主要包括</w:t>
      </w:r>
      <w:r>
        <w:rPr>
          <w:rFonts w:hint="eastAsia" w:ascii="仿宋_GB2312" w:hAnsi="仿宋_GB2312" w:eastAsia="仿宋_GB2312" w:cs="仿宋_GB2312"/>
          <w:sz w:val="32"/>
          <w:szCs w:val="32"/>
          <w:lang w:eastAsia="zh-CN"/>
        </w:rPr>
        <w:t>专用材料费和专用设备购置。</w:t>
      </w:r>
    </w:p>
    <w:p w14:paraId="39F14845">
      <w:pPr>
        <w:pStyle w:val="17"/>
        <w:keepNext w:val="0"/>
        <w:keepLines w:val="0"/>
        <w:pageBreakBefore w:val="0"/>
        <w:widowControl w:val="0"/>
        <w:kinsoku/>
        <w:wordWrap/>
        <w:overflowPunct/>
        <w:topLinePunct w:val="0"/>
        <w:bidi w:val="0"/>
        <w:snapToGrid/>
        <w:spacing w:line="600" w:lineRule="exact"/>
        <w:ind w:firstLine="643" w:firstLineChars="200"/>
        <w:textAlignment w:val="auto"/>
        <w:rPr>
          <w:rFonts w:hint="default" w:ascii="仿宋_GB2312" w:hAnsi="仿宋_GB2312" w:eastAsia="仿宋_GB2312" w:cs="仿宋_GB2312"/>
          <w:sz w:val="32"/>
          <w:szCs w:val="32"/>
          <w:lang w:val="en-US" w:eastAsia="zh-CN"/>
        </w:rPr>
      </w:pPr>
      <w:r>
        <w:rPr>
          <w:rFonts w:hint="eastAsia" w:hAnsi="仿宋_GB2312" w:cs="仿宋_GB2312"/>
          <w:b/>
          <w:bCs/>
          <w:sz w:val="32"/>
          <w:szCs w:val="32"/>
          <w:lang w:eastAsia="zh-CN"/>
        </w:rPr>
        <w:t>项目支出</w:t>
      </w:r>
      <w:r>
        <w:rPr>
          <w:rFonts w:hint="eastAsia" w:hAnsi="仿宋_GB2312" w:cs="仿宋_GB2312"/>
          <w:b/>
          <w:bCs/>
          <w:sz w:val="32"/>
          <w:szCs w:val="32"/>
          <w:lang w:val="en-US" w:eastAsia="zh-CN"/>
        </w:rPr>
        <w:t>8.6</w:t>
      </w:r>
      <w:r>
        <w:rPr>
          <w:rFonts w:hint="eastAsia" w:hAnsi="仿宋_GB2312" w:cs="仿宋_GB2312"/>
          <w:sz w:val="32"/>
          <w:szCs w:val="32"/>
          <w:lang w:val="en-US" w:eastAsia="zh-CN"/>
        </w:rPr>
        <w:t>万元，占支出的0.78%，主要是</w:t>
      </w:r>
      <w:r>
        <w:rPr>
          <w:rFonts w:hint="eastAsia" w:hAnsi="仿宋_GB2312" w:cs="仿宋_GB2312"/>
          <w:sz w:val="32"/>
          <w:szCs w:val="32"/>
          <w:lang w:eastAsia="zh-CN"/>
        </w:rPr>
        <w:t>残疾人评残鉴定费。</w:t>
      </w:r>
    </w:p>
    <w:p w14:paraId="26D752C7">
      <w:pPr>
        <w:keepNext w:val="0"/>
        <w:keepLines w:val="0"/>
        <w:pageBreakBefore w:val="0"/>
        <w:widowControl/>
        <w:numPr>
          <w:ilvl w:val="0"/>
          <w:numId w:val="0"/>
        </w:numPr>
        <w:kinsoku/>
        <w:wordWrap/>
        <w:overflowPunct/>
        <w:topLinePunct w:val="0"/>
        <w:autoSpaceDE/>
        <w:autoSpaceDN/>
        <w:bidi w:val="0"/>
        <w:adjustRightInd/>
        <w:snapToGrid/>
        <w:spacing w:line="576" w:lineRule="exact"/>
        <w:jc w:val="left"/>
        <w:textAlignment w:val="auto"/>
        <w:rPr>
          <w:rFonts w:hint="default" w:ascii="楷体_GB2312" w:hAnsi="楷体_GB2312" w:eastAsia="楷体_GB2312" w:cs="楷体_GB2312"/>
          <w:color w:val="000000"/>
          <w:kern w:val="0"/>
          <w:sz w:val="32"/>
          <w:szCs w:val="32"/>
          <w:lang w:val="en-US" w:eastAsia="zh-CN"/>
        </w:rPr>
      </w:pPr>
    </w:p>
    <w:p w14:paraId="7F419EDB">
      <w:pPr>
        <w:keepNext w:val="0"/>
        <w:keepLines w:val="0"/>
        <w:pageBreakBefore w:val="0"/>
        <w:widowControl/>
        <w:numPr>
          <w:ilvl w:val="0"/>
          <w:numId w:val="2"/>
        </w:numPr>
        <w:kinsoku/>
        <w:wordWrap/>
        <w:overflowPunct/>
        <w:topLinePunct w:val="0"/>
        <w:autoSpaceDE/>
        <w:autoSpaceDN/>
        <w:bidi w:val="0"/>
        <w:adjustRightInd/>
        <w:snapToGrid/>
        <w:spacing w:line="576" w:lineRule="exact"/>
        <w:ind w:firstLine="640" w:firstLineChars="200"/>
        <w:jc w:val="left"/>
        <w:textAlignment w:val="auto"/>
        <w:rPr>
          <w:rFonts w:hint="eastAsia" w:ascii="黑体" w:hAnsi="黑体" w:eastAsia="黑体" w:cs="宋体"/>
          <w:color w:val="000000"/>
          <w:kern w:val="0"/>
          <w:sz w:val="32"/>
          <w:szCs w:val="32"/>
        </w:rPr>
      </w:pPr>
      <w:r>
        <w:rPr>
          <w:rFonts w:hint="eastAsia" w:ascii="黑体" w:hAnsi="黑体" w:eastAsia="黑体" w:cs="宋体"/>
          <w:color w:val="000000"/>
          <w:kern w:val="0"/>
          <w:sz w:val="32"/>
          <w:szCs w:val="32"/>
        </w:rPr>
        <w:t>一般公共预算支出情况</w:t>
      </w:r>
    </w:p>
    <w:p w14:paraId="7025A539">
      <w:pPr>
        <w:keepNext w:val="0"/>
        <w:keepLines w:val="0"/>
        <w:pageBreakBefore w:val="0"/>
        <w:widowControl/>
        <w:numPr>
          <w:ilvl w:val="0"/>
          <w:numId w:val="0"/>
        </w:numPr>
        <w:kinsoku/>
        <w:wordWrap/>
        <w:overflowPunct/>
        <w:topLinePunct w:val="0"/>
        <w:autoSpaceDE/>
        <w:autoSpaceDN/>
        <w:bidi w:val="0"/>
        <w:adjustRightInd/>
        <w:snapToGrid/>
        <w:spacing w:line="576" w:lineRule="exact"/>
        <w:ind w:firstLine="680" w:firstLineChars="200"/>
        <w:jc w:val="left"/>
        <w:textAlignment w:val="auto"/>
        <w:rPr>
          <w:rFonts w:hint="eastAsia" w:ascii="黑体" w:hAnsi="黑体" w:eastAsia="黑体" w:cs="宋体"/>
          <w:color w:val="000000"/>
          <w:kern w:val="0"/>
          <w:sz w:val="32"/>
          <w:szCs w:val="32"/>
        </w:rPr>
      </w:pPr>
      <w:r>
        <w:rPr>
          <w:rFonts w:ascii="楷体" w:hAnsi="楷体" w:eastAsia="楷体" w:cs="楷体"/>
          <w:spacing w:val="15"/>
          <w:sz w:val="31"/>
          <w:szCs w:val="31"/>
        </w:rPr>
        <w:t>202</w:t>
      </w:r>
      <w:r>
        <w:rPr>
          <w:rFonts w:hint="eastAsia" w:ascii="楷体" w:hAnsi="楷体" w:eastAsia="楷体" w:cs="楷体"/>
          <w:spacing w:val="15"/>
          <w:sz w:val="31"/>
          <w:szCs w:val="31"/>
          <w:lang w:val="en-US" w:eastAsia="zh-CN"/>
        </w:rPr>
        <w:t>4</w:t>
      </w:r>
      <w:r>
        <w:rPr>
          <w:rFonts w:ascii="楷体" w:hAnsi="楷体" w:eastAsia="楷体" w:cs="楷体"/>
          <w:spacing w:val="15"/>
          <w:sz w:val="31"/>
          <w:szCs w:val="31"/>
        </w:rPr>
        <w:t>年本部门一般公共预算拨款支出预算</w:t>
      </w:r>
      <w:r>
        <w:rPr>
          <w:rFonts w:hint="eastAsia" w:ascii="楷体" w:hAnsi="楷体" w:eastAsia="楷体" w:cs="楷体"/>
          <w:spacing w:val="15"/>
          <w:sz w:val="31"/>
          <w:szCs w:val="31"/>
          <w:lang w:val="en-US" w:eastAsia="zh-CN"/>
        </w:rPr>
        <w:t>1107.48</w:t>
      </w:r>
      <w:r>
        <w:rPr>
          <w:rFonts w:ascii="楷体" w:hAnsi="楷体" w:eastAsia="楷体" w:cs="楷体"/>
          <w:spacing w:val="15"/>
          <w:sz w:val="31"/>
          <w:szCs w:val="31"/>
        </w:rPr>
        <w:t>万元，其</w:t>
      </w:r>
      <w:r>
        <w:rPr>
          <w:rFonts w:ascii="楷体" w:hAnsi="楷体" w:eastAsia="楷体" w:cs="楷体"/>
          <w:spacing w:val="17"/>
          <w:sz w:val="31"/>
          <w:szCs w:val="31"/>
        </w:rPr>
        <w:t>中，卫生健康支出</w:t>
      </w:r>
      <w:r>
        <w:rPr>
          <w:rFonts w:hint="eastAsia" w:ascii="楷体" w:hAnsi="楷体" w:eastAsia="楷体" w:cs="楷体"/>
          <w:spacing w:val="17"/>
          <w:sz w:val="31"/>
          <w:szCs w:val="31"/>
          <w:lang w:val="en-US" w:eastAsia="zh-CN"/>
        </w:rPr>
        <w:t>807.65</w:t>
      </w:r>
      <w:r>
        <w:rPr>
          <w:rFonts w:ascii="楷体" w:hAnsi="楷体" w:eastAsia="楷体" w:cs="楷体"/>
          <w:spacing w:val="17"/>
          <w:sz w:val="31"/>
          <w:szCs w:val="31"/>
        </w:rPr>
        <w:t>万元，占</w:t>
      </w:r>
      <w:r>
        <w:rPr>
          <w:rFonts w:hint="eastAsia" w:ascii="楷体" w:hAnsi="楷体" w:eastAsia="楷体" w:cs="楷体"/>
          <w:spacing w:val="17"/>
          <w:sz w:val="31"/>
          <w:szCs w:val="31"/>
          <w:lang w:val="en-US" w:eastAsia="zh-CN"/>
        </w:rPr>
        <w:t>72.93</w:t>
      </w:r>
      <w:r>
        <w:rPr>
          <w:rFonts w:ascii="楷体" w:hAnsi="楷体" w:eastAsia="楷体" w:cs="楷体"/>
          <w:spacing w:val="17"/>
          <w:sz w:val="31"/>
          <w:szCs w:val="31"/>
        </w:rPr>
        <w:t>%</w:t>
      </w:r>
      <w:r>
        <w:rPr>
          <w:rFonts w:ascii="楷体" w:hAnsi="楷体" w:eastAsia="楷体" w:cs="楷体"/>
          <w:spacing w:val="16"/>
          <w:sz w:val="31"/>
          <w:szCs w:val="31"/>
        </w:rPr>
        <w:t>;社会保障与就业支</w:t>
      </w:r>
      <w:r>
        <w:rPr>
          <w:rFonts w:ascii="楷体" w:hAnsi="楷体" w:eastAsia="楷体" w:cs="楷体"/>
          <w:spacing w:val="8"/>
          <w:sz w:val="31"/>
          <w:szCs w:val="31"/>
        </w:rPr>
        <w:t>出</w:t>
      </w:r>
      <w:r>
        <w:rPr>
          <w:rFonts w:hint="eastAsia" w:ascii="楷体" w:hAnsi="楷体" w:eastAsia="楷体" w:cs="楷体"/>
          <w:spacing w:val="8"/>
          <w:sz w:val="31"/>
          <w:szCs w:val="31"/>
          <w:lang w:val="en-US" w:eastAsia="zh-CN"/>
        </w:rPr>
        <w:t>129.53</w:t>
      </w:r>
      <w:r>
        <w:rPr>
          <w:rFonts w:ascii="楷体" w:hAnsi="楷体" w:eastAsia="楷体" w:cs="楷体"/>
          <w:spacing w:val="8"/>
          <w:sz w:val="31"/>
          <w:szCs w:val="31"/>
        </w:rPr>
        <w:t>万元，占</w:t>
      </w:r>
      <w:r>
        <w:rPr>
          <w:rFonts w:hint="eastAsia" w:ascii="楷体" w:hAnsi="楷体" w:eastAsia="楷体" w:cs="楷体"/>
          <w:spacing w:val="8"/>
          <w:sz w:val="31"/>
          <w:szCs w:val="31"/>
          <w:lang w:val="en-US" w:eastAsia="zh-CN"/>
        </w:rPr>
        <w:t>11.7</w:t>
      </w:r>
      <w:r>
        <w:rPr>
          <w:rFonts w:ascii="楷体" w:hAnsi="楷体" w:eastAsia="楷体" w:cs="楷体"/>
          <w:spacing w:val="8"/>
          <w:sz w:val="31"/>
          <w:szCs w:val="31"/>
        </w:rPr>
        <w:t>%,住房保障支出</w:t>
      </w:r>
      <w:r>
        <w:rPr>
          <w:rFonts w:hint="eastAsia" w:ascii="楷体" w:hAnsi="楷体" w:eastAsia="楷体" w:cs="楷体"/>
          <w:spacing w:val="8"/>
          <w:sz w:val="31"/>
          <w:szCs w:val="31"/>
          <w:lang w:val="en-US" w:eastAsia="zh-CN"/>
        </w:rPr>
        <w:t>162.50</w:t>
      </w:r>
      <w:r>
        <w:rPr>
          <w:rFonts w:ascii="楷体" w:hAnsi="楷体" w:eastAsia="楷体" w:cs="楷体"/>
          <w:spacing w:val="8"/>
          <w:sz w:val="31"/>
          <w:szCs w:val="31"/>
        </w:rPr>
        <w:t>万元，占</w:t>
      </w:r>
      <w:r>
        <w:rPr>
          <w:rFonts w:hint="eastAsia" w:ascii="楷体" w:hAnsi="楷体" w:eastAsia="楷体" w:cs="楷体"/>
          <w:spacing w:val="8"/>
          <w:sz w:val="31"/>
          <w:szCs w:val="31"/>
          <w:lang w:val="en-US" w:eastAsia="zh-CN"/>
        </w:rPr>
        <w:t>14.67</w:t>
      </w:r>
      <w:r>
        <w:rPr>
          <w:rFonts w:ascii="楷体" w:hAnsi="楷体" w:eastAsia="楷体" w:cs="楷体"/>
          <w:spacing w:val="8"/>
          <w:sz w:val="31"/>
          <w:szCs w:val="31"/>
        </w:rPr>
        <w:t>%</w:t>
      </w:r>
      <w:r>
        <w:rPr>
          <w:rFonts w:hint="eastAsia" w:ascii="楷体" w:hAnsi="楷体" w:eastAsia="楷体" w:cs="楷体"/>
          <w:spacing w:val="8"/>
          <w:sz w:val="31"/>
          <w:szCs w:val="31"/>
          <w:lang w:val="en-US" w:eastAsia="zh-CN"/>
        </w:rPr>
        <w:t>,</w:t>
      </w:r>
      <w:r>
        <w:rPr>
          <w:rFonts w:hint="eastAsia" w:ascii="宋体" w:hAnsi="宋体" w:eastAsia="宋体" w:cs="宋体"/>
          <w:i w:val="0"/>
          <w:iCs w:val="0"/>
          <w:color w:val="000000"/>
          <w:kern w:val="0"/>
          <w:sz w:val="32"/>
          <w:szCs w:val="32"/>
          <w:u w:val="none"/>
          <w:lang w:val="en-US" w:eastAsia="zh-CN" w:bidi="ar"/>
        </w:rPr>
        <w:t>农林水支出</w:t>
      </w:r>
      <w:r>
        <w:rPr>
          <w:rFonts w:hint="eastAsia" w:ascii="宋体" w:hAnsi="宋体" w:eastAsia="宋体" w:cs="宋体"/>
          <w:kern w:val="2"/>
          <w:sz w:val="32"/>
          <w:szCs w:val="32"/>
          <w:highlight w:val="none"/>
          <w:lang w:val="en-US" w:eastAsia="zh-CN" w:bidi="ar-SA"/>
        </w:rPr>
        <w:t>7.8万元，</w:t>
      </w:r>
      <w:r>
        <w:rPr>
          <w:rFonts w:ascii="楷体" w:hAnsi="楷体" w:eastAsia="楷体" w:cs="楷体"/>
          <w:spacing w:val="8"/>
          <w:sz w:val="31"/>
          <w:szCs w:val="31"/>
        </w:rPr>
        <w:t>占</w:t>
      </w:r>
      <w:r>
        <w:rPr>
          <w:rFonts w:hint="eastAsia" w:ascii="楷体" w:hAnsi="楷体" w:eastAsia="楷体" w:cs="楷体"/>
          <w:spacing w:val="8"/>
          <w:sz w:val="31"/>
          <w:szCs w:val="31"/>
          <w:lang w:val="en-US" w:eastAsia="zh-CN"/>
        </w:rPr>
        <w:t>0.7</w:t>
      </w:r>
      <w:r>
        <w:rPr>
          <w:rFonts w:ascii="楷体" w:hAnsi="楷体" w:eastAsia="楷体" w:cs="楷体"/>
          <w:spacing w:val="8"/>
          <w:sz w:val="31"/>
          <w:szCs w:val="31"/>
        </w:rPr>
        <w:t>%。</w:t>
      </w:r>
    </w:p>
    <w:p w14:paraId="6D317779">
      <w:pPr>
        <w:keepNext w:val="0"/>
        <w:keepLines w:val="0"/>
        <w:pageBreakBefore w:val="0"/>
        <w:widowControl/>
        <w:kinsoku/>
        <w:wordWrap/>
        <w:overflowPunct/>
        <w:topLinePunct w:val="0"/>
        <w:autoSpaceDE/>
        <w:autoSpaceDN/>
        <w:bidi w:val="0"/>
        <w:adjustRightInd/>
        <w:snapToGrid/>
        <w:spacing w:line="576" w:lineRule="exact"/>
        <w:ind w:firstLine="640" w:firstLineChars="200"/>
        <w:jc w:val="left"/>
        <w:textAlignment w:val="auto"/>
        <w:rPr>
          <w:rFonts w:hint="eastAsia" w:ascii="楷体_GB2312" w:hAnsi="楷体_GB2312" w:eastAsia="楷体_GB2312" w:cs="楷体_GB2312"/>
          <w:color w:val="000000"/>
          <w:kern w:val="0"/>
          <w:sz w:val="32"/>
          <w:szCs w:val="32"/>
        </w:rPr>
      </w:pPr>
      <w:r>
        <w:rPr>
          <w:rFonts w:hint="eastAsia" w:ascii="楷体_GB2312" w:hAnsi="楷体_GB2312" w:eastAsia="楷体_GB2312" w:cs="楷体_GB2312"/>
          <w:color w:val="000000"/>
          <w:kern w:val="0"/>
          <w:sz w:val="32"/>
          <w:szCs w:val="32"/>
        </w:rPr>
        <w:t>(一)基本支出情况</w:t>
      </w:r>
    </w:p>
    <w:p w14:paraId="654A6C1D">
      <w:pPr>
        <w:keepNext w:val="0"/>
        <w:keepLines w:val="0"/>
        <w:pageBreakBefore w:val="0"/>
        <w:widowControl w:val="0"/>
        <w:kinsoku/>
        <w:wordWrap/>
        <w:overflowPunct/>
        <w:topLinePunct w:val="0"/>
        <w:autoSpaceDE/>
        <w:autoSpaceDN/>
        <w:bidi w:val="0"/>
        <w:adjustRightInd/>
        <w:snapToGrid/>
        <w:spacing w:line="224" w:lineRule="auto"/>
        <w:ind w:left="0" w:firstLine="656" w:firstLineChars="200"/>
        <w:textAlignment w:val="auto"/>
        <w:rPr>
          <w:rFonts w:hint="eastAsia" w:ascii="楷体_GB2312" w:hAnsi="楷体_GB2312" w:eastAsia="楷体_GB2312" w:cs="楷体_GB2312"/>
          <w:color w:val="000000"/>
          <w:kern w:val="0"/>
          <w:sz w:val="32"/>
          <w:szCs w:val="32"/>
        </w:rPr>
      </w:pPr>
      <w:r>
        <w:rPr>
          <w:rFonts w:ascii="楷体" w:hAnsi="楷体" w:eastAsia="楷体" w:cs="楷体"/>
          <w:spacing w:val="9"/>
          <w:sz w:val="31"/>
          <w:szCs w:val="31"/>
        </w:rPr>
        <w:t>202</w:t>
      </w:r>
      <w:r>
        <w:rPr>
          <w:rFonts w:hint="eastAsia" w:ascii="楷体" w:hAnsi="楷体" w:eastAsia="楷体" w:cs="楷体"/>
          <w:spacing w:val="9"/>
          <w:sz w:val="31"/>
          <w:szCs w:val="31"/>
          <w:lang w:val="en-US" w:eastAsia="zh-CN"/>
        </w:rPr>
        <w:t>4</w:t>
      </w:r>
      <w:r>
        <w:rPr>
          <w:rFonts w:ascii="楷体" w:hAnsi="楷体" w:eastAsia="楷体" w:cs="楷体"/>
          <w:spacing w:val="9"/>
          <w:sz w:val="31"/>
          <w:szCs w:val="31"/>
        </w:rPr>
        <w:t>年本部门基本支出预算数</w:t>
      </w:r>
      <w:r>
        <w:rPr>
          <w:rFonts w:hint="eastAsia" w:ascii="楷体" w:hAnsi="楷体" w:eastAsia="楷体" w:cs="楷体"/>
          <w:spacing w:val="8"/>
          <w:sz w:val="31"/>
          <w:szCs w:val="31"/>
          <w:lang w:val="en-US" w:eastAsia="zh-CN"/>
        </w:rPr>
        <w:t>1098.88</w:t>
      </w:r>
      <w:r>
        <w:rPr>
          <w:rFonts w:ascii="楷体" w:hAnsi="楷体" w:eastAsia="楷体" w:cs="楷体"/>
          <w:spacing w:val="8"/>
          <w:sz w:val="31"/>
          <w:szCs w:val="31"/>
        </w:rPr>
        <w:t>万元，主要是为保障部门正常运转、完成日常工作</w:t>
      </w:r>
      <w:r>
        <w:rPr>
          <w:rFonts w:ascii="楷体" w:hAnsi="楷体" w:eastAsia="楷体" w:cs="楷体"/>
          <w:spacing w:val="7"/>
          <w:sz w:val="31"/>
          <w:szCs w:val="31"/>
        </w:rPr>
        <w:t>任务而</w:t>
      </w:r>
      <w:r>
        <w:rPr>
          <w:rFonts w:ascii="楷体" w:hAnsi="楷体" w:eastAsia="楷体" w:cs="楷体"/>
          <w:sz w:val="31"/>
          <w:szCs w:val="31"/>
        </w:rPr>
        <w:t xml:space="preserve"> </w:t>
      </w:r>
      <w:r>
        <w:rPr>
          <w:rFonts w:ascii="楷体" w:hAnsi="楷体" w:eastAsia="楷体" w:cs="楷体"/>
          <w:spacing w:val="6"/>
          <w:sz w:val="31"/>
          <w:szCs w:val="31"/>
        </w:rPr>
        <w:t>发生的各项支出，包括用于基本工资、津贴补贴等人员经费以及</w:t>
      </w:r>
      <w:r>
        <w:rPr>
          <w:rFonts w:ascii="楷体" w:hAnsi="楷体" w:eastAsia="楷体" w:cs="楷体"/>
          <w:spacing w:val="5"/>
          <w:sz w:val="31"/>
          <w:szCs w:val="31"/>
        </w:rPr>
        <w:t>办公费、印刷费、水电费、办公设备购置等公用经费。</w:t>
      </w:r>
    </w:p>
    <w:p w14:paraId="07F01034">
      <w:pPr>
        <w:keepNext w:val="0"/>
        <w:keepLines w:val="0"/>
        <w:pageBreakBefore w:val="0"/>
        <w:widowControl/>
        <w:kinsoku/>
        <w:wordWrap/>
        <w:overflowPunct/>
        <w:topLinePunct w:val="0"/>
        <w:autoSpaceDE/>
        <w:autoSpaceDN/>
        <w:bidi w:val="0"/>
        <w:adjustRightInd/>
        <w:snapToGrid/>
        <w:spacing w:line="576" w:lineRule="exact"/>
        <w:ind w:firstLine="640" w:firstLineChars="200"/>
        <w:jc w:val="left"/>
        <w:textAlignment w:val="auto"/>
        <w:rPr>
          <w:rFonts w:hint="eastAsia" w:ascii="楷体_GB2312" w:hAnsi="楷体_GB2312" w:eastAsia="楷体_GB2312" w:cs="楷体_GB2312"/>
          <w:color w:val="000000"/>
          <w:kern w:val="0"/>
          <w:sz w:val="32"/>
          <w:szCs w:val="32"/>
        </w:rPr>
      </w:pPr>
      <w:r>
        <w:rPr>
          <w:rFonts w:hint="eastAsia" w:ascii="楷体_GB2312" w:hAnsi="楷体_GB2312" w:eastAsia="楷体_GB2312" w:cs="楷体_GB2312"/>
          <w:color w:val="000000"/>
          <w:kern w:val="0"/>
          <w:sz w:val="32"/>
          <w:szCs w:val="32"/>
        </w:rPr>
        <w:t>(二)项目支出情况</w:t>
      </w:r>
    </w:p>
    <w:p w14:paraId="4EFE9A81">
      <w:pPr>
        <w:keepNext w:val="0"/>
        <w:keepLines w:val="0"/>
        <w:pageBreakBefore w:val="0"/>
        <w:widowControl/>
        <w:kinsoku/>
        <w:wordWrap/>
        <w:overflowPunct/>
        <w:topLinePunct w:val="0"/>
        <w:autoSpaceDE/>
        <w:autoSpaceDN/>
        <w:bidi w:val="0"/>
        <w:adjustRightInd/>
        <w:snapToGrid/>
        <w:spacing w:line="576" w:lineRule="exact"/>
        <w:ind w:firstLine="640" w:firstLineChars="200"/>
        <w:jc w:val="left"/>
        <w:textAlignment w:val="auto"/>
        <w:rPr>
          <w:rFonts w:hint="eastAsia" w:ascii="楷体_GB2312" w:hAnsi="楷体_GB2312" w:eastAsia="楷体_GB2312" w:cs="楷体_GB2312"/>
          <w:color w:val="000000"/>
          <w:kern w:val="0"/>
          <w:sz w:val="32"/>
          <w:szCs w:val="32"/>
        </w:rPr>
      </w:pPr>
      <w:r>
        <w:rPr>
          <w:rFonts w:hint="eastAsia" w:hAnsi="仿宋_GB2312" w:cs="仿宋_GB2312"/>
          <w:sz w:val="32"/>
          <w:szCs w:val="32"/>
          <w:lang w:eastAsia="zh-CN"/>
        </w:rPr>
        <w:t>项目支出</w:t>
      </w:r>
      <w:r>
        <w:rPr>
          <w:rFonts w:hint="eastAsia" w:hAnsi="仿宋_GB2312" w:cs="仿宋_GB2312"/>
          <w:sz w:val="32"/>
          <w:szCs w:val="32"/>
          <w:lang w:val="en-US" w:eastAsia="zh-CN"/>
        </w:rPr>
        <w:t>8.6万元，占支出的0.78%，主要是</w:t>
      </w:r>
      <w:r>
        <w:rPr>
          <w:rFonts w:hint="eastAsia" w:hAnsi="仿宋_GB2312" w:cs="仿宋_GB2312"/>
          <w:sz w:val="32"/>
          <w:szCs w:val="32"/>
          <w:lang w:eastAsia="zh-CN"/>
        </w:rPr>
        <w:t>残疾人评残鉴定费。</w:t>
      </w:r>
    </w:p>
    <w:p w14:paraId="42450493">
      <w:pPr>
        <w:keepNext w:val="0"/>
        <w:keepLines w:val="0"/>
        <w:pageBreakBefore w:val="0"/>
        <w:widowControl/>
        <w:kinsoku/>
        <w:wordWrap/>
        <w:overflowPunct/>
        <w:topLinePunct w:val="0"/>
        <w:autoSpaceDE/>
        <w:autoSpaceDN/>
        <w:bidi w:val="0"/>
        <w:adjustRightInd/>
        <w:snapToGrid/>
        <w:spacing w:line="576" w:lineRule="exact"/>
        <w:ind w:firstLine="640" w:firstLineChars="200"/>
        <w:jc w:val="left"/>
        <w:textAlignment w:val="auto"/>
        <w:rPr>
          <w:rFonts w:hint="eastAsia" w:ascii="黑体" w:hAnsi="黑体" w:eastAsia="黑体" w:cs="宋体"/>
          <w:color w:val="000000"/>
          <w:kern w:val="0"/>
          <w:sz w:val="32"/>
          <w:szCs w:val="32"/>
        </w:rPr>
      </w:pPr>
      <w:r>
        <w:rPr>
          <w:rFonts w:hint="eastAsia" w:ascii="黑体" w:hAnsi="黑体" w:eastAsia="黑体" w:cs="宋体"/>
          <w:color w:val="000000"/>
          <w:kern w:val="0"/>
          <w:sz w:val="32"/>
          <w:szCs w:val="32"/>
        </w:rPr>
        <w:t>三、政府性基金预算支出情况</w:t>
      </w:r>
    </w:p>
    <w:p w14:paraId="4392A71B">
      <w:pPr>
        <w:snapToGrid w:val="0"/>
        <w:spacing w:line="520" w:lineRule="exact"/>
        <w:ind w:firstLine="640" w:firstLineChars="200"/>
        <w:rPr>
          <w:rFonts w:hint="eastAsia" w:ascii="黑体" w:hAnsi="黑体" w:eastAsia="黑体" w:cs="宋体"/>
          <w:color w:val="000000"/>
          <w:kern w:val="0"/>
          <w:sz w:val="32"/>
          <w:szCs w:val="32"/>
        </w:rPr>
      </w:pPr>
      <w:r>
        <w:rPr>
          <w:rFonts w:hint="eastAsia" w:ascii="仿宋_GB2312" w:hAnsi="仿宋_GB2312" w:eastAsia="仿宋_GB2312" w:cs="仿宋_GB2312"/>
          <w:color w:val="000000"/>
          <w:kern w:val="0"/>
          <w:sz w:val="32"/>
          <w:szCs w:val="32"/>
        </w:rPr>
        <w:t>我单位202</w:t>
      </w:r>
      <w:r>
        <w:rPr>
          <w:rFonts w:hint="eastAsia" w:ascii="仿宋_GB2312" w:hAnsi="仿宋_GB2312" w:eastAsia="仿宋_GB2312" w:cs="仿宋_GB2312"/>
          <w:color w:val="000000"/>
          <w:kern w:val="0"/>
          <w:sz w:val="32"/>
          <w:szCs w:val="32"/>
          <w:lang w:val="en-US" w:eastAsia="zh-CN"/>
        </w:rPr>
        <w:t>4</w:t>
      </w:r>
      <w:r>
        <w:rPr>
          <w:rFonts w:hint="eastAsia" w:ascii="仿宋_GB2312" w:hAnsi="仿宋_GB2312" w:eastAsia="仿宋_GB2312" w:cs="仿宋_GB2312"/>
          <w:color w:val="000000"/>
          <w:kern w:val="0"/>
          <w:sz w:val="32"/>
          <w:szCs w:val="32"/>
        </w:rPr>
        <w:t>年度没有政府性基金预算收支。</w:t>
      </w:r>
    </w:p>
    <w:p w14:paraId="086AC962">
      <w:pPr>
        <w:keepNext w:val="0"/>
        <w:keepLines w:val="0"/>
        <w:pageBreakBefore w:val="0"/>
        <w:widowControl/>
        <w:numPr>
          <w:ilvl w:val="0"/>
          <w:numId w:val="3"/>
        </w:numPr>
        <w:kinsoku/>
        <w:wordWrap/>
        <w:overflowPunct/>
        <w:topLinePunct w:val="0"/>
        <w:autoSpaceDE/>
        <w:autoSpaceDN/>
        <w:bidi w:val="0"/>
        <w:adjustRightInd/>
        <w:snapToGrid/>
        <w:spacing w:line="576" w:lineRule="exact"/>
        <w:ind w:firstLine="640" w:firstLineChars="200"/>
        <w:jc w:val="left"/>
        <w:textAlignment w:val="auto"/>
        <w:rPr>
          <w:rFonts w:hint="eastAsia" w:ascii="黑体" w:hAnsi="黑体" w:eastAsia="黑体" w:cs="宋体"/>
          <w:color w:val="000000"/>
          <w:kern w:val="0"/>
          <w:sz w:val="32"/>
          <w:szCs w:val="32"/>
        </w:rPr>
      </w:pPr>
      <w:r>
        <w:rPr>
          <w:rFonts w:hint="eastAsia" w:ascii="黑体" w:hAnsi="黑体" w:eastAsia="黑体" w:cs="宋体"/>
          <w:color w:val="000000"/>
          <w:kern w:val="0"/>
          <w:sz w:val="32"/>
          <w:szCs w:val="32"/>
        </w:rPr>
        <w:t>国有资本经营预算支出情况</w:t>
      </w:r>
    </w:p>
    <w:p w14:paraId="226E4232">
      <w:pPr>
        <w:snapToGrid w:val="0"/>
        <w:spacing w:line="520" w:lineRule="exact"/>
        <w:ind w:firstLine="640" w:firstLineChars="200"/>
        <w:rPr>
          <w:rFonts w:hint="eastAsia" w:ascii="黑体" w:hAnsi="黑体" w:eastAsia="黑体" w:cs="宋体"/>
          <w:color w:val="000000"/>
          <w:kern w:val="0"/>
          <w:sz w:val="32"/>
          <w:szCs w:val="32"/>
        </w:rPr>
      </w:pPr>
      <w:r>
        <w:rPr>
          <w:rFonts w:hint="eastAsia" w:ascii="仿宋_GB2312" w:hAnsi="仿宋_GB2312" w:eastAsia="仿宋_GB2312" w:cs="仿宋_GB2312"/>
          <w:color w:val="000000"/>
          <w:kern w:val="0"/>
          <w:sz w:val="32"/>
          <w:szCs w:val="32"/>
        </w:rPr>
        <w:t>我单位202</w:t>
      </w:r>
      <w:r>
        <w:rPr>
          <w:rFonts w:hint="eastAsia" w:ascii="仿宋_GB2312" w:hAnsi="仿宋_GB2312" w:eastAsia="仿宋_GB2312" w:cs="仿宋_GB2312"/>
          <w:color w:val="000000"/>
          <w:kern w:val="0"/>
          <w:sz w:val="32"/>
          <w:szCs w:val="32"/>
          <w:lang w:val="en-US" w:eastAsia="zh-CN"/>
        </w:rPr>
        <w:t>4</w:t>
      </w:r>
      <w:r>
        <w:rPr>
          <w:rFonts w:hint="eastAsia" w:ascii="仿宋_GB2312" w:hAnsi="仿宋_GB2312" w:eastAsia="仿宋_GB2312" w:cs="仿宋_GB2312"/>
          <w:color w:val="000000"/>
          <w:kern w:val="0"/>
          <w:sz w:val="32"/>
          <w:szCs w:val="32"/>
        </w:rPr>
        <w:t>年度没有国有资金经营预算收支。</w:t>
      </w:r>
    </w:p>
    <w:p w14:paraId="047FACCD">
      <w:pPr>
        <w:keepNext w:val="0"/>
        <w:keepLines w:val="0"/>
        <w:pageBreakBefore w:val="0"/>
        <w:widowControl/>
        <w:numPr>
          <w:ilvl w:val="0"/>
          <w:numId w:val="3"/>
        </w:numPr>
        <w:kinsoku/>
        <w:wordWrap/>
        <w:overflowPunct/>
        <w:topLinePunct w:val="0"/>
        <w:autoSpaceDE/>
        <w:autoSpaceDN/>
        <w:bidi w:val="0"/>
        <w:adjustRightInd/>
        <w:snapToGrid/>
        <w:spacing w:line="576" w:lineRule="exact"/>
        <w:ind w:left="0" w:leftChars="0" w:firstLine="640" w:firstLineChars="200"/>
        <w:jc w:val="left"/>
        <w:textAlignment w:val="auto"/>
        <w:rPr>
          <w:rFonts w:hint="eastAsia" w:ascii="黑体" w:hAnsi="黑体" w:eastAsia="黑体" w:cs="宋体"/>
          <w:color w:val="000000"/>
          <w:kern w:val="0"/>
          <w:sz w:val="32"/>
          <w:szCs w:val="32"/>
        </w:rPr>
      </w:pPr>
      <w:r>
        <w:rPr>
          <w:rFonts w:hint="eastAsia" w:ascii="黑体" w:hAnsi="黑体" w:eastAsia="黑体" w:cs="宋体"/>
          <w:color w:val="000000"/>
          <w:kern w:val="0"/>
          <w:sz w:val="32"/>
          <w:szCs w:val="32"/>
        </w:rPr>
        <w:t>社会保险基金预算支出情况</w:t>
      </w:r>
    </w:p>
    <w:p w14:paraId="32A5B491">
      <w:pPr>
        <w:snapToGrid w:val="0"/>
        <w:spacing w:line="520" w:lineRule="exact"/>
        <w:ind w:firstLine="640" w:firstLineChars="200"/>
        <w:rPr>
          <w:rFonts w:hint="eastAsia" w:ascii="黑体" w:hAnsi="黑体" w:eastAsia="黑体" w:cs="宋体"/>
          <w:color w:val="000000"/>
          <w:kern w:val="0"/>
          <w:sz w:val="32"/>
          <w:szCs w:val="32"/>
        </w:rPr>
      </w:pPr>
      <w:r>
        <w:rPr>
          <w:rFonts w:hint="eastAsia" w:ascii="仿宋_GB2312" w:hAnsi="仿宋_GB2312" w:eastAsia="仿宋_GB2312" w:cs="仿宋_GB2312"/>
          <w:color w:val="000000"/>
          <w:kern w:val="0"/>
          <w:sz w:val="32"/>
          <w:szCs w:val="32"/>
        </w:rPr>
        <w:t>我单位202</w:t>
      </w:r>
      <w:r>
        <w:rPr>
          <w:rFonts w:hint="eastAsia" w:ascii="仿宋_GB2312" w:hAnsi="仿宋_GB2312" w:eastAsia="仿宋_GB2312" w:cs="仿宋_GB2312"/>
          <w:color w:val="000000"/>
          <w:kern w:val="0"/>
          <w:sz w:val="32"/>
          <w:szCs w:val="32"/>
          <w:lang w:val="en-US" w:eastAsia="zh-CN"/>
        </w:rPr>
        <w:t>4</w:t>
      </w:r>
      <w:r>
        <w:rPr>
          <w:rFonts w:hint="eastAsia" w:ascii="仿宋_GB2312" w:hAnsi="仿宋_GB2312" w:eastAsia="仿宋_GB2312" w:cs="仿宋_GB2312"/>
          <w:color w:val="000000"/>
          <w:kern w:val="0"/>
          <w:sz w:val="32"/>
          <w:szCs w:val="32"/>
        </w:rPr>
        <w:t>年度没有社保基金预算收支。</w:t>
      </w:r>
    </w:p>
    <w:p w14:paraId="4F9B7704">
      <w:pPr>
        <w:keepNext w:val="0"/>
        <w:keepLines w:val="0"/>
        <w:pageBreakBefore w:val="0"/>
        <w:widowControl/>
        <w:kinsoku/>
        <w:wordWrap/>
        <w:overflowPunct/>
        <w:topLinePunct w:val="0"/>
        <w:autoSpaceDE/>
        <w:autoSpaceDN/>
        <w:bidi w:val="0"/>
        <w:adjustRightInd/>
        <w:snapToGrid/>
        <w:spacing w:line="576" w:lineRule="exact"/>
        <w:ind w:firstLine="640" w:firstLineChars="200"/>
        <w:jc w:val="left"/>
        <w:textAlignment w:val="auto"/>
        <w:rPr>
          <w:rFonts w:hint="eastAsia" w:ascii="黑体" w:hAnsi="黑体" w:eastAsia="黑体" w:cs="宋体"/>
          <w:color w:val="000000"/>
          <w:kern w:val="0"/>
          <w:sz w:val="32"/>
          <w:szCs w:val="32"/>
        </w:rPr>
      </w:pPr>
      <w:r>
        <w:rPr>
          <w:rFonts w:hint="eastAsia" w:ascii="黑体" w:hAnsi="黑体" w:eastAsia="黑体" w:cs="宋体"/>
          <w:color w:val="000000"/>
          <w:kern w:val="0"/>
          <w:sz w:val="32"/>
          <w:szCs w:val="32"/>
        </w:rPr>
        <w:t>六、部门整体支出绩效情况</w:t>
      </w:r>
    </w:p>
    <w:p w14:paraId="3C0D2FA6">
      <w:pPr>
        <w:pStyle w:val="9"/>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Autospacing="0" w:line="560" w:lineRule="exact"/>
        <w:ind w:right="0" w:rightChars="0" w:firstLine="640" w:firstLineChars="200"/>
        <w:jc w:val="both"/>
        <w:textAlignment w:val="auto"/>
        <w:rPr>
          <w:rFonts w:hint="eastAsia" w:ascii="宋体" w:hAnsi="宋体" w:eastAsia="宋体" w:cs="宋体"/>
          <w:color w:val="000000"/>
          <w:sz w:val="32"/>
          <w:szCs w:val="32"/>
          <w:lang w:eastAsia="zh-CN"/>
        </w:rPr>
      </w:pPr>
      <w:r>
        <w:rPr>
          <w:rFonts w:hint="eastAsia" w:ascii="宋体" w:hAnsi="宋体" w:eastAsia="宋体" w:cs="宋体"/>
          <w:color w:val="000000"/>
          <w:sz w:val="32"/>
          <w:szCs w:val="32"/>
          <w:lang w:eastAsia="zh-CN"/>
        </w:rPr>
        <w:t>本部门履职及履职效益情况良好，在资金使用上一直按照国家财经法规和本部门财务管理制度规定以及有关专项资金管理办法的规定收支，资金拨付有完整的审批程序和手续，按照财经制度的有关要求，有计划地安排、使用资金，严格财务审批制度保证资金使用合法合规，同时资金使用无截留、挤占、挪用、虚列支出等情况。</w:t>
      </w:r>
    </w:p>
    <w:p w14:paraId="58B0A5D0">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hint="eastAsia" w:ascii="楷体_GB2312" w:hAnsi="楷体_GB2312" w:eastAsia="楷体_GB2312" w:cs="楷体_GB2312"/>
          <w:color w:val="auto"/>
          <w:sz w:val="32"/>
          <w:szCs w:val="32"/>
          <w:lang w:val="en-US" w:eastAsia="zh-CN"/>
        </w:rPr>
      </w:pPr>
      <w:r>
        <w:rPr>
          <w:rFonts w:hint="eastAsia" w:ascii="楷体_GB2312" w:hAnsi="楷体_GB2312" w:eastAsia="楷体_GB2312" w:cs="楷体_GB2312"/>
          <w:color w:val="auto"/>
          <w:sz w:val="32"/>
          <w:szCs w:val="32"/>
          <w:lang w:val="en-US" w:eastAsia="zh-CN"/>
        </w:rPr>
        <w:t>（一）综合医疗服务改革促发展</w:t>
      </w:r>
    </w:p>
    <w:p w14:paraId="216A72A3">
      <w:pPr>
        <w:pStyle w:val="10"/>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60" w:lineRule="exact"/>
        <w:ind w:left="0" w:right="0" w:rightChars="0" w:firstLine="640" w:firstLineChars="200"/>
        <w:jc w:val="both"/>
        <w:textAlignment w:val="auto"/>
        <w:rPr>
          <w:rFonts w:hint="eastAsia" w:ascii="仿宋_GB2312" w:hAnsi="仿宋_GB2312" w:eastAsia="仿宋_GB2312" w:cs="仿宋_GB2312"/>
          <w:color w:val="auto"/>
          <w:kern w:val="10"/>
          <w:sz w:val="32"/>
          <w:szCs w:val="32"/>
          <w:lang w:val="en-US" w:eastAsia="zh-CN"/>
        </w:rPr>
      </w:pPr>
      <w:r>
        <w:rPr>
          <w:rFonts w:hint="eastAsia" w:ascii="仿宋_GB2312" w:hAnsi="仿宋_GB2312" w:eastAsia="仿宋_GB2312" w:cs="仿宋_GB2312"/>
          <w:color w:val="auto"/>
          <w:kern w:val="10"/>
          <w:sz w:val="32"/>
          <w:szCs w:val="32"/>
          <w:lang w:val="en-US" w:eastAsia="zh-CN"/>
        </w:rPr>
        <w:t xml:space="preserve">1. </w:t>
      </w:r>
      <w:r>
        <w:rPr>
          <w:rFonts w:hint="eastAsia" w:ascii="仿宋_GB2312" w:hAnsi="仿宋_GB2312" w:eastAsia="仿宋_GB2312" w:cs="仿宋_GB2312"/>
          <w:color w:val="auto"/>
          <w:kern w:val="10"/>
          <w:sz w:val="32"/>
          <w:szCs w:val="32"/>
        </w:rPr>
        <w:t>宣传医改政策</w:t>
      </w:r>
      <w:r>
        <w:rPr>
          <w:rFonts w:hint="eastAsia" w:ascii="仿宋_GB2312" w:hAnsi="仿宋_GB2312" w:eastAsia="仿宋_GB2312" w:cs="仿宋_GB2312"/>
          <w:color w:val="auto"/>
          <w:kern w:val="10"/>
          <w:sz w:val="32"/>
          <w:szCs w:val="32"/>
          <w:lang w:eastAsia="zh-CN"/>
        </w:rPr>
        <w:t>。多次召开</w:t>
      </w:r>
      <w:r>
        <w:rPr>
          <w:rFonts w:hint="eastAsia" w:ascii="仿宋" w:hAnsi="仿宋" w:eastAsia="仿宋" w:cs="仿宋"/>
          <w:color w:val="auto"/>
          <w:kern w:val="10"/>
          <w:sz w:val="32"/>
          <w:szCs w:val="32"/>
        </w:rPr>
        <w:t>医改工作会议，组织并学习医改有关政策，</w:t>
      </w:r>
      <w:r>
        <w:rPr>
          <w:rFonts w:hint="eastAsia" w:ascii="仿宋" w:hAnsi="仿宋" w:eastAsia="仿宋" w:cs="仿宋"/>
          <w:color w:val="auto"/>
          <w:kern w:val="10"/>
          <w:sz w:val="32"/>
          <w:szCs w:val="32"/>
          <w:lang w:eastAsia="zh-CN"/>
        </w:rPr>
        <w:t>加大宣传力度，</w:t>
      </w:r>
      <w:r>
        <w:rPr>
          <w:rFonts w:hint="eastAsia" w:ascii="仿宋" w:hAnsi="仿宋" w:eastAsia="仿宋" w:cs="仿宋"/>
          <w:color w:val="auto"/>
          <w:kern w:val="10"/>
          <w:sz w:val="32"/>
          <w:szCs w:val="32"/>
        </w:rPr>
        <w:t>让群众理解医改的目的和好处，支持医改政策。</w:t>
      </w:r>
    </w:p>
    <w:p w14:paraId="383A689E">
      <w:pPr>
        <w:keepNext w:val="0"/>
        <w:keepLines w:val="0"/>
        <w:pageBreakBefore w:val="0"/>
        <w:numPr>
          <w:ilvl w:val="0"/>
          <w:numId w:val="0"/>
        </w:numPr>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仿宋_GB2312" w:hAnsi="仿宋_GB2312" w:eastAsia="仿宋_GB2312" w:cs="仿宋_GB2312"/>
          <w:color w:val="auto"/>
          <w:kern w:val="10"/>
          <w:sz w:val="32"/>
          <w:szCs w:val="32"/>
          <w:lang w:val="en-US" w:eastAsia="zh-CN"/>
        </w:rPr>
      </w:pPr>
      <w:r>
        <w:rPr>
          <w:rFonts w:hint="eastAsia" w:ascii="仿宋_GB2312" w:hAnsi="仿宋_GB2312" w:eastAsia="仿宋_GB2312" w:cs="仿宋_GB2312"/>
          <w:color w:val="auto"/>
          <w:kern w:val="10"/>
          <w:sz w:val="32"/>
          <w:szCs w:val="32"/>
          <w:lang w:val="en-US" w:eastAsia="zh-CN"/>
        </w:rPr>
        <w:t>2. 深入推进药品保障供应机制改革。</w:t>
      </w:r>
      <w:r>
        <w:rPr>
          <w:rFonts w:hint="eastAsia" w:ascii="仿宋" w:hAnsi="仿宋" w:eastAsia="仿宋" w:cs="仿宋"/>
          <w:color w:val="auto"/>
          <w:kern w:val="10"/>
          <w:sz w:val="32"/>
          <w:szCs w:val="32"/>
          <w:lang w:val="en-US" w:eastAsia="zh-CN"/>
        </w:rPr>
        <w:t>持续推进药品零差率销售，严格执行国家基本药物制度。执行药品采购“两票制”。开展药品专项整治工作。我院全年药品收入占业务收入的比重为</w:t>
      </w:r>
      <w:r>
        <w:rPr>
          <w:rFonts w:hint="eastAsia" w:ascii="仿宋" w:hAnsi="仿宋" w:eastAsia="仿宋" w:cs="仿宋"/>
          <w:color w:val="auto"/>
          <w:kern w:val="10"/>
          <w:sz w:val="32"/>
          <w:szCs w:val="32"/>
          <w:highlight w:val="none"/>
          <w:lang w:val="en-US" w:eastAsia="zh-CN"/>
        </w:rPr>
        <w:t>22.37</w:t>
      </w:r>
      <w:r>
        <w:rPr>
          <w:rFonts w:hint="eastAsia" w:ascii="仿宋" w:hAnsi="仿宋" w:eastAsia="仿宋" w:cs="仿宋"/>
          <w:color w:val="auto"/>
          <w:kern w:val="10"/>
          <w:sz w:val="32"/>
          <w:szCs w:val="32"/>
          <w:lang w:val="en-US" w:eastAsia="zh-CN"/>
        </w:rPr>
        <w:t>%，较2023年下降16.55%。</w:t>
      </w:r>
    </w:p>
    <w:p w14:paraId="118BAFEE">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3.全年医疗服务收入占业务收入的比重为40.25%，较2023年提高5.2%。</w:t>
      </w:r>
    </w:p>
    <w:p w14:paraId="3089046A">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0" w:leftChars="0" w:firstLine="640" w:firstLineChars="200"/>
        <w:textAlignment w:val="auto"/>
        <w:rPr>
          <w:rFonts w:hint="eastAsia" w:ascii="仿宋_GB2312" w:hAnsi="仿宋_GB2312" w:eastAsia="仿宋_GB2312" w:cs="仿宋_GB2312"/>
          <w:color w:val="FF0000"/>
          <w:sz w:val="32"/>
          <w:szCs w:val="32"/>
          <w:lang w:val="en-US" w:eastAsia="zh-CN"/>
        </w:rPr>
      </w:pPr>
      <w:r>
        <w:rPr>
          <w:rFonts w:hint="eastAsia" w:ascii="仿宋_GB2312" w:hAnsi="仿宋_GB2312" w:eastAsia="仿宋_GB2312" w:cs="仿宋_GB2312"/>
          <w:color w:val="auto"/>
          <w:sz w:val="32"/>
          <w:szCs w:val="32"/>
          <w:lang w:val="en-US" w:eastAsia="zh-CN"/>
        </w:rPr>
        <w:t>5.规范医院管理。</w:t>
      </w:r>
      <w:r>
        <w:rPr>
          <w:rFonts w:hint="eastAsia" w:ascii="仿宋_GB2312" w:hAnsi="仿宋_GB2312" w:eastAsia="仿宋_GB2312" w:cs="仿宋_GB2312"/>
          <w:sz w:val="32"/>
          <w:szCs w:val="32"/>
          <w:lang w:val="en-US" w:eastAsia="zh-CN"/>
        </w:rPr>
        <w:t>出院者平均医药费用增长比较去年下降7.78%；出院者平均住院日较去年下降7.94%；百元医疗收入的医疗支出较去年下降1.77%；每门急诊人次平均医药费用较去年下降6.82%。</w:t>
      </w:r>
    </w:p>
    <w:p w14:paraId="77DD09D5">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hint="eastAsia" w:ascii="楷体_GB2312" w:hAnsi="楷体_GB2312" w:eastAsia="楷体_GB2312" w:cs="楷体_GB2312"/>
          <w:color w:val="auto"/>
          <w:sz w:val="32"/>
          <w:szCs w:val="32"/>
          <w:lang w:val="en-US" w:eastAsia="zh-CN"/>
        </w:rPr>
      </w:pPr>
      <w:r>
        <w:rPr>
          <w:rFonts w:hint="eastAsia" w:ascii="楷体_GB2312" w:hAnsi="楷体_GB2312" w:eastAsia="楷体_GB2312" w:cs="楷体_GB2312"/>
          <w:color w:val="auto"/>
          <w:sz w:val="32"/>
          <w:szCs w:val="32"/>
          <w:lang w:val="en-US" w:eastAsia="zh-CN"/>
        </w:rPr>
        <w:t>（二）医疗与护理服务质量促提升</w:t>
      </w:r>
    </w:p>
    <w:p w14:paraId="16D109F6">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 加强业务学习。定时开展医务、护理人员进行业务学习，提升医疗与护理质量和技术操作水平。</w:t>
      </w:r>
    </w:p>
    <w:p w14:paraId="4EA4CEE2">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 定期开展医疗与护理质量及医疗与安全管理考核，完善考核标准，持续改进医疗与护理质量的考核流程，形成考核闭环管理，提升质量安全。</w:t>
      </w:r>
    </w:p>
    <w:p w14:paraId="7BAE0610">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 组织多学科讨论16次，提高了院内诊疗水平，有效预防医疗事故的发生。组织开展疑难病例远程会诊1次，湖南省人民医院专家给予远程诊疗指导。</w:t>
      </w:r>
    </w:p>
    <w:p w14:paraId="13202A7B">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hint="eastAsia" w:ascii="楷体_GB2312" w:hAnsi="楷体_GB2312" w:eastAsia="楷体_GB2312" w:cs="楷体_GB2312"/>
          <w:color w:val="auto"/>
          <w:sz w:val="32"/>
          <w:szCs w:val="32"/>
          <w:lang w:val="en-US" w:eastAsia="zh-CN"/>
        </w:rPr>
      </w:pPr>
      <w:r>
        <w:rPr>
          <w:rFonts w:hint="eastAsia" w:ascii="楷体_GB2312" w:hAnsi="楷体_GB2312" w:eastAsia="楷体_GB2312" w:cs="楷体_GB2312"/>
          <w:color w:val="auto"/>
          <w:sz w:val="32"/>
          <w:szCs w:val="32"/>
          <w:lang w:val="en-US" w:eastAsia="zh-CN"/>
        </w:rPr>
        <w:t>（三）医技辅助医疗服务显效率</w:t>
      </w:r>
    </w:p>
    <w:p w14:paraId="58E28958">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检验检测中心、放射影像中心、超声科、病理科、内镜中心等医技科室，在做好常规医疗辅助项目外，为方便百姓健康检查需求，积极开展新业务，如呼吸道6项病毒核酸检测、过敏原常规18项测定、超声引导下进行介入手术等，取得良好的经济效益和社会效益。</w:t>
      </w:r>
    </w:p>
    <w:p w14:paraId="33E6AB65">
      <w:pPr>
        <w:keepNext w:val="0"/>
        <w:keepLines w:val="0"/>
        <w:pageBreakBefore w:val="0"/>
        <w:widowControl w:val="0"/>
        <w:kinsoku/>
        <w:wordWrap/>
        <w:overflowPunct/>
        <w:topLinePunct w:val="0"/>
        <w:autoSpaceDE/>
        <w:autoSpaceDN/>
        <w:bidi w:val="0"/>
        <w:spacing w:line="560" w:lineRule="exact"/>
        <w:ind w:left="0" w:firstLine="640" w:firstLineChars="200"/>
        <w:textAlignment w:val="auto"/>
        <w:rPr>
          <w:rFonts w:hint="eastAsia" w:ascii="楷体_GB2312" w:hAnsi="楷体_GB2312" w:eastAsia="楷体_GB2312" w:cs="楷体_GB2312"/>
          <w:color w:val="auto"/>
          <w:sz w:val="32"/>
          <w:szCs w:val="32"/>
          <w:lang w:val="en-US" w:eastAsia="zh-CN"/>
        </w:rPr>
      </w:pPr>
      <w:r>
        <w:rPr>
          <w:rFonts w:hint="eastAsia" w:ascii="楷体_GB2312" w:hAnsi="楷体_GB2312" w:eastAsia="楷体_GB2312" w:cs="楷体_GB2312"/>
          <w:color w:val="auto"/>
          <w:sz w:val="32"/>
          <w:szCs w:val="32"/>
          <w:lang w:val="en-US" w:eastAsia="zh-CN"/>
        </w:rPr>
        <w:t>（四）医疗业务显成效</w:t>
      </w:r>
    </w:p>
    <w:p w14:paraId="19C4C430">
      <w:pPr>
        <w:keepNext w:val="0"/>
        <w:keepLines w:val="0"/>
        <w:pageBreakBefore w:val="0"/>
        <w:widowControl w:val="0"/>
        <w:kinsoku/>
        <w:wordWrap/>
        <w:overflowPunct/>
        <w:topLinePunct w:val="0"/>
        <w:autoSpaceDE/>
        <w:autoSpaceDN/>
        <w:bidi w:val="0"/>
        <w:spacing w:line="560" w:lineRule="exact"/>
        <w:ind w:left="0"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lang w:val="en-US" w:eastAsia="zh-CN"/>
        </w:rPr>
        <w:t>全年完成门诊量199055人次，住院结算24185人次，手术4990台次，手术</w:t>
      </w:r>
      <w:r>
        <w:rPr>
          <w:rFonts w:hint="eastAsia" w:ascii="仿宋_GB2312" w:hAnsi="仿宋_GB2312" w:eastAsia="仿宋_GB2312" w:cs="仿宋_GB2312"/>
          <w:color w:val="auto"/>
          <w:sz w:val="32"/>
          <w:szCs w:val="32"/>
        </w:rPr>
        <w:t>麻醉</w:t>
      </w:r>
      <w:r>
        <w:rPr>
          <w:rFonts w:hint="eastAsia" w:ascii="仿宋_GB2312" w:hAnsi="仿宋_GB2312" w:eastAsia="仿宋_GB2312" w:cs="仿宋_GB2312"/>
          <w:color w:val="auto"/>
          <w:sz w:val="32"/>
          <w:szCs w:val="32"/>
          <w:lang w:val="en-US" w:eastAsia="zh-CN"/>
        </w:rPr>
        <w:t>3980例，局部麻醉1100台次</w:t>
      </w:r>
      <w:r>
        <w:rPr>
          <w:rFonts w:hint="eastAsia" w:ascii="仿宋_GB2312" w:hAnsi="仿宋_GB2312" w:eastAsia="仿宋_GB2312" w:cs="仿宋_GB2312"/>
          <w:color w:val="auto"/>
          <w:sz w:val="32"/>
          <w:szCs w:val="32"/>
          <w:lang w:eastAsia="zh-CN"/>
        </w:rPr>
        <w:t>。</w:t>
      </w:r>
    </w:p>
    <w:p w14:paraId="2EF2200A">
      <w:pPr>
        <w:keepNext w:val="0"/>
        <w:keepLines w:val="0"/>
        <w:pageBreakBefore w:val="0"/>
        <w:numPr>
          <w:ilvl w:val="0"/>
          <w:numId w:val="0"/>
        </w:numPr>
        <w:kinsoku/>
        <w:wordWrap/>
        <w:overflowPunct/>
        <w:topLinePunct w:val="0"/>
        <w:autoSpaceDE/>
        <w:autoSpaceDN/>
        <w:bidi w:val="0"/>
        <w:spacing w:line="560" w:lineRule="exact"/>
        <w:ind w:left="0" w:firstLine="640" w:firstLineChars="200"/>
        <w:textAlignment w:val="auto"/>
        <w:rPr>
          <w:rFonts w:hint="eastAsia" w:ascii="仿宋" w:hAnsi="仿宋" w:eastAsia="仿宋" w:cs="仿宋"/>
          <w:color w:val="auto"/>
          <w:sz w:val="32"/>
          <w:szCs w:val="32"/>
          <w:lang w:val="en-US" w:eastAsia="zh-CN"/>
        </w:rPr>
      </w:pPr>
      <w:r>
        <w:rPr>
          <w:rFonts w:hint="eastAsia" w:ascii="仿宋_GB2312" w:hAnsi="仿宋_GB2312" w:eastAsia="仿宋_GB2312" w:cs="仿宋_GB2312"/>
          <w:color w:val="auto"/>
          <w:sz w:val="32"/>
          <w:szCs w:val="32"/>
          <w:lang w:val="en-US" w:eastAsia="zh-CN"/>
        </w:rPr>
        <w:t>心内介入诊疗共计开展冠脉造影术、支架置入术、</w:t>
      </w:r>
      <w:r>
        <w:rPr>
          <w:rFonts w:hint="eastAsia" w:ascii="仿宋" w:hAnsi="仿宋" w:eastAsia="仿宋" w:cs="仿宋"/>
          <w:color w:val="auto"/>
          <w:sz w:val="32"/>
          <w:szCs w:val="32"/>
          <w:lang w:val="en-US" w:eastAsia="zh-CN"/>
        </w:rPr>
        <w:t>经皮冠状动脉腔内成形术等770例</w:t>
      </w:r>
      <w:r>
        <w:rPr>
          <w:rFonts w:hint="eastAsia" w:ascii="仿宋_GB2312" w:hAnsi="仿宋_GB2312" w:eastAsia="仿宋_GB2312" w:cs="仿宋_GB2312"/>
          <w:color w:val="auto"/>
          <w:sz w:val="32"/>
          <w:szCs w:val="32"/>
          <w:lang w:val="en-US" w:eastAsia="zh-CN"/>
        </w:rPr>
        <w:t>，</w:t>
      </w:r>
      <w:r>
        <w:rPr>
          <w:rFonts w:hint="eastAsia" w:ascii="仿宋" w:hAnsi="仿宋" w:eastAsia="仿宋" w:cs="仿宋"/>
          <w:color w:val="auto"/>
          <w:sz w:val="32"/>
          <w:szCs w:val="32"/>
          <w:lang w:val="en-US" w:eastAsia="zh-CN"/>
        </w:rPr>
        <w:t>其中冠状动脉内支架置入术、经皮冠状动脉腔内成形术155例，临时起搏器植入术</w:t>
      </w:r>
      <w:r>
        <w:rPr>
          <w:rFonts w:hint="eastAsia" w:ascii="仿宋" w:hAnsi="仿宋" w:eastAsia="仿宋" w:cs="仿宋"/>
          <w:color w:val="FF0000"/>
          <w:sz w:val="32"/>
          <w:szCs w:val="32"/>
          <w:lang w:val="en-US" w:eastAsia="zh-CN"/>
        </w:rPr>
        <w:t>1</w:t>
      </w:r>
      <w:r>
        <w:rPr>
          <w:rFonts w:hint="eastAsia" w:ascii="仿宋" w:hAnsi="仿宋" w:eastAsia="仿宋" w:cs="仿宋"/>
          <w:color w:val="auto"/>
          <w:sz w:val="32"/>
          <w:szCs w:val="32"/>
          <w:lang w:val="en-US" w:eastAsia="zh-CN"/>
        </w:rPr>
        <w:t>例。开展急诊冠脉介入诊疗125例，为前乡片区急性心梗患者快速救治提供了良好条件。</w:t>
      </w:r>
    </w:p>
    <w:p w14:paraId="7D50205B">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lang w:val="en-US" w:eastAsia="zh-CN"/>
        </w:rPr>
        <w:t xml:space="preserve"> （五）</w:t>
      </w:r>
      <w:r>
        <w:rPr>
          <w:rFonts w:hint="eastAsia" w:ascii="仿宋_GB2312" w:hAnsi="仿宋_GB2312" w:eastAsia="仿宋_GB2312" w:cs="仿宋_GB2312"/>
          <w:color w:val="auto"/>
          <w:sz w:val="32"/>
          <w:szCs w:val="32"/>
          <w:lang w:eastAsia="zh-CN"/>
        </w:rPr>
        <w:t>鉴残工作</w:t>
      </w:r>
    </w:p>
    <w:p w14:paraId="69B2C0A3">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eastAsia="zh-CN"/>
        </w:rPr>
        <w:t>每周五进行残疾人鉴定工作，</w:t>
      </w:r>
      <w:r>
        <w:rPr>
          <w:rFonts w:hint="eastAsia" w:ascii="仿宋" w:hAnsi="仿宋" w:eastAsia="仿宋" w:cs="仿宋"/>
          <w:color w:val="auto"/>
          <w:sz w:val="32"/>
          <w:szCs w:val="32"/>
          <w:lang w:val="en-US" w:eastAsia="zh-CN"/>
        </w:rPr>
        <w:t>2024年完成残疾评定860例，其中</w:t>
      </w:r>
      <w:r>
        <w:rPr>
          <w:rFonts w:hint="eastAsia" w:ascii="仿宋" w:hAnsi="仿宋" w:eastAsia="仿宋" w:cs="仿宋"/>
          <w:color w:val="auto"/>
          <w:sz w:val="32"/>
          <w:szCs w:val="32"/>
          <w:lang w:eastAsia="zh-CN"/>
        </w:rPr>
        <w:t>残疾人视力鉴定</w:t>
      </w:r>
      <w:r>
        <w:rPr>
          <w:rFonts w:hint="eastAsia" w:ascii="仿宋" w:hAnsi="仿宋" w:eastAsia="仿宋" w:cs="仿宋"/>
          <w:color w:val="auto"/>
          <w:sz w:val="32"/>
          <w:szCs w:val="32"/>
          <w:lang w:val="en-US" w:eastAsia="zh-CN"/>
        </w:rPr>
        <w:t>172人次，肢体</w:t>
      </w:r>
      <w:r>
        <w:rPr>
          <w:rFonts w:hint="eastAsia" w:ascii="仿宋" w:hAnsi="仿宋" w:eastAsia="仿宋" w:cs="仿宋"/>
          <w:color w:val="auto"/>
          <w:sz w:val="32"/>
          <w:szCs w:val="32"/>
          <w:lang w:eastAsia="zh-CN"/>
        </w:rPr>
        <w:t>鉴定</w:t>
      </w:r>
      <w:r>
        <w:rPr>
          <w:rFonts w:hint="eastAsia" w:ascii="仿宋" w:hAnsi="仿宋" w:eastAsia="仿宋" w:cs="仿宋"/>
          <w:color w:val="auto"/>
          <w:sz w:val="32"/>
          <w:szCs w:val="32"/>
          <w:lang w:val="en-US" w:eastAsia="zh-CN"/>
        </w:rPr>
        <w:t>543人次</w:t>
      </w:r>
      <w:r>
        <w:rPr>
          <w:rFonts w:hint="eastAsia" w:ascii="仿宋" w:hAnsi="仿宋" w:eastAsia="仿宋" w:cs="仿宋"/>
          <w:color w:val="auto"/>
          <w:sz w:val="32"/>
          <w:szCs w:val="32"/>
          <w:lang w:eastAsia="zh-CN"/>
        </w:rPr>
        <w:t>。组织专家到清塘、乐安、梅城、仙溪、高明、大福、长塘下乡进行残疾鉴定</w:t>
      </w:r>
      <w:r>
        <w:rPr>
          <w:rFonts w:hint="eastAsia" w:ascii="仿宋" w:hAnsi="仿宋" w:eastAsia="仿宋" w:cs="仿宋"/>
          <w:color w:val="auto"/>
          <w:sz w:val="32"/>
          <w:szCs w:val="32"/>
          <w:lang w:val="en-US" w:eastAsia="zh-CN"/>
        </w:rPr>
        <w:t>7天，</w:t>
      </w:r>
      <w:r>
        <w:rPr>
          <w:rFonts w:hint="eastAsia" w:ascii="仿宋" w:hAnsi="仿宋" w:eastAsia="仿宋" w:cs="仿宋"/>
          <w:color w:val="auto"/>
          <w:sz w:val="32"/>
          <w:szCs w:val="32"/>
          <w:lang w:eastAsia="zh-CN"/>
        </w:rPr>
        <w:t>协助每月逢五的法医鉴定工作，共计完成肢体残疾评定245例。向县申请残疾鉴费用</w:t>
      </w:r>
      <w:r>
        <w:rPr>
          <w:rFonts w:hint="eastAsia" w:ascii="仿宋" w:hAnsi="仿宋" w:eastAsia="仿宋" w:cs="仿宋"/>
          <w:color w:val="auto"/>
          <w:sz w:val="32"/>
          <w:szCs w:val="32"/>
          <w:lang w:val="en-US" w:eastAsia="zh-CN"/>
        </w:rPr>
        <w:t>8.6万元，为医院增加部分收入。</w:t>
      </w:r>
    </w:p>
    <w:p w14:paraId="1C3AE16C">
      <w:pPr>
        <w:pStyle w:val="9"/>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Autospacing="0" w:line="560" w:lineRule="exact"/>
        <w:ind w:right="0" w:rightChars="0" w:firstLine="640" w:firstLineChars="200"/>
        <w:jc w:val="both"/>
        <w:textAlignment w:val="auto"/>
        <w:rPr>
          <w:rFonts w:hint="eastAsia" w:ascii="宋体" w:hAnsi="宋体" w:eastAsia="宋体" w:cs="宋体"/>
          <w:color w:val="000000"/>
          <w:sz w:val="32"/>
          <w:szCs w:val="32"/>
          <w:lang w:eastAsia="zh-CN"/>
        </w:rPr>
      </w:pPr>
    </w:p>
    <w:p w14:paraId="2588C6EC">
      <w:pPr>
        <w:pStyle w:val="9"/>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Autospacing="0" w:line="560" w:lineRule="exact"/>
        <w:ind w:right="0" w:rightChars="0" w:firstLine="360" w:firstLineChars="100"/>
        <w:jc w:val="both"/>
        <w:textAlignment w:val="auto"/>
        <w:rPr>
          <w:rFonts w:hint="eastAsia" w:cs="宋体"/>
          <w:b w:val="0"/>
          <w:bCs w:val="0"/>
          <w:snapToGrid w:val="0"/>
          <w:color w:val="000000"/>
          <w:spacing w:val="20"/>
          <w:kern w:val="0"/>
          <w:sz w:val="32"/>
          <w:szCs w:val="32"/>
          <w:lang w:val="en-US" w:eastAsia="zh-CN" w:bidi="ar-SA"/>
        </w:rPr>
      </w:pPr>
      <w:r>
        <w:rPr>
          <w:rFonts w:hint="eastAsia" w:cs="宋体"/>
          <w:b w:val="0"/>
          <w:bCs w:val="0"/>
          <w:snapToGrid w:val="0"/>
          <w:color w:val="000000"/>
          <w:spacing w:val="20"/>
          <w:kern w:val="0"/>
          <w:sz w:val="32"/>
          <w:szCs w:val="32"/>
          <w:lang w:val="en-US" w:eastAsia="zh-CN" w:bidi="ar-SA"/>
        </w:rPr>
        <w:t>整体评价和自评得分情况</w:t>
      </w:r>
    </w:p>
    <w:p w14:paraId="113FF256">
      <w:pPr>
        <w:pStyle w:val="9"/>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Autospacing="0" w:line="560" w:lineRule="exact"/>
        <w:ind w:right="0" w:rightChars="0" w:firstLine="720" w:firstLineChars="200"/>
        <w:jc w:val="both"/>
        <w:textAlignment w:val="auto"/>
        <w:rPr>
          <w:rFonts w:hint="eastAsia" w:ascii="宋体" w:hAnsi="宋体" w:eastAsia="宋体" w:cs="宋体"/>
          <w:b w:val="0"/>
          <w:bCs w:val="0"/>
          <w:snapToGrid w:val="0"/>
          <w:color w:val="000000"/>
          <w:spacing w:val="20"/>
          <w:kern w:val="0"/>
          <w:sz w:val="32"/>
          <w:szCs w:val="32"/>
          <w:lang w:val="en-US" w:eastAsia="zh-CN" w:bidi="ar-SA"/>
        </w:rPr>
      </w:pPr>
      <w:r>
        <w:rPr>
          <w:rFonts w:hint="eastAsia" w:ascii="宋体" w:hAnsi="宋体" w:eastAsia="宋体" w:cs="宋体"/>
          <w:b w:val="0"/>
          <w:bCs w:val="0"/>
          <w:snapToGrid w:val="0"/>
          <w:color w:val="000000"/>
          <w:spacing w:val="20"/>
          <w:kern w:val="0"/>
          <w:sz w:val="32"/>
          <w:szCs w:val="32"/>
          <w:lang w:val="en-US" w:eastAsia="zh-CN" w:bidi="ar-SA"/>
        </w:rPr>
        <w:t>通过对部门整体支出情况的概述和实际支出情况的分析，202</w:t>
      </w:r>
      <w:r>
        <w:rPr>
          <w:rFonts w:hint="eastAsia" w:cs="宋体"/>
          <w:b w:val="0"/>
          <w:bCs w:val="0"/>
          <w:snapToGrid w:val="0"/>
          <w:color w:val="000000"/>
          <w:spacing w:val="20"/>
          <w:kern w:val="0"/>
          <w:sz w:val="32"/>
          <w:szCs w:val="32"/>
          <w:lang w:val="en-US" w:eastAsia="zh-CN" w:bidi="ar-SA"/>
        </w:rPr>
        <w:t>4</w:t>
      </w:r>
      <w:r>
        <w:rPr>
          <w:rFonts w:hint="eastAsia" w:ascii="宋体" w:hAnsi="宋体" w:eastAsia="宋体" w:cs="宋体"/>
          <w:b w:val="0"/>
          <w:bCs w:val="0"/>
          <w:snapToGrid w:val="0"/>
          <w:color w:val="000000"/>
          <w:spacing w:val="20"/>
          <w:kern w:val="0"/>
          <w:sz w:val="32"/>
          <w:szCs w:val="32"/>
          <w:lang w:val="en-US" w:eastAsia="zh-CN" w:bidi="ar-SA"/>
        </w:rPr>
        <w:t>年度</w:t>
      </w:r>
      <w:r>
        <w:rPr>
          <w:rFonts w:hint="eastAsia" w:cs="宋体"/>
          <w:b w:val="0"/>
          <w:bCs w:val="0"/>
          <w:snapToGrid w:val="0"/>
          <w:color w:val="000000"/>
          <w:spacing w:val="20"/>
          <w:kern w:val="0"/>
          <w:sz w:val="32"/>
          <w:szCs w:val="32"/>
          <w:lang w:val="en-US" w:eastAsia="zh-CN" w:bidi="ar-SA"/>
        </w:rPr>
        <w:t>我院</w:t>
      </w:r>
      <w:r>
        <w:rPr>
          <w:rFonts w:hint="eastAsia" w:ascii="宋体" w:hAnsi="宋体" w:eastAsia="宋体" w:cs="宋体"/>
          <w:b w:val="0"/>
          <w:bCs w:val="0"/>
          <w:snapToGrid w:val="0"/>
          <w:color w:val="000000"/>
          <w:spacing w:val="20"/>
          <w:kern w:val="0"/>
          <w:sz w:val="32"/>
          <w:szCs w:val="32"/>
          <w:lang w:val="en-US" w:eastAsia="zh-CN" w:bidi="ar-SA"/>
        </w:rPr>
        <w:t>部门整体支出绩效自评分值为9</w:t>
      </w:r>
      <w:r>
        <w:rPr>
          <w:rFonts w:hint="eastAsia" w:cs="宋体"/>
          <w:b w:val="0"/>
          <w:bCs w:val="0"/>
          <w:snapToGrid w:val="0"/>
          <w:color w:val="000000"/>
          <w:spacing w:val="20"/>
          <w:kern w:val="0"/>
          <w:sz w:val="32"/>
          <w:szCs w:val="32"/>
          <w:lang w:val="en-US" w:eastAsia="zh-CN" w:bidi="ar-SA"/>
        </w:rPr>
        <w:t>6</w:t>
      </w:r>
      <w:r>
        <w:rPr>
          <w:rFonts w:hint="eastAsia" w:ascii="宋体" w:hAnsi="宋体" w:eastAsia="宋体" w:cs="宋体"/>
          <w:b w:val="0"/>
          <w:bCs w:val="0"/>
          <w:snapToGrid w:val="0"/>
          <w:color w:val="000000"/>
          <w:spacing w:val="20"/>
          <w:kern w:val="0"/>
          <w:sz w:val="32"/>
          <w:szCs w:val="32"/>
          <w:lang w:val="en-US" w:eastAsia="zh-CN" w:bidi="ar-SA"/>
        </w:rPr>
        <w:t>分，自评结论为“优”。具体评价如下：</w:t>
      </w:r>
    </w:p>
    <w:p w14:paraId="354D8501">
      <w:pPr>
        <w:pStyle w:val="9"/>
        <w:keepNext w:val="0"/>
        <w:keepLines w:val="0"/>
        <w:pageBreakBefore w:val="0"/>
        <w:widowControl w:val="0"/>
        <w:numPr>
          <w:ilvl w:val="0"/>
          <w:numId w:val="4"/>
        </w:numPr>
        <w:suppressLineNumbers w:val="0"/>
        <w:shd w:val="clear" w:color="auto" w:fill="auto"/>
        <w:tabs>
          <w:tab w:val="clear" w:pos="312"/>
        </w:tabs>
        <w:kinsoku/>
        <w:wordWrap/>
        <w:overflowPunct/>
        <w:topLinePunct w:val="0"/>
        <w:autoSpaceDE/>
        <w:autoSpaceDN/>
        <w:bidi w:val="0"/>
        <w:adjustRightInd/>
        <w:snapToGrid/>
        <w:spacing w:before="0" w:beforeAutospacing="0" w:afterAutospacing="0" w:line="560" w:lineRule="exact"/>
        <w:ind w:right="0" w:rightChars="0" w:firstLine="720" w:firstLineChars="200"/>
        <w:jc w:val="both"/>
        <w:textAlignment w:val="auto"/>
        <w:rPr>
          <w:rFonts w:hint="eastAsia" w:cs="宋体"/>
          <w:b w:val="0"/>
          <w:bCs w:val="0"/>
          <w:snapToGrid w:val="0"/>
          <w:color w:val="000000"/>
          <w:spacing w:val="20"/>
          <w:kern w:val="0"/>
          <w:sz w:val="32"/>
          <w:szCs w:val="32"/>
          <w:lang w:val="en-US" w:eastAsia="zh-CN" w:bidi="ar-SA"/>
        </w:rPr>
      </w:pPr>
      <w:r>
        <w:rPr>
          <w:rFonts w:hint="eastAsia" w:cs="宋体"/>
          <w:b w:val="0"/>
          <w:bCs w:val="0"/>
          <w:snapToGrid w:val="0"/>
          <w:color w:val="000000"/>
          <w:spacing w:val="20"/>
          <w:kern w:val="0"/>
          <w:sz w:val="32"/>
          <w:szCs w:val="32"/>
          <w:lang w:val="en-US" w:eastAsia="zh-CN" w:bidi="ar-SA"/>
        </w:rPr>
        <w:t>产出指标-数量指标-年度内按时完成重点工作任完成（</w:t>
      </w:r>
      <w:r>
        <w:rPr>
          <w:rFonts w:hint="eastAsia" w:ascii="宋体" w:hAnsi="宋体" w:cs="宋体"/>
          <w:color w:val="000000"/>
          <w:kern w:val="0"/>
          <w:sz w:val="32"/>
          <w:szCs w:val="32"/>
          <w:lang w:val="en-US" w:eastAsia="zh-CN"/>
        </w:rPr>
        <w:t>指标分值10分，得分</w:t>
      </w:r>
      <w:r>
        <w:rPr>
          <w:rFonts w:hint="eastAsia" w:cs="宋体"/>
          <w:color w:val="000000"/>
          <w:kern w:val="0"/>
          <w:sz w:val="32"/>
          <w:szCs w:val="32"/>
          <w:lang w:val="en-US" w:eastAsia="zh-CN"/>
        </w:rPr>
        <w:t>8</w:t>
      </w:r>
      <w:r>
        <w:rPr>
          <w:rFonts w:hint="eastAsia" w:ascii="宋体" w:hAnsi="宋体" w:cs="宋体"/>
          <w:color w:val="000000"/>
          <w:kern w:val="0"/>
          <w:sz w:val="32"/>
          <w:szCs w:val="32"/>
          <w:lang w:val="en-US" w:eastAsia="zh-CN"/>
        </w:rPr>
        <w:t>分）</w:t>
      </w:r>
      <w:r>
        <w:rPr>
          <w:rFonts w:hint="eastAsia" w:cs="宋体"/>
          <w:b w:val="0"/>
          <w:bCs w:val="0"/>
          <w:snapToGrid w:val="0"/>
          <w:color w:val="000000"/>
          <w:spacing w:val="20"/>
          <w:kern w:val="0"/>
          <w:sz w:val="32"/>
          <w:szCs w:val="32"/>
          <w:lang w:val="en-US" w:eastAsia="zh-CN" w:bidi="ar-SA"/>
        </w:rPr>
        <w:t>，年度指标值932.68万元，实际完成18658.88万元，偏差是因为年度指标值只有人员经费的差额预算，实际完成值包括各种公用经费和人员经费及保障医院运行的各种经费。</w:t>
      </w:r>
    </w:p>
    <w:p w14:paraId="4928981B">
      <w:pPr>
        <w:pStyle w:val="9"/>
        <w:keepNext w:val="0"/>
        <w:keepLines w:val="0"/>
        <w:pageBreakBefore w:val="0"/>
        <w:widowControl w:val="0"/>
        <w:numPr>
          <w:ilvl w:val="0"/>
          <w:numId w:val="4"/>
        </w:numPr>
        <w:suppressLineNumbers w:val="0"/>
        <w:shd w:val="clear" w:color="auto" w:fill="auto"/>
        <w:tabs>
          <w:tab w:val="clear" w:pos="312"/>
        </w:tabs>
        <w:kinsoku/>
        <w:wordWrap/>
        <w:overflowPunct/>
        <w:topLinePunct w:val="0"/>
        <w:autoSpaceDE/>
        <w:autoSpaceDN/>
        <w:bidi w:val="0"/>
        <w:adjustRightInd/>
        <w:snapToGrid/>
        <w:spacing w:before="0" w:beforeAutospacing="0" w:afterAutospacing="0" w:line="560" w:lineRule="exact"/>
        <w:ind w:right="0" w:rightChars="0" w:firstLine="720" w:firstLineChars="200"/>
        <w:jc w:val="both"/>
        <w:textAlignment w:val="auto"/>
        <w:rPr>
          <w:rFonts w:hint="default" w:cs="宋体"/>
          <w:b w:val="0"/>
          <w:bCs w:val="0"/>
          <w:snapToGrid w:val="0"/>
          <w:color w:val="000000"/>
          <w:spacing w:val="20"/>
          <w:kern w:val="0"/>
          <w:sz w:val="32"/>
          <w:szCs w:val="32"/>
          <w:lang w:val="en-US" w:eastAsia="zh-CN" w:bidi="ar-SA"/>
        </w:rPr>
      </w:pPr>
      <w:r>
        <w:rPr>
          <w:rFonts w:hint="eastAsia" w:cs="宋体"/>
          <w:b w:val="0"/>
          <w:bCs w:val="0"/>
          <w:snapToGrid w:val="0"/>
          <w:color w:val="000000"/>
          <w:spacing w:val="20"/>
          <w:kern w:val="0"/>
          <w:sz w:val="32"/>
          <w:szCs w:val="32"/>
          <w:lang w:val="en-US" w:eastAsia="zh-CN" w:bidi="ar-SA"/>
        </w:rPr>
        <w:t>产出指标-质量指标-医疗健康工作覆盖率（</w:t>
      </w:r>
      <w:r>
        <w:rPr>
          <w:rFonts w:hint="eastAsia" w:ascii="宋体" w:hAnsi="宋体" w:cs="宋体"/>
          <w:color w:val="000000"/>
          <w:kern w:val="0"/>
          <w:sz w:val="32"/>
          <w:szCs w:val="32"/>
          <w:lang w:val="en-US" w:eastAsia="zh-CN"/>
        </w:rPr>
        <w:t>指标分值10分，得分</w:t>
      </w:r>
      <w:r>
        <w:rPr>
          <w:rFonts w:hint="eastAsia" w:cs="宋体"/>
          <w:color w:val="000000"/>
          <w:kern w:val="0"/>
          <w:sz w:val="32"/>
          <w:szCs w:val="32"/>
          <w:lang w:val="en-US" w:eastAsia="zh-CN"/>
        </w:rPr>
        <w:t>9.5</w:t>
      </w:r>
      <w:r>
        <w:rPr>
          <w:rFonts w:hint="eastAsia" w:ascii="宋体" w:hAnsi="宋体" w:cs="宋体"/>
          <w:color w:val="000000"/>
          <w:kern w:val="0"/>
          <w:sz w:val="32"/>
          <w:szCs w:val="32"/>
          <w:lang w:val="en-US" w:eastAsia="zh-CN"/>
        </w:rPr>
        <w:t>分）</w:t>
      </w:r>
      <w:r>
        <w:rPr>
          <w:rFonts w:hint="eastAsia" w:cs="宋体"/>
          <w:b w:val="0"/>
          <w:bCs w:val="0"/>
          <w:snapToGrid w:val="0"/>
          <w:color w:val="000000"/>
          <w:spacing w:val="20"/>
          <w:kern w:val="0"/>
          <w:sz w:val="32"/>
          <w:szCs w:val="32"/>
          <w:lang w:val="en-US" w:eastAsia="zh-CN" w:bidi="ar-SA"/>
        </w:rPr>
        <w:t>，年度指标值100%，实际完成值95%，因人员流动性大，医疗健康工作覆盖率无法完成预期。</w:t>
      </w:r>
    </w:p>
    <w:p w14:paraId="0AD66D03">
      <w:pPr>
        <w:pStyle w:val="9"/>
        <w:keepNext w:val="0"/>
        <w:keepLines w:val="0"/>
        <w:pageBreakBefore w:val="0"/>
        <w:widowControl w:val="0"/>
        <w:numPr>
          <w:ilvl w:val="0"/>
          <w:numId w:val="4"/>
        </w:numPr>
        <w:suppressLineNumbers w:val="0"/>
        <w:shd w:val="clear" w:color="auto" w:fill="auto"/>
        <w:tabs>
          <w:tab w:val="clear" w:pos="312"/>
        </w:tabs>
        <w:kinsoku/>
        <w:wordWrap/>
        <w:overflowPunct/>
        <w:topLinePunct w:val="0"/>
        <w:autoSpaceDE/>
        <w:autoSpaceDN/>
        <w:bidi w:val="0"/>
        <w:adjustRightInd/>
        <w:snapToGrid/>
        <w:spacing w:before="0" w:beforeAutospacing="0" w:afterAutospacing="0" w:line="560" w:lineRule="exact"/>
        <w:ind w:right="0" w:rightChars="0" w:firstLine="720" w:firstLineChars="200"/>
        <w:jc w:val="both"/>
        <w:textAlignment w:val="auto"/>
        <w:rPr>
          <w:rFonts w:hint="default" w:cs="宋体"/>
          <w:b w:val="0"/>
          <w:bCs w:val="0"/>
          <w:snapToGrid w:val="0"/>
          <w:color w:val="000000"/>
          <w:spacing w:val="20"/>
          <w:kern w:val="0"/>
          <w:sz w:val="32"/>
          <w:szCs w:val="32"/>
          <w:lang w:val="en-US" w:eastAsia="zh-CN" w:bidi="ar-SA"/>
        </w:rPr>
      </w:pPr>
      <w:r>
        <w:rPr>
          <w:rFonts w:hint="eastAsia" w:cs="宋体"/>
          <w:b w:val="0"/>
          <w:bCs w:val="0"/>
          <w:snapToGrid w:val="0"/>
          <w:color w:val="000000"/>
          <w:spacing w:val="20"/>
          <w:kern w:val="0"/>
          <w:sz w:val="32"/>
          <w:szCs w:val="32"/>
          <w:lang w:val="en-US" w:eastAsia="zh-CN" w:bidi="ar-SA"/>
        </w:rPr>
        <w:t>产出指标-时效指标-年度内（</w:t>
      </w:r>
      <w:r>
        <w:rPr>
          <w:rFonts w:hint="eastAsia" w:ascii="宋体" w:hAnsi="宋体" w:cs="宋体"/>
          <w:color w:val="000000"/>
          <w:kern w:val="0"/>
          <w:sz w:val="32"/>
          <w:szCs w:val="32"/>
          <w:lang w:val="en-US" w:eastAsia="zh-CN"/>
        </w:rPr>
        <w:t>指标分值10分，得分10分）</w:t>
      </w:r>
      <w:r>
        <w:rPr>
          <w:rFonts w:hint="eastAsia" w:cs="宋体"/>
          <w:b w:val="0"/>
          <w:bCs w:val="0"/>
          <w:snapToGrid w:val="0"/>
          <w:color w:val="000000"/>
          <w:spacing w:val="20"/>
          <w:kern w:val="0"/>
          <w:sz w:val="32"/>
          <w:szCs w:val="32"/>
          <w:lang w:val="en-US" w:eastAsia="zh-CN" w:bidi="ar-SA"/>
        </w:rPr>
        <w:t>，年度指标值1年，实际完成值1年。</w:t>
      </w:r>
    </w:p>
    <w:p w14:paraId="111BB101">
      <w:pPr>
        <w:pStyle w:val="9"/>
        <w:keepNext w:val="0"/>
        <w:keepLines w:val="0"/>
        <w:pageBreakBefore w:val="0"/>
        <w:widowControl w:val="0"/>
        <w:numPr>
          <w:ilvl w:val="0"/>
          <w:numId w:val="4"/>
        </w:numPr>
        <w:suppressLineNumbers w:val="0"/>
        <w:shd w:val="clear" w:color="auto" w:fill="auto"/>
        <w:tabs>
          <w:tab w:val="clear" w:pos="312"/>
        </w:tabs>
        <w:kinsoku/>
        <w:wordWrap/>
        <w:overflowPunct/>
        <w:topLinePunct w:val="0"/>
        <w:autoSpaceDE/>
        <w:autoSpaceDN/>
        <w:bidi w:val="0"/>
        <w:adjustRightInd/>
        <w:snapToGrid/>
        <w:spacing w:before="0" w:beforeAutospacing="0" w:afterAutospacing="0" w:line="560" w:lineRule="exact"/>
        <w:ind w:right="0" w:rightChars="0" w:firstLine="720" w:firstLineChars="200"/>
        <w:jc w:val="both"/>
        <w:textAlignment w:val="auto"/>
        <w:rPr>
          <w:rFonts w:hint="default" w:cs="宋体"/>
          <w:b w:val="0"/>
          <w:bCs w:val="0"/>
          <w:snapToGrid w:val="0"/>
          <w:color w:val="000000"/>
          <w:spacing w:val="20"/>
          <w:kern w:val="0"/>
          <w:sz w:val="32"/>
          <w:szCs w:val="32"/>
          <w:lang w:val="en-US" w:eastAsia="zh-CN" w:bidi="ar-SA"/>
        </w:rPr>
      </w:pPr>
      <w:r>
        <w:rPr>
          <w:rFonts w:hint="eastAsia" w:cs="宋体"/>
          <w:b w:val="0"/>
          <w:bCs w:val="0"/>
          <w:snapToGrid w:val="0"/>
          <w:color w:val="000000"/>
          <w:spacing w:val="20"/>
          <w:kern w:val="0"/>
          <w:sz w:val="32"/>
          <w:szCs w:val="32"/>
          <w:lang w:val="en-US" w:eastAsia="zh-CN" w:bidi="ar-SA"/>
        </w:rPr>
        <w:t>效益指标-经济效益指标-医疗卫生健康服务（</w:t>
      </w:r>
      <w:r>
        <w:rPr>
          <w:rFonts w:hint="eastAsia" w:ascii="宋体" w:hAnsi="宋体" w:cs="宋体"/>
          <w:color w:val="000000"/>
          <w:kern w:val="0"/>
          <w:sz w:val="32"/>
          <w:szCs w:val="32"/>
          <w:lang w:val="en-US" w:eastAsia="zh-CN"/>
        </w:rPr>
        <w:t>指标分值10分，得分</w:t>
      </w:r>
      <w:r>
        <w:rPr>
          <w:rFonts w:hint="eastAsia" w:cs="宋体"/>
          <w:color w:val="000000"/>
          <w:kern w:val="0"/>
          <w:sz w:val="32"/>
          <w:szCs w:val="32"/>
          <w:lang w:val="en-US" w:eastAsia="zh-CN"/>
        </w:rPr>
        <w:t>9</w:t>
      </w:r>
      <w:r>
        <w:rPr>
          <w:rFonts w:hint="eastAsia" w:ascii="宋体" w:hAnsi="宋体" w:cs="宋体"/>
          <w:color w:val="000000"/>
          <w:kern w:val="0"/>
          <w:sz w:val="32"/>
          <w:szCs w:val="32"/>
          <w:lang w:val="en-US" w:eastAsia="zh-CN"/>
        </w:rPr>
        <w:t>分）</w:t>
      </w:r>
      <w:r>
        <w:rPr>
          <w:rFonts w:hint="eastAsia" w:cs="宋体"/>
          <w:b w:val="0"/>
          <w:bCs w:val="0"/>
          <w:snapToGrid w:val="0"/>
          <w:color w:val="000000"/>
          <w:spacing w:val="20"/>
          <w:kern w:val="0"/>
          <w:sz w:val="32"/>
          <w:szCs w:val="32"/>
          <w:lang w:val="en-US" w:eastAsia="zh-CN" w:bidi="ar-SA"/>
        </w:rPr>
        <w:t>，年度指标值医疗卫生健康事业发展，实际完成值医疗卫生健康事业发展良好，偏差原因为专业医护人员技术专业能力有待提高，导致工作推进缓慢，无法达到预期目标。</w:t>
      </w:r>
    </w:p>
    <w:p w14:paraId="4CA62E6B">
      <w:pPr>
        <w:pStyle w:val="9"/>
        <w:keepNext w:val="0"/>
        <w:keepLines w:val="0"/>
        <w:pageBreakBefore w:val="0"/>
        <w:widowControl w:val="0"/>
        <w:numPr>
          <w:ilvl w:val="0"/>
          <w:numId w:val="4"/>
        </w:numPr>
        <w:suppressLineNumbers w:val="0"/>
        <w:shd w:val="clear" w:color="auto" w:fill="auto"/>
        <w:tabs>
          <w:tab w:val="clear" w:pos="312"/>
        </w:tabs>
        <w:kinsoku/>
        <w:wordWrap/>
        <w:overflowPunct/>
        <w:topLinePunct w:val="0"/>
        <w:autoSpaceDE/>
        <w:autoSpaceDN/>
        <w:bidi w:val="0"/>
        <w:adjustRightInd/>
        <w:snapToGrid/>
        <w:spacing w:before="0" w:beforeAutospacing="0" w:afterAutospacing="0" w:line="560" w:lineRule="exact"/>
        <w:ind w:right="0" w:rightChars="0" w:firstLine="720" w:firstLineChars="200"/>
        <w:jc w:val="both"/>
        <w:textAlignment w:val="auto"/>
        <w:rPr>
          <w:rFonts w:hint="default" w:cs="宋体"/>
          <w:b w:val="0"/>
          <w:bCs w:val="0"/>
          <w:snapToGrid w:val="0"/>
          <w:color w:val="000000"/>
          <w:spacing w:val="20"/>
          <w:kern w:val="0"/>
          <w:sz w:val="32"/>
          <w:szCs w:val="32"/>
          <w:lang w:val="en-US" w:eastAsia="zh-CN" w:bidi="ar-SA"/>
        </w:rPr>
      </w:pPr>
      <w:r>
        <w:rPr>
          <w:rFonts w:hint="eastAsia" w:cs="宋体"/>
          <w:b w:val="0"/>
          <w:bCs w:val="0"/>
          <w:snapToGrid w:val="0"/>
          <w:color w:val="000000"/>
          <w:spacing w:val="20"/>
          <w:kern w:val="0"/>
          <w:sz w:val="32"/>
          <w:szCs w:val="32"/>
          <w:lang w:val="en-US" w:eastAsia="zh-CN" w:bidi="ar-SA"/>
        </w:rPr>
        <w:t>效益指标-社会效益指标-履行卫生和计生生育工作职责（</w:t>
      </w:r>
      <w:r>
        <w:rPr>
          <w:rFonts w:hint="eastAsia" w:ascii="宋体" w:hAnsi="宋体" w:cs="宋体"/>
          <w:color w:val="000000"/>
          <w:kern w:val="0"/>
          <w:sz w:val="32"/>
          <w:szCs w:val="32"/>
          <w:lang w:val="en-US" w:eastAsia="zh-CN"/>
        </w:rPr>
        <w:t>指标分值10分，得分</w:t>
      </w:r>
      <w:r>
        <w:rPr>
          <w:rFonts w:hint="eastAsia" w:cs="宋体"/>
          <w:color w:val="000000"/>
          <w:kern w:val="0"/>
          <w:sz w:val="32"/>
          <w:szCs w:val="32"/>
          <w:lang w:val="en-US" w:eastAsia="zh-CN"/>
        </w:rPr>
        <w:t>10</w:t>
      </w:r>
      <w:r>
        <w:rPr>
          <w:rFonts w:hint="eastAsia" w:ascii="宋体" w:hAnsi="宋体" w:cs="宋体"/>
          <w:color w:val="000000"/>
          <w:kern w:val="0"/>
          <w:sz w:val="32"/>
          <w:szCs w:val="32"/>
          <w:lang w:val="en-US" w:eastAsia="zh-CN"/>
        </w:rPr>
        <w:t>分）</w:t>
      </w:r>
      <w:r>
        <w:rPr>
          <w:rFonts w:hint="eastAsia" w:cs="宋体"/>
          <w:b w:val="0"/>
          <w:bCs w:val="0"/>
          <w:snapToGrid w:val="0"/>
          <w:color w:val="000000"/>
          <w:spacing w:val="20"/>
          <w:kern w:val="0"/>
          <w:sz w:val="32"/>
          <w:szCs w:val="32"/>
          <w:lang w:val="en-US" w:eastAsia="zh-CN" w:bidi="ar-SA"/>
        </w:rPr>
        <w:t>，年度指标值职责履行情况，实际完成值已经按照上级要求履行卫生和计生生育工作职责。</w:t>
      </w:r>
    </w:p>
    <w:p w14:paraId="2009F5E2">
      <w:pPr>
        <w:pStyle w:val="9"/>
        <w:keepNext w:val="0"/>
        <w:keepLines w:val="0"/>
        <w:pageBreakBefore w:val="0"/>
        <w:widowControl w:val="0"/>
        <w:numPr>
          <w:ilvl w:val="0"/>
          <w:numId w:val="4"/>
        </w:numPr>
        <w:suppressLineNumbers w:val="0"/>
        <w:shd w:val="clear" w:color="auto" w:fill="auto"/>
        <w:tabs>
          <w:tab w:val="clear" w:pos="312"/>
        </w:tabs>
        <w:kinsoku/>
        <w:wordWrap/>
        <w:overflowPunct/>
        <w:topLinePunct w:val="0"/>
        <w:autoSpaceDE/>
        <w:autoSpaceDN/>
        <w:bidi w:val="0"/>
        <w:adjustRightInd/>
        <w:snapToGrid/>
        <w:spacing w:before="0" w:beforeAutospacing="0" w:afterAutospacing="0" w:line="560" w:lineRule="exact"/>
        <w:ind w:right="0" w:rightChars="0" w:firstLine="720" w:firstLineChars="200"/>
        <w:jc w:val="both"/>
        <w:textAlignment w:val="auto"/>
        <w:rPr>
          <w:rFonts w:hint="default" w:cs="宋体"/>
          <w:b w:val="0"/>
          <w:bCs w:val="0"/>
          <w:snapToGrid w:val="0"/>
          <w:color w:val="000000"/>
          <w:spacing w:val="20"/>
          <w:kern w:val="0"/>
          <w:sz w:val="32"/>
          <w:szCs w:val="32"/>
          <w:lang w:val="en-US" w:eastAsia="zh-CN" w:bidi="ar-SA"/>
        </w:rPr>
      </w:pPr>
      <w:r>
        <w:rPr>
          <w:rFonts w:hint="eastAsia" w:cs="宋体"/>
          <w:b w:val="0"/>
          <w:bCs w:val="0"/>
          <w:snapToGrid w:val="0"/>
          <w:color w:val="000000"/>
          <w:spacing w:val="20"/>
          <w:kern w:val="0"/>
          <w:sz w:val="32"/>
          <w:szCs w:val="32"/>
          <w:lang w:val="en-US" w:eastAsia="zh-CN" w:bidi="ar-SA"/>
        </w:rPr>
        <w:t>效益指标-生态效益指标-医疗卫生健康服务（</w:t>
      </w:r>
      <w:r>
        <w:rPr>
          <w:rFonts w:hint="eastAsia" w:ascii="宋体" w:hAnsi="宋体" w:cs="宋体"/>
          <w:color w:val="000000"/>
          <w:kern w:val="0"/>
          <w:sz w:val="32"/>
          <w:szCs w:val="32"/>
          <w:lang w:val="en-US" w:eastAsia="zh-CN"/>
        </w:rPr>
        <w:t>指标分值10分，得分</w:t>
      </w:r>
      <w:r>
        <w:rPr>
          <w:rFonts w:hint="eastAsia" w:cs="宋体"/>
          <w:color w:val="000000"/>
          <w:kern w:val="0"/>
          <w:sz w:val="32"/>
          <w:szCs w:val="32"/>
          <w:lang w:val="en-US" w:eastAsia="zh-CN"/>
        </w:rPr>
        <w:t>10</w:t>
      </w:r>
      <w:r>
        <w:rPr>
          <w:rFonts w:hint="eastAsia" w:ascii="宋体" w:hAnsi="宋体" w:cs="宋体"/>
          <w:color w:val="000000"/>
          <w:kern w:val="0"/>
          <w:sz w:val="32"/>
          <w:szCs w:val="32"/>
          <w:lang w:val="en-US" w:eastAsia="zh-CN"/>
        </w:rPr>
        <w:t>分）</w:t>
      </w:r>
      <w:r>
        <w:rPr>
          <w:rFonts w:hint="eastAsia" w:cs="宋体"/>
          <w:b w:val="0"/>
          <w:bCs w:val="0"/>
          <w:snapToGrid w:val="0"/>
          <w:color w:val="000000"/>
          <w:spacing w:val="20"/>
          <w:kern w:val="0"/>
          <w:sz w:val="32"/>
          <w:szCs w:val="32"/>
          <w:lang w:val="en-US" w:eastAsia="zh-CN" w:bidi="ar-SA"/>
        </w:rPr>
        <w:t>，年度指标值医疗卫生健康事业发展，实际完成值医疗卫生健康事业发展。</w:t>
      </w:r>
    </w:p>
    <w:p w14:paraId="247CCE89">
      <w:pPr>
        <w:pStyle w:val="9"/>
        <w:keepNext w:val="0"/>
        <w:keepLines w:val="0"/>
        <w:pageBreakBefore w:val="0"/>
        <w:widowControl w:val="0"/>
        <w:numPr>
          <w:ilvl w:val="0"/>
          <w:numId w:val="4"/>
        </w:numPr>
        <w:suppressLineNumbers w:val="0"/>
        <w:shd w:val="clear" w:color="auto" w:fill="auto"/>
        <w:tabs>
          <w:tab w:val="clear" w:pos="312"/>
        </w:tabs>
        <w:kinsoku/>
        <w:wordWrap/>
        <w:overflowPunct/>
        <w:topLinePunct w:val="0"/>
        <w:autoSpaceDE/>
        <w:autoSpaceDN/>
        <w:bidi w:val="0"/>
        <w:adjustRightInd/>
        <w:snapToGrid/>
        <w:spacing w:before="0" w:beforeAutospacing="0" w:afterAutospacing="0" w:line="560" w:lineRule="exact"/>
        <w:ind w:right="0" w:rightChars="0" w:firstLine="720" w:firstLineChars="200"/>
        <w:jc w:val="both"/>
        <w:textAlignment w:val="auto"/>
        <w:rPr>
          <w:rFonts w:hint="default" w:cs="宋体"/>
          <w:b w:val="0"/>
          <w:bCs w:val="0"/>
          <w:snapToGrid w:val="0"/>
          <w:color w:val="000000"/>
          <w:spacing w:val="20"/>
          <w:kern w:val="0"/>
          <w:sz w:val="32"/>
          <w:szCs w:val="32"/>
          <w:lang w:val="en-US" w:eastAsia="zh-CN" w:bidi="ar-SA"/>
        </w:rPr>
      </w:pPr>
      <w:r>
        <w:rPr>
          <w:rFonts w:hint="eastAsia" w:cs="宋体"/>
          <w:b w:val="0"/>
          <w:bCs w:val="0"/>
          <w:snapToGrid w:val="0"/>
          <w:color w:val="000000"/>
          <w:spacing w:val="20"/>
          <w:kern w:val="0"/>
          <w:sz w:val="32"/>
          <w:szCs w:val="32"/>
          <w:lang w:val="en-US" w:eastAsia="zh-CN" w:bidi="ar-SA"/>
        </w:rPr>
        <w:t>效益指标-可持续影响指标-人民群众医疗健康服务受益度（</w:t>
      </w:r>
      <w:r>
        <w:rPr>
          <w:rFonts w:hint="eastAsia" w:ascii="宋体" w:hAnsi="宋体" w:cs="宋体"/>
          <w:color w:val="000000"/>
          <w:kern w:val="0"/>
          <w:sz w:val="32"/>
          <w:szCs w:val="32"/>
          <w:lang w:val="en-US" w:eastAsia="zh-CN"/>
        </w:rPr>
        <w:t>指标分值10分，得分</w:t>
      </w:r>
      <w:r>
        <w:rPr>
          <w:rFonts w:hint="eastAsia" w:cs="宋体"/>
          <w:color w:val="000000"/>
          <w:kern w:val="0"/>
          <w:sz w:val="32"/>
          <w:szCs w:val="32"/>
          <w:lang w:val="en-US" w:eastAsia="zh-CN"/>
        </w:rPr>
        <w:t>10</w:t>
      </w:r>
      <w:r>
        <w:rPr>
          <w:rFonts w:hint="eastAsia" w:ascii="宋体" w:hAnsi="宋体" w:cs="宋体"/>
          <w:color w:val="000000"/>
          <w:kern w:val="0"/>
          <w:sz w:val="32"/>
          <w:szCs w:val="32"/>
          <w:lang w:val="en-US" w:eastAsia="zh-CN"/>
        </w:rPr>
        <w:t>分）</w:t>
      </w:r>
      <w:r>
        <w:rPr>
          <w:rFonts w:hint="eastAsia" w:cs="宋体"/>
          <w:color w:val="000000"/>
          <w:kern w:val="0"/>
          <w:sz w:val="32"/>
          <w:szCs w:val="32"/>
          <w:lang w:val="en-US" w:eastAsia="zh-CN"/>
        </w:rPr>
        <w:t>，年度指标值稳步提高，实际完成值稳步提高。</w:t>
      </w:r>
    </w:p>
    <w:p w14:paraId="3D910576">
      <w:pPr>
        <w:pStyle w:val="9"/>
        <w:keepNext w:val="0"/>
        <w:keepLines w:val="0"/>
        <w:pageBreakBefore w:val="0"/>
        <w:widowControl w:val="0"/>
        <w:numPr>
          <w:ilvl w:val="0"/>
          <w:numId w:val="4"/>
        </w:numPr>
        <w:suppressLineNumbers w:val="0"/>
        <w:shd w:val="clear" w:color="auto" w:fill="auto"/>
        <w:tabs>
          <w:tab w:val="clear" w:pos="312"/>
        </w:tabs>
        <w:kinsoku/>
        <w:wordWrap/>
        <w:overflowPunct/>
        <w:topLinePunct w:val="0"/>
        <w:autoSpaceDE/>
        <w:autoSpaceDN/>
        <w:bidi w:val="0"/>
        <w:adjustRightInd/>
        <w:snapToGrid/>
        <w:spacing w:before="0" w:beforeAutospacing="0" w:afterAutospacing="0" w:line="560" w:lineRule="exact"/>
        <w:ind w:right="0" w:rightChars="0" w:firstLine="640" w:firstLineChars="200"/>
        <w:jc w:val="both"/>
        <w:textAlignment w:val="auto"/>
        <w:rPr>
          <w:rFonts w:hint="default" w:cs="宋体"/>
          <w:b w:val="0"/>
          <w:bCs w:val="0"/>
          <w:snapToGrid w:val="0"/>
          <w:color w:val="000000"/>
          <w:spacing w:val="20"/>
          <w:kern w:val="0"/>
          <w:sz w:val="32"/>
          <w:szCs w:val="32"/>
          <w:lang w:val="en-US" w:eastAsia="zh-CN" w:bidi="ar-SA"/>
        </w:rPr>
      </w:pPr>
      <w:r>
        <w:rPr>
          <w:rFonts w:hint="eastAsia" w:cs="宋体"/>
          <w:color w:val="000000"/>
          <w:kern w:val="0"/>
          <w:sz w:val="32"/>
          <w:szCs w:val="32"/>
          <w:lang w:val="en-US" w:eastAsia="zh-CN"/>
        </w:rPr>
        <w:t>满意度指标-服务对象满意度指标-服务对像满意度</w:t>
      </w:r>
      <w:r>
        <w:rPr>
          <w:rFonts w:hint="eastAsia" w:cs="宋体"/>
          <w:b w:val="0"/>
          <w:bCs w:val="0"/>
          <w:snapToGrid w:val="0"/>
          <w:color w:val="000000"/>
          <w:spacing w:val="20"/>
          <w:kern w:val="0"/>
          <w:sz w:val="32"/>
          <w:szCs w:val="32"/>
          <w:lang w:val="en-US" w:eastAsia="zh-CN" w:bidi="ar-SA"/>
        </w:rPr>
        <w:t>（</w:t>
      </w:r>
      <w:r>
        <w:rPr>
          <w:rFonts w:hint="eastAsia" w:ascii="宋体" w:hAnsi="宋体" w:cs="宋体"/>
          <w:color w:val="000000"/>
          <w:kern w:val="0"/>
          <w:sz w:val="32"/>
          <w:szCs w:val="32"/>
          <w:lang w:val="en-US" w:eastAsia="zh-CN"/>
        </w:rPr>
        <w:t>指标分值10分，得分</w:t>
      </w:r>
      <w:r>
        <w:rPr>
          <w:rFonts w:hint="eastAsia" w:cs="宋体"/>
          <w:color w:val="000000"/>
          <w:kern w:val="0"/>
          <w:sz w:val="32"/>
          <w:szCs w:val="32"/>
          <w:lang w:val="en-US" w:eastAsia="zh-CN"/>
        </w:rPr>
        <w:t>9.5</w:t>
      </w:r>
      <w:r>
        <w:rPr>
          <w:rFonts w:hint="eastAsia" w:ascii="宋体" w:hAnsi="宋体" w:cs="宋体"/>
          <w:color w:val="000000"/>
          <w:kern w:val="0"/>
          <w:sz w:val="32"/>
          <w:szCs w:val="32"/>
          <w:lang w:val="en-US" w:eastAsia="zh-CN"/>
        </w:rPr>
        <w:t>分）</w:t>
      </w:r>
      <w:r>
        <w:rPr>
          <w:rFonts w:hint="eastAsia" w:cs="宋体"/>
          <w:color w:val="000000"/>
          <w:kern w:val="0"/>
          <w:sz w:val="32"/>
          <w:szCs w:val="32"/>
          <w:lang w:val="en-US" w:eastAsia="zh-CN"/>
        </w:rPr>
        <w:t>，年度指标值95%。实际完成值93%，因个别医护人员服务态度问题，遭病人投诉。</w:t>
      </w:r>
    </w:p>
    <w:p w14:paraId="4176DB8F">
      <w:pPr>
        <w:pStyle w:val="9"/>
        <w:keepNext w:val="0"/>
        <w:keepLines w:val="0"/>
        <w:pageBreakBefore w:val="0"/>
        <w:widowControl w:val="0"/>
        <w:numPr>
          <w:ilvl w:val="0"/>
          <w:numId w:val="4"/>
        </w:numPr>
        <w:suppressLineNumbers w:val="0"/>
        <w:shd w:val="clear" w:color="auto" w:fill="auto"/>
        <w:tabs>
          <w:tab w:val="clear" w:pos="312"/>
        </w:tabs>
        <w:kinsoku/>
        <w:wordWrap/>
        <w:overflowPunct/>
        <w:topLinePunct w:val="0"/>
        <w:autoSpaceDE/>
        <w:autoSpaceDN/>
        <w:bidi w:val="0"/>
        <w:adjustRightInd/>
        <w:snapToGrid/>
        <w:spacing w:before="0" w:beforeAutospacing="0" w:afterAutospacing="0" w:line="560" w:lineRule="exact"/>
        <w:ind w:right="0" w:rightChars="0" w:firstLine="640" w:firstLineChars="200"/>
        <w:jc w:val="both"/>
        <w:textAlignment w:val="auto"/>
        <w:rPr>
          <w:rFonts w:hint="default" w:cs="宋体"/>
          <w:b w:val="0"/>
          <w:bCs w:val="0"/>
          <w:snapToGrid w:val="0"/>
          <w:color w:val="000000"/>
          <w:spacing w:val="20"/>
          <w:kern w:val="0"/>
          <w:sz w:val="32"/>
          <w:szCs w:val="32"/>
          <w:lang w:val="en-US" w:eastAsia="zh-CN" w:bidi="ar-SA"/>
        </w:rPr>
      </w:pPr>
      <w:r>
        <w:rPr>
          <w:rFonts w:hint="eastAsia" w:cs="宋体"/>
          <w:color w:val="000000"/>
          <w:kern w:val="0"/>
          <w:sz w:val="32"/>
          <w:szCs w:val="32"/>
          <w:lang w:val="en-US" w:eastAsia="zh-CN"/>
        </w:rPr>
        <w:t>成本指标-生态环境成本指标-成本控制有效性</w:t>
      </w:r>
      <w:r>
        <w:rPr>
          <w:rFonts w:hint="eastAsia" w:cs="宋体"/>
          <w:b w:val="0"/>
          <w:bCs w:val="0"/>
          <w:snapToGrid w:val="0"/>
          <w:color w:val="000000"/>
          <w:spacing w:val="20"/>
          <w:kern w:val="0"/>
          <w:sz w:val="32"/>
          <w:szCs w:val="32"/>
          <w:lang w:val="en-US" w:eastAsia="zh-CN" w:bidi="ar-SA"/>
        </w:rPr>
        <w:t>（</w:t>
      </w:r>
      <w:r>
        <w:rPr>
          <w:rFonts w:hint="eastAsia" w:ascii="宋体" w:hAnsi="宋体" w:cs="宋体"/>
          <w:color w:val="000000"/>
          <w:kern w:val="0"/>
          <w:sz w:val="32"/>
          <w:szCs w:val="32"/>
          <w:lang w:val="en-US" w:eastAsia="zh-CN"/>
        </w:rPr>
        <w:t>指标分值10分，得分</w:t>
      </w:r>
      <w:r>
        <w:rPr>
          <w:rFonts w:hint="eastAsia" w:cs="宋体"/>
          <w:color w:val="000000"/>
          <w:kern w:val="0"/>
          <w:sz w:val="32"/>
          <w:szCs w:val="32"/>
          <w:lang w:val="en-US" w:eastAsia="zh-CN"/>
        </w:rPr>
        <w:t>10</w:t>
      </w:r>
      <w:r>
        <w:rPr>
          <w:rFonts w:hint="eastAsia" w:ascii="宋体" w:hAnsi="宋体" w:cs="宋体"/>
          <w:color w:val="000000"/>
          <w:kern w:val="0"/>
          <w:sz w:val="32"/>
          <w:szCs w:val="32"/>
          <w:lang w:val="en-US" w:eastAsia="zh-CN"/>
        </w:rPr>
        <w:t>分）</w:t>
      </w:r>
      <w:r>
        <w:rPr>
          <w:rFonts w:hint="eastAsia" w:cs="宋体"/>
          <w:color w:val="000000"/>
          <w:kern w:val="0"/>
          <w:sz w:val="32"/>
          <w:szCs w:val="32"/>
          <w:lang w:val="en-US" w:eastAsia="zh-CN"/>
        </w:rPr>
        <w:t>，年度指标值严格按照财政有关经费标准执行，实际完成值严格按照财政有关经费标准执行。</w:t>
      </w:r>
    </w:p>
    <w:p w14:paraId="5BB6EEDC">
      <w:pPr>
        <w:keepNext w:val="0"/>
        <w:keepLines w:val="0"/>
        <w:pageBreakBefore w:val="0"/>
        <w:widowControl/>
        <w:kinsoku/>
        <w:wordWrap/>
        <w:overflowPunct/>
        <w:topLinePunct w:val="0"/>
        <w:autoSpaceDE/>
        <w:autoSpaceDN/>
        <w:bidi w:val="0"/>
        <w:adjustRightInd/>
        <w:snapToGrid/>
        <w:spacing w:line="576" w:lineRule="exact"/>
        <w:ind w:firstLine="640" w:firstLineChars="200"/>
        <w:jc w:val="left"/>
        <w:textAlignment w:val="auto"/>
        <w:rPr>
          <w:rFonts w:hint="eastAsia" w:ascii="仿宋_GB2312" w:hAnsi="仿宋_GB2312" w:eastAsia="仿宋_GB2312" w:cs="仿宋_GB2312"/>
          <w:color w:val="000000"/>
          <w:kern w:val="0"/>
          <w:sz w:val="32"/>
          <w:szCs w:val="32"/>
        </w:rPr>
      </w:pPr>
    </w:p>
    <w:p w14:paraId="6BE0695B">
      <w:pPr>
        <w:keepNext w:val="0"/>
        <w:keepLines w:val="0"/>
        <w:pageBreakBefore w:val="0"/>
        <w:widowControl/>
        <w:kinsoku/>
        <w:wordWrap/>
        <w:overflowPunct/>
        <w:topLinePunct w:val="0"/>
        <w:autoSpaceDE/>
        <w:autoSpaceDN/>
        <w:bidi w:val="0"/>
        <w:adjustRightInd/>
        <w:snapToGrid/>
        <w:spacing w:line="576" w:lineRule="exact"/>
        <w:ind w:firstLine="640" w:firstLineChars="200"/>
        <w:jc w:val="left"/>
        <w:textAlignment w:val="auto"/>
        <w:rPr>
          <w:rFonts w:hint="eastAsia" w:ascii="黑体" w:hAnsi="黑体" w:eastAsia="黑体" w:cs="宋体"/>
          <w:color w:val="000000"/>
          <w:kern w:val="0"/>
          <w:sz w:val="32"/>
          <w:szCs w:val="32"/>
        </w:rPr>
      </w:pPr>
      <w:r>
        <w:rPr>
          <w:rFonts w:hint="eastAsia" w:ascii="黑体" w:hAnsi="黑体" w:eastAsia="黑体" w:cs="宋体"/>
          <w:color w:val="000000"/>
          <w:kern w:val="0"/>
          <w:sz w:val="32"/>
          <w:szCs w:val="32"/>
        </w:rPr>
        <w:t>七、存在的问题及原因分析</w:t>
      </w:r>
    </w:p>
    <w:p w14:paraId="37832CD7">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hint="default" w:ascii="仿宋_GB2312" w:hAnsi="仿宋_GB2312" w:eastAsia="仿宋_GB2312" w:cs="仿宋_GB2312"/>
          <w:color w:val="000000"/>
          <w:kern w:val="0"/>
          <w:sz w:val="32"/>
          <w:szCs w:val="32"/>
          <w:lang w:val="en-US" w:eastAsia="zh-CN"/>
        </w:rPr>
      </w:pPr>
      <w:r>
        <w:rPr>
          <w:rFonts w:hint="eastAsia" w:ascii="仿宋_GB2312" w:hAnsi="仿宋_GB2312" w:eastAsia="仿宋_GB2312" w:cs="仿宋_GB2312"/>
          <w:color w:val="000000"/>
          <w:kern w:val="0"/>
          <w:sz w:val="32"/>
          <w:szCs w:val="32"/>
          <w:lang w:eastAsia="zh-CN"/>
        </w:rPr>
        <w:t>通过对各项支出数据与绩效指标完成情况对比分析发现，整体预算执行进度为</w:t>
      </w:r>
      <w:r>
        <w:rPr>
          <w:rFonts w:hint="eastAsia" w:ascii="仿宋_GB2312" w:hAnsi="仿宋_GB2312" w:eastAsia="仿宋_GB2312" w:cs="仿宋_GB2312"/>
          <w:color w:val="000000"/>
          <w:kern w:val="0"/>
          <w:sz w:val="32"/>
          <w:szCs w:val="32"/>
          <w:lang w:val="en-US" w:eastAsia="zh-CN"/>
        </w:rPr>
        <w:t>96%，其中部份关键预算支出在产出数量</w:t>
      </w:r>
      <w:r>
        <w:rPr>
          <w:rFonts w:hint="eastAsia" w:ascii="宋体" w:hAnsi="宋体" w:eastAsia="宋体" w:cs="宋体"/>
          <w:color w:val="000000"/>
          <w:kern w:val="0"/>
          <w:sz w:val="32"/>
          <w:szCs w:val="32"/>
          <w:lang w:val="en-US" w:eastAsia="zh-CN"/>
        </w:rPr>
        <w:t>﹑</w:t>
      </w:r>
      <w:r>
        <w:rPr>
          <w:rFonts w:hint="eastAsia" w:ascii="仿宋_GB2312" w:hAnsi="仿宋_GB2312" w:eastAsia="仿宋_GB2312" w:cs="仿宋_GB2312"/>
          <w:color w:val="000000"/>
          <w:kern w:val="0"/>
          <w:sz w:val="32"/>
          <w:szCs w:val="32"/>
          <w:lang w:val="en-US" w:eastAsia="zh-CN"/>
        </w:rPr>
        <w:t>质量及效益达成等方面，与预设绩效目标存不同偏差。主要原因一是预算编制不合理，年度预算只有人员经费的差额预算，实际完成包括保障医院正常运行的各种公用经费及全部的人员经费；二是</w:t>
      </w:r>
      <w:r>
        <w:rPr>
          <w:rFonts w:hint="eastAsia" w:ascii="仿宋_GB2312" w:hAnsi="仿宋_GB2312" w:eastAsia="仿宋_GB2312" w:cs="仿宋_GB2312"/>
          <w:color w:val="auto"/>
          <w:sz w:val="32"/>
          <w:szCs w:val="32"/>
          <w:lang w:val="en-US" w:eastAsia="zh-CN"/>
        </w:rPr>
        <w:t>我院管理方法在科学性和有效性上有所欠缺，导致部分院委党委决议未及时有效的落实。三是科室间协调配合能力有待增强、人才梯队建设有待强化。</w:t>
      </w:r>
    </w:p>
    <w:p w14:paraId="5F601DFF">
      <w:pPr>
        <w:keepNext w:val="0"/>
        <w:keepLines w:val="0"/>
        <w:pageBreakBefore w:val="0"/>
        <w:widowControl/>
        <w:numPr>
          <w:ilvl w:val="0"/>
          <w:numId w:val="5"/>
        </w:numPr>
        <w:kinsoku/>
        <w:wordWrap/>
        <w:overflowPunct/>
        <w:topLinePunct w:val="0"/>
        <w:autoSpaceDE/>
        <w:autoSpaceDN/>
        <w:bidi w:val="0"/>
        <w:adjustRightInd/>
        <w:snapToGrid/>
        <w:spacing w:line="576" w:lineRule="exact"/>
        <w:ind w:firstLine="640" w:firstLineChars="200"/>
        <w:jc w:val="left"/>
        <w:textAlignment w:val="auto"/>
        <w:rPr>
          <w:rFonts w:hint="eastAsia" w:ascii="黑体" w:hAnsi="黑体" w:eastAsia="黑体" w:cs="宋体"/>
          <w:color w:val="000000"/>
          <w:kern w:val="0"/>
          <w:sz w:val="32"/>
          <w:szCs w:val="32"/>
        </w:rPr>
      </w:pPr>
      <w:r>
        <w:rPr>
          <w:rFonts w:hint="eastAsia" w:ascii="黑体" w:hAnsi="黑体" w:eastAsia="黑体" w:cs="宋体"/>
          <w:color w:val="000000"/>
          <w:kern w:val="0"/>
          <w:sz w:val="32"/>
          <w:szCs w:val="32"/>
        </w:rPr>
        <w:t>下一步改进措施</w:t>
      </w:r>
    </w:p>
    <w:p w14:paraId="3B8861FC">
      <w:pPr>
        <w:keepNext w:val="0"/>
        <w:keepLines w:val="0"/>
        <w:pageBreakBefore w:val="0"/>
        <w:widowControl/>
        <w:kinsoku/>
        <w:wordWrap/>
        <w:overflowPunct/>
        <w:topLinePunct w:val="0"/>
        <w:autoSpaceDE/>
        <w:autoSpaceDN/>
        <w:bidi w:val="0"/>
        <w:adjustRightInd/>
        <w:snapToGrid/>
        <w:spacing w:line="576" w:lineRule="exact"/>
        <w:ind w:firstLine="640" w:firstLineChars="200"/>
        <w:jc w:val="left"/>
        <w:textAlignment w:val="auto"/>
        <w:rPr>
          <w:rFonts w:hint="eastAsia" w:ascii="宋体" w:hAnsi="宋体" w:cs="宋体"/>
          <w:color w:val="000000"/>
          <w:kern w:val="0"/>
          <w:sz w:val="32"/>
          <w:szCs w:val="32"/>
          <w:lang w:eastAsia="zh-CN"/>
        </w:rPr>
      </w:pPr>
      <w:r>
        <w:rPr>
          <w:rFonts w:hint="eastAsia" w:ascii="宋体" w:hAnsi="宋体" w:cs="宋体"/>
          <w:color w:val="000000"/>
          <w:kern w:val="0"/>
          <w:sz w:val="32"/>
          <w:szCs w:val="32"/>
          <w:lang w:eastAsia="zh-CN"/>
        </w:rPr>
        <w:t>（一）</w:t>
      </w:r>
      <w:r>
        <w:rPr>
          <w:rFonts w:hint="eastAsia" w:ascii="仿宋_GB2312" w:hAnsi="仿宋_GB2312" w:eastAsia="仿宋_GB2312" w:cs="仿宋_GB2312"/>
          <w:color w:val="auto"/>
          <w:sz w:val="32"/>
          <w:szCs w:val="32"/>
          <w:lang w:val="en-US" w:eastAsia="zh-CN"/>
        </w:rPr>
        <w:t>在组织架构、流程优化、人员培训、技术应用等方面进行持续改进，以提高医疗服务质量和效率，更好地满足患者需求</w:t>
      </w:r>
      <w:r>
        <w:rPr>
          <w:rFonts w:hint="eastAsia" w:ascii="宋体" w:hAnsi="宋体" w:cs="宋体"/>
          <w:color w:val="000000"/>
          <w:kern w:val="0"/>
          <w:sz w:val="32"/>
          <w:szCs w:val="32"/>
          <w:lang w:eastAsia="zh-CN"/>
        </w:rPr>
        <w:t>。</w:t>
      </w:r>
    </w:p>
    <w:p w14:paraId="4470B104">
      <w:pPr>
        <w:keepNext w:val="0"/>
        <w:keepLines w:val="0"/>
        <w:pageBreakBefore w:val="0"/>
        <w:widowControl w:val="0"/>
        <w:kinsoku/>
        <w:wordWrap/>
        <w:overflowPunct/>
        <w:topLinePunct w:val="0"/>
        <w:autoSpaceDE/>
        <w:autoSpaceDN/>
        <w:bidi w:val="0"/>
        <w:adjustRightInd/>
        <w:snapToGrid/>
        <w:spacing w:line="560" w:lineRule="exact"/>
        <w:ind w:left="0" w:firstLine="640" w:firstLineChars="200"/>
        <w:textAlignment w:val="auto"/>
        <w:rPr>
          <w:rFonts w:hint="eastAsia" w:ascii="宋体" w:hAnsi="宋体" w:cs="宋体"/>
          <w:color w:val="000000"/>
          <w:kern w:val="0"/>
          <w:sz w:val="32"/>
          <w:szCs w:val="32"/>
          <w:lang w:eastAsia="zh-CN"/>
        </w:rPr>
      </w:pPr>
      <w:r>
        <w:rPr>
          <w:rFonts w:hint="eastAsia" w:ascii="宋体" w:hAnsi="宋体" w:cs="宋体"/>
          <w:color w:val="000000"/>
          <w:kern w:val="0"/>
          <w:sz w:val="32"/>
          <w:szCs w:val="32"/>
          <w:lang w:eastAsia="zh-CN"/>
        </w:rPr>
        <w:t>（二）</w:t>
      </w:r>
      <w:r>
        <w:rPr>
          <w:rFonts w:hint="eastAsia" w:ascii="仿宋_GB2312" w:hAnsi="仿宋_GB2312" w:eastAsia="仿宋_GB2312" w:cs="仿宋_GB2312"/>
          <w:color w:val="auto"/>
          <w:sz w:val="32"/>
          <w:szCs w:val="32"/>
          <w:lang w:val="en-US" w:eastAsia="zh-CN"/>
        </w:rPr>
        <w:t>医院是一个整体，想要得到长远的发展必须通过团队协作，提升团队协作能力最重要的一环即是各科室间的沟通与协调配合能力。因科室间信息交流、传递过程中的差异性，各科室需加强沟通协调，使医院业务开展更流畅。有计划的引进或培养高学历、高资历专业技术人员，提升在职人员专业素养，建立一支技术过硬的专业技术队伍，使医院得到可持续的发展。</w:t>
      </w:r>
    </w:p>
    <w:p w14:paraId="2E5E6525">
      <w:pPr>
        <w:keepNext w:val="0"/>
        <w:keepLines w:val="0"/>
        <w:pageBreakBefore w:val="0"/>
        <w:widowControl/>
        <w:kinsoku/>
        <w:wordWrap/>
        <w:overflowPunct/>
        <w:topLinePunct w:val="0"/>
        <w:autoSpaceDE/>
        <w:autoSpaceDN/>
        <w:bidi w:val="0"/>
        <w:adjustRightInd/>
        <w:snapToGrid/>
        <w:spacing w:line="576" w:lineRule="exact"/>
        <w:ind w:firstLine="640" w:firstLineChars="200"/>
        <w:jc w:val="left"/>
        <w:textAlignment w:val="auto"/>
        <w:rPr>
          <w:rFonts w:hint="eastAsia" w:ascii="黑体" w:hAnsi="黑体" w:eastAsia="黑体" w:cs="宋体"/>
          <w:color w:val="000000"/>
          <w:kern w:val="0"/>
          <w:sz w:val="32"/>
          <w:szCs w:val="32"/>
        </w:rPr>
      </w:pPr>
      <w:r>
        <w:rPr>
          <w:rFonts w:hint="eastAsia" w:ascii="黑体" w:hAnsi="黑体" w:eastAsia="黑体" w:cs="宋体"/>
          <w:color w:val="000000"/>
          <w:kern w:val="0"/>
          <w:sz w:val="32"/>
          <w:szCs w:val="32"/>
        </w:rPr>
        <w:t>九、绩效自评结果拟应用和公开情况</w:t>
      </w:r>
    </w:p>
    <w:p w14:paraId="6318773D">
      <w:pPr>
        <w:widowControl/>
        <w:spacing w:line="576" w:lineRule="exact"/>
        <w:ind w:firstLine="640" w:firstLineChars="200"/>
        <w:jc w:val="left"/>
        <w:rPr>
          <w:rFonts w:hint="eastAsia" w:ascii="黑体" w:hAnsi="黑体" w:eastAsia="黑体" w:cs="宋体"/>
          <w:color w:val="000000"/>
          <w:kern w:val="0"/>
          <w:sz w:val="32"/>
          <w:szCs w:val="32"/>
        </w:rPr>
      </w:pPr>
      <w:r>
        <w:rPr>
          <w:rFonts w:hint="eastAsia" w:ascii="仿宋_GB2312" w:hAnsi="仿宋_GB2312" w:eastAsia="仿宋_GB2312" w:cs="仿宋_GB2312"/>
          <w:color w:val="000000"/>
          <w:kern w:val="0"/>
          <w:sz w:val="32"/>
          <w:szCs w:val="32"/>
        </w:rPr>
        <w:t>通过全面开展财政整体支出绩效评价。强化财政资金支出绩效理念，科学编制年度预算，提升绩效管理水平，规范资金管理，提高财政资金使用效率，按规定将自评报告进行信息公开,主动接受社会监督。</w:t>
      </w:r>
    </w:p>
    <w:p w14:paraId="63CAFEC3">
      <w:pPr>
        <w:keepNext w:val="0"/>
        <w:keepLines w:val="0"/>
        <w:pageBreakBefore w:val="0"/>
        <w:widowControl w:val="0"/>
        <w:kinsoku/>
        <w:wordWrap/>
        <w:overflowPunct/>
        <w:topLinePunct w:val="0"/>
        <w:autoSpaceDE/>
        <w:autoSpaceDN/>
        <w:bidi w:val="0"/>
        <w:adjustRightInd/>
        <w:snapToGrid/>
        <w:spacing w:line="576" w:lineRule="exact"/>
        <w:ind w:firstLine="640" w:firstLineChars="200"/>
        <w:textAlignment w:val="auto"/>
        <w:rPr>
          <w:rFonts w:hint="eastAsia" w:ascii="楷体_GB2312" w:hAnsi="楷体_GB2312" w:eastAsia="楷体_GB2312" w:cs="楷体_GB2312"/>
          <w:kern w:val="0"/>
          <w:sz w:val="32"/>
          <w:szCs w:val="32"/>
          <w:highlight w:val="none"/>
          <w:lang w:val="en-US" w:eastAsia="zh-CN"/>
        </w:rPr>
      </w:pPr>
      <w:r>
        <w:rPr>
          <w:rFonts w:hint="eastAsia" w:ascii="黑体" w:hAnsi="黑体" w:eastAsia="黑体" w:cs="宋体"/>
          <w:color w:val="000000"/>
          <w:kern w:val="0"/>
          <w:sz w:val="32"/>
          <w:szCs w:val="32"/>
        </w:rPr>
        <w:t>十、其他需要说明的情况</w:t>
      </w:r>
    </w:p>
    <w:sectPr>
      <w:pgSz w:w="11905" w:h="16837"/>
      <w:pgMar w:top="2098" w:right="1474" w:bottom="1984" w:left="1474" w:header="850" w:footer="1417" w:gutter="0"/>
      <w:pgNumType w:fmt="decimal" w:start="1"/>
      <w:cols w:space="0" w:num="1"/>
      <w:rtlGutter w:val="0"/>
      <w:docGrid w:type="lines" w:linePitch="63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0"/>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44F8609F-08BA-49E8-AF75-9BAD80630BF8}"/>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仿宋_GB2312">
    <w:panose1 w:val="02010609030101010101"/>
    <w:charset w:val="86"/>
    <w:family w:val="auto"/>
    <w:pitch w:val="default"/>
    <w:sig w:usb0="00000001" w:usb1="080E0000" w:usb2="00000000" w:usb3="00000000" w:csb0="00040000" w:csb1="00000000"/>
    <w:embedRegular r:id="rId2" w:fontKey="{386A4C10-B2DB-4701-9485-ECCB7655DDAD}"/>
  </w:font>
  <w:font w:name="方正小标宋简体">
    <w:panose1 w:val="03000509000000000000"/>
    <w:charset w:val="86"/>
    <w:family w:val="auto"/>
    <w:pitch w:val="default"/>
    <w:sig w:usb0="00000001" w:usb1="080E0000" w:usb2="00000000" w:usb3="00000000" w:csb0="00040000" w:csb1="00000000"/>
    <w:embedRegular r:id="rId3" w:fontKey="{6DEFB118-32FE-4BDD-BC35-8EF99A8F9EFD}"/>
  </w:font>
  <w:font w:name="楷体_GB2312">
    <w:panose1 w:val="02010609030101010101"/>
    <w:charset w:val="86"/>
    <w:family w:val="modern"/>
    <w:pitch w:val="default"/>
    <w:sig w:usb0="00000001" w:usb1="080E0000" w:usb2="00000000" w:usb3="00000000" w:csb0="00040000" w:csb1="00000000"/>
    <w:embedRegular r:id="rId4" w:fontKey="{AD7097D8-BFC5-4C18-A70C-A2FF42B70F90}"/>
  </w:font>
  <w:font w:name="仿宋">
    <w:panose1 w:val="02010609060101010101"/>
    <w:charset w:val="86"/>
    <w:family w:val="auto"/>
    <w:pitch w:val="default"/>
    <w:sig w:usb0="800002BF" w:usb1="38CF7CFA" w:usb2="00000016" w:usb3="00000000" w:csb0="00040001" w:csb1="00000000"/>
    <w:embedRegular r:id="rId5" w:fontKey="{A7E93425-1E81-4EFF-8648-8652676A5C8A}"/>
  </w:font>
  <w:font w:name="楷体">
    <w:panose1 w:val="02010609060101010101"/>
    <w:charset w:val="86"/>
    <w:family w:val="auto"/>
    <w:pitch w:val="default"/>
    <w:sig w:usb0="800002BF" w:usb1="38CF7CFA" w:usb2="00000016" w:usb3="00000000" w:csb0="00040001" w:csb1="00000000"/>
    <w:embedRegular r:id="rId6" w:fontKey="{99EEEE47-DBA8-480E-80B2-1CC3027909F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581257">
    <w:pPr>
      <w:pStyle w:val="5"/>
      <w:ind w:right="360" w:firstLine="360"/>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535DE95">
                          <w:pPr>
                            <w:pStyle w:val="5"/>
                          </w:pPr>
                          <w:r>
                            <w:t xml:space="preserve">第 </w:t>
                          </w:r>
                          <w:r>
                            <w:fldChar w:fldCharType="begin"/>
                          </w:r>
                          <w:r>
                            <w:instrText xml:space="preserve"> PAGE  \* MERGEFORMAT </w:instrText>
                          </w:r>
                          <w:r>
                            <w:fldChar w:fldCharType="separate"/>
                          </w:r>
                          <w:r>
                            <w:t>- 1 -</w:t>
                          </w:r>
                          <w:r>
                            <w:fldChar w:fldCharType="end"/>
                          </w:r>
                          <w:r>
                            <w:t xml:space="preserve"> 页 共 </w:t>
                          </w:r>
                          <w:r>
                            <w:fldChar w:fldCharType="begin"/>
                          </w:r>
                          <w:r>
                            <w:instrText xml:space="preserve"> NUMPAGES  \* MERGEFORMAT </w:instrText>
                          </w:r>
                          <w:r>
                            <w:fldChar w:fldCharType="separate"/>
                          </w:r>
                          <w:r>
                            <w:t>8</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14:paraId="5535DE95">
                    <w:pPr>
                      <w:pStyle w:val="5"/>
                    </w:pPr>
                    <w:r>
                      <w:t xml:space="preserve">第 </w:t>
                    </w:r>
                    <w:r>
                      <w:fldChar w:fldCharType="begin"/>
                    </w:r>
                    <w:r>
                      <w:instrText xml:space="preserve"> PAGE  \* MERGEFORMAT </w:instrText>
                    </w:r>
                    <w:r>
                      <w:fldChar w:fldCharType="separate"/>
                    </w:r>
                    <w:r>
                      <w:t>- 1 -</w:t>
                    </w:r>
                    <w:r>
                      <w:fldChar w:fldCharType="end"/>
                    </w:r>
                    <w:r>
                      <w:t xml:space="preserve"> 页 共 </w:t>
                    </w:r>
                    <w:r>
                      <w:fldChar w:fldCharType="begin"/>
                    </w:r>
                    <w:r>
                      <w:instrText xml:space="preserve"> NUMPAGES  \* MERGEFORMAT </w:instrText>
                    </w:r>
                    <w:r>
                      <w:fldChar w:fldCharType="separate"/>
                    </w:r>
                    <w:r>
                      <w:t>8</w:t>
                    </w:r>
                    <w:r>
                      <w:fldChar w:fldCharType="end"/>
                    </w:r>
                    <w:r>
                      <w:t xml:space="preserve"> 页</w:t>
                    </w:r>
                  </w:p>
                </w:txbxContent>
              </v:textbox>
            </v:shape>
          </w:pict>
        </mc:Fallback>
      </mc:AlternateContent>
    </w:r>
    <w: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2" name="文本框 10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5875">
                        <a:noFill/>
                      </a:ln>
                    </wps:spPr>
                    <wps:txbx>
                      <w:txbxContent>
                        <w:p w14:paraId="3A01B520">
                          <w:pPr>
                            <w:pStyle w:val="5"/>
                            <w:rPr>
                              <w:rFonts w:hint="eastAsia" w:ascii="仿宋_GB2312" w:hAnsi="仿宋_GB2312" w:eastAsia="仿宋_GB2312" w:cs="仿宋_GB2312"/>
                              <w:sz w:val="28"/>
                              <w:szCs w:val="28"/>
                            </w:rPr>
                          </w:pPr>
                        </w:p>
                      </w:txbxContent>
                    </wps:txbx>
                    <wps:bodyPr vert="horz" wrap="none" lIns="0" tIns="0" rIns="0" bIns="0" anchor="t" anchorCtr="0" upright="1">
                      <a:spAutoFit/>
                    </wps:bodyPr>
                  </wps:wsp>
                </a:graphicData>
              </a:graphic>
            </wp:anchor>
          </w:drawing>
        </mc:Choice>
        <mc:Fallback>
          <w:pict>
            <v:shape id="文本框 1025"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aGmCS9MAAAAF&#10;AQAADwAAAGRycy9kb3ducmV2LnhtbE2PQUsDMRCF70L/Q5iCl9ImLSLrdrMFhd4UbCt4TTfj7tbN&#10;ZEnSbfXXO5WCXoZ5vOHN94rV2XViwBBbTxrmMwUCqfK2pVrD2249zUDEZMiazhNq+MIIq3J0U5jc&#10;+hNtcNimWnAIxdxoaFLqcylj1aAzceZ7JPY+fHAmsQy1tMGcONx1cqHUvXSmJf7QmB6fGqw+t0en&#10;4f35G3GTPU4mw93hENT64bWSL1rfjudqCSLhOf0dwwWf0aFkpr0/ko2i08BF0u9kb5FlLPfXRZaF&#10;/E9f/gBQSwMEFAAAAAgAh07iQJqxHOPqAQAAywMAAA4AAABkcnMvZTJvRG9jLnhtbK1TzY7TMBC+&#10;I+07WL5vk0bqEkVNV0C1KyQESAsP4DpOY8l/8rhNygPAG3Diwp3n6nPs2Em6aLnsgUsy9sx8M983&#10;4/XtoBU5Cg/SmpouFzklwnDbSLOv6dcvd9clJRCYaZiyRtT0JIDebq5erXtXicJ2VjXCEwQxUPWu&#10;pl0Irsoy4J3QDBbWCYPO1nrNAh79Pms86xFdq6zI85ust75x3nIBgLfb0UknRP8SQNu2kout5Qct&#10;TBhRvVAsICXopAO6Sd22reDhU9uCCETVFJmG9MUiaO/iN9usWbX3zHWSTy2wl7TwjJNm0mDRC9SW&#10;BUYOXv4DpSX3FmwbFtzqbCSSFEEWy/yZNg8dcyJxQanBXUSH/wfLPx4/eyKbmhaUGKZx4OefP86/&#10;/px/fyfLvFhFhXoHFQY+OAwNw1s74N7M94CXkfjQeh3/SImgH/U9XfQVQyA8JpVFWebo4uibD4if&#10;PaU7D+FeWE2iUVOPA0y6suMHCGPoHBKrGXsnlUpDVIb0iLoqX69SxsWF6Mpgkchi7DZaYdgNE7Wd&#10;bU7IDN8EVuys/0ZJjxtRU4MPgBL13qDgcXlmw8/GbjaY4ZhY00DJaL4L45IdnJf7DnGXqSlwbw4B&#10;e05UYhtj7ak7nHESY9rHuER/n1PU0xvcPA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oaYJL0wAA&#10;AAUBAAAPAAAAAAAAAAEAIAAAACIAAABkcnMvZG93bnJldi54bWxQSwECFAAUAAAACACHTuJAmrEc&#10;4+oBAADLAwAADgAAAAAAAAABACAAAAAiAQAAZHJzL2Uyb0RvYy54bWxQSwUGAAAAAAYABgBZAQAA&#10;fgUAAAAA&#10;">
              <v:fill on="f" focussize="0,0"/>
              <v:stroke on="f" weight="1.25pt"/>
              <v:imagedata o:title=""/>
              <o:lock v:ext="edit" aspectratio="f"/>
              <v:textbox inset="0mm,0mm,0mm,0mm" style="mso-fit-shape-to-text:t;">
                <w:txbxContent>
                  <w:p w14:paraId="3A01B520">
                    <w:pPr>
                      <w:pStyle w:val="5"/>
                      <w:rPr>
                        <w:rFonts w:hint="eastAsia" w:ascii="仿宋_GB2312" w:hAnsi="仿宋_GB2312" w:eastAsia="仿宋_GB2312" w:cs="仿宋_GB2312"/>
                        <w:sz w:val="28"/>
                        <w:szCs w:val="28"/>
                      </w:rPr>
                    </w:pP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15243A">
    <w:pPr>
      <w:pStyle w:val="6"/>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2EE3BBE"/>
    <w:multiLevelType w:val="singleLevel"/>
    <w:tmpl w:val="82EE3BBE"/>
    <w:lvl w:ilvl="0" w:tentative="0">
      <w:start w:val="1"/>
      <w:numFmt w:val="decimal"/>
      <w:lvlText w:val="%1."/>
      <w:lvlJc w:val="left"/>
      <w:pPr>
        <w:tabs>
          <w:tab w:val="left" w:pos="312"/>
        </w:tabs>
      </w:pPr>
    </w:lvl>
  </w:abstractNum>
  <w:abstractNum w:abstractNumId="1">
    <w:nsid w:val="87CDE83F"/>
    <w:multiLevelType w:val="singleLevel"/>
    <w:tmpl w:val="87CDE83F"/>
    <w:lvl w:ilvl="0" w:tentative="0">
      <w:start w:val="4"/>
      <w:numFmt w:val="chineseCounting"/>
      <w:suff w:val="nothing"/>
      <w:lvlText w:val="%1、"/>
      <w:lvlJc w:val="left"/>
      <w:rPr>
        <w:rFonts w:hint="eastAsia"/>
      </w:rPr>
    </w:lvl>
  </w:abstractNum>
  <w:abstractNum w:abstractNumId="2">
    <w:nsid w:val="05D04F20"/>
    <w:multiLevelType w:val="singleLevel"/>
    <w:tmpl w:val="05D04F20"/>
    <w:lvl w:ilvl="0" w:tentative="0">
      <w:start w:val="8"/>
      <w:numFmt w:val="chineseCounting"/>
      <w:suff w:val="nothing"/>
      <w:lvlText w:val="%1、"/>
      <w:lvlJc w:val="left"/>
      <w:rPr>
        <w:rFonts w:hint="eastAsia"/>
      </w:rPr>
    </w:lvl>
  </w:abstractNum>
  <w:abstractNum w:abstractNumId="3">
    <w:nsid w:val="59FC95FB"/>
    <w:multiLevelType w:val="singleLevel"/>
    <w:tmpl w:val="59FC95FB"/>
    <w:lvl w:ilvl="0" w:tentative="0">
      <w:start w:val="2"/>
      <w:numFmt w:val="chineseCounting"/>
      <w:suff w:val="nothing"/>
      <w:lvlText w:val="%1、"/>
      <w:lvlJc w:val="left"/>
      <w:rPr>
        <w:rFonts w:hint="eastAsia"/>
      </w:rPr>
    </w:lvl>
  </w:abstractNum>
  <w:abstractNum w:abstractNumId="4">
    <w:nsid w:val="65AE3068"/>
    <w:multiLevelType w:val="singleLevel"/>
    <w:tmpl w:val="65AE3068"/>
    <w:lvl w:ilvl="0" w:tentative="0">
      <w:start w:val="2"/>
      <w:numFmt w:val="chineseCounting"/>
      <w:lvlText w:val="(%1)"/>
      <w:lvlJc w:val="left"/>
      <w:pPr>
        <w:tabs>
          <w:tab w:val="left" w:pos="312"/>
        </w:tabs>
      </w:pPr>
      <w:rPr>
        <w:rFonts w:hint="eastAsia"/>
      </w:rPr>
    </w:lvl>
  </w:abstractNum>
  <w:num w:numId="1">
    <w:abstractNumId w:val="4"/>
  </w:num>
  <w:num w:numId="2">
    <w:abstractNumId w:val="3"/>
  </w:num>
  <w:num w:numId="3">
    <w:abstractNumId w:val="1"/>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1,3"/>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M2NWQ0N2RlYTlhNzdkODNhN2NlOGZkOTk5ODgwZDEifQ=="/>
    <w:docVar w:name="KSO_WPS_MARK_KEY" w:val="efdb9831-49e2-41f3-897e-affe4bfc1ef8"/>
  </w:docVars>
  <w:rsids>
    <w:rsidRoot w:val="5EF91413"/>
    <w:rsid w:val="001F27BC"/>
    <w:rsid w:val="002D4B0D"/>
    <w:rsid w:val="003062EE"/>
    <w:rsid w:val="00355E6F"/>
    <w:rsid w:val="003E2793"/>
    <w:rsid w:val="003F11DD"/>
    <w:rsid w:val="004E640B"/>
    <w:rsid w:val="00592274"/>
    <w:rsid w:val="00630B10"/>
    <w:rsid w:val="00651AD0"/>
    <w:rsid w:val="00712ECA"/>
    <w:rsid w:val="007C7F1B"/>
    <w:rsid w:val="007F2C1A"/>
    <w:rsid w:val="00826A68"/>
    <w:rsid w:val="00970A76"/>
    <w:rsid w:val="00A3179B"/>
    <w:rsid w:val="00A40CEF"/>
    <w:rsid w:val="00A84895"/>
    <w:rsid w:val="00AD157A"/>
    <w:rsid w:val="00AE5FCA"/>
    <w:rsid w:val="00B83482"/>
    <w:rsid w:val="00CF00E5"/>
    <w:rsid w:val="00D30D45"/>
    <w:rsid w:val="00DF2F64"/>
    <w:rsid w:val="00E47EB9"/>
    <w:rsid w:val="00EF286B"/>
    <w:rsid w:val="00EF7465"/>
    <w:rsid w:val="00F5064A"/>
    <w:rsid w:val="00FB5247"/>
    <w:rsid w:val="01881C21"/>
    <w:rsid w:val="01AB173E"/>
    <w:rsid w:val="024B4144"/>
    <w:rsid w:val="02E230B9"/>
    <w:rsid w:val="03640DA7"/>
    <w:rsid w:val="0430116E"/>
    <w:rsid w:val="081035F5"/>
    <w:rsid w:val="0885784C"/>
    <w:rsid w:val="095202B3"/>
    <w:rsid w:val="0A371C48"/>
    <w:rsid w:val="0A461E15"/>
    <w:rsid w:val="0D1F294F"/>
    <w:rsid w:val="0EE7339E"/>
    <w:rsid w:val="127960C2"/>
    <w:rsid w:val="128706BB"/>
    <w:rsid w:val="128C289E"/>
    <w:rsid w:val="13F1430E"/>
    <w:rsid w:val="14C23CB6"/>
    <w:rsid w:val="15E118C5"/>
    <w:rsid w:val="16AA1FDF"/>
    <w:rsid w:val="18C44B05"/>
    <w:rsid w:val="1921258C"/>
    <w:rsid w:val="1A86539E"/>
    <w:rsid w:val="1D514A07"/>
    <w:rsid w:val="1D736768"/>
    <w:rsid w:val="1E02384E"/>
    <w:rsid w:val="1E2D7B42"/>
    <w:rsid w:val="202355A8"/>
    <w:rsid w:val="20C369EC"/>
    <w:rsid w:val="216A31A0"/>
    <w:rsid w:val="217D38DC"/>
    <w:rsid w:val="21887F99"/>
    <w:rsid w:val="21F32188"/>
    <w:rsid w:val="229365CD"/>
    <w:rsid w:val="22E7596F"/>
    <w:rsid w:val="2605582B"/>
    <w:rsid w:val="26686870"/>
    <w:rsid w:val="27666297"/>
    <w:rsid w:val="28264A04"/>
    <w:rsid w:val="282B2D61"/>
    <w:rsid w:val="297525F8"/>
    <w:rsid w:val="2B8F395A"/>
    <w:rsid w:val="2CA21E0A"/>
    <w:rsid w:val="2CD96D87"/>
    <w:rsid w:val="2DF15952"/>
    <w:rsid w:val="2E6C7FCB"/>
    <w:rsid w:val="2E88044F"/>
    <w:rsid w:val="30EE10CA"/>
    <w:rsid w:val="3284589B"/>
    <w:rsid w:val="341734AD"/>
    <w:rsid w:val="34335357"/>
    <w:rsid w:val="36F9338A"/>
    <w:rsid w:val="37779E60"/>
    <w:rsid w:val="3929066E"/>
    <w:rsid w:val="39E9356E"/>
    <w:rsid w:val="39F525A2"/>
    <w:rsid w:val="3B8D6CB0"/>
    <w:rsid w:val="3C7B06AE"/>
    <w:rsid w:val="3D6A1B31"/>
    <w:rsid w:val="4015034D"/>
    <w:rsid w:val="41AA5068"/>
    <w:rsid w:val="43596284"/>
    <w:rsid w:val="44BA060E"/>
    <w:rsid w:val="44BB3C98"/>
    <w:rsid w:val="454063A9"/>
    <w:rsid w:val="47A66F47"/>
    <w:rsid w:val="48190D72"/>
    <w:rsid w:val="487D7439"/>
    <w:rsid w:val="48B00D40"/>
    <w:rsid w:val="49567193"/>
    <w:rsid w:val="49B50C04"/>
    <w:rsid w:val="49F422BC"/>
    <w:rsid w:val="4A4C5543"/>
    <w:rsid w:val="4A856EB6"/>
    <w:rsid w:val="4BB72B70"/>
    <w:rsid w:val="4BBB1991"/>
    <w:rsid w:val="4BCA227C"/>
    <w:rsid w:val="4D765FE4"/>
    <w:rsid w:val="4D7F362E"/>
    <w:rsid w:val="4E0A33A3"/>
    <w:rsid w:val="4E1B3885"/>
    <w:rsid w:val="4F670C47"/>
    <w:rsid w:val="509C514E"/>
    <w:rsid w:val="5316523A"/>
    <w:rsid w:val="553254BE"/>
    <w:rsid w:val="553B4087"/>
    <w:rsid w:val="583020DD"/>
    <w:rsid w:val="592547BC"/>
    <w:rsid w:val="59544026"/>
    <w:rsid w:val="5AB9755B"/>
    <w:rsid w:val="5AE1053E"/>
    <w:rsid w:val="5AF474F0"/>
    <w:rsid w:val="5B742D21"/>
    <w:rsid w:val="5BB151FE"/>
    <w:rsid w:val="5C0351D3"/>
    <w:rsid w:val="5C6F47BB"/>
    <w:rsid w:val="5D973665"/>
    <w:rsid w:val="5EF91413"/>
    <w:rsid w:val="5F567206"/>
    <w:rsid w:val="5F5773D9"/>
    <w:rsid w:val="5F875025"/>
    <w:rsid w:val="60D6222F"/>
    <w:rsid w:val="6217071C"/>
    <w:rsid w:val="62CE02E9"/>
    <w:rsid w:val="62E23B8B"/>
    <w:rsid w:val="632C6B3E"/>
    <w:rsid w:val="633F0072"/>
    <w:rsid w:val="64E07CE5"/>
    <w:rsid w:val="666920D7"/>
    <w:rsid w:val="66F756A1"/>
    <w:rsid w:val="68C1250B"/>
    <w:rsid w:val="69380B1B"/>
    <w:rsid w:val="696D0DF3"/>
    <w:rsid w:val="6C1733E6"/>
    <w:rsid w:val="6CEC6F16"/>
    <w:rsid w:val="6CF536F6"/>
    <w:rsid w:val="6E3A48D9"/>
    <w:rsid w:val="6EE90259"/>
    <w:rsid w:val="6F8673D6"/>
    <w:rsid w:val="6FCF75EC"/>
    <w:rsid w:val="70446EA1"/>
    <w:rsid w:val="707537A6"/>
    <w:rsid w:val="71591FCE"/>
    <w:rsid w:val="71F256AB"/>
    <w:rsid w:val="73133AF6"/>
    <w:rsid w:val="736D4488"/>
    <w:rsid w:val="75232E01"/>
    <w:rsid w:val="753A5550"/>
    <w:rsid w:val="75B4584A"/>
    <w:rsid w:val="78FDF452"/>
    <w:rsid w:val="7CEF2B13"/>
    <w:rsid w:val="7D2C3E42"/>
    <w:rsid w:val="7DAF813A"/>
    <w:rsid w:val="BEF50DB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99"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qFormat/>
    <w:uiPriority w:val="0"/>
    <w:pPr>
      <w:keepNext/>
      <w:keepLines/>
      <w:spacing w:line="312" w:lineRule="auto"/>
      <w:jc w:val="center"/>
      <w:outlineLvl w:val="1"/>
    </w:pPr>
    <w:rPr>
      <w:rFonts w:ascii="Cambria" w:hAnsi="Cambria" w:cs="宋体"/>
      <w:b/>
      <w:bCs/>
      <w:sz w:val="36"/>
      <w:szCs w:val="32"/>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4">
    <w:name w:val="Body Text"/>
    <w:basedOn w:val="1"/>
    <w:qFormat/>
    <w:uiPriority w:val="0"/>
    <w:pPr>
      <w:spacing w:after="120"/>
    </w:pPr>
  </w:style>
  <w:style w:type="paragraph" w:styleId="5">
    <w:name w:val="footer"/>
    <w:basedOn w:val="1"/>
    <w:qFormat/>
    <w:uiPriority w:val="99"/>
    <w:pPr>
      <w:tabs>
        <w:tab w:val="center" w:pos="4153"/>
        <w:tab w:val="right" w:pos="8306"/>
      </w:tabs>
      <w:snapToGrid w:val="0"/>
      <w:jc w:val="left"/>
    </w:pPr>
    <w:rPr>
      <w:sz w:val="18"/>
      <w:szCs w:val="18"/>
    </w:rPr>
  </w:style>
  <w:style w:type="paragraph" w:styleId="6">
    <w:name w:val="header"/>
    <w:basedOn w:val="1"/>
    <w:qFormat/>
    <w:uiPriority w:val="99"/>
    <w:pPr>
      <w:pBdr>
        <w:bottom w:val="single" w:color="auto" w:sz="6" w:space="1"/>
      </w:pBdr>
      <w:tabs>
        <w:tab w:val="center" w:pos="4153"/>
        <w:tab w:val="right" w:pos="8306"/>
      </w:tabs>
      <w:snapToGrid w:val="0"/>
      <w:jc w:val="center"/>
    </w:pPr>
    <w:rPr>
      <w:sz w:val="18"/>
      <w:szCs w:val="18"/>
    </w:rPr>
  </w:style>
  <w:style w:type="paragraph" w:styleId="7">
    <w:name w:val="toc 1"/>
    <w:basedOn w:val="1"/>
    <w:next w:val="1"/>
    <w:semiHidden/>
    <w:qFormat/>
    <w:uiPriority w:val="99"/>
    <w:rPr>
      <w:rFonts w:ascii="黑体" w:hAnsi="黑体" w:eastAsia="黑体" w:cs="黑体"/>
    </w:rPr>
  </w:style>
  <w:style w:type="paragraph" w:styleId="8">
    <w:name w:val="Subtitle"/>
    <w:basedOn w:val="1"/>
    <w:next w:val="1"/>
    <w:qFormat/>
    <w:uiPriority w:val="0"/>
    <w:pPr>
      <w:ind w:firstLine="200" w:firstLineChars="200"/>
      <w:jc w:val="left"/>
      <w:outlineLvl w:val="2"/>
    </w:pPr>
    <w:rPr>
      <w:rFonts w:ascii="Cambria" w:hAnsi="Cambria" w:eastAsia="黑体"/>
      <w:bCs/>
      <w:kern w:val="28"/>
      <w:sz w:val="28"/>
      <w:szCs w:val="32"/>
    </w:rPr>
  </w:style>
  <w:style w:type="paragraph" w:styleId="9">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10">
    <w:name w:val="Normal (Web)"/>
    <w:basedOn w:val="1"/>
    <w:unhideWhenUsed/>
    <w:qFormat/>
    <w:uiPriority w:val="0"/>
    <w:pPr>
      <w:spacing w:before="100" w:beforeAutospacing="1" w:after="100" w:afterAutospacing="1"/>
      <w:jc w:val="left"/>
    </w:pPr>
    <w:rPr>
      <w:kern w:val="0"/>
      <w:sz w:val="24"/>
      <w:szCs w:val="20"/>
    </w:rPr>
  </w:style>
  <w:style w:type="paragraph" w:styleId="11">
    <w:name w:val="Body Text First Indent"/>
    <w:basedOn w:val="4"/>
    <w:qFormat/>
    <w:uiPriority w:val="0"/>
    <w:pPr>
      <w:ind w:firstLine="664"/>
    </w:pPr>
  </w:style>
  <w:style w:type="character" w:styleId="14">
    <w:name w:val="page number"/>
    <w:basedOn w:val="13"/>
    <w:qFormat/>
    <w:uiPriority w:val="0"/>
  </w:style>
  <w:style w:type="paragraph" w:customStyle="1" w:styleId="15">
    <w:name w:val="BodyText1I2"/>
    <w:basedOn w:val="16"/>
    <w:qFormat/>
    <w:uiPriority w:val="0"/>
    <w:pPr>
      <w:ind w:firstLine="420"/>
    </w:pPr>
  </w:style>
  <w:style w:type="paragraph" w:customStyle="1" w:styleId="16">
    <w:name w:val="BodyTextIndent"/>
    <w:basedOn w:val="1"/>
    <w:qFormat/>
    <w:uiPriority w:val="0"/>
    <w:pPr>
      <w:spacing w:after="120"/>
      <w:ind w:left="420" w:leftChars="200" w:firstLine="200" w:firstLineChars="200"/>
      <w:textAlignment w:val="baseline"/>
    </w:pPr>
  </w:style>
  <w:style w:type="paragraph" w:customStyle="1" w:styleId="17">
    <w:name w:val="Default"/>
    <w:qFormat/>
    <w:uiPriority w:val="0"/>
    <w:pPr>
      <w:widowControl w:val="0"/>
      <w:autoSpaceDE w:val="0"/>
      <w:autoSpaceDN w:val="0"/>
      <w:adjustRightInd w:val="0"/>
    </w:pPr>
    <w:rPr>
      <w:rFonts w:ascii="仿宋_GB2312" w:hAnsi="Times New Roman" w:eastAsia="仿宋_GB2312" w:cs="仿宋_GB2312"/>
      <w:color w:val="000000"/>
      <w:sz w:val="24"/>
      <w:szCs w:val="24"/>
      <w:lang w:val="en-US" w:eastAsia="zh-CN" w:bidi="ar-SA"/>
    </w:rPr>
  </w:style>
  <w:style w:type="paragraph" w:customStyle="1" w:styleId="18">
    <w:name w:val="无间隔1"/>
    <w:qFormat/>
    <w:uiPriority w:val="0"/>
    <w:pPr>
      <w:widowControl w:val="0"/>
      <w:spacing w:beforeLines="50"/>
      <w:jc w:val="center"/>
    </w:pPr>
    <w:rPr>
      <w:rFonts w:ascii="Times New Roman" w:hAnsi="Times New Roman" w:eastAsia="仿宋_GB2312" w:cs="Times New Roman"/>
      <w:kern w:val="2"/>
      <w:sz w:val="24"/>
      <w:szCs w:val="22"/>
      <w:lang w:val="en-US" w:eastAsia="zh-CN" w:bidi="ar-SA"/>
    </w:rPr>
  </w:style>
  <w:style w:type="paragraph" w:customStyle="1" w:styleId="19">
    <w:name w:val="无缩进"/>
    <w:basedOn w:val="1"/>
    <w:qFormat/>
    <w:uiPriority w:val="0"/>
    <w:pPr>
      <w:spacing w:line="312" w:lineRule="auto"/>
    </w:pPr>
    <w:rPr>
      <w:sz w:val="24"/>
      <w:szCs w:val="22"/>
    </w:rPr>
  </w:style>
  <w:style w:type="paragraph" w:customStyle="1" w:styleId="20">
    <w:name w:val="列出段落1"/>
    <w:basedOn w:val="1"/>
    <w:qFormat/>
    <w:uiPriority w:val="0"/>
    <w:pPr>
      <w:ind w:firstLine="420" w:firstLineChars="200"/>
    </w:pPr>
  </w:style>
  <w:style w:type="paragraph" w:customStyle="1" w:styleId="21">
    <w:name w:val="List Paragraph"/>
    <w:basedOn w:val="1"/>
    <w:qFormat/>
    <w:uiPriority w:val="0"/>
    <w:pPr>
      <w:ind w:firstLine="420" w:firstLineChars="200"/>
    </w:pPr>
    <w:rPr>
      <w:rFonts w:ascii="Calibri" w:hAnsi="Calibri"/>
      <w:szCs w:val="22"/>
    </w:rPr>
  </w:style>
  <w:style w:type="character" w:customStyle="1" w:styleId="22">
    <w:name w:val="font61"/>
    <w:basedOn w:val="13"/>
    <w:qFormat/>
    <w:uiPriority w:val="0"/>
    <w:rPr>
      <w:rFonts w:ascii="Times New Roman" w:hAnsi="Times New Roman" w:cs="Times New Roman"/>
      <w:b/>
      <w:color w:val="000000"/>
      <w:sz w:val="28"/>
      <w:szCs w:val="28"/>
      <w:u w:val="none"/>
    </w:rPr>
  </w:style>
  <w:style w:type="character" w:customStyle="1" w:styleId="23">
    <w:name w:val="font121"/>
    <w:basedOn w:val="13"/>
    <w:qFormat/>
    <w:uiPriority w:val="0"/>
    <w:rPr>
      <w:rFonts w:ascii="Times New Roman" w:hAnsi="Times New Roman" w:cs="Times New Roman"/>
      <w:color w:val="000000"/>
      <w:sz w:val="20"/>
      <w:szCs w:val="20"/>
      <w:u w:val="none"/>
    </w:rPr>
  </w:style>
  <w:style w:type="character" w:customStyle="1" w:styleId="24">
    <w:name w:val="font11"/>
    <w:basedOn w:val="13"/>
    <w:qFormat/>
    <w:uiPriority w:val="0"/>
    <w:rPr>
      <w:rFonts w:ascii="宋体" w:hAnsi="宋体" w:eastAsia="宋体" w:cs="宋体"/>
      <w:color w:val="000000"/>
      <w:sz w:val="20"/>
      <w:szCs w:val="20"/>
      <w:u w:val="none"/>
    </w:rPr>
  </w:style>
  <w:style w:type="character" w:customStyle="1" w:styleId="25">
    <w:name w:val="font131"/>
    <w:basedOn w:val="13"/>
    <w:qFormat/>
    <w:uiPriority w:val="0"/>
    <w:rPr>
      <w:rFonts w:ascii="宋体" w:hAnsi="宋体" w:eastAsia="宋体" w:cs="宋体"/>
      <w:color w:val="000000"/>
      <w:sz w:val="18"/>
      <w:szCs w:val="18"/>
      <w:u w:val="none"/>
    </w:rPr>
  </w:style>
  <w:style w:type="character" w:customStyle="1" w:styleId="26">
    <w:name w:val="font141"/>
    <w:basedOn w:val="13"/>
    <w:qFormat/>
    <w:uiPriority w:val="0"/>
    <w:rPr>
      <w:rFonts w:ascii="Times New Roman" w:hAnsi="Times New Roman" w:cs="Times New Roman"/>
      <w:color w:val="000000"/>
      <w:sz w:val="24"/>
      <w:szCs w:val="24"/>
      <w:u w:val="none"/>
    </w:rPr>
  </w:style>
  <w:style w:type="character" w:customStyle="1" w:styleId="27">
    <w:name w:val="font101"/>
    <w:basedOn w:val="13"/>
    <w:qFormat/>
    <w:uiPriority w:val="0"/>
    <w:rPr>
      <w:rFonts w:ascii="宋体" w:hAnsi="宋体" w:eastAsia="宋体" w:cs="宋体"/>
      <w:color w:val="000000"/>
      <w:sz w:val="24"/>
      <w:szCs w:val="24"/>
      <w:u w:val="none"/>
    </w:rPr>
  </w:style>
  <w:style w:type="paragraph" w:customStyle="1" w:styleId="28">
    <w:name w:val="Other|1"/>
    <w:basedOn w:val="1"/>
    <w:qFormat/>
    <w:uiPriority w:val="0"/>
    <w:pPr>
      <w:widowControl w:val="0"/>
      <w:shd w:val="clear" w:color="auto" w:fill="auto"/>
      <w:spacing w:line="238" w:lineRule="exact"/>
    </w:pPr>
    <w:rPr>
      <w:rFonts w:ascii="宋体" w:hAnsi="宋体" w:eastAsia="宋体" w:cs="宋体"/>
      <w:color w:val="1D1433"/>
      <w:sz w:val="20"/>
      <w:szCs w:val="20"/>
      <w:u w:val="none"/>
      <w:shd w:val="clear" w:color="auto" w:fill="auto"/>
      <w:lang w:val="zh-TW" w:eastAsia="zh-TW" w:bidi="zh-TW"/>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9</Pages>
  <Words>3216</Words>
  <Characters>3499</Characters>
  <Lines>102</Lines>
  <Paragraphs>28</Paragraphs>
  <TotalTime>2</TotalTime>
  <ScaleCrop>false</ScaleCrop>
  <LinksUpToDate>false</LinksUpToDate>
  <CharactersWithSpaces>3512</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2022-01-06T16:40:00Z</dcterms:created>
  <dc:creator>greatwall</dc:creator>
  <cp:lastModifiedBy>夏</cp:lastModifiedBy>
  <cp:lastPrinted>2025-04-24T02:53:00Z</cp:lastPrinted>
  <dcterms:modified xsi:type="dcterms:W3CDTF">2025-04-24T03:08:26Z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6A8BFFE563B6474496371F02BBF07DE9_13</vt:lpwstr>
  </property>
  <property fmtid="{D5CDD505-2E9C-101B-9397-08002B2CF9AE}" pid="4" name="commondata">
    <vt:lpwstr>eyJoZGlkIjoiYTYyNDdjODg3NGNlNDkxMWExODY4YWEyMTRmNzM4NmQifQ==</vt:lpwstr>
  </property>
  <property fmtid="{D5CDD505-2E9C-101B-9397-08002B2CF9AE}" pid="5" name="KSOTemplateDocerSaveRecord">
    <vt:lpwstr>eyJoZGlkIjoiZDc2YTIwNjBhOWRlMmQxYzYyYTJmNTNjNDNmZDA4OTkiLCJ1c2VySWQiOiIyNzQxMjU4NzYifQ==</vt:lpwstr>
  </property>
</Properties>
</file>