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311A1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721F7374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07FBB3FC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4BF51CA3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504BB586">
      <w:pPr>
        <w:rPr>
          <w:rFonts w:hint="eastAsia" w:ascii="黑体" w:hAnsi="黑体" w:eastAsia="黑体" w:cs="仿宋"/>
          <w:sz w:val="32"/>
          <w:szCs w:val="32"/>
          <w:lang w:val="en-US" w:eastAsia="zh-CN"/>
        </w:rPr>
      </w:pPr>
    </w:p>
    <w:p w14:paraId="45793E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3639" w:leftChars="247" w:hanging="3120" w:hangingChars="600"/>
        <w:jc w:val="both"/>
        <w:textAlignment w:val="auto"/>
        <w:rPr>
          <w:rFonts w:hint="eastAsia" w:ascii="华文楷体" w:hAnsi="华文楷体" w:eastAsia="华文楷体" w:cs="华文楷体"/>
          <w:bCs/>
          <w:kern w:val="0"/>
          <w:sz w:val="52"/>
          <w:szCs w:val="52"/>
        </w:rPr>
      </w:pP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>2024年度清塘铺镇中心卫生院</w:t>
      </w:r>
      <w:r>
        <w:rPr>
          <w:rFonts w:hint="eastAsia" w:ascii="微软雅黑" w:hAnsi="微软雅黑" w:eastAsia="微软雅黑" w:cs="微软雅黑"/>
          <w:sz w:val="52"/>
          <w:szCs w:val="52"/>
        </w:rPr>
        <w:t>整体支出</w:t>
      </w:r>
    </w:p>
    <w:p w14:paraId="470001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微软雅黑" w:hAnsi="微软雅黑" w:eastAsia="微软雅黑" w:cs="微软雅黑"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sz w:val="52"/>
          <w:szCs w:val="52"/>
          <w:lang w:eastAsia="zh-CN"/>
        </w:rPr>
        <w:t>绩效自评报告</w:t>
      </w:r>
    </w:p>
    <w:p w14:paraId="594F558E">
      <w:pPr>
        <w:widowControl/>
        <w:ind w:firstLine="361" w:firstLineChars="100"/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2978D28C"/>
    <w:p w14:paraId="57179B9D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453B1A8F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5389F92D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698BE2B4">
      <w:pPr>
        <w:rPr>
          <w:rFonts w:ascii="楷体" w:hAnsi="楷体" w:eastAsia="楷体" w:cs="楷体"/>
          <w:b/>
          <w:bCs/>
          <w:kern w:val="0"/>
          <w:sz w:val="36"/>
          <w:szCs w:val="36"/>
        </w:rPr>
      </w:pPr>
    </w:p>
    <w:p w14:paraId="6AA50C85">
      <w:pPr>
        <w:pStyle w:val="7"/>
      </w:pPr>
    </w:p>
    <w:p w14:paraId="2AAE3A57">
      <w:pPr>
        <w:widowControl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申报单位（盖章）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</w:rPr>
        <w:t>：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eastAsia="zh-CN"/>
        </w:rPr>
        <w:t>安化县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val="en-US" w:eastAsia="zh-CN"/>
        </w:rPr>
        <w:t>清塘铺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eastAsia="zh-CN"/>
        </w:rPr>
        <w:t>镇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val="en-US" w:eastAsia="zh-CN"/>
        </w:rPr>
        <w:t>中心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  <w:lang w:eastAsia="zh-CN"/>
        </w:rPr>
        <w:t>卫生院</w:t>
      </w:r>
      <w:r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  <w:t xml:space="preserve"> </w:t>
      </w:r>
    </w:p>
    <w:p w14:paraId="26C45601">
      <w:pPr>
        <w:widowControl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</w:p>
    <w:p w14:paraId="3C400F84">
      <w:pPr>
        <w:widowControl/>
        <w:ind w:firstLine="3240" w:firstLineChars="900"/>
        <w:rPr>
          <w:rFonts w:hint="eastAsia" w:ascii="黑体" w:hAnsi="黑体" w:eastAsia="黑体" w:cs="黑体"/>
          <w:b w:val="0"/>
          <w:bCs w:val="0"/>
          <w:kern w:val="0"/>
          <w:sz w:val="48"/>
          <w:szCs w:val="48"/>
          <w:u w:val="single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2024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 xml:space="preserve"> 月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  <w:lang w:val="en-US" w:eastAsia="zh-CN"/>
        </w:rPr>
        <w:t>16</w:t>
      </w:r>
      <w:r>
        <w:rPr>
          <w:rFonts w:hint="eastAsia" w:ascii="黑体" w:hAnsi="黑体" w:eastAsia="黑体" w:cs="黑体"/>
          <w:b w:val="0"/>
          <w:bCs w:val="0"/>
          <w:kern w:val="0"/>
          <w:sz w:val="36"/>
          <w:szCs w:val="36"/>
        </w:rPr>
        <w:t>日</w:t>
      </w:r>
    </w:p>
    <w:p w14:paraId="6E5502FF">
      <w:pPr>
        <w:jc w:val="center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br w:type="page"/>
      </w:r>
    </w:p>
    <w:p w14:paraId="4A814C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2024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年度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  <w:lang w:val="en-US" w:eastAsia="zh-CN"/>
        </w:rPr>
        <w:t>清塘铺镇中心卫生院</w:t>
      </w: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整体支出</w:t>
      </w:r>
    </w:p>
    <w:p w14:paraId="10E892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76" w:lineRule="exact"/>
        <w:jc w:val="center"/>
        <w:textAlignment w:val="auto"/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</w:pPr>
      <w:r>
        <w:rPr>
          <w:rFonts w:hint="eastAsia" w:ascii="微软雅黑" w:hAnsi="仿宋" w:eastAsia="微软雅黑" w:cs="宋体"/>
          <w:b w:val="0"/>
          <w:bCs/>
          <w:kern w:val="0"/>
          <w:sz w:val="44"/>
          <w:szCs w:val="44"/>
        </w:rPr>
        <w:t>绩效自评报告</w:t>
      </w:r>
    </w:p>
    <w:p w14:paraId="11419D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一、部门(单位)基本情况</w:t>
      </w:r>
    </w:p>
    <w:p w14:paraId="56AA62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(一)202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年度重点工作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：负责本乡镇的基本医疗服务、突发公共卫生事件的报告并依据上级部门要求组织实施处置，对本乡镇辖区内村级卫生组织和乡村医生的业务指导和培训，承办政府卫生行政部门委托的相关业务或事项等。</w:t>
      </w:r>
    </w:p>
    <w:p w14:paraId="544276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(二)部门整体支出规模、使用方向、主要内容和涉及范围。</w:t>
      </w:r>
    </w:p>
    <w:p w14:paraId="13D5AEF0">
      <w:pPr>
        <w:pStyle w:val="16"/>
        <w:ind w:firstLine="640" w:firstLineChars="200"/>
        <w:rPr>
          <w:rFonts w:hint="eastAsia" w:ascii="仿宋" w:hAnsi="仿宋" w:eastAsia="楷体_GB2312" w:cs="Arial"/>
          <w:kern w:val="2"/>
          <w:sz w:val="32"/>
          <w:szCs w:val="32"/>
        </w:rPr>
      </w:pPr>
      <w:r>
        <w:rPr>
          <w:rFonts w:hint="eastAsia" w:ascii="仿宋" w:hAnsi="仿宋" w:eastAsia="楷体_GB2312" w:cs="Arial"/>
          <w:kern w:val="2"/>
          <w:sz w:val="32"/>
          <w:szCs w:val="32"/>
          <w:lang w:eastAsia="zh-CN"/>
        </w:rPr>
        <w:t>2024年，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本年收入合计2592.79</w:t>
      </w:r>
      <w:r>
        <w:rPr>
          <w:rFonts w:ascii="仿宋" w:hAnsi="仿宋" w:eastAsia="楷体_GB2312" w:cs="Arial"/>
          <w:kern w:val="2"/>
          <w:sz w:val="32"/>
          <w:szCs w:val="32"/>
        </w:rPr>
        <w:t>万元， 其中：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财政拨款收入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1050.78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万元，占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40.53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%；事业收入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1542.01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万元，占</w:t>
      </w:r>
      <w:r>
        <w:rPr>
          <w:rFonts w:hint="eastAsia" w:ascii="仿宋" w:hAnsi="仿宋" w:eastAsia="楷体_GB2312" w:cs="Arial"/>
          <w:kern w:val="2"/>
          <w:sz w:val="32"/>
          <w:szCs w:val="32"/>
          <w:lang w:val="en-US" w:eastAsia="zh-CN"/>
        </w:rPr>
        <w:t>59.47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%。</w:t>
      </w:r>
    </w:p>
    <w:p w14:paraId="4D8528E9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</w:rPr>
        <w:t>本年支出合计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2592.79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万元，其中：</w:t>
      </w:r>
      <w:r>
        <w:rPr>
          <w:rFonts w:ascii="仿宋" w:hAnsi="仿宋" w:eastAsia="楷体_GB2312" w:cs="Arial"/>
          <w:kern w:val="2"/>
          <w:sz w:val="32"/>
          <w:szCs w:val="32"/>
        </w:rPr>
        <w:t>项目支出资金</w:t>
      </w:r>
      <w:r>
        <w:rPr>
          <w:rFonts w:hint="eastAsia" w:ascii="仿宋" w:hAnsi="仿宋" w:eastAsia="楷体_GB2312" w:cs="Arial"/>
          <w:kern w:val="2"/>
          <w:sz w:val="32"/>
          <w:szCs w:val="32"/>
        </w:rPr>
        <w:t>0</w:t>
      </w:r>
      <w:r>
        <w:rPr>
          <w:rFonts w:ascii="仿宋" w:hAnsi="仿宋" w:eastAsia="楷体_GB2312" w:cs="Arial"/>
          <w:kern w:val="2"/>
          <w:sz w:val="32"/>
          <w:szCs w:val="32"/>
        </w:rPr>
        <w:t>万元</w:t>
      </w:r>
      <w:r>
        <w:rPr>
          <w:rFonts w:hint="eastAsia" w:ascii="仿宋" w:hAnsi="仿宋" w:eastAsia="楷体_GB2312" w:cs="Arial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基本支出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2592.79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万元，占100%。</w:t>
      </w:r>
    </w:p>
    <w:p w14:paraId="4EEF0D54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  <w:lang w:eastAsia="zh-CN"/>
        </w:rPr>
      </w:pPr>
      <w:r>
        <w:rPr>
          <w:rFonts w:ascii="仿宋" w:hAnsi="仿宋" w:eastAsia="楷体_GB2312" w:cs="Arial"/>
          <w:color w:val="000000"/>
          <w:sz w:val="32"/>
          <w:szCs w:val="32"/>
        </w:rPr>
        <w:t>按经济科目划分，各项支出金额分别为：工资福利支出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1222.61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47.15</w:t>
      </w:r>
      <w:r>
        <w:rPr>
          <w:rFonts w:ascii="仿宋" w:hAnsi="仿宋" w:eastAsia="楷体_GB2312" w:cs="Arial"/>
          <w:color w:val="000000"/>
          <w:sz w:val="32"/>
          <w:szCs w:val="32"/>
        </w:rPr>
        <w:t>%；商品和服务支出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1347.80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51.98</w:t>
      </w:r>
      <w:r>
        <w:rPr>
          <w:rFonts w:ascii="仿宋" w:hAnsi="仿宋" w:eastAsia="楷体_GB2312" w:cs="Arial"/>
          <w:color w:val="000000"/>
          <w:sz w:val="32"/>
          <w:szCs w:val="32"/>
        </w:rPr>
        <w:t>%；对个人和家庭的补助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22.38</w:t>
      </w:r>
      <w:r>
        <w:rPr>
          <w:rFonts w:ascii="仿宋" w:hAnsi="仿宋" w:eastAsia="楷体_GB2312" w:cs="Arial"/>
          <w:color w:val="000000"/>
          <w:sz w:val="32"/>
          <w:szCs w:val="32"/>
        </w:rPr>
        <w:t>万元，占比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0.87</w:t>
      </w:r>
      <w:r>
        <w:rPr>
          <w:rFonts w:ascii="仿宋" w:hAnsi="仿宋" w:eastAsia="楷体_GB2312" w:cs="Arial"/>
          <w:color w:val="000000"/>
          <w:sz w:val="32"/>
          <w:szCs w:val="32"/>
        </w:rPr>
        <w:t>%</w:t>
      </w:r>
      <w:r>
        <w:rPr>
          <w:rFonts w:hint="eastAsia" w:ascii="仿宋" w:hAnsi="仿宋" w:eastAsia="楷体_GB2312" w:cs="Arial"/>
          <w:color w:val="000000"/>
          <w:sz w:val="32"/>
          <w:szCs w:val="32"/>
          <w:lang w:eastAsia="zh-CN"/>
        </w:rPr>
        <w:t>。</w:t>
      </w:r>
    </w:p>
    <w:p w14:paraId="7BAC9015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绩效目标设立情况，主要包括部门中长期绩效目标和年度绩效目标。</w:t>
      </w:r>
    </w:p>
    <w:p w14:paraId="674B2D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二、一般公共预算支出情况</w:t>
      </w:r>
    </w:p>
    <w:p w14:paraId="0C4FD3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(一)基本支出情况</w:t>
      </w:r>
    </w:p>
    <w:p w14:paraId="5AA98CB9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楷体_GB2312" w:cs="Arial"/>
          <w:color w:val="000000"/>
          <w:sz w:val="32"/>
          <w:szCs w:val="32"/>
          <w:lang w:eastAsia="zh-CN"/>
        </w:rPr>
        <w:t>2024年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一般公共预算基本支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2592.79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万元。</w:t>
      </w:r>
    </w:p>
    <w:p w14:paraId="6CB30C3B">
      <w:pPr>
        <w:widowControl/>
        <w:ind w:firstLine="482"/>
        <w:rPr>
          <w:rFonts w:ascii="仿宋" w:hAnsi="仿宋" w:eastAsia="楷体_GB2312" w:cs="Arial"/>
          <w:color w:val="000000"/>
          <w:sz w:val="32"/>
          <w:szCs w:val="32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</w:rPr>
        <w:t>其中：</w:t>
      </w:r>
    </w:p>
    <w:p w14:paraId="2CAB2089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工资福利支出1222.61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万元，主要包括：基本工资、津贴补贴、奖金、离休费、退休费、生活补助、医疗费、奖励金、住房公积金、提租补贴、购房补贴等；</w:t>
      </w:r>
    </w:p>
    <w:p w14:paraId="0564DC28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商品和服务支出1347.80</w:t>
      </w:r>
      <w:r>
        <w:rPr>
          <w:rFonts w:hint="eastAsia" w:ascii="仿宋" w:hAnsi="仿宋" w:eastAsia="楷体_GB2312" w:cs="Arial"/>
          <w:color w:val="000000"/>
          <w:sz w:val="32"/>
          <w:szCs w:val="32"/>
        </w:rPr>
        <w:t>万元，主要包括：办公费、印刷费、水费、电费、邮电费、取暖费、物业管理费、差旅费、维修（护）费、大型修缮费、会议费、培训费、公务接待费、专用材料费、劳务费、工会经费、福利费、公务用车运行维护费、其他交通费、其他商品和服务支出等</w:t>
      </w:r>
      <w:r>
        <w:rPr>
          <w:rFonts w:hint="eastAsia" w:ascii="仿宋" w:hAnsi="仿宋" w:eastAsia="楷体_GB2312" w:cs="Arial"/>
          <w:color w:val="000000"/>
          <w:sz w:val="32"/>
          <w:szCs w:val="32"/>
          <w:lang w:eastAsia="zh-CN"/>
        </w:rPr>
        <w:t>；</w:t>
      </w:r>
    </w:p>
    <w:p w14:paraId="0E008857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楷体_GB2312" w:cs="Arial"/>
          <w:color w:val="000000"/>
          <w:sz w:val="32"/>
          <w:szCs w:val="32"/>
          <w:lang w:eastAsia="zh-CN"/>
        </w:rPr>
        <w:t>对个人和家庭的补助支出</w:t>
      </w:r>
      <w:r>
        <w:rPr>
          <w:rFonts w:hint="eastAsia" w:ascii="仿宋" w:hAnsi="仿宋" w:eastAsia="楷体_GB2312" w:cs="Arial"/>
          <w:color w:val="000000"/>
          <w:sz w:val="32"/>
          <w:szCs w:val="32"/>
          <w:lang w:val="en-US" w:eastAsia="zh-CN"/>
        </w:rPr>
        <w:t>22.38万元，主要包括退休人员的抚恤金、独生子女奖励、生活补助及其他对个人和家庭的补助支出等。</w:t>
      </w:r>
    </w:p>
    <w:p w14:paraId="735D6CBF">
      <w:pPr>
        <w:widowControl/>
        <w:ind w:firstLine="482"/>
        <w:rPr>
          <w:rFonts w:hint="eastAsia" w:ascii="仿宋" w:hAnsi="仿宋" w:eastAsia="楷体_GB2312" w:cs="Arial"/>
          <w:color w:val="000000"/>
          <w:sz w:val="32"/>
          <w:szCs w:val="32"/>
        </w:rPr>
      </w:pPr>
      <w:bookmarkStart w:id="0" w:name="_GoBack"/>
      <w:bookmarkEnd w:id="0"/>
    </w:p>
    <w:p w14:paraId="5DF97E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(二)项目支出情况</w:t>
      </w:r>
    </w:p>
    <w:p w14:paraId="754409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无</w:t>
      </w:r>
    </w:p>
    <w:p w14:paraId="4B0017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三、政府性基金预算支出情况</w:t>
      </w:r>
    </w:p>
    <w:p w14:paraId="1869BF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黑体" w:hAnsi="黑体" w:eastAsia="楷体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楷体_GB2312" w:cs="宋体"/>
          <w:color w:val="000000"/>
          <w:kern w:val="0"/>
          <w:sz w:val="32"/>
          <w:szCs w:val="32"/>
          <w:lang w:eastAsia="zh-CN"/>
        </w:rPr>
        <w:t>无</w:t>
      </w:r>
    </w:p>
    <w:p w14:paraId="6938B1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四、国有资本经营预算支出情况</w:t>
      </w:r>
    </w:p>
    <w:p w14:paraId="4ADD82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 w14:paraId="6C8729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五、社会保险基金预算支出情况</w:t>
      </w:r>
    </w:p>
    <w:p w14:paraId="6AC791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1280" w:firstLineChars="4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无</w:t>
      </w:r>
    </w:p>
    <w:p w14:paraId="2758DB3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部门整体支出绩效情况</w:t>
      </w:r>
    </w:p>
    <w:p w14:paraId="6456F5D8">
      <w:pPr>
        <w:widowControl/>
        <w:spacing w:line="594" w:lineRule="exact"/>
        <w:ind w:firstLine="640" w:firstLineChars="200"/>
        <w:rPr>
          <w:rFonts w:hint="eastAsia" w:eastAsia="楷体_GB2312"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作为基层医疗服务机构，主要职能：</w:t>
      </w: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eastAsia="zh-CN"/>
        </w:rPr>
        <w:t>负责本乡镇的基本医疗服务，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提供健康教育、预防保健等公共卫生服务。</w:t>
      </w:r>
    </w:p>
    <w:p w14:paraId="3CA6A3B9">
      <w:pPr>
        <w:widowControl/>
        <w:spacing w:line="594" w:lineRule="exact"/>
        <w:ind w:firstLine="640" w:firstLineChars="200"/>
        <w:rPr>
          <w:rFonts w:hint="eastAsia" w:eastAsia="楷体_GB2312"/>
          <w:kern w:val="0"/>
          <w:sz w:val="32"/>
          <w:szCs w:val="32"/>
          <w:lang w:eastAsia="zh-CN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2024年度本单位的支出主要是基本支出2592.79万元，按支出性质和经济分类分为人员经费和公用经费，人员经费1244.99万元，占48.02%，公用经费1347.80万元，占51.98%。主要保障机构的正常运转和完成日常工作任务。</w:t>
      </w:r>
    </w:p>
    <w:p w14:paraId="43040F9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40" w:firstLineChars="200"/>
        <w:jc w:val="left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存在的问题及原因分析</w:t>
      </w:r>
    </w:p>
    <w:p w14:paraId="0405B125">
      <w:pPr>
        <w:widowControl/>
        <w:spacing w:line="594" w:lineRule="exact"/>
        <w:ind w:firstLine="640" w:firstLineChars="200"/>
        <w:rPr>
          <w:rFonts w:hint="eastAsia"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一是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自评指标单一化</w:t>
      </w:r>
      <w:r>
        <w:rPr>
          <w:rFonts w:hint="eastAsia" w:eastAsia="楷体_GB2312"/>
          <w:kern w:val="0"/>
          <w:sz w:val="32"/>
          <w:szCs w:val="32"/>
        </w:rPr>
        <w:t>。单位在进行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绩效自评时，经验不足，评价不够全面</w:t>
      </w:r>
      <w:r>
        <w:rPr>
          <w:rFonts w:hint="eastAsia" w:eastAsia="楷体_GB2312"/>
          <w:kern w:val="0"/>
          <w:sz w:val="32"/>
          <w:szCs w:val="32"/>
        </w:rPr>
        <w:t>。</w:t>
      </w:r>
    </w:p>
    <w:p w14:paraId="7B7C1955">
      <w:pPr>
        <w:widowControl/>
        <w:spacing w:line="594" w:lineRule="exact"/>
        <w:ind w:firstLine="640" w:firstLineChars="200"/>
        <w:rPr>
          <w:rFonts w:hint="default" w:eastAsia="楷体_GB2312"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kern w:val="0"/>
          <w:sz w:val="32"/>
          <w:szCs w:val="32"/>
          <w:lang w:eastAsia="zh-CN"/>
        </w:rPr>
        <w:t>二是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缺乏持续改进的动力</w:t>
      </w:r>
      <w:r>
        <w:rPr>
          <w:rFonts w:hint="eastAsia" w:eastAsia="楷体_GB2312"/>
          <w:kern w:val="0"/>
          <w:sz w:val="32"/>
          <w:szCs w:val="32"/>
          <w:lang w:eastAsia="zh-CN"/>
        </w:rPr>
        <w:t>。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绩效自评往往停留在对过去工作的总结上，缺乏对未来工作的规划和持续改进的动力。</w:t>
      </w:r>
    </w:p>
    <w:p w14:paraId="161525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eastAsia="楷体_GB2312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八、下一步改进措施</w:t>
      </w:r>
    </w:p>
    <w:p w14:paraId="1F10CE35">
      <w:pPr>
        <w:widowControl/>
        <w:numPr>
          <w:ilvl w:val="0"/>
          <w:numId w:val="2"/>
        </w:numPr>
        <w:spacing w:line="594" w:lineRule="exact"/>
        <w:ind w:left="0" w:leftChars="0" w:firstLine="640" w:firstLineChars="200"/>
        <w:rPr>
          <w:rFonts w:hint="eastAsia" w:eastAsia="楷体_GB2312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  <w:lang w:val="en-US" w:eastAsia="zh-CN"/>
        </w:rPr>
        <w:t>加强绩效自评的科学性和合理性</w:t>
      </w:r>
      <w:r>
        <w:rPr>
          <w:rFonts w:hint="eastAsia" w:eastAsia="楷体_GB2312"/>
          <w:kern w:val="0"/>
          <w:sz w:val="32"/>
          <w:szCs w:val="32"/>
        </w:rPr>
        <w:t>。</w:t>
      </w:r>
    </w:p>
    <w:p w14:paraId="0B95416E">
      <w:pPr>
        <w:widowControl/>
        <w:numPr>
          <w:ilvl w:val="0"/>
          <w:numId w:val="0"/>
        </w:numPr>
        <w:spacing w:line="594" w:lineRule="exact"/>
        <w:ind w:firstLine="640" w:firstLineChars="200"/>
        <w:rPr>
          <w:rFonts w:hint="eastAsia" w:ascii="黑体" w:hAnsi="黑体" w:eastAsia="楷体_GB2312" w:cs="宋体"/>
          <w:color w:val="000000"/>
          <w:kern w:val="0"/>
          <w:sz w:val="32"/>
          <w:szCs w:val="32"/>
        </w:rPr>
      </w:pPr>
      <w:r>
        <w:rPr>
          <w:rFonts w:hint="eastAsia" w:eastAsia="楷体_GB2312"/>
          <w:kern w:val="0"/>
          <w:sz w:val="32"/>
          <w:szCs w:val="32"/>
        </w:rPr>
        <w:t>（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2</w:t>
      </w:r>
      <w:r>
        <w:rPr>
          <w:rFonts w:hint="eastAsia" w:eastAsia="楷体_GB2312"/>
          <w:kern w:val="0"/>
          <w:sz w:val="32"/>
          <w:szCs w:val="32"/>
        </w:rPr>
        <w:t>）加强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对自评结果的</w:t>
      </w:r>
      <w:r>
        <w:rPr>
          <w:rFonts w:hint="eastAsia" w:eastAsia="楷体_GB2312"/>
          <w:kern w:val="0"/>
          <w:sz w:val="32"/>
          <w:szCs w:val="32"/>
        </w:rPr>
        <w:t>监督</w:t>
      </w:r>
      <w:r>
        <w:rPr>
          <w:rFonts w:hint="eastAsia" w:eastAsia="楷体_GB2312"/>
          <w:kern w:val="0"/>
          <w:sz w:val="32"/>
          <w:szCs w:val="32"/>
          <w:lang w:val="en-US" w:eastAsia="zh-CN"/>
        </w:rPr>
        <w:t>和评估</w:t>
      </w:r>
      <w:r>
        <w:rPr>
          <w:rFonts w:hint="eastAsia" w:eastAsia="楷体_GB2312"/>
          <w:kern w:val="0"/>
          <w:sz w:val="32"/>
          <w:szCs w:val="32"/>
        </w:rPr>
        <w:t>。</w:t>
      </w:r>
    </w:p>
    <w:p w14:paraId="52B533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九、绩效自评结果拟应用和公开情况</w:t>
      </w:r>
    </w:p>
    <w:p w14:paraId="085487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同意公开。</w:t>
      </w:r>
    </w:p>
    <w:p w14:paraId="7EA4E02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其他需要说明的情况</w:t>
      </w:r>
    </w:p>
    <w:p w14:paraId="47EFDCC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default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无</w:t>
      </w:r>
    </w:p>
    <w:p w14:paraId="130F0F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5" w:h="16837"/>
      <w:pgMar w:top="2098" w:right="1474" w:bottom="1984" w:left="1474" w:header="850" w:footer="1417" w:gutter="0"/>
      <w:pgNumType w:fmt="numberInDash" w:start="1"/>
      <w:cols w:space="0" w:num="1"/>
      <w:rtlGutter w:val="0"/>
      <w:docGrid w:type="lines"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42D2BAFA-77F2-4A89-8552-F8E70F5F146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1E24704-17D5-4B75-8406-09D8CBA9366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F993D94-F955-48D2-87A5-4CD49EB3B8D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82FF1AF-C05C-40EF-A4A8-4BB7368C78D1}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7186DA76-9354-456C-82B9-CB1FD4A5AA6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D49EB851-2272-4DBD-B434-6D8777F1E04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7" w:fontKey="{A5A2AA56-AF91-4B3B-A0DB-CA5B8897833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F9F10870-ABF2-4B4D-A6DF-06D384F5834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A8F7F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E0EC621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- 25 -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aYJL0wAA&#10;AAUBAAAPAAAAAAAAAAEAIAAAACIAAABkcnMvZG93bnJldi54bWxQSwECFAAUAAAACACHTuJAmrEc&#10;4+oBAADLAwAADgAAAAAAAAABACAAAAAiAQAAZHJzL2Uyb0RvYy54bWxQSwUGAAAAAAYABgBZAQAA&#10;f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E0EC621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- 25 -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0FCE0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EA3FF"/>
    <w:multiLevelType w:val="singleLevel"/>
    <w:tmpl w:val="DF5EA3FF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CDC6DC"/>
    <w:multiLevelType w:val="singleLevel"/>
    <w:tmpl w:val="E4CDC6D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7DDA0CF"/>
    <w:multiLevelType w:val="singleLevel"/>
    <w:tmpl w:val="17DDA0CF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NWQ0N2RlYTlhNzdkODNhN2NlOGZkOTk5ODgwZDEifQ=="/>
    <w:docVar w:name="KSO_WPS_MARK_KEY" w:val="efdb9831-49e2-41f3-897e-affe4bfc1ef8"/>
  </w:docVars>
  <w:rsids>
    <w:rsidRoot w:val="5EF91413"/>
    <w:rsid w:val="001E3CB7"/>
    <w:rsid w:val="001F27BC"/>
    <w:rsid w:val="002D4B0D"/>
    <w:rsid w:val="003062EE"/>
    <w:rsid w:val="00355E6F"/>
    <w:rsid w:val="003E2793"/>
    <w:rsid w:val="003F11DD"/>
    <w:rsid w:val="004E640B"/>
    <w:rsid w:val="00592274"/>
    <w:rsid w:val="00630B10"/>
    <w:rsid w:val="00651AD0"/>
    <w:rsid w:val="00712ECA"/>
    <w:rsid w:val="007C7F1B"/>
    <w:rsid w:val="007F2C1A"/>
    <w:rsid w:val="00826A68"/>
    <w:rsid w:val="00970A76"/>
    <w:rsid w:val="00A3179B"/>
    <w:rsid w:val="00A40CEF"/>
    <w:rsid w:val="00A84895"/>
    <w:rsid w:val="00AD157A"/>
    <w:rsid w:val="00AE5FCA"/>
    <w:rsid w:val="00B83482"/>
    <w:rsid w:val="00CF00E5"/>
    <w:rsid w:val="00D30D45"/>
    <w:rsid w:val="00DF2F64"/>
    <w:rsid w:val="00E47EB9"/>
    <w:rsid w:val="00EF286B"/>
    <w:rsid w:val="00EF7465"/>
    <w:rsid w:val="00F5064A"/>
    <w:rsid w:val="00FB5247"/>
    <w:rsid w:val="01881C21"/>
    <w:rsid w:val="01AB173E"/>
    <w:rsid w:val="024B4144"/>
    <w:rsid w:val="02E230B9"/>
    <w:rsid w:val="03640DA7"/>
    <w:rsid w:val="03E6536E"/>
    <w:rsid w:val="081035F5"/>
    <w:rsid w:val="0885784C"/>
    <w:rsid w:val="095202B3"/>
    <w:rsid w:val="0A371C48"/>
    <w:rsid w:val="0A461E15"/>
    <w:rsid w:val="0D1F294F"/>
    <w:rsid w:val="0D9532D4"/>
    <w:rsid w:val="0EE7339E"/>
    <w:rsid w:val="127960C2"/>
    <w:rsid w:val="128706BB"/>
    <w:rsid w:val="128C289E"/>
    <w:rsid w:val="13F1430E"/>
    <w:rsid w:val="14C23CB6"/>
    <w:rsid w:val="15E118C5"/>
    <w:rsid w:val="16AA1FDF"/>
    <w:rsid w:val="18C44B05"/>
    <w:rsid w:val="1921258C"/>
    <w:rsid w:val="1A86539E"/>
    <w:rsid w:val="1D514A07"/>
    <w:rsid w:val="1D736768"/>
    <w:rsid w:val="1E02384E"/>
    <w:rsid w:val="1E2D7B42"/>
    <w:rsid w:val="202355A8"/>
    <w:rsid w:val="20C369EC"/>
    <w:rsid w:val="216A31A0"/>
    <w:rsid w:val="217D38DC"/>
    <w:rsid w:val="21887F99"/>
    <w:rsid w:val="21F32188"/>
    <w:rsid w:val="229365CD"/>
    <w:rsid w:val="22E7596F"/>
    <w:rsid w:val="2605582B"/>
    <w:rsid w:val="26686870"/>
    <w:rsid w:val="27666297"/>
    <w:rsid w:val="28264A04"/>
    <w:rsid w:val="282B2D61"/>
    <w:rsid w:val="297525F8"/>
    <w:rsid w:val="2B8F395A"/>
    <w:rsid w:val="2CA21E0A"/>
    <w:rsid w:val="2CD96D87"/>
    <w:rsid w:val="2DF15952"/>
    <w:rsid w:val="2E6C7FCB"/>
    <w:rsid w:val="2E88044F"/>
    <w:rsid w:val="2F860CA9"/>
    <w:rsid w:val="30EE10CA"/>
    <w:rsid w:val="3284589B"/>
    <w:rsid w:val="341734AD"/>
    <w:rsid w:val="34335357"/>
    <w:rsid w:val="36F9338A"/>
    <w:rsid w:val="37779E60"/>
    <w:rsid w:val="3929066E"/>
    <w:rsid w:val="39E9356E"/>
    <w:rsid w:val="39F525A2"/>
    <w:rsid w:val="3B8D6CB0"/>
    <w:rsid w:val="3C7B06AE"/>
    <w:rsid w:val="3D6A1B31"/>
    <w:rsid w:val="4015034D"/>
    <w:rsid w:val="43596284"/>
    <w:rsid w:val="44BA060E"/>
    <w:rsid w:val="44BB3C98"/>
    <w:rsid w:val="454063A9"/>
    <w:rsid w:val="47A66F47"/>
    <w:rsid w:val="48190D72"/>
    <w:rsid w:val="487D7439"/>
    <w:rsid w:val="48B00D40"/>
    <w:rsid w:val="49567193"/>
    <w:rsid w:val="49B50C04"/>
    <w:rsid w:val="49F422BC"/>
    <w:rsid w:val="4A4C5543"/>
    <w:rsid w:val="4A856EB6"/>
    <w:rsid w:val="4BB72B70"/>
    <w:rsid w:val="4BBB1991"/>
    <w:rsid w:val="4BCA227C"/>
    <w:rsid w:val="4D765FE4"/>
    <w:rsid w:val="4D7F362E"/>
    <w:rsid w:val="4E0A33A3"/>
    <w:rsid w:val="4E1B3885"/>
    <w:rsid w:val="4F670C47"/>
    <w:rsid w:val="509C514E"/>
    <w:rsid w:val="5316523A"/>
    <w:rsid w:val="553254BE"/>
    <w:rsid w:val="553B4087"/>
    <w:rsid w:val="583020DD"/>
    <w:rsid w:val="588D268E"/>
    <w:rsid w:val="592547BC"/>
    <w:rsid w:val="59544026"/>
    <w:rsid w:val="5AB9755B"/>
    <w:rsid w:val="5AE1053E"/>
    <w:rsid w:val="5AF474F0"/>
    <w:rsid w:val="5B742D21"/>
    <w:rsid w:val="5BB151FE"/>
    <w:rsid w:val="5C0351D3"/>
    <w:rsid w:val="5D973665"/>
    <w:rsid w:val="5EF91413"/>
    <w:rsid w:val="5F567206"/>
    <w:rsid w:val="5F875025"/>
    <w:rsid w:val="60D6222F"/>
    <w:rsid w:val="6217071C"/>
    <w:rsid w:val="62CE02E9"/>
    <w:rsid w:val="62E23B8B"/>
    <w:rsid w:val="632C6B3E"/>
    <w:rsid w:val="633F0072"/>
    <w:rsid w:val="64E07CE5"/>
    <w:rsid w:val="666920D7"/>
    <w:rsid w:val="66F756A1"/>
    <w:rsid w:val="68C1250B"/>
    <w:rsid w:val="69380B1B"/>
    <w:rsid w:val="696D0DF3"/>
    <w:rsid w:val="6C1733E6"/>
    <w:rsid w:val="6CF536F6"/>
    <w:rsid w:val="6E3A48D9"/>
    <w:rsid w:val="6EE90259"/>
    <w:rsid w:val="6F8673D6"/>
    <w:rsid w:val="6FCF75EC"/>
    <w:rsid w:val="70446EA1"/>
    <w:rsid w:val="707537A6"/>
    <w:rsid w:val="71591FCE"/>
    <w:rsid w:val="71F256AB"/>
    <w:rsid w:val="73133AF6"/>
    <w:rsid w:val="736D4488"/>
    <w:rsid w:val="741520ED"/>
    <w:rsid w:val="75232E01"/>
    <w:rsid w:val="753A5550"/>
    <w:rsid w:val="75B4584A"/>
    <w:rsid w:val="78FDF452"/>
    <w:rsid w:val="7CEF2B13"/>
    <w:rsid w:val="7D2C3E42"/>
    <w:rsid w:val="7DAF813A"/>
    <w:rsid w:val="BE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12" w:lineRule="auto"/>
      <w:jc w:val="center"/>
      <w:outlineLvl w:val="1"/>
    </w:pPr>
    <w:rPr>
      <w:rFonts w:ascii="Cambria" w:hAnsi="Cambria" w:cs="宋体"/>
      <w:b/>
      <w:bCs/>
      <w:sz w:val="36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99"/>
    <w:rPr>
      <w:rFonts w:ascii="黑体" w:hAnsi="黑体" w:eastAsia="黑体" w:cs="黑体"/>
    </w:rPr>
  </w:style>
  <w:style w:type="paragraph" w:styleId="8">
    <w:name w:val="Subtitle"/>
    <w:basedOn w:val="1"/>
    <w:next w:val="1"/>
    <w:qFormat/>
    <w:uiPriority w:val="0"/>
    <w:pPr>
      <w:ind w:firstLine="200" w:firstLineChars="200"/>
      <w:jc w:val="left"/>
      <w:outlineLvl w:val="2"/>
    </w:pPr>
    <w:rPr>
      <w:rFonts w:ascii="Cambria" w:hAnsi="Cambria" w:eastAsia="黑体"/>
      <w:bCs/>
      <w:kern w:val="28"/>
      <w:sz w:val="28"/>
      <w:szCs w:val="32"/>
    </w:rPr>
  </w:style>
  <w:style w:type="paragraph" w:styleId="9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paragraph" w:styleId="10">
    <w:name w:val="Body Text First Indent"/>
    <w:basedOn w:val="4"/>
    <w:qFormat/>
    <w:uiPriority w:val="0"/>
    <w:pPr>
      <w:ind w:firstLine="664"/>
    </w:pPr>
  </w:style>
  <w:style w:type="character" w:styleId="13">
    <w:name w:val="page number"/>
    <w:basedOn w:val="12"/>
    <w:qFormat/>
    <w:uiPriority w:val="0"/>
  </w:style>
  <w:style w:type="paragraph" w:customStyle="1" w:styleId="14">
    <w:name w:val="BodyText1I2"/>
    <w:basedOn w:val="15"/>
    <w:qFormat/>
    <w:uiPriority w:val="0"/>
    <w:pPr>
      <w:ind w:firstLine="420"/>
    </w:pPr>
  </w:style>
  <w:style w:type="paragraph" w:customStyle="1" w:styleId="15">
    <w:name w:val="BodyTextIndent"/>
    <w:basedOn w:val="1"/>
    <w:qFormat/>
    <w:uiPriority w:val="0"/>
    <w:pPr>
      <w:spacing w:after="120"/>
      <w:ind w:left="420" w:leftChars="200" w:firstLine="200" w:firstLineChars="200"/>
      <w:textAlignment w:val="baseline"/>
    </w:p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7">
    <w:name w:val="无间隔1"/>
    <w:qFormat/>
    <w:uiPriority w:val="0"/>
    <w:pPr>
      <w:widowControl w:val="0"/>
      <w:spacing w:beforeLines="50"/>
      <w:jc w:val="center"/>
    </w:pPr>
    <w:rPr>
      <w:rFonts w:ascii="Times New Roman" w:hAnsi="Times New Roman" w:eastAsia="仿宋_GB2312" w:cs="Times New Roman"/>
      <w:kern w:val="2"/>
      <w:sz w:val="24"/>
      <w:szCs w:val="22"/>
      <w:lang w:val="en-US" w:eastAsia="zh-CN" w:bidi="ar-SA"/>
    </w:rPr>
  </w:style>
  <w:style w:type="paragraph" w:customStyle="1" w:styleId="18">
    <w:name w:val="无缩进"/>
    <w:basedOn w:val="1"/>
    <w:qFormat/>
    <w:uiPriority w:val="0"/>
    <w:pPr>
      <w:spacing w:line="312" w:lineRule="auto"/>
    </w:pPr>
    <w:rPr>
      <w:sz w:val="24"/>
      <w:szCs w:val="22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21">
    <w:name w:val="font61"/>
    <w:basedOn w:val="12"/>
    <w:qFormat/>
    <w:uiPriority w:val="0"/>
    <w:rPr>
      <w:rFonts w:ascii="Times New Roman" w:hAnsi="Times New Roman" w:cs="Times New Roman"/>
      <w:b/>
      <w:color w:val="000000"/>
      <w:sz w:val="28"/>
      <w:szCs w:val="28"/>
      <w:u w:val="none"/>
    </w:rPr>
  </w:style>
  <w:style w:type="character" w:customStyle="1" w:styleId="22">
    <w:name w:val="font121"/>
    <w:basedOn w:val="12"/>
    <w:qFormat/>
    <w:uiPriority w:val="0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23">
    <w:name w:val="font11"/>
    <w:basedOn w:val="12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24">
    <w:name w:val="font131"/>
    <w:basedOn w:val="12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41"/>
    <w:basedOn w:val="12"/>
    <w:qFormat/>
    <w:uiPriority w:val="0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26">
    <w:name w:val="font101"/>
    <w:basedOn w:val="12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paragraph" w:customStyle="1" w:styleId="27">
    <w:name w:val="Other|1"/>
    <w:basedOn w:val="1"/>
    <w:qFormat/>
    <w:uiPriority w:val="0"/>
    <w:pPr>
      <w:widowControl w:val="0"/>
      <w:shd w:val="clear" w:color="auto" w:fill="auto"/>
      <w:spacing w:line="238" w:lineRule="exact"/>
    </w:pPr>
    <w:rPr>
      <w:rFonts w:ascii="宋体" w:hAnsi="宋体" w:eastAsia="宋体" w:cs="宋体"/>
      <w:color w:val="1D1433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1023</Words>
  <Characters>1169</Characters>
  <Lines>102</Lines>
  <Paragraphs>28</Paragraphs>
  <TotalTime>21</TotalTime>
  <ScaleCrop>false</ScaleCrop>
  <LinksUpToDate>false</LinksUpToDate>
  <CharactersWithSpaces>1173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2022-01-06T16:40:00Z</dcterms:created>
  <dc:creator>greatwall</dc:creator>
  <cp:lastModifiedBy>子歇</cp:lastModifiedBy>
  <cp:lastPrinted>2024-05-17T18:04:00Z</cp:lastPrinted>
  <dcterms:modified xsi:type="dcterms:W3CDTF">2025-04-18T04:46:33Z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22EEF847753143EE96B7666B6AE48CB5_13</vt:lpwstr>
  </property>
  <property fmtid="{D5CDD505-2E9C-101B-9397-08002B2CF9AE}" pid="4" name="commondata">
    <vt:lpwstr>eyJoZGlkIjoiYTYyNDdjODg3NGNlNDkxMWExODY4YWEyMTRmNzM4NmQifQ==</vt:lpwstr>
  </property>
  <property fmtid="{D5CDD505-2E9C-101B-9397-08002B2CF9AE}" pid="5" name="KSOTemplateDocerSaveRecord">
    <vt:lpwstr>eyJoZGlkIjoiOTdmZWJmODY4Y2M3NzNjYWM4YzNlNGMzOWQ4YzJkNzMiLCJ1c2VySWQiOiI3NjM3NDQ5MTQifQ==</vt:lpwstr>
  </property>
</Properties>
</file>