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95325">
      <w:pPr>
        <w:jc w:val="center"/>
        <w:rPr>
          <w:rFonts w:hint="eastAsia" w:ascii="宋体" w:hAnsi="宋体" w:eastAsia="宋体" w:cs="宋体"/>
          <w:kern w:val="0"/>
          <w:sz w:val="32"/>
          <w:szCs w:val="32"/>
          <w:lang w:eastAsia="zh-CN"/>
        </w:rPr>
      </w:pPr>
      <w:r>
        <w:rPr>
          <w:rFonts w:hint="eastAsia" w:ascii="宋体" w:hAnsi="宋体" w:eastAsia="宋体" w:cs="宋体"/>
          <w:kern w:val="0"/>
          <w:sz w:val="32"/>
          <w:szCs w:val="32"/>
        </w:rPr>
        <w:drawing>
          <wp:inline distT="0" distB="0" distL="114300" distR="114300">
            <wp:extent cx="4984115" cy="8860790"/>
            <wp:effectExtent l="0" t="0" r="6985" b="16510"/>
            <wp:docPr id="1" name="图片 1" descr="微信图片_20250418162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50418162833"/>
                    <pic:cNvPicPr>
                      <a:picLocks noChangeAspect="1"/>
                    </pic:cNvPicPr>
                  </pic:nvPicPr>
                  <pic:blipFill>
                    <a:blip r:embed="rId4"/>
                    <a:stretch>
                      <a:fillRect/>
                    </a:stretch>
                  </pic:blipFill>
                  <pic:spPr>
                    <a:xfrm>
                      <a:off x="0" y="0"/>
                      <a:ext cx="4984115" cy="8860790"/>
                    </a:xfrm>
                    <a:prstGeom prst="rect">
                      <a:avLst/>
                    </a:prstGeom>
                  </pic:spPr>
                </pic:pic>
              </a:graphicData>
            </a:graphic>
          </wp:inline>
        </w:drawing>
      </w:r>
      <w:r>
        <w:rPr>
          <w:rFonts w:hint="eastAsia" w:ascii="宋体" w:hAnsi="宋体" w:eastAsia="宋体" w:cs="宋体"/>
          <w:kern w:val="0"/>
          <w:sz w:val="32"/>
          <w:szCs w:val="32"/>
        </w:rPr>
        <w:br w:type="page"/>
      </w:r>
    </w:p>
    <w:p w14:paraId="51AD6F42">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宋体" w:hAnsi="宋体" w:eastAsia="宋体" w:cs="宋体"/>
          <w:b w:val="0"/>
          <w:bCs/>
          <w:kern w:val="0"/>
          <w:sz w:val="44"/>
          <w:szCs w:val="44"/>
        </w:rPr>
      </w:pPr>
      <w:r>
        <w:rPr>
          <w:rFonts w:hint="eastAsia" w:ascii="宋体" w:hAnsi="宋体" w:eastAsia="宋体" w:cs="宋体"/>
          <w:b w:val="0"/>
          <w:bCs/>
          <w:kern w:val="0"/>
          <w:sz w:val="44"/>
          <w:szCs w:val="44"/>
          <w:lang w:val="en-US" w:eastAsia="zh-CN"/>
        </w:rPr>
        <w:t>2024</w:t>
      </w:r>
      <w:r>
        <w:rPr>
          <w:rFonts w:hint="eastAsia" w:ascii="宋体" w:hAnsi="宋体" w:eastAsia="宋体" w:cs="宋体"/>
          <w:b w:val="0"/>
          <w:bCs/>
          <w:kern w:val="0"/>
          <w:sz w:val="44"/>
          <w:szCs w:val="44"/>
        </w:rPr>
        <w:t>年度</w:t>
      </w:r>
      <w:r>
        <w:rPr>
          <w:rFonts w:hint="eastAsia" w:ascii="宋体" w:hAnsi="宋体" w:eastAsia="宋体" w:cs="宋体"/>
          <w:b w:val="0"/>
          <w:bCs/>
          <w:kern w:val="0"/>
          <w:sz w:val="44"/>
          <w:szCs w:val="44"/>
          <w:lang w:eastAsia="zh-CN"/>
        </w:rPr>
        <w:t>安化县乐安镇卫生院</w:t>
      </w:r>
      <w:r>
        <w:rPr>
          <w:rFonts w:hint="eastAsia" w:ascii="宋体" w:hAnsi="宋体" w:eastAsia="宋体" w:cs="宋体"/>
          <w:b w:val="0"/>
          <w:bCs/>
          <w:kern w:val="0"/>
          <w:sz w:val="44"/>
          <w:szCs w:val="44"/>
        </w:rPr>
        <w:t>整体支出</w:t>
      </w:r>
    </w:p>
    <w:p w14:paraId="5824A52C">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宋体" w:hAnsi="宋体" w:eastAsia="宋体" w:cs="宋体"/>
          <w:b w:val="0"/>
          <w:bCs/>
          <w:kern w:val="0"/>
          <w:sz w:val="44"/>
          <w:szCs w:val="44"/>
        </w:rPr>
      </w:pPr>
      <w:r>
        <w:rPr>
          <w:rFonts w:hint="eastAsia" w:ascii="宋体" w:hAnsi="宋体" w:eastAsia="宋体" w:cs="宋体"/>
          <w:b w:val="0"/>
          <w:bCs/>
          <w:kern w:val="0"/>
          <w:sz w:val="44"/>
          <w:szCs w:val="44"/>
        </w:rPr>
        <w:t>绩效自评报告</w:t>
      </w:r>
    </w:p>
    <w:p w14:paraId="6E26E283">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宋体" w:hAnsi="宋体" w:eastAsia="宋体" w:cs="宋体"/>
          <w:color w:val="000000"/>
          <w:kern w:val="0"/>
          <w:sz w:val="32"/>
          <w:szCs w:val="32"/>
        </w:rPr>
      </w:pPr>
    </w:p>
    <w:p w14:paraId="74F9768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一、部门(单位)基本情况</w:t>
      </w:r>
    </w:p>
    <w:p w14:paraId="37E93919">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(一)简要介绍202</w:t>
      </w:r>
      <w:r>
        <w:rPr>
          <w:rFonts w:hint="eastAsia" w:ascii="宋体" w:hAnsi="宋体" w:eastAsia="宋体" w:cs="宋体"/>
          <w:color w:val="000000"/>
          <w:kern w:val="0"/>
          <w:sz w:val="32"/>
          <w:szCs w:val="32"/>
          <w:lang w:val="en-US" w:eastAsia="zh-CN"/>
        </w:rPr>
        <w:t>4</w:t>
      </w:r>
      <w:r>
        <w:rPr>
          <w:rFonts w:hint="eastAsia" w:ascii="宋体" w:hAnsi="宋体" w:eastAsia="宋体" w:cs="宋体"/>
          <w:color w:val="000000"/>
          <w:kern w:val="0"/>
          <w:sz w:val="32"/>
          <w:szCs w:val="32"/>
        </w:rPr>
        <w:t>年度重点工作;</w:t>
      </w:r>
    </w:p>
    <w:p w14:paraId="3314C67B">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本院2024年的重点工作主要是基本医疗服务</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公共卫生服务工作</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对村卫生室的管</w:t>
      </w:r>
      <w:bookmarkStart w:id="0" w:name="_GoBack"/>
      <w:bookmarkEnd w:id="0"/>
      <w:r>
        <w:rPr>
          <w:rFonts w:hint="eastAsia" w:ascii="宋体" w:hAnsi="宋体" w:eastAsia="宋体" w:cs="宋体"/>
          <w:color w:val="000000"/>
          <w:kern w:val="0"/>
          <w:sz w:val="32"/>
          <w:szCs w:val="32"/>
          <w:lang w:val="en-US" w:eastAsia="zh-CN"/>
        </w:rPr>
        <w:t>理工作及自身建设。</w:t>
      </w:r>
    </w:p>
    <w:p w14:paraId="5168C617">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医疗方面，本院承担常见病的门急诊和住院医疗服务，对严重疾病患者进行转诊处理。开展中医康复医疗服务，帮助术后和慢性病及伤残患者进行功能恢复训练，并提供针灸</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推拿</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中药调理等中医药服务。</w:t>
      </w:r>
    </w:p>
    <w:p w14:paraId="773BB5EE">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公共卫生服务方面，本院严格按规定实施国家基本公共卫生服务管理，如居民健康档案管理</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预防接种</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健康教育开展</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家庭医生签约服务及重点人群健康管理等等，并细化到人，责任到人，提升服务规范管理质量和效果。</w:t>
      </w:r>
    </w:p>
    <w:p w14:paraId="14CDF49C">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村卫生室管理方面，加大对村卫生室乡村医生业务和卫生政策等方面的培训力度，提升了他们的业务水平和政策知晓度；落实对村卫生室基本公共卫生服务的管理</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监督</w:t>
      </w:r>
      <w:r>
        <w:rPr>
          <w:rFonts w:hint="eastAsia" w:ascii="宋体" w:hAnsi="宋体" w:eastAsia="宋体" w:cs="宋体"/>
          <w:color w:val="000000"/>
          <w:kern w:val="0"/>
          <w:sz w:val="32"/>
          <w:szCs w:val="32"/>
          <w:lang w:val="en-US" w:eastAsia="zh-CN"/>
        </w:rPr>
        <w:t>﹑</w:t>
      </w:r>
      <w:r>
        <w:rPr>
          <w:rFonts w:hint="eastAsia" w:ascii="宋体" w:hAnsi="宋体" w:eastAsia="宋体" w:cs="宋体"/>
          <w:color w:val="000000"/>
          <w:kern w:val="0"/>
          <w:sz w:val="32"/>
          <w:szCs w:val="32"/>
          <w:lang w:val="en-US" w:eastAsia="zh-CN"/>
        </w:rPr>
        <w:t>考核，每月考核服务数量和质量，督导乡村医生落实预防保健等职能。</w:t>
      </w:r>
    </w:p>
    <w:p w14:paraId="0C3A0BE1">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通过招录医学院毕业生，落实城乡医疗机构对口支援，加强在职培训等方式，提高医护人中业务素质，充实专业人才队伍。</w:t>
      </w:r>
    </w:p>
    <w:p w14:paraId="0901775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(二)部门整体支出规模、使用方向、主要内容和涉及范围。</w:t>
      </w:r>
    </w:p>
    <w:p w14:paraId="3CD9006D">
      <w:pPr>
        <w:pStyle w:val="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rPr>
      </w:pPr>
      <w:r>
        <w:rPr>
          <w:rFonts w:hint="eastAsia" w:ascii="宋体" w:hAnsi="宋体" w:eastAsia="宋体" w:cs="宋体"/>
          <w:color w:val="000000"/>
          <w:kern w:val="0"/>
          <w:sz w:val="32"/>
          <w:szCs w:val="32"/>
          <w:lang w:val="en-US" w:eastAsia="zh-CN"/>
        </w:rPr>
        <w:t xml:space="preserve"> </w:t>
      </w: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年度</w:t>
      </w:r>
      <w:r>
        <w:rPr>
          <w:rFonts w:hint="eastAsia" w:ascii="宋体" w:hAnsi="宋体" w:eastAsia="宋体" w:cs="宋体"/>
          <w:sz w:val="32"/>
          <w:szCs w:val="32"/>
          <w:lang w:eastAsia="zh-CN"/>
        </w:rPr>
        <w:t>部门整体</w:t>
      </w:r>
      <w:r>
        <w:rPr>
          <w:rFonts w:hint="eastAsia" w:ascii="宋体" w:hAnsi="宋体" w:eastAsia="宋体" w:cs="宋体"/>
          <w:sz w:val="32"/>
          <w:szCs w:val="32"/>
        </w:rPr>
        <w:t>支出</w:t>
      </w:r>
      <w:r>
        <w:rPr>
          <w:rFonts w:hint="eastAsia" w:ascii="宋体" w:hAnsi="宋体" w:eastAsia="宋体" w:cs="宋体"/>
          <w:sz w:val="32"/>
          <w:szCs w:val="32"/>
          <w:lang w:val="en-US" w:eastAsia="zh-CN"/>
        </w:rPr>
        <w:t>1134.35</w:t>
      </w:r>
      <w:r>
        <w:rPr>
          <w:rFonts w:hint="eastAsia" w:ascii="宋体" w:hAnsi="宋体" w:eastAsia="宋体" w:cs="宋体"/>
          <w:sz w:val="32"/>
          <w:szCs w:val="32"/>
        </w:rPr>
        <w:t>万元，其中：</w:t>
      </w:r>
    </w:p>
    <w:p w14:paraId="3C6109EB">
      <w:pPr>
        <w:pStyle w:val="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lang w:eastAsia="zh-CN"/>
        </w:rPr>
      </w:pPr>
      <w:r>
        <w:rPr>
          <w:rFonts w:hint="eastAsia" w:ascii="宋体" w:hAnsi="宋体" w:eastAsia="宋体" w:cs="宋体"/>
          <w:b w:val="0"/>
          <w:bCs w:val="0"/>
          <w:sz w:val="32"/>
          <w:szCs w:val="32"/>
        </w:rPr>
        <w:t>人员经费</w:t>
      </w:r>
      <w:r>
        <w:rPr>
          <w:rFonts w:hint="eastAsia" w:ascii="宋体" w:hAnsi="宋体" w:eastAsia="宋体" w:cs="宋体"/>
          <w:b w:val="0"/>
          <w:bCs w:val="0"/>
          <w:sz w:val="32"/>
          <w:szCs w:val="32"/>
          <w:lang w:val="en-US" w:eastAsia="zh-CN"/>
        </w:rPr>
        <w:t>430.19</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37.92</w:t>
      </w:r>
      <w:r>
        <w:rPr>
          <w:rFonts w:hint="eastAsia" w:ascii="宋体" w:hAnsi="宋体" w:eastAsia="宋体" w:cs="宋体"/>
          <w:sz w:val="32"/>
          <w:szCs w:val="32"/>
        </w:rPr>
        <w:t>%,主要包括基本工资、</w:t>
      </w:r>
      <w:r>
        <w:rPr>
          <w:rFonts w:hint="eastAsia" w:ascii="宋体" w:hAnsi="宋体" w:eastAsia="宋体" w:cs="宋体"/>
          <w:sz w:val="32"/>
          <w:szCs w:val="32"/>
          <w:lang w:eastAsia="zh-CN"/>
        </w:rPr>
        <w:t>绩效工资</w:t>
      </w:r>
      <w:r>
        <w:rPr>
          <w:rFonts w:hint="eastAsia" w:ascii="宋体" w:hAnsi="宋体" w:eastAsia="宋体" w:cs="宋体"/>
          <w:sz w:val="32"/>
          <w:szCs w:val="32"/>
        </w:rPr>
        <w:t>、</w:t>
      </w:r>
      <w:r>
        <w:rPr>
          <w:rFonts w:hint="eastAsia" w:ascii="宋体" w:hAnsi="宋体" w:eastAsia="宋体" w:cs="宋体"/>
          <w:sz w:val="32"/>
          <w:szCs w:val="32"/>
          <w:lang w:eastAsia="zh-CN"/>
        </w:rPr>
        <w:t>津补贴</w:t>
      </w:r>
      <w:r>
        <w:rPr>
          <w:rFonts w:hint="eastAsia" w:ascii="宋体" w:hAnsi="宋体" w:eastAsia="宋体" w:cs="宋体"/>
          <w:sz w:val="32"/>
          <w:szCs w:val="32"/>
        </w:rPr>
        <w:t>、</w:t>
      </w:r>
      <w:r>
        <w:rPr>
          <w:rFonts w:hint="eastAsia" w:ascii="宋体" w:hAnsi="宋体" w:eastAsia="宋体" w:cs="宋体"/>
          <w:sz w:val="32"/>
          <w:szCs w:val="32"/>
          <w:lang w:eastAsia="zh-CN"/>
        </w:rPr>
        <w:t>五险和住房公积金。</w:t>
      </w:r>
    </w:p>
    <w:p w14:paraId="74E4275D">
      <w:pPr>
        <w:pStyle w:val="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sz w:val="32"/>
          <w:szCs w:val="32"/>
          <w:lang w:eastAsia="zh-CN"/>
        </w:rPr>
      </w:pPr>
      <w:r>
        <w:rPr>
          <w:rFonts w:hint="eastAsia" w:ascii="宋体" w:hAnsi="宋体" w:eastAsia="宋体" w:cs="宋体"/>
          <w:b w:val="0"/>
          <w:bCs w:val="0"/>
          <w:sz w:val="32"/>
          <w:szCs w:val="32"/>
        </w:rPr>
        <w:t>公用经费</w:t>
      </w:r>
      <w:r>
        <w:rPr>
          <w:rFonts w:hint="eastAsia" w:ascii="宋体" w:hAnsi="宋体" w:eastAsia="宋体" w:cs="宋体"/>
          <w:b w:val="0"/>
          <w:bCs w:val="0"/>
          <w:sz w:val="32"/>
          <w:szCs w:val="32"/>
          <w:lang w:val="en-US" w:eastAsia="zh-CN"/>
        </w:rPr>
        <w:t>704.16</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62.08</w:t>
      </w:r>
      <w:r>
        <w:rPr>
          <w:rFonts w:hint="eastAsia" w:ascii="宋体" w:hAnsi="宋体" w:eastAsia="宋体" w:cs="宋体"/>
          <w:sz w:val="32"/>
          <w:szCs w:val="32"/>
        </w:rPr>
        <w:t>%，主要</w:t>
      </w:r>
      <w:r>
        <w:rPr>
          <w:rFonts w:hint="eastAsia" w:ascii="宋体" w:hAnsi="宋体" w:eastAsia="宋体" w:cs="宋体"/>
          <w:sz w:val="32"/>
          <w:szCs w:val="32"/>
          <w:lang w:eastAsia="zh-CN"/>
        </w:rPr>
        <w:t>用于保证医院正常运转的各项公用经费，如办公费</w:t>
      </w:r>
      <w:r>
        <w:rPr>
          <w:rFonts w:hint="eastAsia" w:ascii="宋体" w:hAnsi="宋体" w:eastAsia="宋体" w:cs="宋体"/>
          <w:sz w:val="32"/>
          <w:szCs w:val="32"/>
        </w:rPr>
        <w:t>、</w:t>
      </w:r>
      <w:r>
        <w:rPr>
          <w:rFonts w:hint="eastAsia" w:ascii="宋体" w:hAnsi="宋体" w:eastAsia="宋体" w:cs="宋体"/>
          <w:sz w:val="32"/>
          <w:szCs w:val="32"/>
          <w:lang w:eastAsia="zh-CN"/>
        </w:rPr>
        <w:t>印刷费</w:t>
      </w:r>
      <w:r>
        <w:rPr>
          <w:rFonts w:hint="eastAsia" w:ascii="宋体" w:hAnsi="宋体" w:eastAsia="宋体" w:cs="宋体"/>
          <w:sz w:val="32"/>
          <w:szCs w:val="32"/>
        </w:rPr>
        <w:t>、</w:t>
      </w:r>
      <w:r>
        <w:rPr>
          <w:rFonts w:hint="eastAsia" w:ascii="宋体" w:hAnsi="宋体" w:eastAsia="宋体" w:cs="宋体"/>
          <w:sz w:val="32"/>
          <w:szCs w:val="32"/>
          <w:lang w:eastAsia="zh-CN"/>
        </w:rPr>
        <w:t>差旅费</w:t>
      </w:r>
      <w:r>
        <w:rPr>
          <w:rFonts w:hint="eastAsia" w:ascii="宋体" w:hAnsi="宋体" w:eastAsia="宋体" w:cs="宋体"/>
          <w:sz w:val="32"/>
          <w:szCs w:val="32"/>
        </w:rPr>
        <w:t>、</w:t>
      </w:r>
      <w:r>
        <w:rPr>
          <w:rFonts w:hint="eastAsia" w:ascii="宋体" w:hAnsi="宋体" w:eastAsia="宋体" w:cs="宋体"/>
          <w:sz w:val="32"/>
          <w:szCs w:val="32"/>
          <w:lang w:eastAsia="zh-CN"/>
        </w:rPr>
        <w:t>公务用车运行维护费</w:t>
      </w:r>
      <w:r>
        <w:rPr>
          <w:rFonts w:hint="eastAsia" w:ascii="宋体" w:hAnsi="宋体" w:eastAsia="宋体" w:cs="宋体"/>
          <w:sz w:val="32"/>
          <w:szCs w:val="32"/>
        </w:rPr>
        <w:t>、</w:t>
      </w:r>
      <w:r>
        <w:rPr>
          <w:rFonts w:hint="eastAsia" w:ascii="宋体" w:hAnsi="宋体" w:eastAsia="宋体" w:cs="宋体"/>
          <w:sz w:val="32"/>
          <w:szCs w:val="32"/>
          <w:lang w:eastAsia="zh-CN"/>
        </w:rPr>
        <w:t>水电费</w:t>
      </w:r>
      <w:r>
        <w:rPr>
          <w:rFonts w:hint="eastAsia" w:ascii="宋体" w:hAnsi="宋体" w:eastAsia="宋体" w:cs="宋体"/>
          <w:sz w:val="32"/>
          <w:szCs w:val="32"/>
        </w:rPr>
        <w:t>、</w:t>
      </w:r>
      <w:r>
        <w:rPr>
          <w:rFonts w:hint="eastAsia" w:ascii="宋体" w:hAnsi="宋体" w:eastAsia="宋体" w:cs="宋体"/>
          <w:sz w:val="32"/>
          <w:szCs w:val="32"/>
          <w:lang w:eastAsia="zh-CN"/>
        </w:rPr>
        <w:t>专用材料费等等。</w:t>
      </w:r>
    </w:p>
    <w:p w14:paraId="0AB02692">
      <w:pPr>
        <w:pStyle w:val="2"/>
        <w:rPr>
          <w:rFonts w:hint="eastAsia" w:ascii="宋体" w:hAnsi="宋体" w:eastAsia="宋体" w:cs="宋体"/>
          <w:lang w:val="en-US" w:eastAsia="zh-CN"/>
        </w:rPr>
      </w:pPr>
    </w:p>
    <w:p w14:paraId="44BC45D4">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二、一般公共预算支出情况</w:t>
      </w:r>
    </w:p>
    <w:p w14:paraId="7871C330">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(一)基本支出情况</w:t>
      </w:r>
    </w:p>
    <w:p w14:paraId="74CA47EB">
      <w:pPr>
        <w:pStyle w:val="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宋体" w:hAnsi="宋体" w:eastAsia="宋体" w:cs="宋体"/>
          <w:b/>
          <w:sz w:val="32"/>
          <w:szCs w:val="32"/>
        </w:rPr>
      </w:pPr>
      <w:r>
        <w:rPr>
          <w:rFonts w:hint="eastAsia" w:ascii="宋体" w:hAnsi="宋体" w:eastAsia="宋体" w:cs="宋体"/>
          <w:color w:val="000000"/>
          <w:kern w:val="0"/>
          <w:sz w:val="32"/>
          <w:szCs w:val="32"/>
          <w:lang w:val="en-US" w:eastAsia="zh-CN"/>
        </w:rPr>
        <w:t xml:space="preserve"> </w:t>
      </w:r>
      <w:r>
        <w:rPr>
          <w:rFonts w:hint="eastAsia" w:ascii="宋体" w:hAnsi="宋体" w:eastAsia="宋体" w:cs="宋体"/>
          <w:sz w:val="32"/>
          <w:szCs w:val="32"/>
        </w:rPr>
        <w:t>202</w:t>
      </w:r>
      <w:r>
        <w:rPr>
          <w:rFonts w:hint="eastAsia" w:ascii="宋体" w:hAnsi="宋体" w:eastAsia="宋体" w:cs="宋体"/>
          <w:sz w:val="32"/>
          <w:szCs w:val="32"/>
          <w:lang w:val="en-US" w:eastAsia="zh-CN"/>
        </w:rPr>
        <w:t>4</w:t>
      </w:r>
      <w:r>
        <w:rPr>
          <w:rFonts w:hint="eastAsia" w:ascii="宋体" w:hAnsi="宋体" w:eastAsia="宋体" w:cs="宋体"/>
          <w:sz w:val="32"/>
          <w:szCs w:val="32"/>
        </w:rPr>
        <w:t>年度</w:t>
      </w:r>
      <w:r>
        <w:rPr>
          <w:rFonts w:hint="eastAsia" w:ascii="宋体" w:hAnsi="宋体" w:eastAsia="宋体" w:cs="宋体"/>
          <w:sz w:val="32"/>
          <w:szCs w:val="32"/>
          <w:lang w:eastAsia="zh-CN"/>
        </w:rPr>
        <w:t>基本</w:t>
      </w:r>
      <w:r>
        <w:rPr>
          <w:rFonts w:hint="eastAsia" w:ascii="宋体" w:hAnsi="宋体" w:eastAsia="宋体" w:cs="宋体"/>
          <w:sz w:val="32"/>
          <w:szCs w:val="32"/>
        </w:rPr>
        <w:t>支出</w:t>
      </w:r>
      <w:r>
        <w:rPr>
          <w:rFonts w:hint="eastAsia" w:ascii="宋体" w:hAnsi="宋体" w:eastAsia="宋体" w:cs="宋体"/>
          <w:sz w:val="32"/>
          <w:szCs w:val="32"/>
          <w:lang w:eastAsia="zh-CN"/>
        </w:rPr>
        <w:t>情况良好，一般公共预算支出</w:t>
      </w:r>
      <w:r>
        <w:rPr>
          <w:rFonts w:hint="eastAsia" w:ascii="宋体" w:hAnsi="宋体" w:eastAsia="宋体" w:cs="宋体"/>
          <w:sz w:val="32"/>
          <w:szCs w:val="32"/>
          <w:lang w:val="en-US" w:eastAsia="zh-CN"/>
        </w:rPr>
        <w:t>617.93</w:t>
      </w:r>
      <w:r>
        <w:rPr>
          <w:rFonts w:hint="eastAsia" w:ascii="宋体" w:hAnsi="宋体" w:eastAsia="宋体" w:cs="宋体"/>
          <w:sz w:val="32"/>
          <w:szCs w:val="32"/>
        </w:rPr>
        <w:t>万元，</w:t>
      </w:r>
      <w:r>
        <w:rPr>
          <w:rFonts w:hint="eastAsia" w:ascii="宋体" w:hAnsi="宋体" w:eastAsia="宋体" w:cs="宋体"/>
          <w:sz w:val="32"/>
          <w:szCs w:val="32"/>
          <w:lang w:eastAsia="zh-CN"/>
        </w:rPr>
        <w:t>全部根据预算制度规范执行，</w:t>
      </w:r>
      <w:r>
        <w:rPr>
          <w:rFonts w:hint="eastAsia" w:ascii="宋体" w:hAnsi="宋体" w:eastAsia="宋体" w:cs="宋体"/>
          <w:sz w:val="32"/>
          <w:szCs w:val="32"/>
        </w:rPr>
        <w:t>其中：</w:t>
      </w:r>
      <w:r>
        <w:rPr>
          <w:rFonts w:hint="eastAsia" w:ascii="宋体" w:hAnsi="宋体" w:eastAsia="宋体" w:cs="宋体"/>
          <w:b w:val="0"/>
          <w:bCs w:val="0"/>
          <w:sz w:val="32"/>
          <w:szCs w:val="32"/>
        </w:rPr>
        <w:t>人员经费</w:t>
      </w:r>
      <w:r>
        <w:rPr>
          <w:rFonts w:hint="eastAsia" w:ascii="宋体" w:hAnsi="宋体" w:eastAsia="宋体" w:cs="宋体"/>
          <w:b w:val="0"/>
          <w:bCs w:val="0"/>
          <w:sz w:val="32"/>
          <w:szCs w:val="32"/>
          <w:lang w:val="en-US" w:eastAsia="zh-CN"/>
        </w:rPr>
        <w:t>62.96</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10.19</w:t>
      </w:r>
      <w:r>
        <w:rPr>
          <w:rFonts w:hint="eastAsia" w:ascii="宋体" w:hAnsi="宋体" w:eastAsia="宋体" w:cs="宋体"/>
          <w:sz w:val="32"/>
          <w:szCs w:val="32"/>
        </w:rPr>
        <w:t>%,主要包括基本工资、</w:t>
      </w:r>
      <w:r>
        <w:rPr>
          <w:rFonts w:hint="eastAsia" w:ascii="宋体" w:hAnsi="宋体" w:eastAsia="宋体" w:cs="宋体"/>
          <w:sz w:val="32"/>
          <w:szCs w:val="32"/>
          <w:lang w:eastAsia="zh-CN"/>
        </w:rPr>
        <w:t>绩效工资</w:t>
      </w:r>
      <w:r>
        <w:rPr>
          <w:rFonts w:hint="eastAsia" w:ascii="宋体" w:hAnsi="宋体" w:eastAsia="宋体" w:cs="宋体"/>
          <w:sz w:val="32"/>
          <w:szCs w:val="32"/>
        </w:rPr>
        <w:t>、</w:t>
      </w:r>
      <w:r>
        <w:rPr>
          <w:rFonts w:hint="eastAsia" w:ascii="宋体" w:hAnsi="宋体" w:eastAsia="宋体" w:cs="宋体"/>
          <w:sz w:val="32"/>
          <w:szCs w:val="32"/>
          <w:lang w:eastAsia="zh-CN"/>
        </w:rPr>
        <w:t>养老保险和住房公积金</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公用经费</w:t>
      </w:r>
      <w:r>
        <w:rPr>
          <w:rFonts w:hint="eastAsia" w:ascii="宋体" w:hAnsi="宋体" w:eastAsia="宋体" w:cs="宋体"/>
          <w:b w:val="0"/>
          <w:bCs w:val="0"/>
          <w:sz w:val="32"/>
          <w:szCs w:val="32"/>
          <w:lang w:val="en-US" w:eastAsia="zh-CN"/>
        </w:rPr>
        <w:t>554.97</w:t>
      </w:r>
      <w:r>
        <w:rPr>
          <w:rFonts w:hint="eastAsia" w:ascii="宋体" w:hAnsi="宋体" w:eastAsia="宋体" w:cs="宋体"/>
          <w:sz w:val="32"/>
          <w:szCs w:val="32"/>
        </w:rPr>
        <w:t>万元，占基本支出的</w:t>
      </w:r>
      <w:r>
        <w:rPr>
          <w:rFonts w:hint="eastAsia" w:ascii="宋体" w:hAnsi="宋体" w:eastAsia="宋体" w:cs="宋体"/>
          <w:sz w:val="32"/>
          <w:szCs w:val="32"/>
          <w:lang w:val="en-US" w:eastAsia="zh-CN"/>
        </w:rPr>
        <w:t>89.81</w:t>
      </w:r>
      <w:r>
        <w:rPr>
          <w:rFonts w:hint="eastAsia" w:ascii="宋体" w:hAnsi="宋体" w:eastAsia="宋体" w:cs="宋体"/>
          <w:sz w:val="32"/>
          <w:szCs w:val="32"/>
        </w:rPr>
        <w:t>%，主要包括</w:t>
      </w:r>
      <w:r>
        <w:rPr>
          <w:rFonts w:hint="eastAsia" w:ascii="宋体" w:hAnsi="宋体" w:eastAsia="宋体" w:cs="宋体"/>
          <w:sz w:val="32"/>
          <w:szCs w:val="32"/>
          <w:lang w:eastAsia="zh-CN"/>
        </w:rPr>
        <w:t>专用材料费和专用设备购置。</w:t>
      </w:r>
    </w:p>
    <w:p w14:paraId="36B7555E">
      <w:pPr>
        <w:pStyle w:val="2"/>
        <w:rPr>
          <w:rFonts w:hint="eastAsia" w:ascii="宋体" w:hAnsi="宋体" w:eastAsia="宋体" w:cs="宋体"/>
          <w:lang w:val="en-US" w:eastAsia="zh-CN"/>
        </w:rPr>
      </w:pPr>
    </w:p>
    <w:p w14:paraId="5481BF29">
      <w:pPr>
        <w:keepNext w:val="0"/>
        <w:keepLines w:val="0"/>
        <w:pageBreakBefore w:val="0"/>
        <w:widowControl/>
        <w:numPr>
          <w:ilvl w:val="0"/>
          <w:numId w:val="2"/>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项目支出情况</w:t>
      </w:r>
    </w:p>
    <w:p w14:paraId="0217E69A">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rPr>
        <w:t>本院2024年度无项目支出。</w:t>
      </w:r>
    </w:p>
    <w:p w14:paraId="23991B8F">
      <w:pPr>
        <w:keepNext w:val="0"/>
        <w:keepLines w:val="0"/>
        <w:pageBreakBefore w:val="0"/>
        <w:widowControl/>
        <w:numPr>
          <w:ilvl w:val="0"/>
          <w:numId w:val="3"/>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政府性基金预算支出情况</w:t>
      </w:r>
    </w:p>
    <w:p w14:paraId="596995E7">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 xml:space="preserve">  </w:t>
      </w:r>
      <w:r>
        <w:rPr>
          <w:rFonts w:hint="eastAsia" w:ascii="宋体" w:hAnsi="宋体" w:eastAsia="宋体" w:cs="宋体"/>
          <w:b w:val="0"/>
          <w:bCs w:val="0"/>
          <w:color w:val="000000"/>
          <w:kern w:val="0"/>
          <w:sz w:val="32"/>
          <w:szCs w:val="32"/>
          <w:lang w:val="en-US" w:eastAsia="zh-CN"/>
        </w:rPr>
        <w:t xml:space="preserve"> </w:t>
      </w:r>
      <w:r>
        <w:rPr>
          <w:rFonts w:hint="eastAsia" w:ascii="宋体" w:hAnsi="宋体" w:eastAsia="宋体" w:cs="宋体"/>
          <w:color w:val="000000"/>
          <w:kern w:val="0"/>
          <w:sz w:val="32"/>
          <w:szCs w:val="32"/>
          <w:lang w:val="en-US" w:eastAsia="zh-CN"/>
        </w:rPr>
        <w:t>本院2024年度无政府性基金预算支出。</w:t>
      </w:r>
    </w:p>
    <w:p w14:paraId="13180D4F">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国有资本经营预算支出情况</w:t>
      </w:r>
    </w:p>
    <w:p w14:paraId="6F3F0684">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本院2024年度无国有资本经营预算支出。</w:t>
      </w:r>
    </w:p>
    <w:p w14:paraId="35AF7A53">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社会保险基金预算支出情况</w:t>
      </w:r>
    </w:p>
    <w:p w14:paraId="118DD1FF">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 xml:space="preserve"> 本院2024年度无社会保险基金预算支出。</w:t>
      </w:r>
    </w:p>
    <w:p w14:paraId="619386ED">
      <w:pPr>
        <w:keepNext w:val="0"/>
        <w:keepLines w:val="0"/>
        <w:pageBreakBefore w:val="0"/>
        <w:widowControl/>
        <w:numPr>
          <w:ilvl w:val="0"/>
          <w:numId w:val="3"/>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部门整体支出绩效情况</w:t>
      </w:r>
    </w:p>
    <w:p w14:paraId="17FC91A2">
      <w:pPr>
        <w:pStyle w:val="3"/>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eastAsia" w:ascii="宋体" w:hAnsi="宋体" w:eastAsia="宋体" w:cs="宋体"/>
          <w:color w:val="000000"/>
          <w:sz w:val="32"/>
          <w:szCs w:val="32"/>
          <w:lang w:eastAsia="zh-CN"/>
        </w:rPr>
      </w:pPr>
      <w:r>
        <w:rPr>
          <w:rFonts w:hint="eastAsia" w:ascii="宋体" w:hAnsi="宋体" w:eastAsia="宋体" w:cs="宋体"/>
          <w:color w:val="000000"/>
          <w:sz w:val="32"/>
          <w:szCs w:val="32"/>
          <w:lang w:eastAsia="zh-CN"/>
        </w:rPr>
        <w:t>本部门履职及履职效益情况良好，在资金使用上一直按照国家财经法规和本部门财务管理制度规定以及有关专项资金管理办法的规定收支，资金拨付有完整的审批程序和手续，按照财经制度的有关要求，有计划地安排、使用资金，严格财务审批制度保证资金使用合法合规，同时资金使用无截留、挤占、挪用、虚列支出等情况。</w:t>
      </w:r>
    </w:p>
    <w:p w14:paraId="0BFB3418">
      <w:pPr>
        <w:keepNext w:val="0"/>
        <w:keepLines w:val="0"/>
        <w:widowControl/>
        <w:numPr>
          <w:ilvl w:val="0"/>
          <w:numId w:val="0"/>
        </w:numPr>
        <w:suppressLineNumbers w:val="0"/>
        <w:shd w:val="clear" w:color="auto" w:fill="FFFFFF"/>
        <w:spacing w:before="100" w:beforeAutospacing="1" w:after="100" w:afterAutospacing="1"/>
        <w:ind w:leftChars="304" w:right="0" w:rightChars="0"/>
        <w:jc w:val="left"/>
        <w:rPr>
          <w:rFonts w:hint="eastAsia" w:ascii="宋体" w:hAnsi="宋体" w:eastAsia="宋体" w:cs="宋体"/>
          <w:i w:val="0"/>
          <w:iCs w:val="0"/>
          <w:caps w:val="0"/>
          <w:color w:val="000000"/>
          <w:spacing w:val="0"/>
          <w:sz w:val="32"/>
          <w:szCs w:val="32"/>
          <w:shd w:val="clear" w:color="auto" w:fill="FFFFFF"/>
        </w:rPr>
      </w:pPr>
      <w:r>
        <w:rPr>
          <w:rFonts w:hint="eastAsia" w:ascii="宋体" w:hAnsi="宋体" w:eastAsia="宋体" w:cs="宋体"/>
          <w:color w:val="000000"/>
          <w:sz w:val="32"/>
          <w:szCs w:val="32"/>
          <w:lang w:eastAsia="zh-CN"/>
        </w:rPr>
        <w:t>（一）紧抓安全生产</w:t>
      </w:r>
    </w:p>
    <w:p w14:paraId="72CF08F3">
      <w:pPr>
        <w:keepNext w:val="0"/>
        <w:keepLines w:val="0"/>
        <w:widowControl/>
        <w:numPr>
          <w:ilvl w:val="0"/>
          <w:numId w:val="0"/>
        </w:numPr>
        <w:suppressLineNumbers w:val="0"/>
        <w:shd w:val="clear" w:color="auto" w:fill="FFFFFF"/>
        <w:spacing w:beforeAutospacing="0" w:afterAutospacing="0"/>
        <w:ind w:left="0" w:leftChars="0" w:right="0" w:rightChars="0" w:firstLine="640" w:firstLineChars="200"/>
        <w:jc w:val="left"/>
        <w:rPr>
          <w:rFonts w:hint="eastAsia" w:ascii="宋体" w:hAnsi="宋体" w:eastAsia="宋体" w:cs="宋体"/>
          <w:i w:val="0"/>
          <w:iCs w:val="0"/>
          <w:caps w:val="0"/>
          <w:color w:val="000000"/>
          <w:spacing w:val="0"/>
          <w:sz w:val="32"/>
          <w:szCs w:val="32"/>
          <w:shd w:val="clear" w:color="auto" w:fill="FFFFFF"/>
        </w:rPr>
      </w:pPr>
      <w:r>
        <w:rPr>
          <w:rFonts w:hint="eastAsia" w:ascii="宋体" w:hAnsi="宋体" w:eastAsia="宋体" w:cs="宋体"/>
          <w:color w:val="000000"/>
          <w:sz w:val="32"/>
          <w:szCs w:val="32"/>
          <w:lang w:val="en-US" w:eastAsia="zh-CN"/>
        </w:rPr>
        <w:t>2024年度</w:t>
      </w:r>
      <w:r>
        <w:rPr>
          <w:rFonts w:hint="eastAsia" w:ascii="宋体" w:hAnsi="宋体" w:eastAsia="宋体" w:cs="宋体"/>
          <w:i w:val="0"/>
          <w:iCs w:val="0"/>
          <w:caps w:val="0"/>
          <w:color w:val="000000"/>
          <w:spacing w:val="0"/>
          <w:sz w:val="32"/>
          <w:szCs w:val="32"/>
          <w:shd w:val="clear" w:color="auto" w:fill="FFFFFF"/>
          <w:lang w:val="en-US" w:eastAsia="zh-CN"/>
        </w:rPr>
        <w:t>我院始</w:t>
      </w:r>
      <w:r>
        <w:rPr>
          <w:rFonts w:hint="eastAsia" w:ascii="宋体" w:hAnsi="宋体" w:eastAsia="宋体" w:cs="宋体"/>
          <w:i w:val="0"/>
          <w:iCs w:val="0"/>
          <w:caps w:val="0"/>
          <w:color w:val="000000"/>
          <w:spacing w:val="0"/>
          <w:sz w:val="32"/>
          <w:szCs w:val="32"/>
          <w:shd w:val="clear" w:color="auto" w:fill="FFFFFF"/>
        </w:rPr>
        <w:t>终坚持“安全第一，预防为主”的安全生产方针，加强领导、完善制度、强化管理，深入开展安全检查，开展安全生产宣传活动，消除安全隐患，完成上级下达的安全职责目标，实现零事故发生。</w:t>
      </w:r>
    </w:p>
    <w:p w14:paraId="5209997D">
      <w:pPr>
        <w:keepNext w:val="0"/>
        <w:keepLines w:val="0"/>
        <w:widowControl/>
        <w:numPr>
          <w:ilvl w:val="0"/>
          <w:numId w:val="4"/>
        </w:numPr>
        <w:suppressLineNumbers w:val="0"/>
        <w:shd w:val="clear" w:color="auto" w:fill="FFFFFF"/>
        <w:spacing w:before="100" w:beforeAutospacing="1" w:after="100" w:afterAutospacing="1"/>
        <w:ind w:right="0" w:rightChars="0" w:firstLine="640" w:firstLineChars="200"/>
        <w:jc w:val="left"/>
        <w:rPr>
          <w:rFonts w:hint="eastAsia" w:ascii="宋体" w:hAnsi="宋体" w:eastAsia="宋体" w:cs="宋体"/>
          <w:i w:val="0"/>
          <w:iCs w:val="0"/>
          <w:caps w:val="0"/>
          <w:color w:val="000000"/>
          <w:spacing w:val="0"/>
          <w:sz w:val="32"/>
          <w:szCs w:val="32"/>
          <w:shd w:val="clear" w:color="auto" w:fill="FFFFFF"/>
          <w:lang w:val="en-US" w:eastAsia="zh-CN"/>
        </w:rPr>
      </w:pPr>
      <w:r>
        <w:rPr>
          <w:rFonts w:hint="eastAsia" w:ascii="宋体" w:hAnsi="宋体" w:eastAsia="宋体" w:cs="宋体"/>
          <w:i w:val="0"/>
          <w:iCs w:val="0"/>
          <w:caps w:val="0"/>
          <w:color w:val="000000"/>
          <w:spacing w:val="0"/>
          <w:sz w:val="32"/>
          <w:szCs w:val="32"/>
          <w:shd w:val="clear" w:color="auto" w:fill="FFFFFF"/>
          <w:lang w:val="en-US" w:eastAsia="zh-CN"/>
        </w:rPr>
        <w:t>医疗业务开展情况</w:t>
      </w:r>
    </w:p>
    <w:p w14:paraId="676877FE">
      <w:pPr>
        <w:keepNext w:val="0"/>
        <w:keepLines w:val="0"/>
        <w:widowControl/>
        <w:numPr>
          <w:ilvl w:val="0"/>
          <w:numId w:val="0"/>
        </w:numPr>
        <w:suppressLineNumbers w:val="0"/>
        <w:shd w:val="clear" w:color="auto" w:fill="FFFFFF"/>
        <w:spacing w:before="100" w:beforeAutospacing="1" w:after="100" w:afterAutospacing="1"/>
        <w:ind w:right="0" w:rightChars="0" w:firstLine="640" w:firstLineChars="200"/>
        <w:jc w:val="left"/>
        <w:rPr>
          <w:rFonts w:hint="eastAsia" w:ascii="宋体" w:hAnsi="宋体" w:eastAsia="宋体" w:cs="宋体"/>
          <w:i w:val="0"/>
          <w:iCs w:val="0"/>
          <w:caps w:val="0"/>
          <w:color w:val="000000"/>
          <w:spacing w:val="0"/>
          <w:sz w:val="32"/>
          <w:szCs w:val="32"/>
          <w:shd w:val="clear" w:color="auto" w:fill="FFFFFF"/>
          <w:lang w:val="en-US" w:eastAsia="zh-CN"/>
        </w:rPr>
      </w:pPr>
      <w:r>
        <w:rPr>
          <w:rFonts w:hint="eastAsia" w:ascii="宋体" w:hAnsi="宋体" w:eastAsia="宋体" w:cs="宋体"/>
          <w:i w:val="0"/>
          <w:iCs w:val="0"/>
          <w:caps w:val="0"/>
          <w:color w:val="000000"/>
          <w:spacing w:val="0"/>
          <w:sz w:val="32"/>
          <w:szCs w:val="32"/>
          <w:shd w:val="clear" w:color="auto" w:fill="FFFFFF"/>
          <w:lang w:val="en-US" w:eastAsia="zh-CN"/>
        </w:rPr>
        <w:t>2024年在全院职工的共同努力下，我院实现医疗业务收入516.4万元，全年完成门急诊人次28260人，住院人次1267人。</w:t>
      </w:r>
    </w:p>
    <w:p w14:paraId="276729DD">
      <w:pPr>
        <w:keepNext w:val="0"/>
        <w:keepLines w:val="0"/>
        <w:widowControl/>
        <w:numPr>
          <w:ilvl w:val="0"/>
          <w:numId w:val="0"/>
        </w:numPr>
        <w:suppressLineNumbers w:val="0"/>
        <w:shd w:val="clear" w:color="auto" w:fill="FFFFFF"/>
        <w:spacing w:before="100" w:beforeAutospacing="1" w:after="100" w:afterAutospacing="1"/>
        <w:ind w:left="640" w:leftChars="0" w:right="0" w:rightChars="0"/>
        <w:jc w:val="left"/>
        <w:rPr>
          <w:rFonts w:hint="eastAsia" w:ascii="宋体" w:hAnsi="宋体" w:eastAsia="宋体" w:cs="宋体"/>
          <w:i w:val="0"/>
          <w:iCs w:val="0"/>
          <w:caps w:val="0"/>
          <w:color w:val="000000"/>
          <w:spacing w:val="0"/>
          <w:sz w:val="32"/>
          <w:szCs w:val="32"/>
          <w:shd w:val="clear" w:color="auto" w:fill="FFFFFF"/>
          <w:lang w:eastAsia="zh-CN"/>
        </w:rPr>
      </w:pPr>
      <w:r>
        <w:rPr>
          <w:rFonts w:hint="eastAsia" w:ascii="宋体" w:hAnsi="宋体" w:eastAsia="宋体" w:cs="宋体"/>
          <w:i w:val="0"/>
          <w:iCs w:val="0"/>
          <w:caps w:val="0"/>
          <w:color w:val="000000"/>
          <w:spacing w:val="0"/>
          <w:sz w:val="32"/>
          <w:szCs w:val="32"/>
          <w:shd w:val="clear" w:color="auto" w:fill="FFFFFF"/>
          <w:lang w:val="en-US" w:eastAsia="zh-CN"/>
        </w:rPr>
        <w:t>（三）</w:t>
      </w:r>
      <w:r>
        <w:rPr>
          <w:rFonts w:hint="eastAsia" w:ascii="宋体" w:hAnsi="宋体" w:eastAsia="宋体" w:cs="宋体"/>
          <w:i w:val="0"/>
          <w:iCs w:val="0"/>
          <w:caps w:val="0"/>
          <w:color w:val="000000"/>
          <w:spacing w:val="0"/>
          <w:sz w:val="32"/>
          <w:szCs w:val="32"/>
          <w:shd w:val="clear" w:color="auto" w:fill="FFFFFF"/>
        </w:rPr>
        <w:t>公卫服务</w:t>
      </w:r>
      <w:r>
        <w:rPr>
          <w:rFonts w:hint="eastAsia" w:ascii="宋体" w:hAnsi="宋体" w:eastAsia="宋体" w:cs="宋体"/>
          <w:i w:val="0"/>
          <w:iCs w:val="0"/>
          <w:caps w:val="0"/>
          <w:color w:val="000000"/>
          <w:spacing w:val="0"/>
          <w:sz w:val="32"/>
          <w:szCs w:val="32"/>
          <w:shd w:val="clear" w:color="auto" w:fill="FFFFFF"/>
          <w:lang w:eastAsia="zh-CN"/>
        </w:rPr>
        <w:t>工作有</w:t>
      </w:r>
      <w:r>
        <w:rPr>
          <w:rFonts w:hint="eastAsia" w:ascii="宋体" w:hAnsi="宋体" w:eastAsia="宋体" w:cs="宋体"/>
          <w:i w:val="0"/>
          <w:iCs w:val="0"/>
          <w:caps w:val="0"/>
          <w:color w:val="000000"/>
          <w:spacing w:val="0"/>
          <w:sz w:val="32"/>
          <w:szCs w:val="32"/>
          <w:shd w:val="clear" w:color="auto" w:fill="FFFFFF"/>
          <w:lang w:eastAsia="zh-CN"/>
        </w:rPr>
        <w:t>序</w:t>
      </w:r>
      <w:r>
        <w:rPr>
          <w:rFonts w:hint="eastAsia" w:ascii="宋体" w:hAnsi="宋体" w:eastAsia="宋体" w:cs="宋体"/>
          <w:i w:val="0"/>
          <w:iCs w:val="0"/>
          <w:caps w:val="0"/>
          <w:color w:val="000000"/>
          <w:spacing w:val="0"/>
          <w:sz w:val="32"/>
          <w:szCs w:val="32"/>
          <w:shd w:val="clear" w:color="auto" w:fill="FFFFFF"/>
          <w:lang w:eastAsia="zh-CN"/>
        </w:rPr>
        <w:t>开展</w:t>
      </w:r>
    </w:p>
    <w:p w14:paraId="4CC2CAA7">
      <w:pPr>
        <w:widowControl/>
        <w:spacing w:line="240" w:lineRule="auto"/>
        <w:ind w:left="0" w:leftChars="0" w:firstLine="640" w:firstLineChars="200"/>
        <w:rPr>
          <w:rFonts w:hint="eastAsia" w:ascii="宋体" w:hAnsi="宋体" w:eastAsia="宋体" w:cs="宋体"/>
          <w:i w:val="0"/>
          <w:iCs w:val="0"/>
          <w:caps w:val="0"/>
          <w:color w:val="000000"/>
          <w:spacing w:val="0"/>
          <w:sz w:val="32"/>
          <w:szCs w:val="32"/>
          <w:shd w:val="clear" w:color="auto" w:fill="FFFFFF"/>
          <w:lang w:val="en-US" w:eastAsia="zh-CN"/>
        </w:rPr>
      </w:pPr>
      <w:r>
        <w:rPr>
          <w:rFonts w:hint="eastAsia" w:ascii="宋体" w:hAnsi="宋体" w:eastAsia="宋体" w:cs="宋体"/>
          <w:i w:val="0"/>
          <w:iCs w:val="0"/>
          <w:caps w:val="0"/>
          <w:color w:val="000000"/>
          <w:spacing w:val="0"/>
          <w:sz w:val="32"/>
          <w:szCs w:val="32"/>
          <w:shd w:val="clear" w:color="auto" w:fill="FFFFFF"/>
          <w:lang w:val="en-US" w:eastAsia="zh-CN"/>
        </w:rPr>
        <w:t>全镇居民健康档案完成</w:t>
      </w:r>
      <w:r>
        <w:rPr>
          <w:rFonts w:hint="eastAsia" w:ascii="宋体" w:hAnsi="宋体" w:eastAsia="宋体" w:cs="宋体"/>
          <w:i w:val="0"/>
          <w:iCs w:val="0"/>
          <w:caps w:val="0"/>
          <w:color w:val="000000"/>
          <w:spacing w:val="0"/>
          <w:sz w:val="32"/>
          <w:szCs w:val="32"/>
          <w:shd w:val="clear" w:color="auto" w:fill="FFFFFF"/>
          <w:lang w:val="en-US" w:eastAsia="zh-CN"/>
        </w:rPr>
        <w:t>41445</w:t>
      </w:r>
      <w:r>
        <w:rPr>
          <w:rFonts w:hint="eastAsia" w:ascii="宋体" w:hAnsi="宋体" w:eastAsia="宋体" w:cs="宋体"/>
          <w:i w:val="0"/>
          <w:iCs w:val="0"/>
          <w:caps w:val="0"/>
          <w:color w:val="000000"/>
          <w:spacing w:val="0"/>
          <w:sz w:val="32"/>
          <w:szCs w:val="32"/>
          <w:shd w:val="clear" w:color="auto" w:fill="FFFFFF"/>
          <w:lang w:val="en-US" w:eastAsia="zh-CN"/>
        </w:rPr>
        <w:t>份，建档立卡贫困户家庭医生签约率达到100%；65岁以上老年人健康管理人数为</w:t>
      </w:r>
      <w:r>
        <w:rPr>
          <w:rFonts w:hint="eastAsia" w:ascii="宋体" w:hAnsi="宋体" w:eastAsia="宋体" w:cs="宋体"/>
          <w:i w:val="0"/>
          <w:iCs w:val="0"/>
          <w:caps w:val="0"/>
          <w:color w:val="000000"/>
          <w:spacing w:val="0"/>
          <w:sz w:val="32"/>
          <w:szCs w:val="32"/>
          <w:shd w:val="clear" w:color="auto" w:fill="FFFFFF"/>
          <w:lang w:val="en-US" w:eastAsia="zh-CN"/>
        </w:rPr>
        <w:t>7248</w:t>
      </w:r>
      <w:r>
        <w:rPr>
          <w:rFonts w:hint="eastAsia" w:ascii="宋体" w:hAnsi="宋体" w:eastAsia="宋体" w:cs="宋体"/>
          <w:i w:val="0"/>
          <w:iCs w:val="0"/>
          <w:caps w:val="0"/>
          <w:color w:val="000000"/>
          <w:spacing w:val="0"/>
          <w:sz w:val="32"/>
          <w:szCs w:val="32"/>
          <w:shd w:val="clear" w:color="auto" w:fill="FFFFFF"/>
          <w:lang w:val="en-US" w:eastAsia="zh-CN"/>
        </w:rPr>
        <w:t>人，完成健康体检</w:t>
      </w:r>
      <w:r>
        <w:rPr>
          <w:rFonts w:hint="eastAsia" w:ascii="宋体" w:hAnsi="宋体" w:eastAsia="宋体" w:cs="宋体"/>
          <w:i w:val="0"/>
          <w:iCs w:val="0"/>
          <w:caps w:val="0"/>
          <w:color w:val="000000"/>
          <w:spacing w:val="0"/>
          <w:sz w:val="32"/>
          <w:szCs w:val="32"/>
          <w:shd w:val="clear" w:color="auto" w:fill="FFFFFF"/>
          <w:lang w:val="en-US" w:eastAsia="zh-CN"/>
        </w:rPr>
        <w:t>5168</w:t>
      </w:r>
      <w:r>
        <w:rPr>
          <w:rFonts w:hint="eastAsia" w:ascii="宋体" w:hAnsi="宋体" w:eastAsia="宋体" w:cs="宋体"/>
          <w:i w:val="0"/>
          <w:iCs w:val="0"/>
          <w:caps w:val="0"/>
          <w:color w:val="000000"/>
          <w:spacing w:val="0"/>
          <w:sz w:val="32"/>
          <w:szCs w:val="32"/>
          <w:shd w:val="clear" w:color="auto" w:fill="FFFFFF"/>
          <w:lang w:val="en-US" w:eastAsia="zh-CN"/>
        </w:rPr>
        <w:t>人；慢病完成情况：高血压</w:t>
      </w:r>
      <w:r>
        <w:rPr>
          <w:rFonts w:hint="eastAsia" w:ascii="宋体" w:hAnsi="宋体" w:eastAsia="宋体" w:cs="宋体"/>
          <w:i w:val="0"/>
          <w:iCs w:val="0"/>
          <w:caps w:val="0"/>
          <w:color w:val="000000"/>
          <w:spacing w:val="0"/>
          <w:sz w:val="32"/>
          <w:szCs w:val="32"/>
          <w:shd w:val="clear" w:color="auto" w:fill="FFFFFF"/>
          <w:lang w:val="en-US" w:eastAsia="zh-CN"/>
        </w:rPr>
        <w:t>3224</w:t>
      </w:r>
      <w:r>
        <w:rPr>
          <w:rFonts w:hint="eastAsia" w:ascii="宋体" w:hAnsi="宋体" w:eastAsia="宋体" w:cs="宋体"/>
          <w:i w:val="0"/>
          <w:iCs w:val="0"/>
          <w:caps w:val="0"/>
          <w:color w:val="000000"/>
          <w:spacing w:val="0"/>
          <w:sz w:val="32"/>
          <w:szCs w:val="32"/>
          <w:shd w:val="clear" w:color="auto" w:fill="FFFFFF"/>
          <w:lang w:val="en-US" w:eastAsia="zh-CN"/>
        </w:rPr>
        <w:t>人、糖尿病</w:t>
      </w:r>
      <w:r>
        <w:rPr>
          <w:rFonts w:hint="eastAsia" w:ascii="宋体" w:hAnsi="宋体" w:eastAsia="宋体" w:cs="宋体"/>
          <w:i w:val="0"/>
          <w:iCs w:val="0"/>
          <w:caps w:val="0"/>
          <w:color w:val="000000"/>
          <w:spacing w:val="0"/>
          <w:sz w:val="32"/>
          <w:szCs w:val="32"/>
          <w:shd w:val="clear" w:color="auto" w:fill="FFFFFF"/>
          <w:lang w:val="en-US" w:eastAsia="zh-CN"/>
        </w:rPr>
        <w:t>1125</w:t>
      </w:r>
      <w:r>
        <w:rPr>
          <w:rFonts w:hint="eastAsia" w:ascii="宋体" w:hAnsi="宋体" w:eastAsia="宋体" w:cs="宋体"/>
          <w:i w:val="0"/>
          <w:iCs w:val="0"/>
          <w:caps w:val="0"/>
          <w:color w:val="000000"/>
          <w:spacing w:val="0"/>
          <w:sz w:val="32"/>
          <w:szCs w:val="32"/>
          <w:shd w:val="clear" w:color="auto" w:fill="FFFFFF"/>
          <w:lang w:val="en-US" w:eastAsia="zh-CN"/>
        </w:rPr>
        <w:t>人、肺结核</w:t>
      </w:r>
      <w:r>
        <w:rPr>
          <w:rFonts w:hint="eastAsia" w:ascii="宋体" w:hAnsi="宋体" w:eastAsia="宋体" w:cs="宋体"/>
          <w:i w:val="0"/>
          <w:iCs w:val="0"/>
          <w:caps w:val="0"/>
          <w:color w:val="000000"/>
          <w:spacing w:val="0"/>
          <w:sz w:val="32"/>
          <w:szCs w:val="32"/>
          <w:shd w:val="clear" w:color="auto" w:fill="FFFFFF"/>
          <w:lang w:val="en-US" w:eastAsia="zh-CN"/>
        </w:rPr>
        <w:t>1</w:t>
      </w:r>
      <w:r>
        <w:rPr>
          <w:rFonts w:hint="eastAsia" w:ascii="宋体" w:hAnsi="宋体" w:eastAsia="宋体" w:cs="宋体"/>
          <w:i w:val="0"/>
          <w:iCs w:val="0"/>
          <w:caps w:val="0"/>
          <w:color w:val="000000"/>
          <w:spacing w:val="0"/>
          <w:sz w:val="32"/>
          <w:szCs w:val="32"/>
          <w:shd w:val="clear" w:color="auto" w:fill="FFFFFF"/>
          <w:lang w:val="en-US" w:eastAsia="zh-CN"/>
        </w:rPr>
        <w:t>2人、严重精神病患者</w:t>
      </w:r>
      <w:r>
        <w:rPr>
          <w:rFonts w:hint="eastAsia" w:ascii="宋体" w:hAnsi="宋体" w:eastAsia="宋体" w:cs="宋体"/>
          <w:i w:val="0"/>
          <w:iCs w:val="0"/>
          <w:caps w:val="0"/>
          <w:color w:val="000000"/>
          <w:spacing w:val="0"/>
          <w:sz w:val="32"/>
          <w:szCs w:val="32"/>
          <w:shd w:val="clear" w:color="auto" w:fill="FFFFFF"/>
          <w:lang w:val="en-US" w:eastAsia="zh-CN"/>
        </w:rPr>
        <w:t>291</w:t>
      </w:r>
      <w:r>
        <w:rPr>
          <w:rFonts w:hint="eastAsia" w:ascii="宋体" w:hAnsi="宋体" w:eastAsia="宋体" w:cs="宋体"/>
          <w:i w:val="0"/>
          <w:iCs w:val="0"/>
          <w:caps w:val="0"/>
          <w:color w:val="000000"/>
          <w:spacing w:val="0"/>
          <w:sz w:val="32"/>
          <w:szCs w:val="32"/>
          <w:shd w:val="clear" w:color="auto" w:fill="FFFFFF"/>
          <w:lang w:val="en-US" w:eastAsia="zh-CN"/>
        </w:rPr>
        <w:t>人，对慢性病人实行100%管理；孕产妇管理：建档管理在册</w:t>
      </w:r>
      <w:r>
        <w:rPr>
          <w:rFonts w:hint="eastAsia" w:ascii="宋体" w:hAnsi="宋体" w:eastAsia="宋体" w:cs="宋体"/>
          <w:i w:val="0"/>
          <w:iCs w:val="0"/>
          <w:caps w:val="0"/>
          <w:color w:val="000000"/>
          <w:spacing w:val="0"/>
          <w:sz w:val="32"/>
          <w:szCs w:val="32"/>
          <w:shd w:val="clear" w:color="auto" w:fill="FFFFFF"/>
          <w:lang w:val="en-US" w:eastAsia="zh-CN"/>
        </w:rPr>
        <w:t>227</w:t>
      </w:r>
      <w:r>
        <w:rPr>
          <w:rFonts w:hint="eastAsia" w:ascii="宋体" w:hAnsi="宋体" w:eastAsia="宋体" w:cs="宋体"/>
          <w:i w:val="0"/>
          <w:iCs w:val="0"/>
          <w:caps w:val="0"/>
          <w:color w:val="000000"/>
          <w:spacing w:val="0"/>
          <w:sz w:val="32"/>
          <w:szCs w:val="32"/>
          <w:shd w:val="clear" w:color="auto" w:fill="FFFFFF"/>
          <w:lang w:val="en-US" w:eastAsia="zh-CN"/>
        </w:rPr>
        <w:t>人，0-6岁儿童健康管理人数</w:t>
      </w:r>
      <w:r>
        <w:rPr>
          <w:rFonts w:hint="eastAsia" w:ascii="宋体" w:hAnsi="宋体" w:eastAsia="宋体" w:cs="宋体"/>
          <w:i w:val="0"/>
          <w:iCs w:val="0"/>
          <w:caps w:val="0"/>
          <w:color w:val="000000"/>
          <w:spacing w:val="0"/>
          <w:sz w:val="32"/>
          <w:szCs w:val="32"/>
          <w:shd w:val="clear" w:color="auto" w:fill="FFFFFF"/>
          <w:lang w:val="en-US" w:eastAsia="zh-CN"/>
        </w:rPr>
        <w:t>1895</w:t>
      </w:r>
      <w:r>
        <w:rPr>
          <w:rFonts w:hint="eastAsia" w:ascii="宋体" w:hAnsi="宋体" w:eastAsia="宋体" w:cs="宋体"/>
          <w:i w:val="0"/>
          <w:iCs w:val="0"/>
          <w:caps w:val="0"/>
          <w:color w:val="000000"/>
          <w:spacing w:val="0"/>
          <w:sz w:val="32"/>
          <w:szCs w:val="32"/>
          <w:shd w:val="clear" w:color="auto" w:fill="FFFFFF"/>
          <w:lang w:val="en-US" w:eastAsia="zh-CN"/>
        </w:rPr>
        <w:t>人，0-6岁预防接种人次</w:t>
      </w:r>
      <w:r>
        <w:rPr>
          <w:rFonts w:hint="eastAsia" w:ascii="宋体" w:hAnsi="宋体" w:eastAsia="宋体" w:cs="宋体"/>
          <w:i w:val="0"/>
          <w:iCs w:val="0"/>
          <w:caps w:val="0"/>
          <w:color w:val="000000"/>
          <w:spacing w:val="0"/>
          <w:sz w:val="32"/>
          <w:szCs w:val="32"/>
          <w:shd w:val="clear" w:color="auto" w:fill="FFFFFF"/>
          <w:lang w:val="en-US" w:eastAsia="zh-CN"/>
        </w:rPr>
        <w:t>2689</w:t>
      </w:r>
      <w:r>
        <w:rPr>
          <w:rFonts w:hint="eastAsia" w:ascii="宋体" w:hAnsi="宋体" w:eastAsia="宋体" w:cs="宋体"/>
          <w:i w:val="0"/>
          <w:iCs w:val="0"/>
          <w:caps w:val="0"/>
          <w:color w:val="000000"/>
          <w:spacing w:val="0"/>
          <w:sz w:val="32"/>
          <w:szCs w:val="32"/>
          <w:shd w:val="clear" w:color="auto" w:fill="FFFFFF"/>
          <w:lang w:val="en-US" w:eastAsia="zh-CN"/>
        </w:rPr>
        <w:t>人次。</w:t>
      </w:r>
    </w:p>
    <w:p w14:paraId="1385A0AD">
      <w:pPr>
        <w:widowControl/>
        <w:spacing w:line="240" w:lineRule="auto"/>
        <w:ind w:left="0" w:leftChars="0" w:firstLine="640" w:firstLineChars="200"/>
        <w:rPr>
          <w:rFonts w:hint="eastAsia" w:ascii="宋体" w:hAnsi="宋体" w:eastAsia="宋体" w:cs="宋体"/>
          <w:i w:val="0"/>
          <w:iCs w:val="0"/>
          <w:caps w:val="0"/>
          <w:color w:val="000000"/>
          <w:spacing w:val="0"/>
          <w:sz w:val="32"/>
          <w:szCs w:val="32"/>
          <w:shd w:val="clear" w:color="auto" w:fill="FFFFFF"/>
          <w:lang w:val="en-US" w:eastAsia="zh-CN"/>
        </w:rPr>
      </w:pPr>
    </w:p>
    <w:p w14:paraId="3E26008E">
      <w:pPr>
        <w:pStyle w:val="3"/>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360" w:firstLineChars="1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（四）整体评价和自评得分情况</w:t>
      </w:r>
    </w:p>
    <w:p w14:paraId="0C8E51AA">
      <w:pPr>
        <w:pStyle w:val="3"/>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通过对部门整体支出情况的概述和实际支出情况的分析，2024年度我院部门整体支出绩效自评分值为96分，自评结论为“优”。具体评价如下：</w:t>
      </w:r>
    </w:p>
    <w:p w14:paraId="5A307371">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产出指标-数量指标-年度内按时完成重点工作任完成（</w:t>
      </w:r>
      <w:r>
        <w:rPr>
          <w:rFonts w:hint="eastAsia" w:ascii="宋体" w:hAnsi="宋体" w:eastAsia="宋体" w:cs="宋体"/>
          <w:color w:val="000000"/>
          <w:kern w:val="0"/>
          <w:sz w:val="32"/>
          <w:szCs w:val="32"/>
          <w:lang w:val="en-US" w:eastAsia="zh-CN"/>
        </w:rPr>
        <w:t>指标分值10分，得分8分）</w:t>
      </w:r>
      <w:r>
        <w:rPr>
          <w:rFonts w:hint="eastAsia" w:ascii="宋体" w:hAnsi="宋体" w:eastAsia="宋体" w:cs="宋体"/>
          <w:b w:val="0"/>
          <w:bCs w:val="0"/>
          <w:snapToGrid w:val="0"/>
          <w:color w:val="000000"/>
          <w:spacing w:val="20"/>
          <w:kern w:val="0"/>
          <w:sz w:val="32"/>
          <w:szCs w:val="32"/>
          <w:lang w:val="en-US" w:eastAsia="zh-CN" w:bidi="ar-SA"/>
        </w:rPr>
        <w:t>，年度指标值43.59万元，实际完成1134.35万元，偏差是因为年度指标值只有人员经费的差额预算，实际完成值包括保障医院正常运行的各种公用经费和全部人员经费。</w:t>
      </w:r>
    </w:p>
    <w:p w14:paraId="3FE0C1EE">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产出指标-质量指标-医疗公共卫生工作覆盖率（</w:t>
      </w:r>
      <w:r>
        <w:rPr>
          <w:rFonts w:hint="eastAsia" w:ascii="宋体" w:hAnsi="宋体" w:eastAsia="宋体" w:cs="宋体"/>
          <w:color w:val="000000"/>
          <w:kern w:val="0"/>
          <w:sz w:val="32"/>
          <w:szCs w:val="32"/>
          <w:lang w:val="en-US" w:eastAsia="zh-CN"/>
        </w:rPr>
        <w:t>指标分值10分，得分9分）</w:t>
      </w:r>
      <w:r>
        <w:rPr>
          <w:rFonts w:hint="eastAsia" w:ascii="宋体" w:hAnsi="宋体" w:eastAsia="宋体" w:cs="宋体"/>
          <w:b w:val="0"/>
          <w:bCs w:val="0"/>
          <w:snapToGrid w:val="0"/>
          <w:color w:val="000000"/>
          <w:spacing w:val="20"/>
          <w:kern w:val="0"/>
          <w:sz w:val="32"/>
          <w:szCs w:val="32"/>
          <w:lang w:val="en-US" w:eastAsia="zh-CN" w:bidi="ar-SA"/>
        </w:rPr>
        <w:t>，年度指标值100%，实际完成值95%，因人员流动性大，公共卫生服务无法百分百服务到每一个人。</w:t>
      </w:r>
    </w:p>
    <w:p w14:paraId="7AC723D2">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产出指标-时效指标-年度内（</w:t>
      </w:r>
      <w:r>
        <w:rPr>
          <w:rFonts w:hint="eastAsia" w:ascii="宋体" w:hAnsi="宋体" w:eastAsia="宋体" w:cs="宋体"/>
          <w:color w:val="000000"/>
          <w:kern w:val="0"/>
          <w:sz w:val="32"/>
          <w:szCs w:val="32"/>
          <w:lang w:val="en-US" w:eastAsia="zh-CN"/>
        </w:rPr>
        <w:t>指标分值10分，得分10分）</w:t>
      </w:r>
      <w:r>
        <w:rPr>
          <w:rFonts w:hint="eastAsia" w:ascii="宋体" w:hAnsi="宋体" w:eastAsia="宋体" w:cs="宋体"/>
          <w:b w:val="0"/>
          <w:bCs w:val="0"/>
          <w:snapToGrid w:val="0"/>
          <w:color w:val="000000"/>
          <w:spacing w:val="20"/>
          <w:kern w:val="0"/>
          <w:sz w:val="32"/>
          <w:szCs w:val="32"/>
          <w:lang w:val="en-US" w:eastAsia="zh-CN" w:bidi="ar-SA"/>
        </w:rPr>
        <w:t>，年度指标值1年，实际完成值1年。</w:t>
      </w:r>
    </w:p>
    <w:p w14:paraId="356BBD2A">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效益指标-经济效益指标-医疗公共卫生健康服务（</w:t>
      </w:r>
      <w:r>
        <w:rPr>
          <w:rFonts w:hint="eastAsia" w:ascii="宋体" w:hAnsi="宋体" w:eastAsia="宋体" w:cs="宋体"/>
          <w:color w:val="000000"/>
          <w:kern w:val="0"/>
          <w:sz w:val="32"/>
          <w:szCs w:val="32"/>
          <w:lang w:val="en-US" w:eastAsia="zh-CN"/>
        </w:rPr>
        <w:t>指标分值10分，得分9分）</w:t>
      </w:r>
      <w:r>
        <w:rPr>
          <w:rFonts w:hint="eastAsia" w:ascii="宋体" w:hAnsi="宋体" w:eastAsia="宋体" w:cs="宋体"/>
          <w:b w:val="0"/>
          <w:bCs w:val="0"/>
          <w:snapToGrid w:val="0"/>
          <w:color w:val="000000"/>
          <w:spacing w:val="20"/>
          <w:kern w:val="0"/>
          <w:sz w:val="32"/>
          <w:szCs w:val="32"/>
          <w:lang w:val="en-US" w:eastAsia="zh-CN" w:bidi="ar-SA"/>
        </w:rPr>
        <w:t>，年度指标值医疗公共卫生健康事业发展，实际完成值医疗公共卫生健康事业发展良好，偏差原因为专业医护人员和公共卫生人员不够，导致工作推进缓慢，无法达到预期目标。</w:t>
      </w:r>
    </w:p>
    <w:p w14:paraId="755718EE">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效益指标-社会效益指标-履行医疗公共卫生工作职责（</w:t>
      </w:r>
      <w:r>
        <w:rPr>
          <w:rFonts w:hint="eastAsia" w:ascii="宋体" w:hAnsi="宋体" w:eastAsia="宋体" w:cs="宋体"/>
          <w:color w:val="000000"/>
          <w:kern w:val="0"/>
          <w:sz w:val="32"/>
          <w:szCs w:val="32"/>
          <w:lang w:val="en-US" w:eastAsia="zh-CN"/>
        </w:rPr>
        <w:t>指标分值10分，得分10分）</w:t>
      </w:r>
      <w:r>
        <w:rPr>
          <w:rFonts w:hint="eastAsia" w:ascii="宋体" w:hAnsi="宋体" w:eastAsia="宋体" w:cs="宋体"/>
          <w:b w:val="0"/>
          <w:bCs w:val="0"/>
          <w:snapToGrid w:val="0"/>
          <w:color w:val="000000"/>
          <w:spacing w:val="20"/>
          <w:kern w:val="0"/>
          <w:sz w:val="32"/>
          <w:szCs w:val="32"/>
          <w:lang w:val="en-US" w:eastAsia="zh-CN" w:bidi="ar-SA"/>
        </w:rPr>
        <w:t>，年度指标值职责履行情况，实际完成值已经按照上级要求履行医疗公共卫生工作职责。</w:t>
      </w:r>
    </w:p>
    <w:p w14:paraId="39C52084">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效益指标-生态效益指标-医疗公共卫生健康服务（</w:t>
      </w:r>
      <w:r>
        <w:rPr>
          <w:rFonts w:hint="eastAsia" w:ascii="宋体" w:hAnsi="宋体" w:eastAsia="宋体" w:cs="宋体"/>
          <w:color w:val="000000"/>
          <w:kern w:val="0"/>
          <w:sz w:val="32"/>
          <w:szCs w:val="32"/>
          <w:lang w:val="en-US" w:eastAsia="zh-CN"/>
        </w:rPr>
        <w:t>指标分值10分，得分10分）</w:t>
      </w:r>
      <w:r>
        <w:rPr>
          <w:rFonts w:hint="eastAsia" w:ascii="宋体" w:hAnsi="宋体" w:eastAsia="宋体" w:cs="宋体"/>
          <w:b w:val="0"/>
          <w:bCs w:val="0"/>
          <w:snapToGrid w:val="0"/>
          <w:color w:val="000000"/>
          <w:spacing w:val="20"/>
          <w:kern w:val="0"/>
          <w:sz w:val="32"/>
          <w:szCs w:val="32"/>
          <w:lang w:val="en-US" w:eastAsia="zh-CN" w:bidi="ar-SA"/>
        </w:rPr>
        <w:t>，年度指标值医疗公共卫生健康事业发展，实际完成值医疗公共卫生健康事业发展。</w:t>
      </w:r>
    </w:p>
    <w:p w14:paraId="2E6C79FC">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72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b w:val="0"/>
          <w:bCs w:val="0"/>
          <w:snapToGrid w:val="0"/>
          <w:color w:val="000000"/>
          <w:spacing w:val="20"/>
          <w:kern w:val="0"/>
          <w:sz w:val="32"/>
          <w:szCs w:val="32"/>
          <w:lang w:val="en-US" w:eastAsia="zh-CN" w:bidi="ar-SA"/>
        </w:rPr>
        <w:t>效益指标-可持续影响指标-人民群众医疗健康服务受益度（</w:t>
      </w:r>
      <w:r>
        <w:rPr>
          <w:rFonts w:hint="eastAsia" w:ascii="宋体" w:hAnsi="宋体" w:eastAsia="宋体" w:cs="宋体"/>
          <w:color w:val="000000"/>
          <w:kern w:val="0"/>
          <w:sz w:val="32"/>
          <w:szCs w:val="32"/>
          <w:lang w:val="en-US" w:eastAsia="zh-CN"/>
        </w:rPr>
        <w:t>指标分值10分，得分10分），年度指标值稳步提高，实际完成值稳步提高。</w:t>
      </w:r>
    </w:p>
    <w:p w14:paraId="597C826D">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color w:val="000000"/>
          <w:kern w:val="0"/>
          <w:sz w:val="32"/>
          <w:szCs w:val="32"/>
          <w:lang w:val="en-US" w:eastAsia="zh-CN"/>
        </w:rPr>
        <w:t>满意度指标-服务对像满意度指标-服务对像满意度</w:t>
      </w:r>
      <w:r>
        <w:rPr>
          <w:rFonts w:hint="eastAsia" w:ascii="宋体" w:hAnsi="宋体" w:eastAsia="宋体" w:cs="宋体"/>
          <w:b w:val="0"/>
          <w:bCs w:val="0"/>
          <w:snapToGrid w:val="0"/>
          <w:color w:val="000000"/>
          <w:spacing w:val="20"/>
          <w:kern w:val="0"/>
          <w:sz w:val="32"/>
          <w:szCs w:val="32"/>
          <w:lang w:val="en-US" w:eastAsia="zh-CN" w:bidi="ar-SA"/>
        </w:rPr>
        <w:t>（</w:t>
      </w:r>
      <w:r>
        <w:rPr>
          <w:rFonts w:hint="eastAsia" w:ascii="宋体" w:hAnsi="宋体" w:eastAsia="宋体" w:cs="宋体"/>
          <w:color w:val="000000"/>
          <w:kern w:val="0"/>
          <w:sz w:val="32"/>
          <w:szCs w:val="32"/>
          <w:lang w:val="en-US" w:eastAsia="zh-CN"/>
        </w:rPr>
        <w:t>指标分值10分，得分10分），年度指标值95%。实际完成值95%。</w:t>
      </w:r>
    </w:p>
    <w:p w14:paraId="2DC0A2DF">
      <w:pPr>
        <w:pStyle w:val="3"/>
        <w:keepNext w:val="0"/>
        <w:keepLines w:val="0"/>
        <w:pageBreakBefore w:val="0"/>
        <w:widowControl w:val="0"/>
        <w:numPr>
          <w:ilvl w:val="0"/>
          <w:numId w:val="5"/>
        </w:numPr>
        <w:suppressLineNumbers w:val="0"/>
        <w:shd w:val="clear" w:color="auto" w:fill="auto"/>
        <w:tabs>
          <w:tab w:val="clear" w:pos="312"/>
        </w:tabs>
        <w:kinsoku/>
        <w:wordWrap/>
        <w:overflowPunct/>
        <w:topLinePunct w:val="0"/>
        <w:autoSpaceDE/>
        <w:autoSpaceDN/>
        <w:bidi w:val="0"/>
        <w:adjustRightInd/>
        <w:snapToGrid/>
        <w:spacing w:before="0" w:beforeAutospacing="0" w:afterAutospacing="0" w:line="560" w:lineRule="exact"/>
        <w:ind w:right="0" w:rightChars="0" w:firstLine="640" w:firstLineChars="200"/>
        <w:jc w:val="both"/>
        <w:textAlignment w:val="auto"/>
        <w:rPr>
          <w:rFonts w:hint="eastAsia" w:ascii="宋体" w:hAnsi="宋体" w:eastAsia="宋体" w:cs="宋体"/>
          <w:b w:val="0"/>
          <w:bCs w:val="0"/>
          <w:snapToGrid w:val="0"/>
          <w:color w:val="000000"/>
          <w:spacing w:val="20"/>
          <w:kern w:val="0"/>
          <w:sz w:val="32"/>
          <w:szCs w:val="32"/>
          <w:lang w:val="en-US" w:eastAsia="zh-CN" w:bidi="ar-SA"/>
        </w:rPr>
      </w:pPr>
      <w:r>
        <w:rPr>
          <w:rFonts w:hint="eastAsia" w:ascii="宋体" w:hAnsi="宋体" w:eastAsia="宋体" w:cs="宋体"/>
          <w:color w:val="000000"/>
          <w:kern w:val="0"/>
          <w:sz w:val="32"/>
          <w:szCs w:val="32"/>
          <w:lang w:val="en-US" w:eastAsia="zh-CN"/>
        </w:rPr>
        <w:t>成本指标-生态环境成本指标-成本控制有效性</w:t>
      </w:r>
      <w:r>
        <w:rPr>
          <w:rFonts w:hint="eastAsia" w:ascii="宋体" w:hAnsi="宋体" w:eastAsia="宋体" w:cs="宋体"/>
          <w:b w:val="0"/>
          <w:bCs w:val="0"/>
          <w:snapToGrid w:val="0"/>
          <w:color w:val="000000"/>
          <w:spacing w:val="20"/>
          <w:kern w:val="0"/>
          <w:sz w:val="32"/>
          <w:szCs w:val="32"/>
          <w:lang w:val="en-US" w:eastAsia="zh-CN" w:bidi="ar-SA"/>
        </w:rPr>
        <w:t>（</w:t>
      </w:r>
      <w:r>
        <w:rPr>
          <w:rFonts w:hint="eastAsia" w:ascii="宋体" w:hAnsi="宋体" w:eastAsia="宋体" w:cs="宋体"/>
          <w:color w:val="000000"/>
          <w:kern w:val="0"/>
          <w:sz w:val="32"/>
          <w:szCs w:val="32"/>
          <w:lang w:val="en-US" w:eastAsia="zh-CN"/>
        </w:rPr>
        <w:t>指标分值10分，得分10分），年度指标值严格按照财政有关经费标准执行，实际完成值严格按照财政有关经费标准执行。</w:t>
      </w:r>
    </w:p>
    <w:p w14:paraId="2E7A1D07">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color w:val="000000"/>
          <w:kern w:val="0"/>
          <w:sz w:val="32"/>
          <w:szCs w:val="32"/>
        </w:rPr>
      </w:pPr>
    </w:p>
    <w:p w14:paraId="54A888B6">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七、存在的问题及原因分析</w:t>
      </w:r>
    </w:p>
    <w:p w14:paraId="7D1FE164">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通过对各项支出数据与绩效指标完成情况对比分析发现，整体预算执行进度为</w:t>
      </w:r>
      <w:r>
        <w:rPr>
          <w:rFonts w:hint="eastAsia" w:ascii="宋体" w:hAnsi="宋体" w:eastAsia="宋体" w:cs="宋体"/>
          <w:color w:val="000000"/>
          <w:kern w:val="0"/>
          <w:sz w:val="32"/>
          <w:szCs w:val="32"/>
          <w:lang w:val="en-US" w:eastAsia="zh-CN"/>
        </w:rPr>
        <w:t>96%，其中部份关键预算支出在产出数量﹑质量及效益达成等方面，与预设绩效目标存不同偏差。主要原因一是预算编制不合理，年度预算只有人员经费的差额预算，实际完成包括保障医院正常运行的各种公用经费及全部的人员经费；二是资源配置不足，主要是乡镇卫生院专业人才储备不足，人员调配不合理，医疗设备有限，影响整体效益。</w:t>
      </w:r>
    </w:p>
    <w:p w14:paraId="1DC6D7B4">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lang w:eastAsia="zh-CN"/>
        </w:rPr>
        <w:t>八﹑</w:t>
      </w:r>
      <w:r>
        <w:rPr>
          <w:rFonts w:hint="eastAsia" w:ascii="宋体" w:hAnsi="宋体" w:eastAsia="宋体" w:cs="宋体"/>
          <w:color w:val="000000"/>
          <w:kern w:val="0"/>
          <w:sz w:val="32"/>
          <w:szCs w:val="32"/>
        </w:rPr>
        <w:t>下一步改进措施</w:t>
      </w:r>
    </w:p>
    <w:p w14:paraId="19FBE511">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1</w:t>
      </w:r>
      <w:r>
        <w:rPr>
          <w:rFonts w:hint="eastAsia" w:ascii="宋体" w:hAnsi="宋体" w:eastAsia="宋体" w:cs="宋体"/>
          <w:color w:val="000000"/>
          <w:kern w:val="0"/>
          <w:sz w:val="32"/>
          <w:szCs w:val="32"/>
          <w:lang w:val="en-US" w:eastAsia="zh-CN"/>
        </w:rPr>
        <w:t>. 全面预算覆盖</w:t>
      </w:r>
    </w:p>
    <w:p w14:paraId="01DDF29B">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打破仅编制人员经费差额预算的局限，启动全面预算编制机制。深入调研医院各科室、各业务环节在未来一年的运营需求，涵盖医疗设备采购与维护、药品耗材供应、办公设施更新、水电物业等公用经费，以及人员培训、学术交流等人力资源发展费用，确保预算能完整反映医院维持正常运转及提升服务质量所需的各项资金投入。</w:t>
      </w:r>
    </w:p>
    <w:p w14:paraId="0CFC71B0">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2.人才队伍建设</w:t>
      </w:r>
    </w:p>
    <w:p w14:paraId="59C6EE35">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 xml:space="preserve"> 人才培养与发展：加大内部培训投入，设立专项培训基金，用于支持医护人员参加线上线下学术讲座、专业技能培训课程、进修深造等活动，鼓励医护人员提升学历和专业资质。建立院内导师制，由经验丰富的资深医生带教年轻医生，加速人才成长；定期组织内部业务交流与案例分享会，促进知识共享与技术传承，提高乡镇卫生院人才队伍的整体素质。</w:t>
      </w:r>
    </w:p>
    <w:p w14:paraId="45800389">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3.医疗设备管理</w:t>
      </w:r>
    </w:p>
    <w:p w14:paraId="2D02F1F4">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探索乡镇卫生院间医疗设备共享模式，对于一些昂贵的大型设备（如 CT 扫描仪、核磁共振成像仪等），在区域内通过信息化平台实现设备预约共享使用，提高设备利用率，降低设备购置成本分摊压力，让有限的医疗设备资源惠及更多患者。</w:t>
      </w:r>
    </w:p>
    <w:p w14:paraId="78602ED9">
      <w:pPr>
        <w:keepNext w:val="0"/>
        <w:keepLines w:val="0"/>
        <w:pageBreakBefore w:val="0"/>
        <w:widowControl/>
        <w:numPr>
          <w:ilvl w:val="0"/>
          <w:numId w:val="0"/>
        </w:numPr>
        <w:kinsoku/>
        <w:wordWrap/>
        <w:overflowPunct/>
        <w:topLinePunct w:val="0"/>
        <w:autoSpaceDE/>
        <w:autoSpaceDN/>
        <w:bidi w:val="0"/>
        <w:adjustRightInd/>
        <w:snapToGrid/>
        <w:spacing w:line="576" w:lineRule="exact"/>
        <w:ind w:leftChars="200"/>
        <w:jc w:val="left"/>
        <w:textAlignment w:val="auto"/>
        <w:rPr>
          <w:rFonts w:hint="eastAsia" w:ascii="宋体" w:hAnsi="宋体" w:eastAsia="宋体" w:cs="宋体"/>
          <w:color w:val="000000"/>
          <w:kern w:val="0"/>
          <w:sz w:val="32"/>
          <w:szCs w:val="32"/>
        </w:rPr>
      </w:pPr>
    </w:p>
    <w:p w14:paraId="3A180A70">
      <w:pPr>
        <w:keepNext w:val="0"/>
        <w:keepLines w:val="0"/>
        <w:pageBreakBefore w:val="0"/>
        <w:widowControl/>
        <w:numPr>
          <w:ilvl w:val="0"/>
          <w:numId w:val="6"/>
        </w:numPr>
        <w:kinsoku/>
        <w:wordWrap/>
        <w:overflowPunct/>
        <w:topLinePunct w:val="0"/>
        <w:autoSpaceDE/>
        <w:autoSpaceDN/>
        <w:bidi w:val="0"/>
        <w:adjustRightInd/>
        <w:snapToGrid/>
        <w:spacing w:line="576" w:lineRule="exact"/>
        <w:ind w:firstLine="640" w:firstLineChars="200"/>
        <w:jc w:val="left"/>
        <w:textAlignment w:val="auto"/>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绩效自评结果拟应用和公开情况</w:t>
      </w:r>
    </w:p>
    <w:p w14:paraId="611C9C5C">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color w:val="000000"/>
          <w:kern w:val="0"/>
          <w:sz w:val="32"/>
          <w:szCs w:val="32"/>
          <w:lang w:val="en-US" w:eastAsia="zh-CN"/>
        </w:rPr>
      </w:pPr>
      <w:r>
        <w:rPr>
          <w:rFonts w:hint="eastAsia" w:ascii="宋体" w:hAnsi="宋体" w:eastAsia="宋体" w:cs="宋体"/>
          <w:color w:val="000000"/>
          <w:kern w:val="0"/>
          <w:sz w:val="32"/>
          <w:szCs w:val="32"/>
          <w:lang w:val="en-US" w:eastAsia="zh-CN"/>
        </w:rPr>
        <w:t xml:space="preserve">     </w:t>
      </w:r>
      <w:r>
        <w:rPr>
          <w:rFonts w:hint="eastAsia" w:ascii="宋体" w:hAnsi="宋体" w:eastAsia="宋体" w:cs="宋体"/>
          <w:color w:val="000000"/>
          <w:kern w:val="0"/>
          <w:sz w:val="32"/>
          <w:szCs w:val="32"/>
          <w:lang w:eastAsia="zh-CN"/>
        </w:rPr>
        <w:t>此次绩效自评结果主要是根据《安财绩【</w:t>
      </w:r>
      <w:r>
        <w:rPr>
          <w:rFonts w:hint="eastAsia" w:ascii="宋体" w:hAnsi="宋体" w:eastAsia="宋体" w:cs="宋体"/>
          <w:color w:val="000000"/>
          <w:kern w:val="0"/>
          <w:sz w:val="32"/>
          <w:szCs w:val="32"/>
          <w:lang w:val="en-US" w:eastAsia="zh-CN"/>
        </w:rPr>
        <w:t>2025】1号 关于开展2024年度预算支出绩效自评工作的通知》要求，在财政内网进行填报，自评表和自评报告数据真实，内容完整，结果客观。我院将绩效自评结果作为完善政策和改进管理的重要依据，同时加强评价结果的应用，切实提高部门预算绩效管理水平，此自评结果将依法予以公开。</w:t>
      </w:r>
    </w:p>
    <w:p w14:paraId="619D0906">
      <w:pPr>
        <w:keepNext w:val="0"/>
        <w:keepLines w:val="0"/>
        <w:pageBreakBefore w:val="0"/>
        <w:widowControl/>
        <w:numPr>
          <w:ilvl w:val="0"/>
          <w:numId w:val="0"/>
        </w:numPr>
        <w:kinsoku/>
        <w:wordWrap/>
        <w:overflowPunct/>
        <w:topLinePunct w:val="0"/>
        <w:autoSpaceDE/>
        <w:autoSpaceDN/>
        <w:bidi w:val="0"/>
        <w:adjustRightInd/>
        <w:snapToGrid/>
        <w:spacing w:line="576" w:lineRule="exact"/>
        <w:jc w:val="left"/>
        <w:textAlignment w:val="auto"/>
        <w:rPr>
          <w:rFonts w:hint="eastAsia" w:ascii="宋体" w:hAnsi="宋体" w:eastAsia="宋体" w:cs="宋体"/>
          <w:color w:val="000000"/>
          <w:kern w:val="0"/>
          <w:sz w:val="32"/>
          <w:szCs w:val="32"/>
          <w:lang w:val="en-US" w:eastAsia="zh-CN"/>
        </w:rPr>
      </w:pPr>
    </w:p>
    <w:p w14:paraId="4440A6A0">
      <w:pPr>
        <w:numPr>
          <w:ilvl w:val="0"/>
          <w:numId w:val="6"/>
        </w:numPr>
        <w:ind w:left="0" w:leftChars="0" w:firstLine="640" w:firstLineChars="200"/>
        <w:rPr>
          <w:rFonts w:hint="eastAsia" w:ascii="宋体" w:hAnsi="宋体" w:eastAsia="宋体" w:cs="宋体"/>
          <w:color w:val="000000"/>
          <w:kern w:val="0"/>
          <w:sz w:val="32"/>
          <w:szCs w:val="32"/>
        </w:rPr>
      </w:pPr>
      <w:r>
        <w:rPr>
          <w:rFonts w:hint="eastAsia" w:ascii="宋体" w:hAnsi="宋体" w:eastAsia="宋体" w:cs="宋体"/>
          <w:color w:val="000000"/>
          <w:kern w:val="0"/>
          <w:sz w:val="32"/>
          <w:szCs w:val="32"/>
        </w:rPr>
        <w:t>其他需要说明的情况</w:t>
      </w:r>
    </w:p>
    <w:p w14:paraId="51395046">
      <w:pPr>
        <w:numPr>
          <w:ilvl w:val="0"/>
          <w:numId w:val="0"/>
        </w:numPr>
        <w:ind w:leftChars="200"/>
        <w:rPr>
          <w:rFonts w:hint="eastAsia" w:ascii="宋体" w:hAnsi="宋体" w:eastAsia="宋体" w:cs="宋体"/>
        </w:rPr>
      </w:pPr>
      <w:r>
        <w:rPr>
          <w:rFonts w:hint="eastAsia" w:ascii="宋体" w:hAnsi="宋体" w:eastAsia="宋体" w:cs="宋体"/>
          <w:color w:val="000000"/>
          <w:kern w:val="0"/>
          <w:sz w:val="32"/>
          <w:szCs w:val="32"/>
          <w:lang w:val="en-US" w:eastAsia="zh-CN"/>
        </w:rPr>
        <w:t>我院2024年部门预算执行情况绩效自评工作开展情况，无其他需要说明的问题。</w:t>
      </w:r>
      <w:r>
        <w:rPr>
          <w:rFonts w:hint="eastAsia" w:ascii="宋体" w:hAnsi="宋体" w:eastAsia="宋体" w:cs="宋体"/>
          <w:kern w:val="0"/>
          <w:sz w:val="22"/>
        </w:rPr>
        <w:br w:type="page"/>
      </w:r>
      <w:r>
        <w:rPr>
          <w:rFonts w:hint="eastAsia" w:ascii="宋体" w:hAnsi="宋体" w:eastAsia="宋体" w:cs="宋体"/>
          <w:kern w:val="0"/>
          <w:sz w:val="2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E3BBE"/>
    <w:multiLevelType w:val="singleLevel"/>
    <w:tmpl w:val="82EE3BBE"/>
    <w:lvl w:ilvl="0" w:tentative="0">
      <w:start w:val="1"/>
      <w:numFmt w:val="decimal"/>
      <w:lvlText w:val="%1."/>
      <w:lvlJc w:val="left"/>
      <w:pPr>
        <w:tabs>
          <w:tab w:val="left" w:pos="312"/>
        </w:tabs>
      </w:pPr>
    </w:lvl>
  </w:abstractNum>
  <w:abstractNum w:abstractNumId="1">
    <w:nsid w:val="E16E550B"/>
    <w:multiLevelType w:val="singleLevel"/>
    <w:tmpl w:val="E16E550B"/>
    <w:lvl w:ilvl="0" w:tentative="0">
      <w:start w:val="2"/>
      <w:numFmt w:val="chineseCounting"/>
      <w:lvlText w:val="(%1)"/>
      <w:lvlJc w:val="left"/>
      <w:pPr>
        <w:tabs>
          <w:tab w:val="left" w:pos="312"/>
        </w:tabs>
      </w:pPr>
      <w:rPr>
        <w:rFonts w:hint="eastAsia"/>
      </w:rPr>
    </w:lvl>
  </w:abstractNum>
  <w:abstractNum w:abstractNumId="2">
    <w:nsid w:val="FAC5E495"/>
    <w:multiLevelType w:val="singleLevel"/>
    <w:tmpl w:val="FAC5E495"/>
    <w:lvl w:ilvl="0" w:tentative="0">
      <w:start w:val="3"/>
      <w:numFmt w:val="chineseCounting"/>
      <w:suff w:val="nothing"/>
      <w:lvlText w:val="%1、"/>
      <w:lvlJc w:val="left"/>
      <w:rPr>
        <w:rFonts w:hint="eastAsia"/>
      </w:rPr>
    </w:lvl>
  </w:abstractNum>
  <w:abstractNum w:abstractNumId="3">
    <w:nsid w:val="1CD8A8E8"/>
    <w:multiLevelType w:val="singleLevel"/>
    <w:tmpl w:val="1CD8A8E8"/>
    <w:lvl w:ilvl="0" w:tentative="0">
      <w:start w:val="2"/>
      <w:numFmt w:val="chineseCounting"/>
      <w:suff w:val="nothing"/>
      <w:lvlText w:val="（%1）"/>
      <w:lvlJc w:val="left"/>
      <w:rPr>
        <w:rFonts w:hint="eastAsia"/>
      </w:rPr>
    </w:lvl>
  </w:abstractNum>
  <w:abstractNum w:abstractNumId="4">
    <w:nsid w:val="3AA8D62C"/>
    <w:multiLevelType w:val="singleLevel"/>
    <w:tmpl w:val="3AA8D62C"/>
    <w:lvl w:ilvl="0" w:tentative="0">
      <w:start w:val="1"/>
      <w:numFmt w:val="decimal"/>
      <w:lvlText w:val="%1."/>
      <w:lvlJc w:val="left"/>
      <w:pPr>
        <w:tabs>
          <w:tab w:val="left" w:pos="312"/>
        </w:tabs>
      </w:pPr>
    </w:lvl>
  </w:abstractNum>
  <w:abstractNum w:abstractNumId="5">
    <w:nsid w:val="3EAA1E1C"/>
    <w:multiLevelType w:val="singleLevel"/>
    <w:tmpl w:val="3EAA1E1C"/>
    <w:lvl w:ilvl="0" w:tentative="0">
      <w:start w:val="9"/>
      <w:numFmt w:val="chineseCounting"/>
      <w:suff w:val="nothing"/>
      <w:lvlText w:val="%1、"/>
      <w:lvlJc w:val="left"/>
      <w:rPr>
        <w:rFonts w:hint="eastAsia"/>
      </w:rPr>
    </w:lvl>
  </w:abstractNum>
  <w:num w:numId="1">
    <w:abstractNumId w:val="4"/>
  </w:num>
  <w:num w:numId="2">
    <w:abstractNumId w:val="1"/>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334710"/>
    <w:rsid w:val="0B2204AC"/>
    <w:rsid w:val="21806CA1"/>
    <w:rsid w:val="2A334710"/>
    <w:rsid w:val="655905E8"/>
    <w:rsid w:val="74EA7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semiHidden/>
    <w:qFormat/>
    <w:uiPriority w:val="99"/>
    <w:rPr>
      <w:rFonts w:ascii="黑体" w:hAnsi="黑体" w:eastAsia="黑体" w:cs="黑体"/>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2923</Words>
  <Characters>3117</Characters>
  <Lines>0</Lines>
  <Paragraphs>0</Paragraphs>
  <TotalTime>7</TotalTime>
  <ScaleCrop>false</ScaleCrop>
  <LinksUpToDate>false</LinksUpToDate>
  <CharactersWithSpaces>3154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2025-04-16T08:37:00Z</dcterms:created>
  <dc:creator>Administrator</dc:creator>
  <cp:lastModifiedBy>Administrator</cp:lastModifiedBy>
  <dcterms:modified xsi:type="dcterms:W3CDTF">2025-04-18T08:30:52Z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943B1D9FC35142E2A30F79F8D5E97AC3_11</vt:lpwstr>
  </property>
  <property fmtid="{D5CDD505-2E9C-101B-9397-08002B2CF9AE}" pid="4" name="KSOTemplateDocerSaveRecord">
    <vt:lpwstr>eyJoZGlkIjoiMzFhYTNlYjFlZDMyNWI2Mjc0ZWQ4ZTU5NDljOGI5M2IifQ==</vt:lpwstr>
  </property>
</Properties>
</file>