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CC4B">
      <w:pPr>
        <w:pStyle w:val="1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  <w:bookmarkStart w:id="4" w:name="_GoBack"/>
      <w:bookmarkStart w:id="0" w:name="bookmark2"/>
      <w:bookmarkStart w:id="1" w:name="bookmark3"/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drawing>
          <wp:inline distT="0" distB="0" distL="114300" distR="114300">
            <wp:extent cx="5759450" cy="7920990"/>
            <wp:effectExtent l="0" t="0" r="12700" b="3810"/>
            <wp:docPr id="2" name="图片 2" descr="微信图片_2025042516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04251635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"/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202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年度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  <w:lang w:val="en-US" w:eastAsia="zh-CN"/>
        </w:rPr>
        <w:t>安化县江南镇卫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生院</w:t>
      </w:r>
    </w:p>
    <w:p w14:paraId="40DD6CCA">
      <w:pPr>
        <w:pStyle w:val="15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整体支出</w:t>
      </w:r>
      <w:bookmarkEnd w:id="0"/>
      <w:bookmarkEnd w:id="1"/>
      <w:bookmarkStart w:id="2" w:name="bookmark5"/>
      <w:bookmarkStart w:id="3" w:name="bookmark4"/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绩效自评报告</w:t>
      </w:r>
      <w:bookmarkEnd w:id="2"/>
      <w:bookmarkEnd w:id="3"/>
    </w:p>
    <w:p w14:paraId="75797596">
      <w:pPr>
        <w:pStyle w:val="15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</w:p>
    <w:p w14:paraId="559833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  <w:t xml:space="preserve"> 按照安化县财政局《关于开展2024年度预算支出绩效自评工作的通知》（安财绩〔2025〕1号）要求， 我单位高度重视，积极组织人员对2024年部门整体支出情况进行了清理，现将自评情况公开如下：</w:t>
      </w:r>
    </w:p>
    <w:p w14:paraId="2F672E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</w:pPr>
    </w:p>
    <w:p w14:paraId="1057EA02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部门（单位）基本情况</w:t>
      </w:r>
    </w:p>
    <w:p w14:paraId="5AFEB5CD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Chars="200"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（一）职能职责。</w:t>
      </w:r>
    </w:p>
    <w:p w14:paraId="5B09E42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（Ⅰ）提供公共卫生服务</w:t>
      </w:r>
    </w:p>
    <w:p w14:paraId="21E6D5B6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 落实农村居民健康档案管理及服务。</w:t>
      </w:r>
    </w:p>
    <w:p w14:paraId="776A089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2普及卫生保健常识，实施重点人群及重点场所健康教育。</w:t>
      </w:r>
    </w:p>
    <w:p w14:paraId="3CC66FB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3规范预防接种服务，执行国家免疫规划。</w:t>
      </w:r>
    </w:p>
    <w:p w14:paraId="19F77011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4及时发现、登记并报告辖区内发现的传染病病例和疑似病例，参与现场疫情处理。</w:t>
      </w:r>
    </w:p>
    <w:p w14:paraId="6DF26BEE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5 开展新生儿访视及儿童保健系统管理，进行体格检查和生长发育监测及评价，开展健康指导。</w:t>
      </w:r>
    </w:p>
    <w:p w14:paraId="2C25ABD6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6开展孕产妇保健系统管理和产后随访，进行一般体格检查及孕期营养，心理健康指导。</w:t>
      </w:r>
    </w:p>
    <w:p w14:paraId="7580702E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7对辖区内65岁及以上老年人进行登记管理，进行健康危险因素调查和一般体格检查，开展健康指导。</w:t>
      </w:r>
    </w:p>
    <w:p w14:paraId="5C0A174C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8对高血压、糖尿病、肺结核等慢性病高危人群进行指导，对确诊高血压、糖尿病等慢性病病例进行登记管理、定期随访和健康指导。</w:t>
      </w:r>
    </w:p>
    <w:p w14:paraId="181C67D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9对辖区内重性精神疾病患者进行登记管理、治疗随访和康复指导。</w:t>
      </w:r>
    </w:p>
    <w:p w14:paraId="063C286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10协助处理辖区内突发公共卫生事件。</w:t>
      </w:r>
    </w:p>
    <w:p w14:paraId="032B93C2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11接受县疾控中心和县卫健局委托，对辖区内传染病防治、学校卫生、食品卫生、饮水卫生、职业卫生、以及村级预防保健工作进行指导、培训、考核与监督。</w:t>
      </w:r>
    </w:p>
    <w:p w14:paraId="3B2FEB60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（Ⅱ）提供基本医疗服务</w:t>
      </w:r>
    </w:p>
    <w:p w14:paraId="4ADAB825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1使用适宜医疗技术和中医药技术正确处理常见病、多发病，对疑难病症进行恰当的处理与转诊。承担乡村现场应急救护、转诊服务和康复服务。</w:t>
      </w:r>
    </w:p>
    <w:p w14:paraId="24E5E032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2临床科室重点设置门急诊科、住院综合科、预防接种科、妇幼保健科、儿保科、中医科等加强急诊急救等建设。</w:t>
      </w:r>
    </w:p>
    <w:p w14:paraId="7E51220F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3健全消毒隔离制度，遵守无菌操作规程，加强医疗质量管理。做好医疗废物处理和污水污物无害处理。</w:t>
      </w:r>
    </w:p>
    <w:p w14:paraId="1B090B5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4 认真执行国家基本药物制度，执行药品集中采集和统一配送政策，实行药品零差率销售。</w:t>
      </w:r>
    </w:p>
    <w:p w14:paraId="487AAC16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5政府有关部门批准的其他适宜的医疗服务。</w:t>
      </w:r>
    </w:p>
    <w:p w14:paraId="581C66E6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（Ⅲ）其它职能</w:t>
      </w:r>
    </w:p>
    <w:p w14:paraId="74D97D18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1严格执行城乡医保政策规定，履行定点医疗机构职责，做好有关的政策宣传、监督及服务工作。</w:t>
      </w:r>
    </w:p>
    <w:p w14:paraId="5471D8FB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2深入推进乡村卫生服务一体化管理，强化乡镇卫生院对村卫生室的管理职能，负责村卫生室的技术指导和乡村医生培训、考核等工作。</w:t>
      </w:r>
    </w:p>
    <w:p w14:paraId="10CECCAD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3充分发挥中医药特色优势，在公共卫生和基本医疗中提供相关的中医药服务。</w:t>
      </w:r>
    </w:p>
    <w:p w14:paraId="5EF5028B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643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（二）机构设置。</w:t>
      </w:r>
    </w:p>
    <w:p w14:paraId="0449EE9B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卫生院内设行政后勤科、B超室、放射科、化验室、护理部、中西药房、理疗科、公卫办、妇产科、医保科、财务科等机构。全部纳入2024年部门预算编制范围。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  </w:t>
      </w:r>
    </w:p>
    <w:p w14:paraId="568D87D1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60" w:lineRule="auto"/>
        <w:ind w:firstLine="643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年度重点工作</w:t>
      </w:r>
    </w:p>
    <w:p w14:paraId="4A512131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坚持“以基层为重点”的卫生与健康工作 方针，坚持“抓重点、补短板、强弱项”，坚持基本医疗与基本公卫并重、管理与建设并重、工作进度结果与质量效益并重、职工满意群众满意与单位满意政府满意并重，不断开拓创新，真抓实干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认真履行党建工作职责，扎实开展主题教育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深入医疗体制改革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；规范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公共卫生服务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切实抓好安全生产工作，确保了医院安全稳定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努力开创基层卫生工作新局面。</w:t>
      </w:r>
    </w:p>
    <w:p w14:paraId="60B90D4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）部门整体支出规模、使用方向、主要内容和涉及范围。</w:t>
      </w:r>
    </w:p>
    <w:p w14:paraId="0E48BEC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8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202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年卫生院收入为1814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71万元，其中：项目支出资金0万元，基本支出资金1814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71万元。其中：财政拨款收入942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77万元，占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51.95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%；事业收入740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万元，占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40.8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%；其他收入131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61万元，占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7.25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%。</w:t>
      </w:r>
    </w:p>
    <w:p w14:paraId="677336A5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本年支出合计1814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71万元，其中：项目支出资金0 万元， 基本支出1814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71万元，占 100%。</w:t>
      </w:r>
    </w:p>
    <w:p w14:paraId="373824A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按经济科目划分，各项支出金额分别为：工资福利支出727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39万元，占比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40.08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%；商品和服务支出1087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32万元，占比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59.92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%；其他支出 0 万元，当年收支平衡。</w:t>
      </w:r>
    </w:p>
    <w:p w14:paraId="6C798FDB">
      <w:pPr>
        <w:pStyle w:val="23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6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绩效目标设立情况，主要包括部门中长期绩效目标和年度绩效目标。</w:t>
      </w:r>
    </w:p>
    <w:p w14:paraId="38DA5470">
      <w:pPr>
        <w:pStyle w:val="23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6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</w:pPr>
    </w:p>
    <w:p w14:paraId="31F68A1A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一般公共预算支出情况</w:t>
      </w:r>
    </w:p>
    <w:p w14:paraId="3AEDCFC8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（一）基本支出情况</w:t>
      </w:r>
    </w:p>
    <w:p w14:paraId="0A1CC105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江南镇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卫生院202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年一般公共预算基本支942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77万元。</w:t>
      </w:r>
    </w:p>
    <w:p w14:paraId="5A97723A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其中：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人员经费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259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8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万元，主要包括：基本工资、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绩效工资、机关事业单位基本养老保险缴费、住房公积金、其他工资福利支出等；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日常公用经费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682.93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万元，主要包括：办公费、印刷费、电费、维修（护）费、专用材料费、劳务费、委托业务费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其他商品和服务支出等；</w:t>
      </w:r>
    </w:p>
    <w:p w14:paraId="27EC675B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right="0" w:rightChars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12F0A87C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三、政府性基金预算支出情况</w:t>
      </w:r>
    </w:p>
    <w:p w14:paraId="0FE4A19B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right="0" w:rightChars="0" w:firstLine="1285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无</w:t>
      </w:r>
    </w:p>
    <w:p w14:paraId="632CD4E3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</w:p>
    <w:p w14:paraId="2DFC950C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四、国有资本经营预算支出情况</w:t>
      </w:r>
    </w:p>
    <w:p w14:paraId="1CABCEF1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left="660" w:leftChars="0"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无</w:t>
      </w:r>
    </w:p>
    <w:p w14:paraId="63B7B0B9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left="660" w:leftChars="0"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</w:p>
    <w:p w14:paraId="324A4D22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20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五、社会保险基金预算支出情况</w:t>
      </w:r>
    </w:p>
    <w:p w14:paraId="42474D36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1285" w:firstLineChars="4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无</w:t>
      </w:r>
    </w:p>
    <w:p w14:paraId="6CF8B01D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</w:p>
    <w:p w14:paraId="5BD19F34">
      <w:pPr>
        <w:pStyle w:val="21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right="0" w:rightChars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部门整体支出绩效情况</w:t>
      </w:r>
    </w:p>
    <w:p w14:paraId="0A746627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2024 年，安化县江南镇卫生院在党建引领下，围绕医疗服务、公共卫生等核心工作积极作为，整体支出绩效成果显著。</w:t>
      </w:r>
    </w:p>
    <w:p w14:paraId="0F1C4E40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党建工作扎实推进，为各项工作开展筑牢思想根基。牢固树立以人民为中心理念，制定党建计划并严格落实。深入开展 “三会一课”、“党的二十届三中全会精神” 教育，全年 12 名党员讲授 “微党课”，开展多次支部活动，收缴党费 6678 元，强化党员教育管理，党组织凝聚力和战斗力不断增强，有力推动党建与业务深度融合。</w:t>
      </w:r>
    </w:p>
    <w:p w14:paraId="2B0D7BA4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医疗服务质量提升，切实满足群众就医需求。全年门诊接待患者 32679 人次，门诊收入 359.36 万元；住院收治 1931 人次，住院医疗收入 379.53 万元，医疗业务总收入达 738.89 万元。优化就诊流程，减少患者等待时间和费用，增加导诊人员，提升就医体验。组织医护人员参加业务培训 20 场次，开展医疗质量督查 12 次，全年无医疗事故，保障医疗安全。</w:t>
      </w:r>
    </w:p>
    <w:p w14:paraId="676D73E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公共卫生服务全面覆盖，保障居民健康。成立项目领导小组，制定实施方案，严格按照《国家基本公共卫生服务规范（2017 年版）》开展工作。十二项基本公共卫生服务项目有序推进，如建立居民健康档案并录入系统、为适龄儿童接种疫苗、对慢性病患者进行管理等。开展健康教育活动，设置宣传栏、举办讲座，提升居民健康意识。</w:t>
      </w:r>
    </w:p>
    <w:p w14:paraId="03CE176A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安全生产和内部管理规范有序。贯彻 “安全第一，预防为主，综合治理” 方针，落实安全生产文件精神，确保医院安全稳定。加强党风廉政建设，严格按上级部署开展工作。工会管理规范，建立职工代表会议制度，实行院务公开。积极开展无偿献血宣传活动，职工踊跃参与。</w:t>
      </w:r>
    </w:p>
    <w:p w14:paraId="0227546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尽管取得一定成绩，但仍存在不足。部分医疗设备老化，影响诊疗精准度；公共卫生服务在偏远地区宣传和覆盖有待加强；人才队伍结构不够合理，部分专业人才短缺。</w:t>
      </w:r>
    </w:p>
    <w:p w14:paraId="338B4840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未来，卫生院将加大资金投入更新设备；优化公共卫生服务宣传方式，加强偏远地区服务力度；制定人才培养和引进计划，优化人才结构，为江南镇居民提供更优质、便捷的医疗卫生服务，推动卫生院持续发展。</w:t>
      </w:r>
    </w:p>
    <w:p w14:paraId="40B345BE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综合各项指标，卫生院财务管理较为健全规范，未发生严重 违法违规现象，202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 xml:space="preserve"> 年的部门整体支出绩效自我评价得到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9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自评结果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：优秀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。全镇卫生健康事业得以平稳发展。</w:t>
      </w:r>
    </w:p>
    <w:p w14:paraId="41F83EFA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487AF69D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七、存在的问题及原因分析</w:t>
      </w:r>
    </w:p>
    <w:p w14:paraId="2C50A74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考核导向失衡：过度侧重财务指标（如收支数据），忽视服务质量、患者满意度等长期发展指标，导致卫生院偏离公益性目标，可持续性受限。</w:t>
      </w:r>
    </w:p>
    <w:p w14:paraId="5C1BD317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执行脱节明显：绩效目标缺乏配套资源计划及过程监管，例如采购流程不规范、预算分配不合理，造成资源浪费或目标落空。</w:t>
      </w:r>
    </w:p>
    <w:p w14:paraId="4560D040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79E6393C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八、下一步改进措施</w:t>
      </w:r>
    </w:p>
    <w:p w14:paraId="402C0FE3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>强化协同管理：建立医疗、财务、物资跨部门协作机制，定期联合审查成本效益，将患者满意度（≥15%权重）等非财务指标纳入考核。</w:t>
      </w:r>
    </w:p>
    <w:p w14:paraId="201883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wordWrap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 w:right="0" w:rightChars="0" w:firstLine="640" w:firstLineChars="200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>细化分层考核：按岗位设定差异化指标，如临床科室考核DIP病种完成率，行政后勤考核预算执行率，全员增加继续教育、投诉响应等基础要求。</w:t>
      </w:r>
    </w:p>
    <w:p w14:paraId="7CB1A259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226BD0D2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九、绩效自评结果拟应用和公开情况</w:t>
      </w:r>
    </w:p>
    <w:p w14:paraId="31107F3F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我单位高度重视此项绩效自评工作，积极落实主体责任，切实加强了组织领导，按照绩效评价相关制度规定，明确了具体责任人，认真开展自评，撰写了此份绩效评价报告，确保绩效自评工作顺利实施，并将按照要求进行信息公开，对存在的问题积极整改。</w:t>
      </w:r>
    </w:p>
    <w:p w14:paraId="41A2406A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7A19D773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360" w:lineRule="auto"/>
        <w:ind w:left="0" w:right="0"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十、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其他需要说明的情况</w:t>
      </w:r>
    </w:p>
    <w:p w14:paraId="11425451">
      <w:pPr>
        <w:pStyle w:val="2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无</w:t>
      </w:r>
    </w:p>
    <w:p w14:paraId="735C5244">
      <w:pPr>
        <w:bidi w:val="0"/>
        <w:rPr>
          <w:rFonts w:hint="eastAsia"/>
        </w:rPr>
      </w:pPr>
    </w:p>
    <w:p w14:paraId="43BB8DB1">
      <w:pPr>
        <w:bidi w:val="0"/>
        <w:rPr>
          <w:rFonts w:hint="eastAsia"/>
        </w:rPr>
      </w:pPr>
    </w:p>
    <w:p w14:paraId="42C5CA97">
      <w:pPr>
        <w:widowControl/>
        <w:spacing w:line="600" w:lineRule="exact"/>
        <w:ind w:firstLine="5123" w:firstLineChars="1601"/>
        <w:jc w:val="right"/>
        <w:rPr>
          <w:rFonts w:hint="default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ab/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安化县江南镇卫生院</w:t>
      </w:r>
    </w:p>
    <w:p w14:paraId="1C3A5647">
      <w:pPr>
        <w:pStyle w:val="2"/>
        <w:ind w:firstLine="4800" w:firstLineChars="1500"/>
        <w:jc w:val="right"/>
        <w:rPr>
          <w:rFonts w:hint="default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2025年4月24日</w:t>
      </w:r>
    </w:p>
    <w:p w14:paraId="57A28D58">
      <w:pPr>
        <w:tabs>
          <w:tab w:val="left" w:pos="8082"/>
        </w:tabs>
        <w:bidi w:val="0"/>
        <w:jc w:val="left"/>
        <w:rPr>
          <w:rFonts w:hint="eastAsia" w:eastAsia="宋体"/>
          <w:lang w:eastAsia="zh-CN"/>
        </w:rPr>
        <w:sectPr>
          <w:footerReference r:id="rId5" w:type="default"/>
          <w:footnotePr>
            <w:numFmt w:val="decimal"/>
          </w:footnotePr>
          <w:pgSz w:w="11900" w:h="16840"/>
          <w:pgMar w:top="1954" w:right="1308" w:bottom="1898" w:left="1353" w:header="1526" w:footer="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linePitch="360" w:charSpace="0"/>
        </w:sectPr>
      </w:pPr>
    </w:p>
    <w:p w14:paraId="2764A439">
      <w:pPr>
        <w:pStyle w:val="5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基础数据表</w:t>
      </w:r>
    </w:p>
    <w:tbl>
      <w:tblPr>
        <w:tblStyle w:val="7"/>
        <w:tblW w:w="933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862"/>
        <w:gridCol w:w="1093"/>
        <w:gridCol w:w="401"/>
        <w:gridCol w:w="1807"/>
        <w:gridCol w:w="1781"/>
        <w:gridCol w:w="1414"/>
      </w:tblGrid>
      <w:tr w14:paraId="7AD03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4E2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财政供养人员情况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A20B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编制数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910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2024年实际在职人数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170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控制率</w:t>
            </w:r>
          </w:p>
        </w:tc>
      </w:tr>
      <w:tr w14:paraId="33E17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59AF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87D7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74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3EA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74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6E173E1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100.00%</w:t>
            </w:r>
          </w:p>
        </w:tc>
      </w:tr>
      <w:tr w14:paraId="4F5B7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445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经费控制情况(万元)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E9B9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2023年决算数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9B1E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2024年预算数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BD74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2024年决算数</w:t>
            </w:r>
          </w:p>
        </w:tc>
      </w:tr>
      <w:tr w14:paraId="2E0AB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D26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三公经费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6709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0F1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177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</w:tr>
      <w:tr w14:paraId="5081D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3AF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1、公务用车购置和维护经费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0B17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096B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C1C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</w:tr>
      <w:tr w14:paraId="304B8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BA37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其中：公车购置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F79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B8C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FDE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49613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8D0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公车运行维护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D326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CBA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42D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56E38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B2E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2、出国经费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83D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6E3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FCE0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CF7D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811B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3、公务接待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1ABA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8B3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161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601C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5B9A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项目支出：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B22C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C83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3ED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</w:tr>
      <w:tr w14:paraId="5F38E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168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1、业务工作经费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CD45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132B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2B5C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E5A4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1E4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2、运行维护经费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133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71D4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0D81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FEB1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68AD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3、本级专项资金（一个专项一行）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CA3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62D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713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CEE7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0BF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公用经费：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5CCE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706.16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F198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1087.32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D1F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1087.32</w:t>
            </w:r>
          </w:p>
        </w:tc>
      </w:tr>
      <w:tr w14:paraId="7C98B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A3A6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其中：办公经费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175A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  19.82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D66D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20.05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7B5F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20.05</w:t>
            </w:r>
          </w:p>
        </w:tc>
      </w:tr>
      <w:tr w14:paraId="7EE71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6C32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水费、电费、差旅费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546D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  23.22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3241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17.8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C41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17.8</w:t>
            </w:r>
          </w:p>
        </w:tc>
      </w:tr>
      <w:tr w14:paraId="14D60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E194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会议费、培训费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E320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  1.30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A11A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BA8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</w:tr>
      <w:tr w14:paraId="69C19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5B03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政府采购金额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C2E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  143.46</w:t>
            </w: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0924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62.05</w:t>
            </w: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3EB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62.05</w:t>
            </w:r>
          </w:p>
        </w:tc>
      </w:tr>
      <w:tr w14:paraId="56380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436D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部门基本支出预算调整 </w:t>
            </w:r>
          </w:p>
        </w:tc>
        <w:tc>
          <w:tcPr>
            <w:tcW w:w="19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504C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F53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3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9C2C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6085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19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7923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楼堂馆所控制情况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（2024年完工项目）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D3CD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 xml:space="preserve">批复规模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（㎡）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180B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实际规模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（㎡）</w:t>
            </w:r>
          </w:p>
        </w:tc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108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规模控制率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505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预算投资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（万元）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C54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实际投资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（万元）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76B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投资概算控制率</w:t>
            </w:r>
          </w:p>
        </w:tc>
      </w:tr>
      <w:tr w14:paraId="123BF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9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F9E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4C1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EAB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06DC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B97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EAE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B6A1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322BF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362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厉行节约保障措施</w:t>
            </w:r>
          </w:p>
        </w:tc>
        <w:tc>
          <w:tcPr>
            <w:tcW w:w="73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7388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、加强单位对厉行节俭的督促检查，定期公布各项费用支出情况，对浪费现象严重的及时予以通报批评;2、认真落实上级提出的有关费用实行零增长的要求，严格预算支出管理，降低行政运行成本;3、狠抓各项制度和措施的贯彻落实，对违反规定的，要依据党纪政纪和有关法律法规，严肃追究责任。</w:t>
            </w:r>
          </w:p>
        </w:tc>
      </w:tr>
    </w:tbl>
    <w:p w14:paraId="311397FD">
      <w:pPr>
        <w:keepNext w:val="0"/>
        <w:keepLines w:val="0"/>
        <w:widowControl/>
        <w:suppressLineNumbers w:val="0"/>
        <w:shd w:val="clear" w:color="auto" w:fill="auto"/>
        <w:kinsoku w:val="0"/>
        <w:autoSpaceDE w:val="0"/>
        <w:autoSpaceDN w:val="0"/>
        <w:bidi w:val="0"/>
        <w:adjustRightInd w:val="0"/>
        <w:snapToGrid w:val="0"/>
        <w:spacing w:before="0" w:after="0"/>
        <w:ind w:left="0" w:right="0" w:firstLine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snapToGrid w:val="0"/>
          <w:color w:val="000000"/>
          <w:spacing w:val="0"/>
          <w:w w:val="100"/>
          <w:kern w:val="0"/>
          <w:position w:val="0"/>
          <w:sz w:val="24"/>
          <w:szCs w:val="24"/>
          <w:u w:val="none"/>
          <w:shd w:val="clear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snapToGrid w:val="0"/>
          <w:color w:val="000000"/>
          <w:spacing w:val="0"/>
          <w:w w:val="100"/>
          <w:kern w:val="0"/>
          <w:position w:val="0"/>
          <w:sz w:val="24"/>
          <w:szCs w:val="24"/>
          <w:u w:val="none"/>
          <w:shd w:val="clear"/>
          <w:lang w:val="en-US" w:eastAsia="zh-CN" w:bidi="ar"/>
        </w:rPr>
        <w:t>自评表</w:t>
      </w:r>
    </w:p>
    <w:tbl>
      <w:tblPr>
        <w:tblStyle w:val="7"/>
        <w:tblW w:w="925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62"/>
        <w:gridCol w:w="928"/>
        <w:gridCol w:w="952"/>
        <w:gridCol w:w="969"/>
        <w:gridCol w:w="745"/>
        <w:gridCol w:w="707"/>
        <w:gridCol w:w="709"/>
        <w:gridCol w:w="614"/>
        <w:gridCol w:w="861"/>
        <w:gridCol w:w="1364"/>
      </w:tblGrid>
      <w:tr w14:paraId="040EE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58B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预算部门名称</w:t>
            </w:r>
          </w:p>
        </w:tc>
        <w:tc>
          <w:tcPr>
            <w:tcW w:w="78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0379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安化县江南镇卫生院</w:t>
            </w:r>
          </w:p>
        </w:tc>
      </w:tr>
      <w:tr w14:paraId="255EB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4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1C1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年度预算申请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(万元)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035A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FF48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年初预算数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(万元)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0F5F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全年预算数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（万元）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8F51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全年执行数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（万元）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63F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分值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5C3C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执行率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2117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得分</w:t>
            </w:r>
          </w:p>
        </w:tc>
      </w:tr>
      <w:tr w14:paraId="3728D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1CE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68A4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年度资金总额：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A371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128.4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19E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1814.71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D229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1814.71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203C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E4BF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100.00%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BA0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10.00</w:t>
            </w:r>
          </w:p>
        </w:tc>
      </w:tr>
      <w:tr w14:paraId="3F478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1DD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50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0271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按收入性质分：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340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按支出性质分：</w:t>
            </w:r>
          </w:p>
        </w:tc>
      </w:tr>
      <w:tr w14:paraId="29AE5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F35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E12D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一般公共预算：</w:t>
            </w:r>
          </w:p>
        </w:tc>
        <w:tc>
          <w:tcPr>
            <w:tcW w:w="4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FEBD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942.77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C23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其中:基本支出：</w:t>
            </w:r>
          </w:p>
        </w:tc>
        <w:tc>
          <w:tcPr>
            <w:tcW w:w="22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0812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1814.71</w:t>
            </w:r>
          </w:p>
        </w:tc>
      </w:tr>
      <w:tr w14:paraId="2BF4E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482A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4511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政府性基金拨款：</w:t>
            </w:r>
          </w:p>
        </w:tc>
        <w:tc>
          <w:tcPr>
            <w:tcW w:w="4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87B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0.00</w:t>
            </w: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BE29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6A2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5C89E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2EAD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7521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纳入专户管理的非税收入拨款：</w:t>
            </w:r>
          </w:p>
        </w:tc>
        <w:tc>
          <w:tcPr>
            <w:tcW w:w="4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1902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740.33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121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项目支出：</w:t>
            </w:r>
          </w:p>
        </w:tc>
        <w:tc>
          <w:tcPr>
            <w:tcW w:w="22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B49A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0.00</w:t>
            </w:r>
          </w:p>
        </w:tc>
      </w:tr>
      <w:tr w14:paraId="6CC4D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2470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83F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其他资金</w:t>
            </w:r>
          </w:p>
        </w:tc>
        <w:tc>
          <w:tcPr>
            <w:tcW w:w="40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6795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131.61</w:t>
            </w: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0CB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2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7DFB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3000D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4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4E3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年度总体目标</w:t>
            </w:r>
          </w:p>
        </w:tc>
        <w:tc>
          <w:tcPr>
            <w:tcW w:w="50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0D78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预期目标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7FB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实际完成情况</w:t>
            </w:r>
          </w:p>
        </w:tc>
      </w:tr>
      <w:tr w14:paraId="215D3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14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6C00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50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2B4C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2024年度部门整体支出进度，全年支出128.4万元，第一季度支出32万元，第二季度支出32万元，第三季度支出32万元，第四季度支出32.4万元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C106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全年支出1814.71万元，其中基本支出1814.71万元，占100%。项目支出0元。</w:t>
            </w:r>
          </w:p>
        </w:tc>
      </w:tr>
      <w:tr w14:paraId="56931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099B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绩效指标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6683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一级指标</w:t>
            </w:r>
          </w:p>
        </w:tc>
        <w:tc>
          <w:tcPr>
            <w:tcW w:w="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9B93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三级指标</w:t>
            </w:r>
          </w:p>
        </w:tc>
        <w:tc>
          <w:tcPr>
            <w:tcW w:w="9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25FB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年度指标值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163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实际完成值</w:t>
            </w:r>
          </w:p>
        </w:tc>
        <w:tc>
          <w:tcPr>
            <w:tcW w:w="7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85CF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评扣分标准</w:t>
            </w:r>
          </w:p>
        </w:tc>
        <w:tc>
          <w:tcPr>
            <w:tcW w:w="7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360F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分值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0EF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得分</w:t>
            </w:r>
          </w:p>
        </w:tc>
        <w:tc>
          <w:tcPr>
            <w:tcW w:w="283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1AC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偏差原因分析及改进措施</w:t>
            </w:r>
          </w:p>
        </w:tc>
      </w:tr>
      <w:tr w14:paraId="4418B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8F4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344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DC3D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832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83AE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CCB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7961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7DE7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8ACA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50E82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D32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绩效指标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026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产出指标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8AA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年度内按时完成重点工作任务完成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141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128.4万元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C08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1814.71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万元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13B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按支出的百分比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E5C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F26F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8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030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政策调整及预算编制不够全面</w:t>
            </w:r>
          </w:p>
        </w:tc>
      </w:tr>
      <w:tr w14:paraId="4F7D3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B69C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3F6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29AC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医疗公共卫生工作覆盖率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B607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852B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D640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工作开展百分比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69C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964F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20A2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4504D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8137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A42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4388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年度内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48A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1年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45E5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1年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7605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季度支出百分比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521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164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1FB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728EB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61F8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0D84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效益指标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4C04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医疗卫生健康服务完成率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6036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95%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3F30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4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0DB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医疗卫生健康服务完成率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B472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02D6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8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5A6C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医疗服务水平有待进一步提升</w:t>
            </w:r>
          </w:p>
        </w:tc>
      </w:tr>
      <w:tr w14:paraId="50B097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A85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9956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0FE5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履行工作百分比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7C25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B2D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C28C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履行工作百分比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6E4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622A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0E60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44FC9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52A0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B835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EFEE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医疗卫生健康服务完成率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CE40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5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5F14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4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C1F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医疗卫生健康服务完成率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6221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E4488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8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C23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医疗服务水平有待进一步提升</w:t>
            </w:r>
          </w:p>
        </w:tc>
      </w:tr>
      <w:tr w14:paraId="1C110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93C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E36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E24B7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人民群众医疗健康服务水平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3E40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稳步提高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70A7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稳步提高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6C74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人民群众医疗健康服务受益度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74E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BAB4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0F59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7697A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C7B7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74D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满意度指标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7C1C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393E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95%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AB5A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98%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B2A7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满意度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EA9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4D5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052F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4F03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1AA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2F722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成本指标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30C6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3910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C284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3144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C6F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2345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E8E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37DA4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6ACD9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975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A6C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C6D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92D85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0EAD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5804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DC27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8128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6D2CC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BDDB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9656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E1FB1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成本控制有效性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27BD0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11C6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F48A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成本控制率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1C9C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A82B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79303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2D883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CA8E6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总分</w:t>
            </w:r>
          </w:p>
        </w:tc>
        <w:tc>
          <w:tcPr>
            <w:tcW w:w="78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2051E">
            <w:pPr>
              <w:keepNext w:val="0"/>
              <w:keepLines w:val="0"/>
              <w:widowControl/>
              <w:suppressLineNumbers w:val="0"/>
              <w:shd w:val="clear" w:color="auto" w:fill="auto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94.00</w:t>
            </w:r>
          </w:p>
        </w:tc>
      </w:tr>
    </w:tbl>
    <w:p w14:paraId="3217933C">
      <w:pPr>
        <w:bidi w:val="0"/>
        <w:jc w:val="center"/>
        <w:rPr>
          <w:rFonts w:hint="eastAsia"/>
          <w:lang w:val="en-US" w:eastAsia="zh-CN"/>
        </w:rPr>
      </w:pPr>
    </w:p>
    <w:sectPr>
      <w:footnotePr>
        <w:numFmt w:val="decimal"/>
      </w:footnotePr>
      <w:pgSz w:w="11900" w:h="16840"/>
      <w:pgMar w:top="1954" w:right="1308" w:bottom="1898" w:left="1353" w:header="1526" w:footer="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38DEF"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1960" cy="1555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960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3DB33B"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#</w:t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fldChar w:fldCharType="end"/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top:0pt;height:12.25pt;width:34.8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zbohUtIAAAADAQAA&#10;DwAAAAAAAAABACAAAAAiAAAAZHJzL2Rvd25yZXYueG1sUEsBAhQAFAAAAAgAh07iQKiP7v6tAQAA&#10;cQMAAA4AAAAAAAAAAQAgAAAAIQ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3DB33B"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#</w:t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fldChar w:fldCharType="end"/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A9566F"/>
    <w:multiLevelType w:val="singleLevel"/>
    <w:tmpl w:val="D1A956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rsids>
    <w:rsidRoot w:val="00000000"/>
    <w:rsid w:val="003E6920"/>
    <w:rsid w:val="021F6013"/>
    <w:rsid w:val="02957151"/>
    <w:rsid w:val="03D00994"/>
    <w:rsid w:val="045A77D7"/>
    <w:rsid w:val="064F100D"/>
    <w:rsid w:val="07413086"/>
    <w:rsid w:val="08B93C30"/>
    <w:rsid w:val="09077801"/>
    <w:rsid w:val="09B62BB1"/>
    <w:rsid w:val="0A004279"/>
    <w:rsid w:val="0B0C2B4C"/>
    <w:rsid w:val="0C62191E"/>
    <w:rsid w:val="0D13116D"/>
    <w:rsid w:val="0D3B5CCB"/>
    <w:rsid w:val="0DEB5944"/>
    <w:rsid w:val="0E572758"/>
    <w:rsid w:val="0EB30D78"/>
    <w:rsid w:val="0FD06B9F"/>
    <w:rsid w:val="11535CDA"/>
    <w:rsid w:val="11EE336E"/>
    <w:rsid w:val="131B3CBF"/>
    <w:rsid w:val="13491142"/>
    <w:rsid w:val="13637D2A"/>
    <w:rsid w:val="139D148E"/>
    <w:rsid w:val="14F64A42"/>
    <w:rsid w:val="155F086C"/>
    <w:rsid w:val="16201F02"/>
    <w:rsid w:val="18AE1A47"/>
    <w:rsid w:val="19006747"/>
    <w:rsid w:val="19DD25E4"/>
    <w:rsid w:val="1A6B5E42"/>
    <w:rsid w:val="1AFA5418"/>
    <w:rsid w:val="1B18188F"/>
    <w:rsid w:val="1C556DAA"/>
    <w:rsid w:val="1CD13F56"/>
    <w:rsid w:val="1E4A6B93"/>
    <w:rsid w:val="1EAF2075"/>
    <w:rsid w:val="1ECC18BA"/>
    <w:rsid w:val="218B0B78"/>
    <w:rsid w:val="23D42CAA"/>
    <w:rsid w:val="24BC729A"/>
    <w:rsid w:val="25662935"/>
    <w:rsid w:val="261A4053"/>
    <w:rsid w:val="26DD1C07"/>
    <w:rsid w:val="26E03714"/>
    <w:rsid w:val="27343A60"/>
    <w:rsid w:val="27E86D24"/>
    <w:rsid w:val="28CB3F50"/>
    <w:rsid w:val="28D76D98"/>
    <w:rsid w:val="291853E7"/>
    <w:rsid w:val="29E21495"/>
    <w:rsid w:val="2A3C6EB3"/>
    <w:rsid w:val="2B696C5A"/>
    <w:rsid w:val="2B991AB0"/>
    <w:rsid w:val="2BD31A99"/>
    <w:rsid w:val="2C097269"/>
    <w:rsid w:val="2CDE209F"/>
    <w:rsid w:val="2D03015C"/>
    <w:rsid w:val="2D55028C"/>
    <w:rsid w:val="2E9C2616"/>
    <w:rsid w:val="30183F1E"/>
    <w:rsid w:val="31D606B2"/>
    <w:rsid w:val="31EC7411"/>
    <w:rsid w:val="32CB34CA"/>
    <w:rsid w:val="33105381"/>
    <w:rsid w:val="3344502A"/>
    <w:rsid w:val="343E1A7A"/>
    <w:rsid w:val="34565015"/>
    <w:rsid w:val="37F214F9"/>
    <w:rsid w:val="391B05DB"/>
    <w:rsid w:val="3C7F2051"/>
    <w:rsid w:val="3DA45043"/>
    <w:rsid w:val="3ECD4126"/>
    <w:rsid w:val="3F165ACD"/>
    <w:rsid w:val="3F1E7077"/>
    <w:rsid w:val="3FB14618"/>
    <w:rsid w:val="45513D03"/>
    <w:rsid w:val="46A55988"/>
    <w:rsid w:val="483D2D2C"/>
    <w:rsid w:val="48E24C72"/>
    <w:rsid w:val="49F27137"/>
    <w:rsid w:val="4AC46D25"/>
    <w:rsid w:val="4D857F0A"/>
    <w:rsid w:val="4DD37ED7"/>
    <w:rsid w:val="4F585BD1"/>
    <w:rsid w:val="50F419E6"/>
    <w:rsid w:val="51675575"/>
    <w:rsid w:val="531C6FD2"/>
    <w:rsid w:val="54624EB9"/>
    <w:rsid w:val="565E627F"/>
    <w:rsid w:val="58810003"/>
    <w:rsid w:val="59345076"/>
    <w:rsid w:val="59A0270B"/>
    <w:rsid w:val="5A7B6CD4"/>
    <w:rsid w:val="5B105907"/>
    <w:rsid w:val="5E79177D"/>
    <w:rsid w:val="5EA17159"/>
    <w:rsid w:val="5EA467FA"/>
    <w:rsid w:val="5EF57055"/>
    <w:rsid w:val="6043115E"/>
    <w:rsid w:val="63293771"/>
    <w:rsid w:val="64F8164D"/>
    <w:rsid w:val="655F4AD1"/>
    <w:rsid w:val="65F00576"/>
    <w:rsid w:val="66482160"/>
    <w:rsid w:val="66903B07"/>
    <w:rsid w:val="66C8188B"/>
    <w:rsid w:val="68183DB4"/>
    <w:rsid w:val="68883729"/>
    <w:rsid w:val="69282792"/>
    <w:rsid w:val="696574CD"/>
    <w:rsid w:val="6A1D59E6"/>
    <w:rsid w:val="6AA30471"/>
    <w:rsid w:val="6AB51D8E"/>
    <w:rsid w:val="6C5442D9"/>
    <w:rsid w:val="6D121489"/>
    <w:rsid w:val="6E3548CC"/>
    <w:rsid w:val="6EB10A52"/>
    <w:rsid w:val="6EE429F1"/>
    <w:rsid w:val="721E01E5"/>
    <w:rsid w:val="73676B7D"/>
    <w:rsid w:val="737247E5"/>
    <w:rsid w:val="76855BE3"/>
    <w:rsid w:val="76DC3D0E"/>
    <w:rsid w:val="78153E6C"/>
    <w:rsid w:val="789225FF"/>
    <w:rsid w:val="79362A91"/>
    <w:rsid w:val="799D05BD"/>
    <w:rsid w:val="7AF851D5"/>
    <w:rsid w:val="7C174657"/>
    <w:rsid w:val="7DC9372F"/>
    <w:rsid w:val="7E5F5E41"/>
    <w:rsid w:val="7FAF49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JhengHei Light" w:hAnsi="Microsoft JhengHei Light" w:eastAsia="Microsoft JhengHei Light" w:cs="Microsoft JhengHei Light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8">
    <w:name w:val="Default Paragraph Font"/>
    <w:qFormat/>
    <w:uiPriority w:val="0"/>
    <w:rPr>
      <w:rFonts w:ascii="Microsoft JhengHei Light" w:hAnsi="Microsoft JhengHei Light" w:eastAsia="Microsoft JhengHei Light" w:cs="Microsoft JhengHei Light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1"/>
    <w:basedOn w:val="1"/>
    <w:next w:val="1"/>
    <w:qFormat/>
    <w:uiPriority w:val="0"/>
    <w:pPr>
      <w:spacing w:line="400" w:lineRule="exact"/>
      <w:jc w:val="center"/>
    </w:pPr>
    <w:rPr>
      <w:caps/>
      <w:sz w:val="21"/>
      <w:szCs w:val="22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正文文本 (4)_"/>
    <w:basedOn w:val="8"/>
    <w:link w:val="11"/>
    <w:qFormat/>
    <w:uiPriority w:val="0"/>
    <w:rPr>
      <w:rFonts w:ascii="MingLiU" w:hAnsi="MingLiU" w:eastAsia="MingLiU" w:cs="MingLiU"/>
      <w:sz w:val="38"/>
      <w:szCs w:val="38"/>
      <w:u w:val="none"/>
      <w:lang w:val="zh-CN" w:eastAsia="zh-CN" w:bidi="zh-CN"/>
    </w:rPr>
  </w:style>
  <w:style w:type="paragraph" w:customStyle="1" w:styleId="11">
    <w:name w:val="正文文本 (4)"/>
    <w:basedOn w:val="1"/>
    <w:link w:val="10"/>
    <w:qFormat/>
    <w:uiPriority w:val="0"/>
    <w:pPr>
      <w:widowControl w:val="0"/>
      <w:shd w:val="clear" w:color="auto" w:fill="FFFFFF"/>
    </w:pPr>
    <w:rPr>
      <w:rFonts w:ascii="MingLiU" w:hAnsi="MingLiU" w:eastAsia="MingLiU" w:cs="MingLiU"/>
      <w:sz w:val="38"/>
      <w:szCs w:val="38"/>
      <w:u w:val="none"/>
      <w:lang w:val="zh-CN" w:eastAsia="zh-CN" w:bidi="zh-CN"/>
    </w:rPr>
  </w:style>
  <w:style w:type="character" w:customStyle="1" w:styleId="12">
    <w:name w:val="图片标题_"/>
    <w:basedOn w:val="8"/>
    <w:link w:val="13"/>
    <w:qFormat/>
    <w:uiPriority w:val="0"/>
    <w:rPr>
      <w:rFonts w:ascii="MingLiU" w:hAnsi="MingLiU" w:eastAsia="MingLiU" w:cs="MingLiU"/>
      <w:sz w:val="46"/>
      <w:szCs w:val="46"/>
      <w:u w:val="single"/>
      <w:lang w:val="zh-CN" w:eastAsia="zh-CN" w:bidi="zh-CN"/>
    </w:rPr>
  </w:style>
  <w:style w:type="paragraph" w:customStyle="1" w:styleId="13">
    <w:name w:val="图片标题"/>
    <w:basedOn w:val="1"/>
    <w:link w:val="12"/>
    <w:qFormat/>
    <w:uiPriority w:val="0"/>
    <w:pPr>
      <w:widowControl w:val="0"/>
      <w:shd w:val="clear" w:color="auto" w:fill="FFFFFF"/>
    </w:pPr>
    <w:rPr>
      <w:rFonts w:ascii="MingLiU" w:hAnsi="MingLiU" w:eastAsia="MingLiU" w:cs="MingLiU"/>
      <w:sz w:val="46"/>
      <w:szCs w:val="46"/>
      <w:u w:val="single"/>
      <w:lang w:val="zh-CN" w:eastAsia="zh-CN" w:bidi="zh-CN"/>
    </w:rPr>
  </w:style>
  <w:style w:type="character" w:customStyle="1" w:styleId="14">
    <w:name w:val="标题 #1_"/>
    <w:basedOn w:val="8"/>
    <w:link w:val="15"/>
    <w:qFormat/>
    <w:uiPriority w:val="0"/>
    <w:rPr>
      <w:rFonts w:ascii="MingLiU" w:hAnsi="MingLiU" w:eastAsia="MingLiU" w:cs="MingLiU"/>
      <w:sz w:val="56"/>
      <w:szCs w:val="56"/>
      <w:u w:val="none"/>
      <w:lang w:val="zh-CN" w:eastAsia="zh-CN" w:bidi="zh-CN"/>
    </w:rPr>
  </w:style>
  <w:style w:type="paragraph" w:customStyle="1" w:styleId="15">
    <w:name w:val="标题 #1"/>
    <w:basedOn w:val="1"/>
    <w:link w:val="14"/>
    <w:qFormat/>
    <w:uiPriority w:val="0"/>
    <w:pPr>
      <w:widowControl w:val="0"/>
      <w:shd w:val="clear" w:color="auto" w:fill="FFFFFF"/>
      <w:spacing w:line="849" w:lineRule="exact"/>
      <w:jc w:val="center"/>
      <w:outlineLvl w:val="0"/>
    </w:pPr>
    <w:rPr>
      <w:rFonts w:ascii="MingLiU" w:hAnsi="MingLiU" w:eastAsia="MingLiU" w:cs="MingLiU"/>
      <w:sz w:val="56"/>
      <w:szCs w:val="56"/>
      <w:u w:val="none"/>
      <w:lang w:val="zh-CN" w:eastAsia="zh-CN" w:bidi="zh-CN"/>
    </w:rPr>
  </w:style>
  <w:style w:type="character" w:customStyle="1" w:styleId="16">
    <w:name w:val="页眉或页脚 (2)_"/>
    <w:basedOn w:val="8"/>
    <w:link w:val="17"/>
    <w:qFormat/>
    <w:uiPriority w:val="0"/>
    <w:rPr>
      <w:rFonts w:ascii="Times New Roman" w:hAnsi="Times New Roman" w:eastAsia="Times New Roman" w:cs="Times New Roman"/>
      <w:sz w:val="20"/>
      <w:szCs w:val="20"/>
      <w:u w:val="none"/>
      <w:lang w:val="zh-CN" w:eastAsia="zh-CN" w:bidi="zh-CN"/>
    </w:rPr>
  </w:style>
  <w:style w:type="paragraph" w:customStyle="1" w:styleId="17">
    <w:name w:val="页眉或页脚 (2)"/>
    <w:basedOn w:val="1"/>
    <w:link w:val="16"/>
    <w:qFormat/>
    <w:uiPriority w:val="0"/>
    <w:pPr>
      <w:widowControl w:val="0"/>
      <w:shd w:val="clear" w:color="auto" w:fill="FFFFFF"/>
    </w:pPr>
    <w:rPr>
      <w:rFonts w:ascii="Times New Roman" w:hAnsi="Times New Roman" w:eastAsia="Times New Roman" w:cs="Times New Roman"/>
      <w:sz w:val="20"/>
      <w:szCs w:val="20"/>
      <w:u w:val="none"/>
      <w:lang w:val="zh-CN" w:eastAsia="zh-CN" w:bidi="zh-CN"/>
    </w:rPr>
  </w:style>
  <w:style w:type="character" w:customStyle="1" w:styleId="18">
    <w:name w:val="标题 #2_"/>
    <w:basedOn w:val="8"/>
    <w:link w:val="19"/>
    <w:qFormat/>
    <w:uiPriority w:val="0"/>
    <w:rPr>
      <w:rFonts w:ascii="MingLiU" w:hAnsi="MingLiU" w:eastAsia="MingLiU" w:cs="MingLiU"/>
      <w:sz w:val="48"/>
      <w:szCs w:val="48"/>
      <w:u w:val="none"/>
      <w:lang w:val="zh-CN" w:eastAsia="zh-CN" w:bidi="zh-CN"/>
    </w:rPr>
  </w:style>
  <w:style w:type="paragraph" w:customStyle="1" w:styleId="19">
    <w:name w:val="标题 #2"/>
    <w:basedOn w:val="1"/>
    <w:link w:val="18"/>
    <w:qFormat/>
    <w:uiPriority w:val="0"/>
    <w:pPr>
      <w:widowControl w:val="0"/>
      <w:shd w:val="clear" w:color="auto" w:fill="FFFFFF"/>
      <w:spacing w:before="380" w:line="266" w:lineRule="auto"/>
      <w:jc w:val="center"/>
      <w:outlineLvl w:val="1"/>
    </w:pPr>
    <w:rPr>
      <w:rFonts w:ascii="MingLiU" w:hAnsi="MingLiU" w:eastAsia="MingLiU" w:cs="MingLiU"/>
      <w:sz w:val="48"/>
      <w:szCs w:val="48"/>
      <w:u w:val="none"/>
      <w:lang w:val="zh-CN" w:eastAsia="zh-CN" w:bidi="zh-CN"/>
    </w:rPr>
  </w:style>
  <w:style w:type="character" w:customStyle="1" w:styleId="20">
    <w:name w:val="正文文本 (2)_"/>
    <w:basedOn w:val="8"/>
    <w:link w:val="21"/>
    <w:qFormat/>
    <w:uiPriority w:val="0"/>
    <w:rPr>
      <w:rFonts w:ascii="黑体" w:hAnsi="黑体" w:eastAsia="黑体" w:cs="黑体"/>
      <w:sz w:val="32"/>
      <w:szCs w:val="32"/>
      <w:u w:val="none"/>
      <w:lang w:val="zh-CN" w:eastAsia="zh-CN" w:bidi="zh-CN"/>
    </w:rPr>
  </w:style>
  <w:style w:type="paragraph" w:customStyle="1" w:styleId="21">
    <w:name w:val="正文文本 (2)"/>
    <w:basedOn w:val="1"/>
    <w:link w:val="20"/>
    <w:qFormat/>
    <w:uiPriority w:val="0"/>
    <w:pPr>
      <w:widowControl w:val="0"/>
      <w:shd w:val="clear" w:color="auto" w:fill="FFFFFF"/>
      <w:spacing w:line="594" w:lineRule="exact"/>
      <w:ind w:firstLine="660"/>
    </w:pPr>
    <w:rPr>
      <w:rFonts w:ascii="黑体" w:hAnsi="黑体" w:eastAsia="黑体" w:cs="黑体"/>
      <w:sz w:val="32"/>
      <w:szCs w:val="32"/>
      <w:u w:val="none"/>
      <w:lang w:val="zh-CN" w:eastAsia="zh-CN" w:bidi="zh-CN"/>
    </w:rPr>
  </w:style>
  <w:style w:type="character" w:customStyle="1" w:styleId="22">
    <w:name w:val="正文文本_"/>
    <w:basedOn w:val="8"/>
    <w:link w:val="23"/>
    <w:qFormat/>
    <w:uiPriority w:val="0"/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paragraph" w:customStyle="1" w:styleId="23">
    <w:name w:val="正文文本1"/>
    <w:basedOn w:val="1"/>
    <w:link w:val="22"/>
    <w:qFormat/>
    <w:uiPriority w:val="0"/>
    <w:pPr>
      <w:widowControl w:val="0"/>
      <w:shd w:val="clear" w:color="auto" w:fill="FFFFFF"/>
      <w:spacing w:line="415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character" w:customStyle="1" w:styleId="24">
    <w:name w:val="正文文本 (3)_"/>
    <w:basedOn w:val="8"/>
    <w:link w:val="25"/>
    <w:qFormat/>
    <w:uiPriority w:val="0"/>
    <w:rPr>
      <w:rFonts w:ascii="宋体" w:hAnsi="宋体" w:eastAsia="宋体" w:cs="宋体"/>
      <w:b/>
      <w:bCs/>
      <w:sz w:val="28"/>
      <w:szCs w:val="28"/>
      <w:u w:val="none"/>
      <w:lang w:val="zh-CN" w:eastAsia="zh-CN" w:bidi="zh-CN"/>
    </w:rPr>
  </w:style>
  <w:style w:type="paragraph" w:customStyle="1" w:styleId="25">
    <w:name w:val="正文文本 (3)"/>
    <w:basedOn w:val="1"/>
    <w:link w:val="24"/>
    <w:qFormat/>
    <w:uiPriority w:val="0"/>
    <w:pPr>
      <w:widowControl w:val="0"/>
      <w:shd w:val="clear" w:color="auto" w:fill="FFFFFF"/>
      <w:ind w:firstLine="660"/>
    </w:pPr>
    <w:rPr>
      <w:rFonts w:ascii="宋体" w:hAnsi="宋体" w:eastAsia="宋体" w:cs="宋体"/>
      <w:b/>
      <w:bCs/>
      <w:sz w:val="28"/>
      <w:szCs w:val="2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3375</Words>
  <Characters>3626</Characters>
  <TotalTime>18</TotalTime>
  <ScaleCrop>false</ScaleCrop>
  <LinksUpToDate>false</LinksUpToDate>
  <CharactersWithSpaces>3678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2025-04-16T07:31:00Z</dcterms:created>
  <dc:creator>银天</dc:creator>
  <cp:lastModifiedBy>哆啦A梦</cp:lastModifiedBy>
  <dcterms:modified xsi:type="dcterms:W3CDTF">2025-04-25T08:36:35Z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eyJoZGlkIjoiNWM2NTMxYzQ3YmU4ZWU4ZWYxOTBiMmYxOWE5ZDM3OTUiLCJ1c2VySWQiOiIzODc1MzU4MDgifQ==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D7BA2E4E50AA41518E431FC921F98295_13</vt:lpwstr>
  </property>
</Properties>
</file>