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700" w:lineRule="exact"/>
        <w:ind w:left="3640" w:hanging="3640" w:hangingChars="700"/>
        <w:jc w:val="both"/>
        <w:textAlignment w:val="auto"/>
        <w:rPr>
          <w:rFonts w:hint="eastAsia" w:ascii="微软雅黑" w:hAnsi="微软雅黑" w:eastAsia="微软雅黑" w:cs="微软雅黑"/>
          <w:sz w:val="52"/>
          <w:szCs w:val="52"/>
          <w:lang w:eastAsia="zh-CN"/>
        </w:rPr>
      </w:pPr>
      <w:r>
        <w:rPr>
          <w:rFonts w:hint="eastAsia" w:ascii="微软雅黑" w:hAnsi="微软雅黑" w:eastAsia="微软雅黑" w:cs="微软雅黑"/>
          <w:sz w:val="52"/>
          <w:szCs w:val="52"/>
          <w:lang w:val="en-US" w:eastAsia="zh-CN"/>
        </w:rPr>
        <w:t>2024年度安化县田庄乡卫生院</w:t>
      </w:r>
      <w:r>
        <w:rPr>
          <w:rFonts w:hint="eastAsia" w:ascii="微软雅黑" w:hAnsi="微软雅黑" w:eastAsia="微软雅黑" w:cs="微软雅黑"/>
          <w:sz w:val="52"/>
          <w:szCs w:val="52"/>
        </w:rPr>
        <w:t>整体支出</w:t>
      </w:r>
      <w:r>
        <w:rPr>
          <w:rFonts w:hint="eastAsia" w:ascii="微软雅黑" w:hAnsi="微软雅黑" w:eastAsia="微软雅黑" w:cs="微软雅黑"/>
          <w:sz w:val="52"/>
          <w:szCs w:val="52"/>
          <w:lang w:eastAsia="zh-CN"/>
        </w:rPr>
        <w:t>绩效自评报告</w:t>
      </w:r>
    </w:p>
    <w:p>
      <w:pPr>
        <w:widowControl/>
        <w:ind w:firstLine="361" w:firstLineChars="100"/>
        <w:rPr>
          <w:rFonts w:ascii="楷体" w:hAnsi="楷体" w:eastAsia="楷体" w:cs="楷体"/>
          <w:b/>
          <w:bCs/>
          <w:kern w:val="0"/>
          <w:sz w:val="36"/>
          <w:szCs w:val="36"/>
        </w:rPr>
      </w:pPr>
    </w:p>
    <w:p/>
    <w:p>
      <w:pPr>
        <w:rPr>
          <w:rFonts w:ascii="楷体" w:hAnsi="楷体" w:eastAsia="楷体" w:cs="楷体"/>
          <w:b/>
          <w:bCs/>
          <w:kern w:val="0"/>
          <w:sz w:val="36"/>
          <w:szCs w:val="36"/>
        </w:rPr>
      </w:pPr>
    </w:p>
    <w:p>
      <w:pPr>
        <w:rPr>
          <w:rFonts w:hint="eastAsia" w:ascii="楷体" w:hAnsi="楷体" w:eastAsia="楷体" w:cs="楷体"/>
          <w:b/>
          <w:bCs/>
          <w:kern w:val="0"/>
          <w:sz w:val="36"/>
          <w:szCs w:val="36"/>
          <w:lang w:val="en-US" w:eastAsia="zh-CN"/>
        </w:rPr>
      </w:pPr>
      <w:r>
        <w:rPr>
          <w:rFonts w:hint="eastAsia" w:ascii="楷体" w:hAnsi="楷体" w:eastAsia="楷体" w:cs="楷体"/>
          <w:b/>
          <w:bCs/>
          <w:kern w:val="0"/>
          <w:sz w:val="36"/>
          <w:szCs w:val="36"/>
          <w:lang w:val="en-US" w:eastAsia="zh-CN"/>
        </w:rPr>
        <w:t xml:space="preserve"> </w:t>
      </w:r>
    </w:p>
    <w:p>
      <w:pPr>
        <w:rPr>
          <w:rFonts w:ascii="楷体" w:hAnsi="楷体" w:eastAsia="楷体" w:cs="楷体"/>
          <w:b/>
          <w:bCs/>
          <w:kern w:val="0"/>
          <w:sz w:val="36"/>
          <w:szCs w:val="36"/>
        </w:rPr>
      </w:pPr>
    </w:p>
    <w:p>
      <w:pPr>
        <w:rPr>
          <w:rFonts w:ascii="楷体" w:hAnsi="楷体" w:eastAsia="楷体" w:cs="楷体"/>
          <w:b/>
          <w:bCs/>
          <w:kern w:val="0"/>
          <w:sz w:val="36"/>
          <w:szCs w:val="36"/>
        </w:rPr>
      </w:pPr>
    </w:p>
    <w:p>
      <w:pPr>
        <w:pStyle w:val="7"/>
      </w:pPr>
    </w:p>
    <w:p>
      <w:pPr>
        <w:widowControl/>
        <w:ind w:firstLine="361" w:firstLineChars="100"/>
        <w:rPr>
          <w:rFonts w:hint="eastAsia" w:ascii="楷体" w:hAnsi="楷体" w:eastAsia="楷体" w:cs="楷体"/>
          <w:b/>
          <w:bCs/>
          <w:kern w:val="0"/>
          <w:sz w:val="36"/>
          <w:szCs w:val="36"/>
        </w:rPr>
      </w:pPr>
    </w:p>
    <w:p>
      <w:pPr>
        <w:widowControl/>
        <w:ind w:firstLine="360" w:firstLineChars="100"/>
        <w:rPr>
          <w:rFonts w:hint="eastAsia" w:ascii="黑体" w:hAnsi="黑体" w:eastAsia="黑体" w:cs="黑体"/>
          <w:b w:val="0"/>
          <w:bCs w:val="0"/>
          <w:kern w:val="0"/>
          <w:sz w:val="48"/>
          <w:szCs w:val="48"/>
          <w:u w:val="single"/>
        </w:rPr>
      </w:pPr>
      <w:r>
        <w:rPr>
          <w:rFonts w:hint="eastAsia" w:ascii="黑体" w:hAnsi="黑体" w:eastAsia="黑体" w:cs="黑体"/>
          <w:b w:val="0"/>
          <w:bCs w:val="0"/>
          <w:kern w:val="0"/>
          <w:sz w:val="36"/>
          <w:szCs w:val="36"/>
        </w:rPr>
        <w:t>申报单位（盖章）</w:t>
      </w:r>
      <w:r>
        <w:rPr>
          <w:rFonts w:hint="eastAsia" w:ascii="黑体" w:hAnsi="黑体" w:eastAsia="黑体" w:cs="黑体"/>
          <w:b w:val="0"/>
          <w:bCs w:val="0"/>
          <w:kern w:val="0"/>
          <w:sz w:val="48"/>
          <w:szCs w:val="48"/>
        </w:rPr>
        <w:t>：</w:t>
      </w:r>
      <w:r>
        <w:rPr>
          <w:rFonts w:hint="eastAsia" w:ascii="黑体" w:hAnsi="黑体" w:eastAsia="黑体" w:cs="黑体"/>
          <w:b w:val="0"/>
          <w:bCs w:val="0"/>
          <w:kern w:val="0"/>
          <w:sz w:val="48"/>
          <w:szCs w:val="48"/>
          <w:u w:val="single"/>
        </w:rPr>
        <w:t xml:space="preserve"> </w:t>
      </w:r>
      <w:r>
        <w:rPr>
          <w:rFonts w:hint="eastAsia" w:ascii="黑体" w:hAnsi="黑体" w:eastAsia="黑体" w:cs="黑体"/>
          <w:b w:val="0"/>
          <w:bCs w:val="0"/>
          <w:kern w:val="0"/>
          <w:sz w:val="48"/>
          <w:szCs w:val="48"/>
          <w:u w:val="single"/>
          <w:lang w:eastAsia="zh-CN"/>
        </w:rPr>
        <w:t>安化县田庄乡卫生院</w:t>
      </w:r>
      <w:r>
        <w:rPr>
          <w:rFonts w:hint="eastAsia" w:ascii="黑体" w:hAnsi="黑体" w:eastAsia="黑体" w:cs="黑体"/>
          <w:b w:val="0"/>
          <w:bCs w:val="0"/>
          <w:kern w:val="0"/>
          <w:sz w:val="48"/>
          <w:szCs w:val="48"/>
          <w:u w:val="single"/>
        </w:rPr>
        <w:t xml:space="preserve"> </w:t>
      </w:r>
    </w:p>
    <w:p>
      <w:pPr>
        <w:widowControl/>
        <w:rPr>
          <w:rFonts w:hint="eastAsia" w:ascii="黑体" w:hAnsi="黑体" w:eastAsia="黑体" w:cs="黑体"/>
          <w:b w:val="0"/>
          <w:bCs w:val="0"/>
          <w:kern w:val="0"/>
          <w:sz w:val="48"/>
          <w:szCs w:val="48"/>
          <w:u w:val="single"/>
        </w:rPr>
      </w:pPr>
    </w:p>
    <w:p>
      <w:pPr>
        <w:jc w:val="center"/>
        <w:rPr>
          <w:rFonts w:hint="eastAsia" w:ascii="黑体" w:hAnsi="黑体" w:eastAsia="黑体" w:cs="黑体"/>
          <w:b w:val="0"/>
          <w:bCs w:val="0"/>
          <w:kern w:val="0"/>
          <w:sz w:val="36"/>
          <w:szCs w:val="36"/>
        </w:rPr>
      </w:pPr>
      <w:r>
        <w:rPr>
          <w:rFonts w:hint="eastAsia" w:ascii="黑体" w:hAnsi="黑体" w:eastAsia="黑体" w:cs="黑体"/>
          <w:b w:val="0"/>
          <w:bCs w:val="0"/>
          <w:kern w:val="0"/>
          <w:sz w:val="36"/>
          <w:szCs w:val="36"/>
          <w:lang w:val="en-US" w:eastAsia="zh-CN"/>
        </w:rPr>
        <w:t>2025</w:t>
      </w:r>
      <w:r>
        <w:rPr>
          <w:rFonts w:hint="eastAsia" w:ascii="黑体" w:hAnsi="黑体" w:eastAsia="黑体" w:cs="黑体"/>
          <w:b w:val="0"/>
          <w:bCs w:val="0"/>
          <w:kern w:val="0"/>
          <w:sz w:val="36"/>
          <w:szCs w:val="36"/>
        </w:rPr>
        <w:t>年</w:t>
      </w:r>
      <w:r>
        <w:rPr>
          <w:rFonts w:hint="eastAsia" w:ascii="黑体" w:hAnsi="黑体" w:eastAsia="黑体" w:cs="黑体"/>
          <w:b w:val="0"/>
          <w:bCs w:val="0"/>
          <w:kern w:val="0"/>
          <w:sz w:val="36"/>
          <w:szCs w:val="36"/>
          <w:lang w:val="en-US" w:eastAsia="zh-CN"/>
        </w:rPr>
        <w:t>4</w:t>
      </w:r>
      <w:r>
        <w:rPr>
          <w:rFonts w:hint="eastAsia" w:ascii="黑体" w:hAnsi="黑体" w:eastAsia="黑体" w:cs="黑体"/>
          <w:b w:val="0"/>
          <w:bCs w:val="0"/>
          <w:kern w:val="0"/>
          <w:sz w:val="36"/>
          <w:szCs w:val="36"/>
        </w:rPr>
        <w:t xml:space="preserve"> 月</w:t>
      </w:r>
      <w:r>
        <w:rPr>
          <w:rFonts w:hint="eastAsia" w:ascii="黑体" w:hAnsi="黑体" w:eastAsia="黑体" w:cs="黑体"/>
          <w:b w:val="0"/>
          <w:bCs w:val="0"/>
          <w:kern w:val="0"/>
          <w:sz w:val="36"/>
          <w:szCs w:val="36"/>
          <w:lang w:val="en-US" w:eastAsia="zh-CN"/>
        </w:rPr>
        <w:t>2</w:t>
      </w:r>
      <w:r>
        <w:rPr>
          <w:rFonts w:hint="eastAsia" w:ascii="黑体" w:hAnsi="黑体" w:eastAsia="黑体" w:cs="黑体"/>
          <w:b w:val="0"/>
          <w:bCs w:val="0"/>
          <w:kern w:val="0"/>
          <w:sz w:val="36"/>
          <w:szCs w:val="36"/>
        </w:rPr>
        <w:t>日</w:t>
      </w:r>
    </w:p>
    <w:p>
      <w:pPr>
        <w:jc w:val="center"/>
        <w:rPr>
          <w:rFonts w:hint="eastAsia" w:ascii="黑体" w:hAnsi="黑体" w:eastAsia="黑体" w:cs="宋体"/>
          <w:kern w:val="0"/>
          <w:sz w:val="32"/>
          <w:szCs w:val="32"/>
          <w:lang w:eastAsia="zh-CN"/>
        </w:rPr>
      </w:pPr>
      <w:r>
        <w:rPr>
          <w:rFonts w:hint="eastAsia" w:ascii="黑体" w:hAnsi="黑体" w:eastAsia="黑体" w:cs="仿宋"/>
          <w:kern w:val="0"/>
          <w:sz w:val="32"/>
          <w:szCs w:val="32"/>
        </w:rPr>
        <w:br w:type="page"/>
      </w:r>
    </w:p>
    <w:p>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lang w:val="en-US" w:eastAsia="zh-CN"/>
        </w:rPr>
        <w:t>2024</w:t>
      </w:r>
      <w:r>
        <w:rPr>
          <w:rFonts w:hint="eastAsia" w:ascii="微软雅黑" w:hAnsi="仿宋" w:eastAsia="微软雅黑" w:cs="宋体"/>
          <w:b w:val="0"/>
          <w:bCs/>
          <w:kern w:val="0"/>
          <w:sz w:val="44"/>
          <w:szCs w:val="44"/>
        </w:rPr>
        <w:t>年度</w:t>
      </w:r>
      <w:r>
        <w:rPr>
          <w:rFonts w:hint="eastAsia" w:ascii="微软雅黑" w:hAnsi="仿宋" w:eastAsia="微软雅黑" w:cs="宋体"/>
          <w:b w:val="0"/>
          <w:bCs/>
          <w:kern w:val="0"/>
          <w:sz w:val="44"/>
          <w:szCs w:val="44"/>
          <w:lang w:val="en-US" w:eastAsia="zh-CN"/>
        </w:rPr>
        <w:t>田庄乡卫生院</w:t>
      </w:r>
      <w:r>
        <w:rPr>
          <w:rFonts w:hint="eastAsia" w:ascii="微软雅黑" w:hAnsi="仿宋" w:eastAsia="微软雅黑" w:cs="宋体"/>
          <w:b w:val="0"/>
          <w:bCs/>
          <w:kern w:val="0"/>
          <w:sz w:val="44"/>
          <w:szCs w:val="44"/>
        </w:rPr>
        <w:t>整体支出</w:t>
      </w:r>
    </w:p>
    <w:p>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rPr>
        <w:t>绩效自评报告</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一、部门(单位)基本情况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(一)202</w:t>
      </w:r>
      <w:r>
        <w:rPr>
          <w:rFonts w:hint="eastAsia" w:ascii="楷体_GB2312" w:hAnsi="楷体_GB2312" w:eastAsia="楷体_GB2312" w:cs="楷体_GB2312"/>
          <w:color w:val="000000"/>
          <w:kern w:val="0"/>
          <w:sz w:val="32"/>
          <w:szCs w:val="32"/>
          <w:lang w:val="en-US" w:eastAsia="zh-CN"/>
        </w:rPr>
        <w:t>4</w:t>
      </w:r>
      <w:r>
        <w:rPr>
          <w:rFonts w:hint="eastAsia" w:ascii="楷体_GB2312" w:hAnsi="楷体_GB2312" w:eastAsia="楷体_GB2312" w:cs="楷体_GB2312"/>
          <w:color w:val="000000"/>
          <w:kern w:val="0"/>
          <w:sz w:val="32"/>
          <w:szCs w:val="32"/>
        </w:rPr>
        <w:t>年度重点工作</w:t>
      </w:r>
      <w:r>
        <w:rPr>
          <w:rFonts w:hint="eastAsia" w:ascii="楷体_GB2312" w:hAnsi="楷体_GB2312" w:eastAsia="楷体_GB2312" w:cs="楷体_GB2312"/>
          <w:color w:val="000000"/>
          <w:kern w:val="0"/>
          <w:sz w:val="32"/>
          <w:szCs w:val="32"/>
          <w:lang w:eastAsia="zh-CN"/>
        </w:rPr>
        <w:t>：</w:t>
      </w:r>
      <w:r>
        <w:rPr>
          <w:rFonts w:eastAsia="楷体_GB2312"/>
          <w:sz w:val="32"/>
        </w:rPr>
        <w:t>坚持“以基层为重点”的卫生与健康工作方针，坚持“抓重点、补短板、强弱项”，坚持基本医疗与基本公卫并重、管理与建设并重、工作进度结果与质量效益并重、职工满意群众满意与单位满意政府满意并重，不断开拓创新，真抓实干，努力开创基层卫生工作新局面。</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(二)部门整体支出规模、使用方向、主要内容和涉及范围。</w:t>
      </w:r>
    </w:p>
    <w:p>
      <w:pPr>
        <w:pStyle w:val="16"/>
        <w:ind w:firstLine="640" w:firstLineChars="200"/>
        <w:rPr>
          <w:rFonts w:hint="eastAsia" w:ascii="仿宋" w:hAnsi="仿宋" w:eastAsia="楷体_GB2312" w:cs="Arial"/>
          <w:kern w:val="2"/>
          <w:sz w:val="32"/>
          <w:szCs w:val="32"/>
        </w:rPr>
      </w:pPr>
      <w:r>
        <w:rPr>
          <w:rFonts w:ascii="仿宋" w:hAnsi="仿宋" w:eastAsia="楷体_GB2312" w:cs="Arial"/>
          <w:kern w:val="2"/>
          <w:sz w:val="32"/>
          <w:szCs w:val="32"/>
        </w:rPr>
        <w:t>20</w:t>
      </w:r>
      <w:r>
        <w:rPr>
          <w:rFonts w:hint="eastAsia" w:ascii="仿宋" w:hAnsi="仿宋" w:eastAsia="楷体_GB2312" w:cs="Arial"/>
          <w:kern w:val="2"/>
          <w:sz w:val="32"/>
          <w:szCs w:val="32"/>
        </w:rPr>
        <w:t>2</w:t>
      </w:r>
      <w:r>
        <w:rPr>
          <w:rFonts w:hint="eastAsia" w:ascii="仿宋" w:hAnsi="仿宋" w:eastAsia="楷体_GB2312" w:cs="Arial"/>
          <w:kern w:val="2"/>
          <w:sz w:val="32"/>
          <w:szCs w:val="32"/>
          <w:lang w:val="en-US" w:eastAsia="zh-CN"/>
        </w:rPr>
        <w:t>4</w:t>
      </w:r>
      <w:r>
        <w:rPr>
          <w:rFonts w:ascii="仿宋" w:hAnsi="仿宋" w:eastAsia="楷体_GB2312" w:cs="Arial"/>
          <w:kern w:val="2"/>
          <w:sz w:val="32"/>
          <w:szCs w:val="32"/>
        </w:rPr>
        <w:t>年，卫生院</w:t>
      </w:r>
      <w:r>
        <w:rPr>
          <w:rFonts w:hint="eastAsia" w:ascii="仿宋" w:hAnsi="仿宋" w:eastAsia="楷体_GB2312" w:cs="Arial"/>
          <w:kern w:val="2"/>
          <w:sz w:val="32"/>
          <w:szCs w:val="32"/>
        </w:rPr>
        <w:t>收入</w:t>
      </w:r>
      <w:r>
        <w:rPr>
          <w:rFonts w:ascii="仿宋" w:hAnsi="仿宋" w:eastAsia="楷体_GB2312" w:cs="Arial"/>
          <w:kern w:val="2"/>
          <w:sz w:val="32"/>
          <w:szCs w:val="32"/>
        </w:rPr>
        <w:t>为</w:t>
      </w:r>
      <w:r>
        <w:rPr>
          <w:rFonts w:hint="eastAsia" w:ascii="仿宋" w:hAnsi="仿宋" w:eastAsia="楷体_GB2312" w:cs="Arial"/>
          <w:kern w:val="2"/>
          <w:sz w:val="32"/>
          <w:szCs w:val="32"/>
          <w:lang w:val="en-US" w:eastAsia="zh-CN"/>
        </w:rPr>
        <w:t>801</w:t>
      </w:r>
      <w:r>
        <w:rPr>
          <w:rFonts w:ascii="仿宋" w:hAnsi="仿宋" w:eastAsia="楷体_GB2312" w:cs="Arial"/>
          <w:kern w:val="2"/>
          <w:sz w:val="32"/>
          <w:szCs w:val="32"/>
        </w:rPr>
        <w:t>万元，其中：项目支出资金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万元，基本支出资金</w:t>
      </w:r>
      <w:r>
        <w:rPr>
          <w:rFonts w:hint="eastAsia" w:ascii="仿宋" w:hAnsi="仿宋" w:eastAsia="楷体_GB2312" w:cs="Arial"/>
          <w:kern w:val="2"/>
          <w:sz w:val="32"/>
          <w:szCs w:val="32"/>
          <w:lang w:val="en-US" w:eastAsia="zh-CN"/>
        </w:rPr>
        <w:t>801</w:t>
      </w:r>
      <w:r>
        <w:rPr>
          <w:rFonts w:ascii="仿宋" w:hAnsi="仿宋" w:eastAsia="楷体_GB2312" w:cs="Arial"/>
          <w:kern w:val="2"/>
          <w:sz w:val="32"/>
          <w:szCs w:val="32"/>
        </w:rPr>
        <w:t>万元。 其中：</w:t>
      </w:r>
      <w:r>
        <w:rPr>
          <w:rFonts w:hint="eastAsia" w:ascii="仿宋" w:hAnsi="仿宋" w:eastAsia="楷体_GB2312" w:cs="Arial"/>
          <w:kern w:val="2"/>
          <w:sz w:val="32"/>
          <w:szCs w:val="32"/>
        </w:rPr>
        <w:t>财政拨款收入</w:t>
      </w:r>
      <w:r>
        <w:rPr>
          <w:rFonts w:hint="eastAsia" w:ascii="仿宋" w:hAnsi="仿宋" w:eastAsia="楷体_GB2312" w:cs="Arial"/>
          <w:kern w:val="2"/>
          <w:sz w:val="32"/>
          <w:szCs w:val="32"/>
          <w:lang w:val="en-US" w:eastAsia="zh-CN"/>
        </w:rPr>
        <w:t>473.79</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59.1</w:t>
      </w:r>
      <w:r>
        <w:rPr>
          <w:rFonts w:hint="eastAsia" w:ascii="仿宋" w:hAnsi="仿宋" w:eastAsia="楷体_GB2312" w:cs="Arial"/>
          <w:kern w:val="2"/>
          <w:sz w:val="32"/>
          <w:szCs w:val="32"/>
        </w:rPr>
        <w:t>%；事业收入</w:t>
      </w:r>
      <w:r>
        <w:rPr>
          <w:rFonts w:hint="eastAsia" w:ascii="仿宋" w:hAnsi="仿宋" w:eastAsia="楷体_GB2312" w:cs="Arial"/>
          <w:kern w:val="2"/>
          <w:sz w:val="32"/>
          <w:szCs w:val="32"/>
          <w:lang w:val="en-US" w:eastAsia="zh-CN"/>
        </w:rPr>
        <w:t>288.78</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36</w:t>
      </w:r>
      <w:r>
        <w:rPr>
          <w:rFonts w:hint="eastAsia" w:ascii="仿宋" w:hAnsi="仿宋" w:eastAsia="楷体_GB2312" w:cs="Arial"/>
          <w:kern w:val="2"/>
          <w:sz w:val="32"/>
          <w:szCs w:val="32"/>
        </w:rPr>
        <w:t>%</w:t>
      </w:r>
      <w:r>
        <w:rPr>
          <w:rFonts w:hint="eastAsia" w:ascii="仿宋" w:hAnsi="仿宋" w:eastAsia="楷体_GB2312" w:cs="Arial"/>
          <w:kern w:val="2"/>
          <w:sz w:val="32"/>
          <w:szCs w:val="32"/>
          <w:lang w:eastAsia="zh-CN"/>
        </w:rPr>
        <w:t>，其他收入</w:t>
      </w:r>
      <w:r>
        <w:rPr>
          <w:rFonts w:hint="eastAsia" w:ascii="仿宋" w:hAnsi="仿宋" w:eastAsia="楷体_GB2312" w:cs="Arial"/>
          <w:kern w:val="2"/>
          <w:sz w:val="32"/>
          <w:szCs w:val="32"/>
          <w:lang w:val="en-US" w:eastAsia="zh-CN"/>
        </w:rPr>
        <w:t>38.42万元，占4.9%</w:t>
      </w:r>
      <w:r>
        <w:rPr>
          <w:rFonts w:hint="eastAsia" w:ascii="仿宋" w:hAnsi="仿宋" w:eastAsia="楷体_GB2312" w:cs="Arial"/>
          <w:kern w:val="2"/>
          <w:sz w:val="32"/>
          <w:szCs w:val="32"/>
        </w:rPr>
        <w:t>。</w:t>
      </w:r>
    </w:p>
    <w:p>
      <w:pPr>
        <w:widowControl/>
        <w:ind w:firstLine="482"/>
        <w:rPr>
          <w:rFonts w:hint="eastAsia" w:ascii="仿宋" w:hAnsi="仿宋" w:eastAsia="楷体_GB2312" w:cs="Arial"/>
          <w:color w:val="000000"/>
          <w:sz w:val="32"/>
          <w:szCs w:val="32"/>
        </w:rPr>
      </w:pPr>
      <w:r>
        <w:rPr>
          <w:rFonts w:hint="eastAsia" w:ascii="仿宋" w:hAnsi="仿宋" w:eastAsia="楷体_GB2312" w:cs="Arial"/>
          <w:color w:val="000000"/>
          <w:sz w:val="32"/>
          <w:szCs w:val="32"/>
        </w:rPr>
        <w:t>本年支出合计</w:t>
      </w:r>
      <w:r>
        <w:rPr>
          <w:rFonts w:hint="eastAsia" w:ascii="仿宋" w:hAnsi="仿宋" w:eastAsia="楷体_GB2312" w:cs="Arial"/>
          <w:color w:val="000000"/>
          <w:sz w:val="32"/>
          <w:szCs w:val="32"/>
          <w:lang w:val="en-US" w:eastAsia="zh-CN"/>
        </w:rPr>
        <w:t>801</w:t>
      </w:r>
      <w:r>
        <w:rPr>
          <w:rFonts w:hint="eastAsia" w:ascii="仿宋" w:hAnsi="仿宋" w:eastAsia="楷体_GB2312" w:cs="Arial"/>
          <w:color w:val="000000"/>
          <w:sz w:val="32"/>
          <w:szCs w:val="32"/>
        </w:rPr>
        <w:t>万元，其中：</w:t>
      </w:r>
      <w:r>
        <w:rPr>
          <w:rFonts w:ascii="仿宋" w:hAnsi="仿宋" w:eastAsia="楷体_GB2312" w:cs="Arial"/>
          <w:kern w:val="2"/>
          <w:sz w:val="32"/>
          <w:szCs w:val="32"/>
        </w:rPr>
        <w:t>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w:t>
      </w:r>
      <w:r>
        <w:rPr>
          <w:rFonts w:hint="eastAsia" w:ascii="仿宋" w:hAnsi="仿宋" w:eastAsia="楷体_GB2312" w:cs="Arial"/>
          <w:kern w:val="2"/>
          <w:sz w:val="32"/>
          <w:szCs w:val="32"/>
          <w:lang w:eastAsia="zh-CN"/>
        </w:rPr>
        <w:t>，</w:t>
      </w:r>
      <w:r>
        <w:rPr>
          <w:rFonts w:hint="eastAsia" w:ascii="仿宋" w:hAnsi="仿宋" w:eastAsia="楷体_GB2312" w:cs="Arial"/>
          <w:color w:val="000000"/>
          <w:sz w:val="32"/>
          <w:szCs w:val="32"/>
        </w:rPr>
        <w:t>基本支出</w:t>
      </w:r>
      <w:r>
        <w:rPr>
          <w:rFonts w:hint="eastAsia" w:ascii="仿宋" w:hAnsi="仿宋" w:eastAsia="楷体_GB2312" w:cs="Arial"/>
          <w:color w:val="000000"/>
          <w:sz w:val="32"/>
          <w:szCs w:val="32"/>
          <w:lang w:val="en-US" w:eastAsia="zh-CN"/>
        </w:rPr>
        <w:t>801</w:t>
      </w:r>
      <w:r>
        <w:rPr>
          <w:rFonts w:hint="eastAsia" w:ascii="仿宋" w:hAnsi="仿宋" w:eastAsia="楷体_GB2312" w:cs="Arial"/>
          <w:color w:val="000000"/>
          <w:sz w:val="32"/>
          <w:szCs w:val="32"/>
        </w:rPr>
        <w:t>万元，占100%。</w:t>
      </w:r>
    </w:p>
    <w:p>
      <w:pPr>
        <w:widowControl/>
        <w:ind w:firstLine="482"/>
        <w:rPr>
          <w:rFonts w:ascii="仿宋" w:hAnsi="仿宋" w:eastAsia="楷体_GB2312" w:cs="Arial"/>
          <w:color w:val="000000"/>
          <w:sz w:val="32"/>
          <w:szCs w:val="32"/>
        </w:rPr>
      </w:pPr>
      <w:r>
        <w:rPr>
          <w:rFonts w:ascii="仿宋" w:hAnsi="仿宋" w:eastAsia="楷体_GB2312" w:cs="Arial"/>
          <w:color w:val="000000"/>
          <w:sz w:val="32"/>
          <w:szCs w:val="32"/>
        </w:rPr>
        <w:t>按经济科目划分，各项支出金额分别为：工资福利支出</w:t>
      </w:r>
      <w:r>
        <w:rPr>
          <w:rFonts w:hint="eastAsia" w:ascii="仿宋" w:hAnsi="仿宋" w:eastAsia="楷体_GB2312" w:cs="Arial"/>
          <w:color w:val="000000"/>
          <w:sz w:val="32"/>
          <w:szCs w:val="32"/>
          <w:lang w:val="en-US" w:eastAsia="zh-CN"/>
        </w:rPr>
        <w:t>288.05</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36</w:t>
      </w:r>
      <w:r>
        <w:rPr>
          <w:rFonts w:ascii="仿宋" w:hAnsi="仿宋" w:eastAsia="楷体_GB2312" w:cs="Arial"/>
          <w:color w:val="000000"/>
          <w:sz w:val="32"/>
          <w:szCs w:val="32"/>
        </w:rPr>
        <w:t>%；商品和服务支出</w:t>
      </w:r>
      <w:r>
        <w:rPr>
          <w:rFonts w:hint="eastAsia" w:ascii="仿宋" w:hAnsi="仿宋" w:eastAsia="楷体_GB2312" w:cs="Arial"/>
          <w:color w:val="000000"/>
          <w:sz w:val="32"/>
          <w:szCs w:val="32"/>
          <w:lang w:val="en-US" w:eastAsia="zh-CN"/>
        </w:rPr>
        <w:t>512.95</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64</w:t>
      </w:r>
      <w:r>
        <w:rPr>
          <w:rFonts w:ascii="仿宋" w:hAnsi="仿宋" w:eastAsia="楷体_GB2312" w:cs="Arial"/>
          <w:color w:val="000000"/>
          <w:sz w:val="32"/>
          <w:szCs w:val="32"/>
        </w:rPr>
        <w:t>%；对个人和家庭的补助</w:t>
      </w:r>
      <w:r>
        <w:rPr>
          <w:rFonts w:hint="eastAsia" w:ascii="仿宋" w:hAnsi="仿宋" w:eastAsia="楷体_GB2312" w:cs="Arial"/>
          <w:color w:val="000000"/>
          <w:sz w:val="32"/>
          <w:szCs w:val="32"/>
          <w:lang w:val="en-US" w:eastAsia="zh-CN"/>
        </w:rPr>
        <w:t>0</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0</w:t>
      </w:r>
      <w:r>
        <w:rPr>
          <w:rFonts w:ascii="仿宋" w:hAnsi="仿宋" w:eastAsia="楷体_GB2312" w:cs="Arial"/>
          <w:color w:val="000000"/>
          <w:sz w:val="32"/>
          <w:szCs w:val="32"/>
        </w:rPr>
        <w:t>%；资本性支出</w:t>
      </w:r>
      <w:r>
        <w:rPr>
          <w:rFonts w:hint="eastAsia" w:ascii="仿宋" w:hAnsi="仿宋" w:eastAsia="楷体_GB2312" w:cs="Arial"/>
          <w:color w:val="000000"/>
          <w:sz w:val="32"/>
          <w:szCs w:val="32"/>
          <w:lang w:val="en-US" w:eastAsia="zh-CN"/>
        </w:rPr>
        <w:t>0</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0</w:t>
      </w:r>
      <w:r>
        <w:rPr>
          <w:rFonts w:ascii="仿宋" w:hAnsi="仿宋" w:eastAsia="楷体_GB2312" w:cs="Arial"/>
          <w:color w:val="000000"/>
          <w:sz w:val="32"/>
          <w:szCs w:val="32"/>
        </w:rPr>
        <w:t>%；其他支出0万元</w:t>
      </w:r>
      <w:r>
        <w:rPr>
          <w:rFonts w:hint="eastAsia" w:ascii="仿宋" w:hAnsi="仿宋" w:eastAsia="楷体_GB2312" w:cs="Arial"/>
          <w:color w:val="000000"/>
          <w:sz w:val="32"/>
          <w:szCs w:val="32"/>
        </w:rPr>
        <w:t>，</w:t>
      </w:r>
      <w:r>
        <w:rPr>
          <w:rFonts w:ascii="仿宋" w:hAnsi="仿宋" w:eastAsia="楷体_GB2312" w:cs="Arial"/>
          <w:color w:val="000000"/>
          <w:sz w:val="32"/>
          <w:szCs w:val="32"/>
        </w:rPr>
        <w:t>当年收支平衡。</w:t>
      </w:r>
    </w:p>
    <w:p>
      <w:pPr>
        <w:widowControl/>
        <w:ind w:firstLine="482"/>
        <w:rPr>
          <w:rFonts w:hint="eastAsia" w:ascii="仿宋" w:hAnsi="仿宋" w:eastAsia="楷体_GB2312" w:cs="Arial"/>
          <w:color w:val="000000"/>
          <w:sz w:val="32"/>
          <w:szCs w:val="32"/>
        </w:rPr>
      </w:pPr>
      <w:r>
        <w:rPr>
          <w:rFonts w:eastAsia="楷体_GB2312"/>
          <w:kern w:val="0"/>
          <w:sz w:val="32"/>
          <w:szCs w:val="32"/>
        </w:rPr>
        <w:t>绩效目标设立情况，主要包括部门中长期绩效目标和年度绩效目标。</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二、一般公共预算支出情况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(一)基本支出情况</w:t>
      </w:r>
    </w:p>
    <w:p>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卫生院20</w:t>
      </w:r>
      <w:r>
        <w:rPr>
          <w:rFonts w:hint="eastAsia" w:ascii="仿宋" w:hAnsi="仿宋" w:eastAsia="楷体_GB2312" w:cs="宋体"/>
          <w:color w:val="535353"/>
          <w:spacing w:val="7"/>
          <w:kern w:val="0"/>
          <w:sz w:val="32"/>
          <w:szCs w:val="32"/>
          <w:lang w:val="en-US" w:eastAsia="zh-CN"/>
        </w:rPr>
        <w:t>24</w:t>
      </w:r>
      <w:r>
        <w:rPr>
          <w:rFonts w:hint="eastAsia" w:ascii="仿宋" w:hAnsi="仿宋" w:eastAsia="楷体_GB2312" w:cs="宋体"/>
          <w:color w:val="535353"/>
          <w:spacing w:val="7"/>
          <w:kern w:val="0"/>
          <w:sz w:val="32"/>
          <w:szCs w:val="32"/>
        </w:rPr>
        <w:t>年一般公共预算基本支</w:t>
      </w:r>
      <w:r>
        <w:rPr>
          <w:rFonts w:hint="eastAsia" w:ascii="仿宋" w:hAnsi="仿宋" w:eastAsia="楷体_GB2312" w:cs="宋体"/>
          <w:color w:val="535353"/>
          <w:spacing w:val="7"/>
          <w:kern w:val="0"/>
          <w:sz w:val="32"/>
          <w:szCs w:val="32"/>
          <w:lang w:val="en-US" w:eastAsia="zh-CN"/>
        </w:rPr>
        <w:t>801</w:t>
      </w:r>
      <w:r>
        <w:rPr>
          <w:rFonts w:hint="eastAsia" w:ascii="仿宋" w:hAnsi="仿宋" w:eastAsia="楷体_GB2312" w:cs="宋体"/>
          <w:color w:val="535353"/>
          <w:spacing w:val="7"/>
          <w:kern w:val="0"/>
          <w:sz w:val="32"/>
          <w:szCs w:val="32"/>
        </w:rPr>
        <w:t>万元。</w:t>
      </w:r>
    </w:p>
    <w:p>
      <w:pPr>
        <w:widowControl/>
        <w:shd w:val="clear" w:color="auto" w:fill="FFFFFF"/>
        <w:ind w:firstLine="652"/>
        <w:jc w:val="left"/>
        <w:rPr>
          <w:rFonts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其中：</w:t>
      </w:r>
    </w:p>
    <w:p>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人员经费</w:t>
      </w:r>
      <w:r>
        <w:rPr>
          <w:rFonts w:hint="eastAsia" w:ascii="仿宋" w:hAnsi="仿宋" w:eastAsia="楷体_GB2312" w:cs="宋体"/>
          <w:color w:val="535353"/>
          <w:spacing w:val="7"/>
          <w:kern w:val="0"/>
          <w:sz w:val="32"/>
          <w:szCs w:val="32"/>
          <w:lang w:val="en-US" w:eastAsia="zh-CN"/>
        </w:rPr>
        <w:t>288.05</w:t>
      </w:r>
      <w:r>
        <w:rPr>
          <w:rFonts w:hint="eastAsia" w:ascii="仿宋" w:hAnsi="仿宋" w:eastAsia="楷体_GB2312" w:cs="宋体"/>
          <w:color w:val="535353"/>
          <w:spacing w:val="7"/>
          <w:kern w:val="0"/>
          <w:sz w:val="32"/>
          <w:szCs w:val="32"/>
        </w:rPr>
        <w:t>万元，主要包括：基本工资、津贴补贴、奖金、离休费、退休费、生活补助、医疗费、奖励金、住房公积金、提租补贴、购房补贴等；</w:t>
      </w:r>
    </w:p>
    <w:p>
      <w:pPr>
        <w:widowControl/>
        <w:shd w:val="clear" w:color="auto" w:fill="FFFFFF"/>
        <w:ind w:firstLine="652"/>
        <w:jc w:val="left"/>
        <w:rPr>
          <w:rFonts w:hint="eastAsia" w:ascii="仿宋" w:hAnsi="仿宋" w:eastAsia="楷体_GB2312" w:cs="宋体"/>
          <w:color w:val="535353"/>
          <w:spacing w:val="7"/>
          <w:kern w:val="0"/>
          <w:sz w:val="32"/>
          <w:szCs w:val="32"/>
          <w:lang w:eastAsia="zh-CN"/>
        </w:rPr>
      </w:pPr>
      <w:r>
        <w:rPr>
          <w:rFonts w:hint="eastAsia" w:ascii="仿宋" w:hAnsi="仿宋" w:eastAsia="楷体_GB2312" w:cs="宋体"/>
          <w:color w:val="535353"/>
          <w:spacing w:val="7"/>
          <w:kern w:val="0"/>
          <w:sz w:val="32"/>
          <w:szCs w:val="32"/>
        </w:rPr>
        <w:t>日常公用经费</w:t>
      </w:r>
      <w:r>
        <w:rPr>
          <w:rFonts w:hint="eastAsia" w:ascii="仿宋" w:hAnsi="仿宋" w:eastAsia="楷体_GB2312" w:cs="宋体"/>
          <w:color w:val="535353"/>
          <w:spacing w:val="7"/>
          <w:kern w:val="0"/>
          <w:sz w:val="32"/>
          <w:szCs w:val="32"/>
          <w:lang w:val="en-US" w:eastAsia="zh-CN"/>
        </w:rPr>
        <w:t>512.95</w:t>
      </w:r>
      <w:r>
        <w:rPr>
          <w:rFonts w:hint="eastAsia" w:ascii="仿宋" w:hAnsi="仿宋" w:eastAsia="楷体_GB2312" w:cs="宋体"/>
          <w:color w:val="535353"/>
          <w:spacing w:val="7"/>
          <w:kern w:val="0"/>
          <w:sz w:val="32"/>
          <w:szCs w:val="32"/>
        </w:rPr>
        <w:t>万元，主要包括：办公费、印刷费、水费、电费、邮电费、取暖费、物业管理费、差旅费、维修（护）费、大型修缮费、会议费、培训费、公务接待费、专用材料费、劳务费、工会经费、福利费、公务用车运行维护费、其他交通费、其他商品和服务支出</w:t>
      </w:r>
      <w:bookmarkStart w:id="0" w:name="_GoBack"/>
      <w:bookmarkEnd w:id="0"/>
      <w:r>
        <w:rPr>
          <w:rFonts w:hint="eastAsia" w:ascii="仿宋" w:hAnsi="仿宋" w:eastAsia="楷体_GB2312" w:cs="宋体"/>
          <w:color w:val="535353"/>
          <w:spacing w:val="7"/>
          <w:kern w:val="0"/>
          <w:sz w:val="32"/>
          <w:szCs w:val="32"/>
        </w:rPr>
        <w:t>等</w:t>
      </w:r>
      <w:r>
        <w:rPr>
          <w:rFonts w:hint="eastAsia" w:ascii="仿宋" w:hAnsi="仿宋" w:eastAsia="楷体_GB2312" w:cs="宋体"/>
          <w:color w:val="535353"/>
          <w:spacing w:val="7"/>
          <w:kern w:val="0"/>
          <w:sz w:val="32"/>
          <w:szCs w:val="32"/>
          <w:lang w:eastAsia="zh-CN"/>
        </w:rPr>
        <w:t>；</w:t>
      </w:r>
    </w:p>
    <w:p>
      <w:pPr>
        <w:widowControl/>
        <w:shd w:val="clear" w:color="auto" w:fill="FFFFFF"/>
        <w:ind w:firstLine="652"/>
        <w:jc w:val="left"/>
        <w:rPr>
          <w:rFonts w:hint="eastAsia" w:ascii="仿宋" w:hAnsi="仿宋" w:eastAsia="楷体_GB2312" w:cs="宋体"/>
          <w:color w:val="535353"/>
          <w:spacing w:val="7"/>
          <w:kern w:val="0"/>
          <w:sz w:val="32"/>
          <w:szCs w:val="32"/>
          <w:lang w:val="en-US" w:eastAsia="zh-CN"/>
        </w:rPr>
      </w:pPr>
      <w:r>
        <w:rPr>
          <w:rFonts w:hint="eastAsia" w:ascii="仿宋" w:hAnsi="仿宋" w:eastAsia="楷体_GB2312" w:cs="宋体"/>
          <w:color w:val="535353"/>
          <w:spacing w:val="7"/>
          <w:kern w:val="0"/>
          <w:sz w:val="32"/>
          <w:szCs w:val="32"/>
          <w:lang w:eastAsia="zh-CN"/>
        </w:rPr>
        <w:t>对个人和家庭的补助支出</w:t>
      </w:r>
      <w:r>
        <w:rPr>
          <w:rFonts w:hint="eastAsia" w:ascii="仿宋" w:hAnsi="仿宋" w:eastAsia="楷体_GB2312" w:cs="宋体"/>
          <w:color w:val="535353"/>
          <w:spacing w:val="7"/>
          <w:kern w:val="0"/>
          <w:sz w:val="32"/>
          <w:szCs w:val="32"/>
          <w:lang w:val="en-US" w:eastAsia="zh-CN"/>
        </w:rPr>
        <w:t>0万元，主要包括退休人员的抚恤金、独生子女奖励、生活补助及其他对个人和家庭的补助支出等；</w:t>
      </w:r>
    </w:p>
    <w:p>
      <w:pPr>
        <w:widowControl/>
        <w:shd w:val="clear" w:color="auto" w:fill="FFFFFF"/>
        <w:ind w:firstLine="652"/>
        <w:jc w:val="left"/>
        <w:rPr>
          <w:rFonts w:hint="eastAsia" w:ascii="楷体_GB2312" w:hAnsi="楷体_GB2312" w:eastAsia="楷体_GB2312" w:cs="楷体_GB2312"/>
          <w:color w:val="000000"/>
          <w:kern w:val="0"/>
          <w:sz w:val="32"/>
          <w:szCs w:val="32"/>
        </w:rPr>
      </w:pPr>
      <w:r>
        <w:rPr>
          <w:rFonts w:hint="eastAsia" w:ascii="仿宋" w:hAnsi="仿宋" w:eastAsia="楷体_GB2312" w:cs="宋体"/>
          <w:color w:val="535353"/>
          <w:spacing w:val="7"/>
          <w:kern w:val="0"/>
          <w:sz w:val="32"/>
          <w:szCs w:val="32"/>
          <w:lang w:val="en-US" w:eastAsia="zh-CN"/>
        </w:rPr>
        <w:t>资本性支出0万元，主要包括房屋建设、办公及专用设备购置、网络及软件购置及更新等。</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(二)项目支出情况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lang w:eastAsia="zh-CN"/>
        </w:rPr>
      </w:pPr>
      <w:r>
        <w:rPr>
          <w:rFonts w:hint="eastAsia" w:ascii="楷体_GB2312" w:hAnsi="楷体_GB2312" w:eastAsia="楷体_GB2312" w:cs="楷体_GB2312"/>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三、政府性基金预算支出情况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楷体_GB2312" w:cs="宋体"/>
          <w:color w:val="000000"/>
          <w:kern w:val="0"/>
          <w:sz w:val="32"/>
          <w:szCs w:val="32"/>
          <w:lang w:eastAsia="zh-CN"/>
        </w:rPr>
      </w:pPr>
      <w:r>
        <w:rPr>
          <w:rFonts w:hint="eastAsia" w:ascii="黑体" w:hAnsi="黑体" w:eastAsia="楷体_GB2312" w:cs="宋体"/>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四、国有资本经营预算支出情况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五、社会保险基金预算支出情况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部门整体支出绩效情况</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一年来，各项卫生专项资金和本级财政安排的专项经费，都能严格按照专项经费管理使用要求和相应项目实施方案要求进行管理，严格支出，专项资金使用规范，制定了相关资金管理制度，项目工作开展措施有力，工作稳步推进，且成效明显，项目专项资金财政到位和拨付做到及时，财政对相关配套项目资金有保障，各项目资金使用单位严格专项资金使用与管理，进行专账核算，专款专用，用到实处，没有出现挤占、挪用的情况，确保资金使用效果，专项资金产出的效果比较明显，达到预期效果。</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综合各项指标，卫生院财务管理较为健全规范，未发生严重违法违规现象，202</w:t>
      </w:r>
      <w:r>
        <w:rPr>
          <w:rFonts w:hint="eastAsia" w:eastAsia="楷体_GB2312"/>
          <w:kern w:val="0"/>
          <w:sz w:val="32"/>
          <w:szCs w:val="32"/>
          <w:lang w:val="en-US" w:eastAsia="zh-CN"/>
        </w:rPr>
        <w:t>4</w:t>
      </w:r>
      <w:r>
        <w:rPr>
          <w:rFonts w:hint="eastAsia" w:eastAsia="楷体_GB2312"/>
          <w:kern w:val="0"/>
          <w:sz w:val="32"/>
          <w:szCs w:val="32"/>
        </w:rPr>
        <w:t>年的部门整体支出绩效自我评价得到</w:t>
      </w:r>
      <w:r>
        <w:rPr>
          <w:rFonts w:hint="eastAsia" w:eastAsia="楷体_GB2312"/>
          <w:kern w:val="0"/>
          <w:sz w:val="32"/>
          <w:szCs w:val="32"/>
          <w:lang w:val="en-US" w:eastAsia="zh-CN"/>
        </w:rPr>
        <w:t>97</w:t>
      </w:r>
      <w:r>
        <w:rPr>
          <w:rFonts w:hint="eastAsia" w:eastAsia="楷体_GB2312"/>
          <w:kern w:val="0"/>
          <w:sz w:val="32"/>
          <w:szCs w:val="32"/>
        </w:rPr>
        <w:t>分</w:t>
      </w:r>
      <w:r>
        <w:rPr>
          <w:rFonts w:hint="eastAsia" w:eastAsia="楷体_GB2312"/>
          <w:kern w:val="0"/>
          <w:sz w:val="32"/>
          <w:szCs w:val="32"/>
          <w:lang w:val="en-US" w:eastAsia="zh-CN"/>
        </w:rPr>
        <w:t>.</w:t>
      </w:r>
      <w:r>
        <w:rPr>
          <w:rFonts w:hint="eastAsia" w:eastAsia="楷体_GB2312"/>
          <w:kern w:val="0"/>
          <w:sz w:val="32"/>
          <w:szCs w:val="32"/>
        </w:rPr>
        <w:t>自评结果：良好。全镇卫生</w:t>
      </w:r>
      <w:r>
        <w:rPr>
          <w:rFonts w:hint="eastAsia" w:eastAsia="楷体_GB2312"/>
          <w:kern w:val="0"/>
          <w:sz w:val="32"/>
          <w:szCs w:val="32"/>
          <w:lang w:eastAsia="zh-CN"/>
        </w:rPr>
        <w:t>健康</w:t>
      </w:r>
      <w:r>
        <w:rPr>
          <w:rFonts w:hint="eastAsia" w:eastAsia="楷体_GB2312"/>
          <w:kern w:val="0"/>
          <w:sz w:val="32"/>
          <w:szCs w:val="32"/>
        </w:rPr>
        <w:t>事业得以平稳发展。我院将在以后的工作中加强预算管理，严格控制各项经费的开支，提高经费的使用效率。</w:t>
      </w:r>
    </w:p>
    <w:p>
      <w:pPr>
        <w:keepNext w:val="0"/>
        <w:keepLines w:val="0"/>
        <w:pageBreakBefore w:val="0"/>
        <w:widowControl/>
        <w:numPr>
          <w:ilvl w:val="0"/>
          <w:numId w:val="1"/>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存在的问题及原因分析</w:t>
      </w:r>
    </w:p>
    <w:p>
      <w:pPr>
        <w:widowControl/>
        <w:spacing w:line="594" w:lineRule="exact"/>
        <w:ind w:firstLine="640" w:firstLineChars="200"/>
        <w:rPr>
          <w:rFonts w:eastAsia="楷体_GB2312"/>
          <w:kern w:val="0"/>
          <w:sz w:val="32"/>
          <w:szCs w:val="32"/>
        </w:rPr>
      </w:pPr>
      <w:r>
        <w:rPr>
          <w:rFonts w:hint="eastAsia" w:eastAsia="楷体_GB2312"/>
          <w:kern w:val="0"/>
          <w:sz w:val="32"/>
          <w:szCs w:val="32"/>
        </w:rPr>
        <w:t>通过前述对我院整体支出情况的分析，反映出目前整体支出主要在执行方面还存在一些问题和不足：</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执行力度不足。单位在进行财务执行时，因为缺乏刚性，有时会出现经费开支随意性较大等问题。</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八、下一步改进措施</w:t>
      </w:r>
    </w:p>
    <w:p>
      <w:pPr>
        <w:widowControl/>
        <w:spacing w:line="594" w:lineRule="exact"/>
        <w:ind w:firstLine="640" w:firstLineChars="200"/>
        <w:rPr>
          <w:rFonts w:eastAsia="楷体_GB2312"/>
          <w:kern w:val="0"/>
          <w:sz w:val="32"/>
          <w:szCs w:val="32"/>
        </w:rPr>
      </w:pPr>
      <w:r>
        <w:rPr>
          <w:rFonts w:hint="eastAsia" w:eastAsia="楷体_GB2312"/>
          <w:kern w:val="0"/>
          <w:sz w:val="32"/>
          <w:szCs w:val="32"/>
        </w:rPr>
        <w:t>针对上述存在的问题，拟采取以下改进措施：</w:t>
      </w:r>
    </w:p>
    <w:p>
      <w:pPr>
        <w:widowControl/>
        <w:numPr>
          <w:ilvl w:val="0"/>
          <w:numId w:val="2"/>
        </w:numPr>
        <w:spacing w:line="594" w:lineRule="exact"/>
        <w:ind w:firstLine="640" w:firstLineChars="200"/>
        <w:rPr>
          <w:rFonts w:hint="eastAsia" w:eastAsia="楷体_GB2312"/>
          <w:kern w:val="0"/>
          <w:sz w:val="32"/>
          <w:szCs w:val="32"/>
        </w:rPr>
      </w:pPr>
      <w:r>
        <w:rPr>
          <w:rFonts w:hint="eastAsia" w:eastAsia="楷体_GB2312"/>
          <w:kern w:val="0"/>
          <w:sz w:val="32"/>
          <w:szCs w:val="32"/>
        </w:rPr>
        <w:t>细化预算工作。根据项目实际情况和单位员工情况，根据岗位、环节不同，进行层层分解，准确分析预算编制的内容，将其运用到各个部门、各个环节、各个岗位，在预算和执行时运用岗位预算执行责任制并结合运用相应的预算管理考核体制，使每个执行人了解自己的责任，明确并确认责任执行。</w:t>
      </w:r>
    </w:p>
    <w:p>
      <w:pPr>
        <w:widowControl/>
        <w:numPr>
          <w:ilvl w:val="0"/>
          <w:numId w:val="2"/>
        </w:numPr>
        <w:spacing w:line="594" w:lineRule="exact"/>
        <w:ind w:left="0" w:leftChars="0" w:firstLine="640" w:firstLineChars="200"/>
        <w:rPr>
          <w:rFonts w:hint="eastAsia" w:eastAsia="楷体_GB2312"/>
          <w:kern w:val="0"/>
          <w:sz w:val="32"/>
          <w:szCs w:val="32"/>
        </w:rPr>
      </w:pPr>
      <w:r>
        <w:rPr>
          <w:rFonts w:hint="eastAsia" w:eastAsia="楷体_GB2312"/>
          <w:kern w:val="0"/>
          <w:sz w:val="32"/>
          <w:szCs w:val="32"/>
        </w:rPr>
        <w:t>加强预算管理。加强预算管理执行内容与进度的刚性约束，明确预算管理计划的内容，合理规划进度，适时公布，防止资金超支使用。</w:t>
      </w:r>
    </w:p>
    <w:p>
      <w:pPr>
        <w:widowControl/>
        <w:numPr>
          <w:ilvl w:val="0"/>
          <w:numId w:val="0"/>
        </w:numPr>
        <w:spacing w:line="594" w:lineRule="exact"/>
        <w:ind w:firstLine="640" w:firstLineChars="200"/>
        <w:rPr>
          <w:rFonts w:hint="eastAsia" w:ascii="黑体" w:hAnsi="黑体" w:eastAsia="楷体_GB2312" w:cs="宋体"/>
          <w:color w:val="000000"/>
          <w:kern w:val="0"/>
          <w:sz w:val="32"/>
          <w:szCs w:val="32"/>
        </w:rPr>
      </w:pPr>
      <w:r>
        <w:rPr>
          <w:rFonts w:hint="eastAsia" w:eastAsia="楷体_GB2312"/>
          <w:kern w:val="0"/>
          <w:sz w:val="32"/>
          <w:szCs w:val="32"/>
        </w:rPr>
        <w:t>（3）加强监督力度。单位预算执行的监督机制与单位内控机制紧密结合，从事前、事中、事后三个时间维度进行监督，检查预算执行效果，保证评价公平合理。</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九、绩效自评结果拟应用和公开情况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同意公开。</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val="en-US" w:eastAsia="zh-CN"/>
        </w:rPr>
        <w:t>十、其他需要说明的情况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val="en-US" w:eastAsia="zh-CN"/>
        </w:rPr>
        <w:t>无</w:t>
      </w:r>
    </w:p>
    <w:sectPr>
      <w:headerReference r:id="rId3" w:type="default"/>
      <w:footerReference r:id="rId4" w:type="default"/>
      <w:pgSz w:w="11905" w:h="16837"/>
      <w:pgMar w:top="2098" w:right="1474" w:bottom="1984" w:left="1474" w:header="850" w:footer="1417" w:gutter="0"/>
      <w:pgNumType w:fmt="numberInDash" w:start="1"/>
      <w:cols w:space="0" w:num="1"/>
      <w:rtlGutter w:val="0"/>
      <w:docGrid w:type="lines" w:linePitch="6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57E0AC63-34E5-4208-BBBF-AA368BBEDD7E}"/>
  </w:font>
  <w:font w:name="黑体">
    <w:panose1 w:val="02010600030101010101"/>
    <w:charset w:val="86"/>
    <w:family w:val="auto"/>
    <w:pitch w:val="default"/>
    <w:sig w:usb0="800002BF" w:usb1="38CF7CFA" w:usb2="00000016" w:usb3="00000000" w:csb0="00040001" w:csb1="00000000"/>
    <w:embedRegular r:id="rId2" w:fontKey="{E82BCF54-418B-4FE6-9024-0A713BF1495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3" w:fontKey="{8508F74C-CA8E-4877-944D-0092A3FB4F0A}"/>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4" w:fontKey="{1B2199F1-5C5E-488B-861C-DD7B40DEF320}"/>
  </w:font>
  <w:font w:name="微软雅黑">
    <w:panose1 w:val="020B0503020204020204"/>
    <w:charset w:val="86"/>
    <w:family w:val="auto"/>
    <w:pitch w:val="default"/>
    <w:sig w:usb0="80000287" w:usb1="280F3C52" w:usb2="00000016" w:usb3="00000000" w:csb0="0004001F" w:csb1="00000000"/>
    <w:embedRegular r:id="rId5" w:fontKey="{31DEF708-9BA2-4CB3-AFC5-E0C620966CB7}"/>
  </w:font>
  <w:font w:name="楷体">
    <w:panose1 w:val="02010609060101010101"/>
    <w:charset w:val="86"/>
    <w:family w:val="auto"/>
    <w:pitch w:val="default"/>
    <w:sig w:usb0="800002BF" w:usb1="38CF7CFA" w:usb2="00000016" w:usb3="00000000" w:csb0="00040001" w:csb1="00000000"/>
    <w:embedRegular r:id="rId6" w:fontKey="{79E5CD73-7550-4207-8B28-EC9102AC23B4}"/>
  </w:font>
  <w:font w:name="仿宋">
    <w:panose1 w:val="02010609060101010101"/>
    <w:charset w:val="86"/>
    <w:family w:val="auto"/>
    <w:pitch w:val="default"/>
    <w:sig w:usb0="800002BF" w:usb1="38CF7CFA" w:usb2="00000016" w:usb3="00000000" w:csb0="00040001" w:csb1="00000000"/>
    <w:embedRegular r:id="rId7" w:fontKey="{2B2D12DB-5489-47D8-962C-78018385F600}"/>
  </w:font>
  <w:font w:name="楷体_GB2312">
    <w:panose1 w:val="02010609030101010101"/>
    <w:charset w:val="86"/>
    <w:family w:val="modern"/>
    <w:pitch w:val="default"/>
    <w:sig w:usb0="00000001" w:usb1="080E0000" w:usb2="00000000" w:usb3="00000000" w:csb0="00040000" w:csb1="00000000"/>
    <w:embedRegular r:id="rId8" w:fontKey="{2220ACB3-3EEF-4F68-BB7B-27BC15D6DD9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wps:txbx>
                    <wps:bodyPr vert="horz" wrap="none" lIns="0" tIns="0" rIns="0" bIns="0" anchor="t" anchorCtr="0" upright="1">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oaYJL0wAA&#10;AAUBAAAPAAAAAAAAAAEAIAAAACIAAABkcnMvZG93bnJldi54bWxQSwECFAAUAAAACACHTuJAmrEc&#10;4+oBAADLAwAADgAAAAAAAAABACAAAAAiAQAAZHJzL2Uyb0RvYy54bWxQSwUGAAAAAAYABgBZAQAA&#10;fgUAAAAA&#10;">
              <v:fill on="f" focussize="0,0"/>
              <v:stroke on="f" weight="1.25pt"/>
              <v:imagedata o:title=""/>
              <o:lock v:ext="edit" aspectratio="f"/>
              <v:textbox inset="0mm,0mm,0mm,0mm" style="mso-fit-shape-to-text:t;">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DC6DC"/>
    <w:multiLevelType w:val="singleLevel"/>
    <w:tmpl w:val="E4CDC6DC"/>
    <w:lvl w:ilvl="0" w:tentative="0">
      <w:start w:val="1"/>
      <w:numFmt w:val="decimal"/>
      <w:suff w:val="nothing"/>
      <w:lvlText w:val="（%1）"/>
      <w:lvlJc w:val="left"/>
    </w:lvl>
  </w:abstractNum>
  <w:abstractNum w:abstractNumId="1">
    <w:nsid w:val="17DDA0CF"/>
    <w:multiLevelType w:val="singleLevel"/>
    <w:tmpl w:val="17DDA0CF"/>
    <w:lvl w:ilvl="0" w:tentative="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zA2YmZkMWI5Y2E3NDQ5NWQ4MDIxYjVmZTM0OGQifQ=="/>
    <w:docVar w:name="KSO_WPS_MARK_KEY" w:val="efdb9831-49e2-41f3-897e-affe4bfc1ef8"/>
  </w:docVars>
  <w:rsids>
    <w:rsidRoot w:val="5EF91413"/>
    <w:rsid w:val="001E592F"/>
    <w:rsid w:val="001F27BC"/>
    <w:rsid w:val="002D4B0D"/>
    <w:rsid w:val="003062EE"/>
    <w:rsid w:val="00355E6F"/>
    <w:rsid w:val="003E2793"/>
    <w:rsid w:val="003F11DD"/>
    <w:rsid w:val="004E640B"/>
    <w:rsid w:val="00592274"/>
    <w:rsid w:val="00630B10"/>
    <w:rsid w:val="00651AD0"/>
    <w:rsid w:val="00712ECA"/>
    <w:rsid w:val="007C7F1B"/>
    <w:rsid w:val="007F2C1A"/>
    <w:rsid w:val="00826A68"/>
    <w:rsid w:val="00970A76"/>
    <w:rsid w:val="00A3179B"/>
    <w:rsid w:val="00A40CEF"/>
    <w:rsid w:val="00A84895"/>
    <w:rsid w:val="00AD157A"/>
    <w:rsid w:val="00AE5FCA"/>
    <w:rsid w:val="00B83482"/>
    <w:rsid w:val="00CF00E5"/>
    <w:rsid w:val="00D30D45"/>
    <w:rsid w:val="00DF2F64"/>
    <w:rsid w:val="00E47EB9"/>
    <w:rsid w:val="00EF286B"/>
    <w:rsid w:val="00EF7465"/>
    <w:rsid w:val="00F5064A"/>
    <w:rsid w:val="00FB5247"/>
    <w:rsid w:val="01881C21"/>
    <w:rsid w:val="02E230B9"/>
    <w:rsid w:val="095202B3"/>
    <w:rsid w:val="0A371C48"/>
    <w:rsid w:val="0A461E15"/>
    <w:rsid w:val="0D1F294F"/>
    <w:rsid w:val="127960C2"/>
    <w:rsid w:val="128706BB"/>
    <w:rsid w:val="128C289E"/>
    <w:rsid w:val="13F1430E"/>
    <w:rsid w:val="15E118C5"/>
    <w:rsid w:val="18C44B05"/>
    <w:rsid w:val="1921258C"/>
    <w:rsid w:val="1A86539E"/>
    <w:rsid w:val="1D514A07"/>
    <w:rsid w:val="1D736768"/>
    <w:rsid w:val="1E02384E"/>
    <w:rsid w:val="1E2D7B42"/>
    <w:rsid w:val="1F6367C1"/>
    <w:rsid w:val="202355A8"/>
    <w:rsid w:val="204505AD"/>
    <w:rsid w:val="204B4B47"/>
    <w:rsid w:val="216A31A0"/>
    <w:rsid w:val="21887F99"/>
    <w:rsid w:val="21F32188"/>
    <w:rsid w:val="229365CD"/>
    <w:rsid w:val="22E7596F"/>
    <w:rsid w:val="2605582B"/>
    <w:rsid w:val="27666297"/>
    <w:rsid w:val="28264A04"/>
    <w:rsid w:val="2B8F395A"/>
    <w:rsid w:val="2CD96D87"/>
    <w:rsid w:val="2DF15952"/>
    <w:rsid w:val="2E6C7FCB"/>
    <w:rsid w:val="2E88044F"/>
    <w:rsid w:val="3284589B"/>
    <w:rsid w:val="33427BD7"/>
    <w:rsid w:val="36F9338A"/>
    <w:rsid w:val="37779E60"/>
    <w:rsid w:val="377A54BF"/>
    <w:rsid w:val="38D73482"/>
    <w:rsid w:val="39E9356E"/>
    <w:rsid w:val="39EE47F5"/>
    <w:rsid w:val="39F525A2"/>
    <w:rsid w:val="3C7B06AE"/>
    <w:rsid w:val="3D6A1B31"/>
    <w:rsid w:val="4015034D"/>
    <w:rsid w:val="43596284"/>
    <w:rsid w:val="440C2076"/>
    <w:rsid w:val="44BA060E"/>
    <w:rsid w:val="454063A9"/>
    <w:rsid w:val="47A66F47"/>
    <w:rsid w:val="48190D72"/>
    <w:rsid w:val="49B50C04"/>
    <w:rsid w:val="49F422BC"/>
    <w:rsid w:val="4A4C5543"/>
    <w:rsid w:val="4A856EB6"/>
    <w:rsid w:val="4BB44DA3"/>
    <w:rsid w:val="4BB72B70"/>
    <w:rsid w:val="4D765FE4"/>
    <w:rsid w:val="4D7F362E"/>
    <w:rsid w:val="4E1B3885"/>
    <w:rsid w:val="4F670C47"/>
    <w:rsid w:val="4F7E24BC"/>
    <w:rsid w:val="53173135"/>
    <w:rsid w:val="553254BE"/>
    <w:rsid w:val="553B4087"/>
    <w:rsid w:val="56A8574D"/>
    <w:rsid w:val="57CC4802"/>
    <w:rsid w:val="583020DD"/>
    <w:rsid w:val="58680566"/>
    <w:rsid w:val="592547BC"/>
    <w:rsid w:val="59544026"/>
    <w:rsid w:val="5AB9755B"/>
    <w:rsid w:val="5AF474F0"/>
    <w:rsid w:val="5B742D21"/>
    <w:rsid w:val="5C0351D3"/>
    <w:rsid w:val="5D973665"/>
    <w:rsid w:val="5EF91413"/>
    <w:rsid w:val="5F567206"/>
    <w:rsid w:val="5F875025"/>
    <w:rsid w:val="60D6222F"/>
    <w:rsid w:val="6217071C"/>
    <w:rsid w:val="62CE02E9"/>
    <w:rsid w:val="632C6B3E"/>
    <w:rsid w:val="633F0072"/>
    <w:rsid w:val="64E07CE5"/>
    <w:rsid w:val="666920D7"/>
    <w:rsid w:val="66F756A1"/>
    <w:rsid w:val="69380B1B"/>
    <w:rsid w:val="6C1733E6"/>
    <w:rsid w:val="6CF536F6"/>
    <w:rsid w:val="6F8673D6"/>
    <w:rsid w:val="6FCF75EC"/>
    <w:rsid w:val="70446EA1"/>
    <w:rsid w:val="707537A6"/>
    <w:rsid w:val="71591FCE"/>
    <w:rsid w:val="71F256AB"/>
    <w:rsid w:val="73133AF6"/>
    <w:rsid w:val="736D4488"/>
    <w:rsid w:val="753A5550"/>
    <w:rsid w:val="75B4584A"/>
    <w:rsid w:val="76525347"/>
    <w:rsid w:val="78FDF452"/>
    <w:rsid w:val="7CEF2B13"/>
    <w:rsid w:val="7D2C3E42"/>
    <w:rsid w:val="7DAF813A"/>
    <w:rsid w:val="7F1E627D"/>
    <w:rsid w:val="BEF50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line="312" w:lineRule="auto"/>
      <w:jc w:val="center"/>
      <w:outlineLvl w:val="1"/>
    </w:pPr>
    <w:rPr>
      <w:rFonts w:ascii="Cambria" w:hAnsi="Cambria" w:cs="宋体"/>
      <w:b/>
      <w:bCs/>
      <w:sz w:val="36"/>
      <w:szCs w:val="32"/>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semiHidden/>
    <w:qFormat/>
    <w:uiPriority w:val="99"/>
    <w:rPr>
      <w:rFonts w:ascii="黑体" w:hAnsi="黑体" w:eastAsia="黑体" w:cs="黑体"/>
    </w:rPr>
  </w:style>
  <w:style w:type="paragraph" w:styleId="8">
    <w:name w:val="Subtitle"/>
    <w:basedOn w:val="1"/>
    <w:next w:val="1"/>
    <w:autoRedefine/>
    <w:qFormat/>
    <w:uiPriority w:val="0"/>
    <w:pPr>
      <w:ind w:firstLine="200" w:firstLineChars="200"/>
      <w:jc w:val="left"/>
      <w:outlineLvl w:val="2"/>
    </w:pPr>
    <w:rPr>
      <w:rFonts w:ascii="Cambria" w:hAnsi="Cambria" w:eastAsia="黑体"/>
      <w:bCs/>
      <w:kern w:val="28"/>
      <w:sz w:val="28"/>
      <w:szCs w:val="32"/>
    </w:rPr>
  </w:style>
  <w:style w:type="paragraph" w:styleId="9">
    <w:name w:val="Normal (Web)"/>
    <w:basedOn w:val="1"/>
    <w:autoRedefine/>
    <w:unhideWhenUsed/>
    <w:qFormat/>
    <w:uiPriority w:val="0"/>
    <w:pPr>
      <w:spacing w:before="100" w:beforeAutospacing="1" w:after="100" w:afterAutospacing="1"/>
      <w:jc w:val="left"/>
    </w:pPr>
    <w:rPr>
      <w:kern w:val="0"/>
      <w:sz w:val="24"/>
      <w:szCs w:val="20"/>
    </w:rPr>
  </w:style>
  <w:style w:type="paragraph" w:styleId="10">
    <w:name w:val="Body Text First Indent"/>
    <w:basedOn w:val="4"/>
    <w:autoRedefine/>
    <w:qFormat/>
    <w:uiPriority w:val="0"/>
    <w:pPr>
      <w:ind w:firstLine="664"/>
    </w:pPr>
  </w:style>
  <w:style w:type="character" w:styleId="13">
    <w:name w:val="page number"/>
    <w:basedOn w:val="12"/>
    <w:autoRedefine/>
    <w:qFormat/>
    <w:uiPriority w:val="0"/>
  </w:style>
  <w:style w:type="paragraph" w:customStyle="1" w:styleId="14">
    <w:name w:val="BodyText1I2"/>
    <w:basedOn w:val="15"/>
    <w:autoRedefine/>
    <w:qFormat/>
    <w:uiPriority w:val="0"/>
    <w:pPr>
      <w:ind w:firstLine="420"/>
    </w:pPr>
  </w:style>
  <w:style w:type="paragraph" w:customStyle="1" w:styleId="15">
    <w:name w:val="BodyTextIndent"/>
    <w:basedOn w:val="1"/>
    <w:autoRedefine/>
    <w:qFormat/>
    <w:uiPriority w:val="0"/>
    <w:pPr>
      <w:spacing w:after="120"/>
      <w:ind w:left="420" w:leftChars="200" w:firstLine="200" w:firstLineChars="200"/>
      <w:textAlignment w:val="baseline"/>
    </w:pPr>
  </w:style>
  <w:style w:type="paragraph" w:customStyle="1" w:styleId="16">
    <w:name w:val="Default"/>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7">
    <w:name w:val="无间隔1"/>
    <w:autoRedefine/>
    <w:qFormat/>
    <w:uiPriority w:val="0"/>
    <w:pPr>
      <w:widowControl w:val="0"/>
      <w:spacing w:beforeLines="50"/>
      <w:jc w:val="center"/>
    </w:pPr>
    <w:rPr>
      <w:rFonts w:ascii="Times New Roman" w:hAnsi="Times New Roman" w:eastAsia="仿宋_GB2312" w:cs="Times New Roman"/>
      <w:kern w:val="2"/>
      <w:sz w:val="24"/>
      <w:szCs w:val="22"/>
      <w:lang w:val="en-US" w:eastAsia="zh-CN" w:bidi="ar-SA"/>
    </w:rPr>
  </w:style>
  <w:style w:type="paragraph" w:customStyle="1" w:styleId="18">
    <w:name w:val="无缩进"/>
    <w:basedOn w:val="1"/>
    <w:autoRedefine/>
    <w:qFormat/>
    <w:uiPriority w:val="0"/>
    <w:pPr>
      <w:spacing w:line="312" w:lineRule="auto"/>
    </w:pPr>
    <w:rPr>
      <w:sz w:val="24"/>
      <w:szCs w:val="22"/>
    </w:rPr>
  </w:style>
  <w:style w:type="paragraph" w:customStyle="1" w:styleId="19">
    <w:name w:val="列出段落1"/>
    <w:basedOn w:val="1"/>
    <w:autoRedefine/>
    <w:qFormat/>
    <w:uiPriority w:val="0"/>
    <w:pPr>
      <w:ind w:firstLine="420" w:firstLineChars="200"/>
    </w:pPr>
  </w:style>
  <w:style w:type="paragraph" w:customStyle="1" w:styleId="20">
    <w:name w:val="List Paragraph"/>
    <w:basedOn w:val="1"/>
    <w:autoRedefine/>
    <w:qFormat/>
    <w:uiPriority w:val="0"/>
    <w:pPr>
      <w:ind w:firstLine="420" w:firstLineChars="200"/>
    </w:pPr>
    <w:rPr>
      <w:rFonts w:ascii="Calibri" w:hAnsi="Calibri"/>
      <w:szCs w:val="22"/>
    </w:rPr>
  </w:style>
  <w:style w:type="character" w:customStyle="1" w:styleId="21">
    <w:name w:val="font61"/>
    <w:basedOn w:val="12"/>
    <w:autoRedefine/>
    <w:qFormat/>
    <w:uiPriority w:val="0"/>
    <w:rPr>
      <w:rFonts w:ascii="Times New Roman" w:hAnsi="Times New Roman" w:cs="Times New Roman"/>
      <w:b/>
      <w:color w:val="000000"/>
      <w:sz w:val="28"/>
      <w:szCs w:val="28"/>
      <w:u w:val="none"/>
    </w:rPr>
  </w:style>
  <w:style w:type="character" w:customStyle="1" w:styleId="22">
    <w:name w:val="font121"/>
    <w:basedOn w:val="12"/>
    <w:autoRedefine/>
    <w:qFormat/>
    <w:uiPriority w:val="0"/>
    <w:rPr>
      <w:rFonts w:ascii="Times New Roman" w:hAnsi="Times New Roman" w:cs="Times New Roman"/>
      <w:color w:val="000000"/>
      <w:sz w:val="20"/>
      <w:szCs w:val="20"/>
      <w:u w:val="none"/>
    </w:rPr>
  </w:style>
  <w:style w:type="character" w:customStyle="1" w:styleId="23">
    <w:name w:val="font11"/>
    <w:basedOn w:val="12"/>
    <w:autoRedefine/>
    <w:qFormat/>
    <w:uiPriority w:val="0"/>
    <w:rPr>
      <w:rFonts w:ascii="宋体" w:hAnsi="宋体" w:eastAsia="宋体" w:cs="宋体"/>
      <w:color w:val="000000"/>
      <w:sz w:val="20"/>
      <w:szCs w:val="20"/>
      <w:u w:val="none"/>
    </w:rPr>
  </w:style>
  <w:style w:type="character" w:customStyle="1" w:styleId="24">
    <w:name w:val="font131"/>
    <w:basedOn w:val="12"/>
    <w:autoRedefine/>
    <w:qFormat/>
    <w:uiPriority w:val="0"/>
    <w:rPr>
      <w:rFonts w:ascii="宋体" w:hAnsi="宋体" w:eastAsia="宋体" w:cs="宋体"/>
      <w:color w:val="000000"/>
      <w:sz w:val="18"/>
      <w:szCs w:val="18"/>
      <w:u w:val="none"/>
    </w:rPr>
  </w:style>
  <w:style w:type="character" w:customStyle="1" w:styleId="25">
    <w:name w:val="font141"/>
    <w:basedOn w:val="12"/>
    <w:autoRedefine/>
    <w:qFormat/>
    <w:uiPriority w:val="0"/>
    <w:rPr>
      <w:rFonts w:ascii="Times New Roman" w:hAnsi="Times New Roman" w:cs="Times New Roman"/>
      <w:color w:val="000000"/>
      <w:sz w:val="24"/>
      <w:szCs w:val="24"/>
      <w:u w:val="none"/>
    </w:rPr>
  </w:style>
  <w:style w:type="character" w:customStyle="1" w:styleId="26">
    <w:name w:val="font101"/>
    <w:basedOn w:val="12"/>
    <w:autoRedefine/>
    <w:qFormat/>
    <w:uiPriority w:val="0"/>
    <w:rPr>
      <w:rFonts w:ascii="宋体" w:hAnsi="宋体" w:eastAsia="宋体" w:cs="宋体"/>
      <w:color w:val="000000"/>
      <w:sz w:val="24"/>
      <w:szCs w:val="24"/>
      <w:u w:val="none"/>
    </w:rPr>
  </w:style>
  <w:style w:type="paragraph" w:customStyle="1" w:styleId="27">
    <w:name w:val="Other|1"/>
    <w:basedOn w:val="1"/>
    <w:autoRedefine/>
    <w:qFormat/>
    <w:uiPriority w:val="0"/>
    <w:pPr>
      <w:widowControl w:val="0"/>
      <w:shd w:val="clear" w:color="auto" w:fill="auto"/>
      <w:spacing w:line="238" w:lineRule="exact"/>
    </w:pPr>
    <w:rPr>
      <w:rFonts w:ascii="宋体" w:hAnsi="宋体" w:eastAsia="宋体" w:cs="宋体"/>
      <w:color w:val="1D1433"/>
      <w:sz w:val="20"/>
      <w:szCs w:val="20"/>
      <w:u w:val="none"/>
      <w:shd w:val="clear" w:color="auto" w:fill="auto"/>
      <w:lang w:val="zh-TW" w:eastAsia="zh-TW" w:bidi="zh-TW"/>
    </w:rPr>
  </w:style>
  <w:style w:type="character" w:customStyle="1" w:styleId="28">
    <w:name w:val="标题 1 Char"/>
    <w:link w:val="2"/>
    <w:autoRedefine/>
    <w:qFormat/>
    <w:uiPriority w:val="0"/>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7781</Words>
  <Characters>8060</Characters>
  <Lines>102</Lines>
  <Paragraphs>28</Paragraphs>
  <TotalTime>19</TotalTime>
  <ScaleCrop>false</ScaleCrop>
  <LinksUpToDate>false</LinksUpToDate>
  <CharactersWithSpaces>9151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2022-01-06T16:40:00Z</dcterms:created>
  <dc:creator>greatwall</dc:creator>
  <cp:lastModifiedBy>Administrator</cp:lastModifiedBy>
  <cp:lastPrinted>2024-05-17T18:04:00Z</cp:lastPrinted>
  <dcterms:modified xsi:type="dcterms:W3CDTF">2025-02-06T21:04:01Z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013CD473DFA842CD9866D700341F1BA6_13</vt:lpwstr>
  </property>
  <property fmtid="{D5CDD505-2E9C-101B-9397-08002B2CF9AE}" pid="4" name="commondata">
    <vt:lpwstr>eyJoZGlkIjoiYTYyNDdjODg3NGNlNDkxMWExODY4YWEyMTRmNzM4NmQifQ==</vt:lpwstr>
  </property>
</Properties>
</file>