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仿宋_GB2312"/>
          <w:color w:val="000000"/>
          <w:sz w:val="32"/>
        </w:rPr>
      </w:pPr>
    </w:p>
    <w:p>
      <w:pPr>
        <w:spacing w:line="560" w:lineRule="exact"/>
        <w:jc w:val="center"/>
        <w:rPr>
          <w:rFonts w:hint="eastAsia" w:eastAsia="仿宋_GB2312"/>
          <w:color w:val="000000"/>
          <w:sz w:val="32"/>
        </w:rPr>
      </w:pPr>
    </w:p>
    <w:p>
      <w:pPr>
        <w:spacing w:line="560" w:lineRule="exact"/>
        <w:jc w:val="center"/>
        <w:rPr>
          <w:rFonts w:hint="eastAsia" w:eastAsia="仿宋_GB2312"/>
          <w:color w:val="000000"/>
          <w:sz w:val="32"/>
        </w:rPr>
      </w:pPr>
    </w:p>
    <w:p>
      <w:pPr>
        <w:spacing w:line="560" w:lineRule="exact"/>
        <w:jc w:val="both"/>
        <w:rPr>
          <w:rFonts w:hint="eastAsia" w:eastAsia="仿宋_GB2312"/>
          <w:color w:val="000000"/>
          <w:sz w:val="32"/>
        </w:rPr>
      </w:pPr>
    </w:p>
    <w:p>
      <w:pPr>
        <w:spacing w:line="560" w:lineRule="exact"/>
        <w:jc w:val="center"/>
        <w:rPr>
          <w:rFonts w:hint="eastAsia" w:eastAsia="仿宋_GB2312"/>
          <w:color w:val="000000"/>
          <w:sz w:val="32"/>
        </w:rPr>
      </w:pPr>
    </w:p>
    <w:p>
      <w:pPr>
        <w:spacing w:line="560" w:lineRule="exact"/>
        <w:ind w:firstLine="3200" w:firstLineChars="1000"/>
        <w:jc w:val="both"/>
        <w:rPr>
          <w:rFonts w:hint="eastAsia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hanging="480" w:hangingChars="150"/>
        <w:jc w:val="center"/>
        <w:textAlignment w:val="auto"/>
        <w:outlineLvl w:val="9"/>
        <w:rPr>
          <w:rFonts w:hint="eastAsia" w:ascii="仿宋_GB2312" w:eastAsia="仿宋_GB2312"/>
          <w:sz w:val="84"/>
          <w:szCs w:val="84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hanging="1260" w:hangingChars="150"/>
        <w:jc w:val="center"/>
        <w:textAlignment w:val="auto"/>
        <w:outlineLvl w:val="9"/>
        <w:rPr>
          <w:rFonts w:hint="eastAsia" w:ascii="仿宋_GB2312" w:eastAsia="仿宋_GB2312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高明乡人民政府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高明乡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农村公益性公墓建设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实施方案》的通知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各村、部门单位：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人民政府研究同意，现将《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高明乡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农村公益性公墓建设实施方案》印发给你们，请认真遵照执行。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高明乡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人民政府    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2022年12月4日    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高明乡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农村公益性公墓建设实施方案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为加快推动殡葬改革工作，进一步在全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倡导并形成绿色、文明、生态的现代殡葬理念和殡葬新风，根据《湖南省&lt;殡葬管理条例&gt;办法》及《关于加快推进全县殡葬改革工作的实施办法》（安办发〔2019〕19号）、《安化县农村公益性公墓建设实施方案的通知》（安殡办法〔2022〕1号）等有关殡葬改革文件精神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党委、政府研究决定，将建设农村公益性公墓列为民生项目工程来抓好落实，结合我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实际，特制定如下实施方案：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坚持政府主导、属地管理、部门协同、社会参与，坚持创新发展、节约资源、保护环境、依法治理，坚持移风易俗、厚养薄葬、保障需求、群众受益的殡葬工作原则，加快推进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殡葬改革工作，充分发挥殡葬改革在促进经济社会发展中的积极作用。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（一）统筹兼顾,服务大局。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农村公益性公墓规划、建设要兼顾经济发展水平、丧葬习俗和城镇发展实际，切实服务于全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经济社会发展大局。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（二）科学规划，合理布局。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按照城乡总体规划和公益性公墓建设要求，科学规划农村公益性公墓建设，做到合理布局，节约用地。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（三）以人为本，为民服务。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从最广大人民群众的根本利益和愿望出发，突出生态建设，保护环境，不断提高殡葬服务和管理水平，保障广大农村群众基本丧葬权益。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（四）政府主导，社会参与。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充分发挥政府在农村公益性公墓建设中的主导作用，注重发挥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调节作用，积极发动农民群众参与。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三、主要任务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（一）合理制定公墓发展规划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在公益性公墓规划设计上，与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本乡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建设规划相吻合。在具体选址上，尽量利用荒山瘠地，严禁占用耕地或在沿公路主干道、水库、河流、堤坝两侧和水源等区域和集中住宅区建设公墓。公墓内所有基碑采用斜卧式高度不超过0.8米，双人墓穴面积控制在2平方米以内，单人墓穴面积控制在1平方米以内，每亩墓穴数控制在180-200个，力求统一规划，布局合理，本着“用多少建多少”的实际，分期分批实施开发。对人口聚集，离镇区较近的村，规划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级农村公益性公墓范围，便于节省投资，形成规模，避免村村建公墓，浪费用地；偏僻的村，可以联合建立村级公墓，便于村民就近就地祭祀。在用地规模上，建设公益性公墓一般可按人口年死亡率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‰和30年一个周期计算和安排总用地量,并对材料房、管理房适当留有余地。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（二）搞好绿化美化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公墓外围可设树葬、花葬、草皮葬等生态节地安葬区域，公墓区绿化率不得低于75%，墓区绿化主要以常青乔木和观赏树木为主。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（三）治理乱埋乱葬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对建墓用地的监控力度，采取有效措施切实制止和处罚非法建墓行为;对非法超标公墓、孤坟、无主坟和耕地、林区的散坟，采取迁移、平毁、恢复地貌等办法处理。积极组织开展“绿色殡葬”活动，大力推进生态葬法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四、实施公墓建设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（一）成立领导小组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为加快推进我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公益性公墓的规划建设工作，成立公益性公墓建设工作领导小组。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  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常务副组长：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坤</w:t>
      </w:r>
    </w:p>
    <w:p>
      <w:pPr>
        <w:spacing w:line="560" w:lineRule="exact"/>
        <w:ind w:left="790" w:leftChars="300" w:hanging="160" w:hanging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副组长：黄跃群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龙泽军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吴林葵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殷云龙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邹英雄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杨曙光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汤  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  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熊则华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陈代信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  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  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伍春宝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宁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蒋  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刘志权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李胜芝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熊洪波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领导小组下设办公室，办公地点设社会事务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综合服务中心办公室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刘科</w:t>
      </w:r>
      <w:r>
        <w:rPr>
          <w:rFonts w:hint="eastAsia" w:ascii="仿宋_GB2312" w:hAnsi="仿宋_GB2312" w:eastAsia="仿宋_GB2312" w:cs="仿宋_GB2312"/>
          <w:sz w:val="32"/>
          <w:szCs w:val="32"/>
        </w:rPr>
        <w:t>兼办公室主任，负责具体事务。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（二）公墓建设主要内容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公墓选址在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高明铺村黑塘组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，根据实地情况，实施进园道路、山石门及园门、墓园平整、墓园台阶通道、墓穴石碑、焚香房、集中治丧场所、集中停车场、绿化等建设。预算经费如下：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测绘：9.8万；征地：30亩×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元=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；新建公路：30万；前期新建公墓平台：5个平台、400个墓穴约40万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绿化：50万；集中治丧场所：200万；停车场：10万；合计：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438.8</w:t>
      </w:r>
      <w:r>
        <w:rPr>
          <w:rFonts w:hint="eastAsia" w:ascii="仿宋_GB2312" w:hAnsi="仿宋_GB2312" w:eastAsia="仿宋_GB2312" w:cs="仿宋_GB2312"/>
          <w:sz w:val="32"/>
          <w:szCs w:val="32"/>
        </w:rPr>
        <w:t>万。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（三）公墓建设模式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成立建设专班，由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杨坤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同志牵头，社会事务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监督。公墓由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高明铺村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具体负责建设和安全管理，严格按照建设要求，保质量、保安全，保工期顺利完成。其他村级公墓建设由各村联点领导牵头，所在村具体负责，采取逐步推进，村自建为主。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page" w:horzAnchor="page" w:tblpX="1622" w:tblpY="1478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right="0" w:rightChars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高明乡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党政办公室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印发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YjNlNTBiZDY0YWI2ZjQ1NzEyZjEwNzU1MGMyM2EifQ=="/>
  </w:docVars>
  <w:rsids>
    <w:rsidRoot w:val="000648FF"/>
    <w:rsid w:val="000648FF"/>
    <w:rsid w:val="00475D64"/>
    <w:rsid w:val="00577639"/>
    <w:rsid w:val="00887F41"/>
    <w:rsid w:val="009128D4"/>
    <w:rsid w:val="00914C6E"/>
    <w:rsid w:val="00D35E18"/>
    <w:rsid w:val="0E0457CF"/>
    <w:rsid w:val="2E2C5402"/>
    <w:rsid w:val="428E6F3F"/>
    <w:rsid w:val="46375C78"/>
    <w:rsid w:val="48DD2944"/>
    <w:rsid w:val="5F877027"/>
    <w:rsid w:val="63094E81"/>
    <w:rsid w:val="6DBF6BF2"/>
    <w:rsid w:val="6F773207"/>
    <w:rsid w:val="74920F8B"/>
    <w:rsid w:val="7C1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1705</Words>
  <Characters>1757</Characters>
  <Lines>13</Lines>
  <Paragraphs>3</Paragraphs>
  <TotalTime>4</TotalTime>
  <ScaleCrop>false</ScaleCrop>
  <LinksUpToDate>false</LinksUpToDate>
  <CharactersWithSpaces>1838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2022-12-07T09:19:00Z</dcterms:created>
  <dc:creator>Administrator</dc:creator>
  <cp:lastModifiedBy>赵倩</cp:lastModifiedBy>
  <cp:lastPrinted>2023-01-05T01:53:36Z</cp:lastPrinted>
  <dcterms:modified xsi:type="dcterms:W3CDTF">2023-01-05T01:53:39Z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AE502A05B79B48F58507C3CC34F8F24B</vt:lpwstr>
  </property>
</Properties>
</file>