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68472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4</w:t>
      </w:r>
    </w:p>
    <w:p w14:paraId="1D066B8B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57BB3764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1F62AAFF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7347A9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>2024年度安化县田庄乡中心学校</w:t>
      </w:r>
    </w:p>
    <w:p w14:paraId="1BB9B5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</w:rPr>
        <w:t>整体支出</w:t>
      </w: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绩效自评报告</w:t>
      </w:r>
    </w:p>
    <w:p w14:paraId="259CC34B">
      <w:pPr>
        <w:widowControl/>
        <w:ind w:firstLine="361" w:firstLineChars="100"/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40A63115"/>
    <w:p w14:paraId="23DC1C5C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1FCF5A19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4BA370F2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23F8E7A8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3427B930">
      <w:pPr>
        <w:pStyle w:val="5"/>
      </w:pPr>
    </w:p>
    <w:p w14:paraId="311F1E4D">
      <w:pPr>
        <w:widowControl/>
        <w:ind w:firstLine="361" w:firstLineChars="100"/>
        <w:rPr>
          <w:rFonts w:hint="eastAsia" w:ascii="楷体" w:hAnsi="楷体" w:eastAsia="楷体" w:cs="楷体"/>
          <w:b/>
          <w:bCs/>
          <w:kern w:val="0"/>
          <w:sz w:val="36"/>
          <w:szCs w:val="36"/>
        </w:rPr>
      </w:pPr>
    </w:p>
    <w:p w14:paraId="7D7DCF73">
      <w:pPr>
        <w:widowControl/>
        <w:ind w:firstLine="360" w:firstLineChars="1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              </w:t>
      </w:r>
    </w:p>
    <w:p w14:paraId="70454183">
      <w:pPr>
        <w:widowControl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</w:p>
    <w:p w14:paraId="364D5A88">
      <w:pPr>
        <w:jc w:val="center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2025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年 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04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月 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19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日</w:t>
      </w:r>
    </w:p>
    <w:p w14:paraId="718667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br w:type="page"/>
      </w:r>
    </w:p>
    <w:p w14:paraId="1BF26E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2024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年度安化县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eastAsia="zh-CN"/>
        </w:rPr>
        <w:t>田庄乡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中心学校</w:t>
      </w:r>
    </w:p>
    <w:p w14:paraId="25A9E6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整体支出绩效自评报告</w:t>
      </w:r>
    </w:p>
    <w:p w14:paraId="206A68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 w14:paraId="20C11F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年度重点工作</w:t>
      </w:r>
    </w:p>
    <w:p w14:paraId="6DB62352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1、研究拟定全乡镇教育发展战略和教育工作的规定、办法，监督和检查所属学校对党和国家的教育方针、政策法规的执行；</w:t>
      </w:r>
    </w:p>
    <w:p w14:paraId="14F16CD6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2、管理和指导全乡镇教育教学研究工作；</w:t>
      </w:r>
    </w:p>
    <w:p w14:paraId="5601BFE3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3、指导教师的业务培训工作；</w:t>
      </w:r>
    </w:p>
    <w:p w14:paraId="79FFCC13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4、加强党建工作与教师日常工作的融合；</w:t>
      </w:r>
    </w:p>
    <w:p w14:paraId="7318B344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5、加强学校后勤管理，为教学正常开展服务。</w:t>
      </w:r>
    </w:p>
    <w:p w14:paraId="559DA4C3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6、完成上级交办的其它任务。</w:t>
      </w:r>
    </w:p>
    <w:p w14:paraId="0AB67CC8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(二)部门整体支出规模、使用方向、主要内容和涉及范围</w:t>
      </w:r>
    </w:p>
    <w:p w14:paraId="03817F08">
      <w:pPr>
        <w:pStyle w:val="6"/>
        <w:shd w:val="clear" w:color="auto" w:fill="FFFFFF"/>
        <w:spacing w:before="0" w:beforeAutospacing="0" w:after="0" w:afterAutospacing="0" w:line="594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2024年度整体支出总额1829.23万元，其中财政拨款收入1829.23万元，占总收入的100%。主要内容和涉及范围：人员经费包括基本工资、津贴补贴、奖金、其他社会保障缴费、退休费生活补助、住房公积金等；日常公用经费包括办公费、差旅费、培训费、公务接待费、劳务费、工会经费、福利费、公务用车运行维护费、其他交通费用、其他商品和服务支出等；项目支出主要包括其他对个人和家庭的补助支出、办公费、印刷费、邮电费、差旅费、维修（护）费、会议费、培训费、公务接待费、劳务费、委托业务费、公务用车运行维护费、其他交通费、其他商品和服务支出、办公设备购置。涉及人员经费、保障基本运转、开展各项专项业务工作、精准扶贫、党建所发生的全部支出。</w:t>
      </w:r>
    </w:p>
    <w:p w14:paraId="680679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 w14:paraId="75D3A8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(一)基本支出情况</w:t>
      </w:r>
    </w:p>
    <w:p w14:paraId="33DBFE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基本支出1594.87万元，是为保障各部门正常运转、完成日常工作任务而发生的各项支出，主要包括工资福利支出1105.99万元，商品和服务支出338.06万元，对个人和家庭支出124.37万元，资本性支出26.46万元。</w:t>
      </w:r>
    </w:p>
    <w:p w14:paraId="7685E5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“三公”经费支出情况：2024年“三公”经费完成0万元，比上年增加0万元。</w:t>
      </w:r>
    </w:p>
    <w:p w14:paraId="2D3F4A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(二)项目支出情况</w:t>
      </w:r>
    </w:p>
    <w:p w14:paraId="49145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项目支出234.35万元，包含：</w:t>
      </w:r>
      <w:r>
        <w:rPr>
          <w:rFonts w:hint="eastAsia" w:ascii="仿宋_GB2312" w:eastAsia="仿宋_GB2312"/>
          <w:sz w:val="32"/>
          <w:szCs w:val="32"/>
          <w:lang w:eastAsia="zh-CN"/>
        </w:rPr>
        <w:t>业务工作</w:t>
      </w:r>
      <w:r>
        <w:rPr>
          <w:rFonts w:hint="eastAsia" w:ascii="仿宋_GB2312" w:eastAsia="仿宋_GB2312"/>
          <w:sz w:val="32"/>
          <w:szCs w:val="32"/>
        </w:rPr>
        <w:t>经费</w:t>
      </w:r>
      <w:r>
        <w:rPr>
          <w:rFonts w:hint="eastAsia" w:ascii="仿宋_GB2312" w:eastAsia="仿宋_GB2312"/>
          <w:sz w:val="32"/>
          <w:szCs w:val="32"/>
          <w:lang w:eastAsia="zh-CN"/>
        </w:rPr>
        <w:t>以及运行维护经费、中心幼儿园围墙地面建设项目等。</w:t>
      </w:r>
    </w:p>
    <w:p w14:paraId="75EC802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 w14:paraId="70D39C70">
      <w:pPr>
        <w:ind w:firstLine="640" w:firstLineChars="200"/>
        <w:rPr>
          <w:rFonts w:hint="default" w:eastAsia="仿宋_GB2312"/>
          <w:lang w:val="en-US" w:eastAsia="zh-CN"/>
        </w:rPr>
      </w:pPr>
      <w:r>
        <w:rPr>
          <w:color w:val="232323"/>
          <w:sz w:val="32"/>
          <w:szCs w:val="32"/>
          <w:shd w:val="clear" w:color="auto" w:fill="FFFFFF"/>
        </w:rPr>
        <w:t>202</w:t>
      </w:r>
      <w:r>
        <w:rPr>
          <w:rFonts w:hint="eastAsia"/>
          <w:color w:val="23232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 w:cs="仿宋_GB2312"/>
          <w:color w:val="232323"/>
          <w:sz w:val="32"/>
          <w:szCs w:val="32"/>
          <w:shd w:val="clear" w:color="auto" w:fill="FFFFFF"/>
        </w:rPr>
        <w:t>年本部门政府性基金支出预算</w:t>
      </w:r>
      <w:r>
        <w:rPr>
          <w:rFonts w:hint="eastAsia" w:eastAsia="仿宋_GB2312"/>
          <w:color w:val="232323"/>
          <w:sz w:val="32"/>
          <w:szCs w:val="32"/>
          <w:shd w:val="clear" w:color="auto" w:fill="FFFFFF"/>
          <w:lang w:val="en-US" w:eastAsia="zh-CN"/>
        </w:rPr>
        <w:t>7.82</w:t>
      </w:r>
      <w:r>
        <w:rPr>
          <w:rFonts w:hint="eastAsia" w:ascii="仿宋_GB2312" w:eastAsia="仿宋_GB2312" w:cs="仿宋_GB2312"/>
          <w:color w:val="232323"/>
          <w:sz w:val="32"/>
          <w:szCs w:val="32"/>
          <w:shd w:val="clear" w:color="auto" w:fill="FFFFFF"/>
        </w:rPr>
        <w:t>万元</w:t>
      </w:r>
      <w:r>
        <w:rPr>
          <w:rFonts w:hint="eastAsia" w:ascii="仿宋_GB2312" w:hAnsi="宋体" w:eastAsia="仿宋_GB2312" w:cs="仿宋_GB2312"/>
          <w:color w:val="232323"/>
          <w:sz w:val="32"/>
          <w:szCs w:val="32"/>
          <w:shd w:val="clear" w:color="auto" w:fill="FFFFFF"/>
        </w:rPr>
        <w:t>。</w:t>
      </w:r>
    </w:p>
    <w:p w14:paraId="4146400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 w14:paraId="2231DFB3">
      <w:pPr>
        <w:pStyle w:val="7"/>
        <w:ind w:left="420" w:leftChars="200" w:firstLine="0" w:firstLineChars="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color w:val="232323"/>
          <w:shd w:val="clear" w:color="auto" w:fill="FFFFFF"/>
        </w:rPr>
        <w:t>202</w:t>
      </w:r>
      <w:r>
        <w:rPr>
          <w:rFonts w:hint="eastAsia"/>
          <w:color w:val="232323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 w:cs="仿宋_GB2312"/>
          <w:color w:val="232323"/>
          <w:shd w:val="clear" w:color="auto" w:fill="FFFFFF"/>
        </w:rPr>
        <w:t>年</w:t>
      </w:r>
      <w:r>
        <w:rPr>
          <w:rFonts w:hint="eastAsia" w:ascii="仿宋_GB2312" w:hAnsi="宋体" w:eastAsia="仿宋_GB2312" w:cs="仿宋_GB2312"/>
          <w:color w:val="232323"/>
          <w:shd w:val="clear" w:color="auto" w:fill="FFFFFF"/>
        </w:rPr>
        <w:t>本部门无国有资本经营预算的支出。</w:t>
      </w:r>
    </w:p>
    <w:p w14:paraId="4675B08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 w14:paraId="4D3BC260">
      <w:pPr>
        <w:pStyle w:val="7"/>
        <w:ind w:left="420" w:leftChars="200" w:firstLine="0" w:firstLineChars="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color w:val="232323"/>
          <w:shd w:val="clear" w:color="auto" w:fill="FFFFFF"/>
        </w:rPr>
        <w:t>202</w:t>
      </w:r>
      <w:r>
        <w:rPr>
          <w:rFonts w:hint="eastAsia"/>
          <w:color w:val="232323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 w:cs="仿宋_GB2312"/>
          <w:color w:val="232323"/>
          <w:shd w:val="clear" w:color="auto" w:fill="FFFFFF"/>
        </w:rPr>
        <w:t>年</w:t>
      </w:r>
      <w:r>
        <w:rPr>
          <w:rFonts w:hint="eastAsia" w:ascii="仿宋_GB2312" w:hAnsi="宋体" w:eastAsia="仿宋_GB2312" w:cs="仿宋_GB2312"/>
          <w:color w:val="232323"/>
          <w:shd w:val="clear" w:color="auto" w:fill="FFFFFF"/>
        </w:rPr>
        <w:t>本部门无社会保险基金预算的支出。</w:t>
      </w:r>
    </w:p>
    <w:p w14:paraId="3CE7EE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六、部门整体支出绩效情况</w:t>
      </w:r>
    </w:p>
    <w:p w14:paraId="38786B0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0" w:firstLine="640" w:firstLineChars="200"/>
        <w:jc w:val="left"/>
        <w:textAlignment w:val="center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2024年度支出总额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D3D3D"/>
          <w:spacing w:val="0"/>
          <w:sz w:val="32"/>
          <w:szCs w:val="32"/>
          <w:shd w:val="clear" w:color="auto" w:fill="FFFFFF"/>
          <w:lang w:val="en-US" w:eastAsia="zh-CN"/>
        </w:rPr>
        <w:t>1829.23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万元，其中基本支出</w:t>
      </w: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1594.87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万元，基本支出保障了单位正常运转的日常支出，包括基本工资、津贴补贴等人员经费以及办公费、水电费、差旅费等日常公用经费；项目支出金额</w:t>
      </w:r>
      <w:r>
        <w:rPr>
          <w:rFonts w:hint="eastAsia" w:ascii="仿宋" w:hAnsi="仿宋" w:eastAsia="仿宋" w:cs="Times New Roman"/>
          <w:kern w:val="2"/>
          <w:sz w:val="32"/>
          <w:szCs w:val="24"/>
          <w:u w:val="none"/>
          <w:shd w:val="clear" w:color="auto" w:fill="auto"/>
          <w:lang w:val="en-US" w:eastAsia="zh-CN" w:bidi="ar-SA"/>
        </w:rPr>
        <w:t>234.35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万元。</w:t>
      </w:r>
    </w:p>
    <w:p w14:paraId="562B9C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七、存在的问题及原因分析</w:t>
      </w:r>
    </w:p>
    <w:p w14:paraId="62E653A6">
      <w:pPr>
        <w:keepNext w:val="0"/>
        <w:keepLines w:val="0"/>
        <w:widowControl/>
        <w:suppressLineNumbers w:val="0"/>
        <w:ind w:firstLine="640" w:firstLineChars="200"/>
        <w:jc w:val="left"/>
        <w:rPr>
          <w:kern w:val="0"/>
          <w:szCs w:val="32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部门预算的人员经费和公用经费不足。单位日常运转的刚性支出大，现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有的部门预算资金不能满足日益增长的工作需要。</w:t>
      </w:r>
    </w:p>
    <w:p w14:paraId="217F7C8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 w14:paraId="3362534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对存在的问题提出切实可行的改进措施和有关建议等。</w:t>
      </w:r>
    </w:p>
    <w:p w14:paraId="696474B6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1、加强财务管理，严格财务审核。</w:t>
      </w:r>
    </w:p>
    <w:p w14:paraId="047BDF44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2、对相关人员加强培训，切实提高</w:t>
      </w:r>
      <w:r>
        <w:rPr>
          <w:rFonts w:hint="eastAsia" w:ascii="仿宋_GB2312" w:hAnsi="仿宋" w:cs="Times New Roman"/>
          <w:sz w:val="32"/>
          <w:szCs w:val="32"/>
          <w:lang w:val="en-US" w:eastAsia="zh-CN"/>
        </w:rPr>
        <w:t>财务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人员业务水平。</w:t>
      </w:r>
    </w:p>
    <w:p w14:paraId="1D8E193E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绩效自评结果拟应用和公开情况</w:t>
      </w:r>
    </w:p>
    <w:p w14:paraId="3E0F4A5D">
      <w:pPr>
        <w:pStyle w:val="2"/>
        <w:numPr>
          <w:ilvl w:val="0"/>
          <w:numId w:val="0"/>
        </w:numPr>
        <w:ind w:leftChars="200"/>
        <w:rPr>
          <w:rFonts w:hint="eastAsia" w:eastAsia="宋体"/>
          <w:lang w:eastAsia="zh-CN"/>
        </w:rPr>
      </w:pPr>
      <w:r>
        <w:rPr>
          <w:rFonts w:hint="eastAsia" w:eastAsia="仿宋_GB2312" w:cs="Times New Roman"/>
          <w:kern w:val="0"/>
          <w:sz w:val="32"/>
          <w:szCs w:val="32"/>
          <w:lang w:val="en-US" w:eastAsia="zh-CN" w:bidi="ar-SA"/>
        </w:rPr>
        <w:t>暂未公开。</w:t>
      </w:r>
    </w:p>
    <w:p w14:paraId="5AFD5637">
      <w:pPr>
        <w:numPr>
          <w:ilvl w:val="0"/>
          <w:numId w:val="2"/>
        </w:numPr>
        <w:ind w:left="0" w:leftChars="0" w:firstLine="640" w:firstLineChars="200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其他需要说明的情况</w:t>
      </w:r>
    </w:p>
    <w:p w14:paraId="618679C7">
      <w:pPr>
        <w:numPr>
          <w:ilvl w:val="0"/>
          <w:numId w:val="0"/>
        </w:numPr>
        <w:ind w:leftChars="200"/>
      </w:pPr>
      <w:r>
        <w:rPr>
          <w:rFonts w:hint="eastAsia" w:eastAsia="仿宋_GB2312" w:cs="Times New Roman"/>
          <w:kern w:val="0"/>
          <w:sz w:val="32"/>
          <w:szCs w:val="32"/>
          <w:lang w:val="en-US" w:eastAsia="zh-CN" w:bidi="ar-SA"/>
        </w:rPr>
        <w:t>无。</w:t>
      </w:r>
      <w:r>
        <w:rPr>
          <w:rFonts w:eastAsia="Times New Roman"/>
          <w:kern w:val="0"/>
          <w:sz w:val="2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4109C"/>
    <w:multiLevelType w:val="singleLevel"/>
    <w:tmpl w:val="0DF4109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4048D7"/>
    <w:multiLevelType w:val="singleLevel"/>
    <w:tmpl w:val="7F4048D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YmQ5Y2MzMGVhMDY4NDkwNTBhM2FiMTI1OTFmZTEifQ=="/>
  </w:docVars>
  <w:rsids>
    <w:rsidRoot w:val="6D445020"/>
    <w:rsid w:val="029228E1"/>
    <w:rsid w:val="074B01AA"/>
    <w:rsid w:val="09131235"/>
    <w:rsid w:val="14FF1319"/>
    <w:rsid w:val="184A5CFD"/>
    <w:rsid w:val="257D691C"/>
    <w:rsid w:val="33357B76"/>
    <w:rsid w:val="53246BC3"/>
    <w:rsid w:val="58057740"/>
    <w:rsid w:val="5E1C1B39"/>
    <w:rsid w:val="64B56C4A"/>
    <w:rsid w:val="6D445020"/>
    <w:rsid w:val="720A579D"/>
    <w:rsid w:val="72AE7F16"/>
    <w:rsid w:val="7CD7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</w:rPr>
  </w:style>
  <w:style w:type="paragraph" w:styleId="3">
    <w:name w:val="Body Text Indent"/>
    <w:basedOn w:val="1"/>
    <w:qFormat/>
    <w:uiPriority w:val="99"/>
    <w:pPr>
      <w:ind w:firstLine="640" w:firstLineChars="200"/>
    </w:pPr>
    <w:rPr>
      <w:sz w:val="32"/>
      <w:szCs w:val="32"/>
    </w:rPr>
  </w:style>
  <w:style w:type="paragraph" w:styleId="4">
    <w:name w:val="toc 5"/>
    <w:basedOn w:val="1"/>
    <w:next w:val="1"/>
    <w:unhideWhenUsed/>
    <w:qFormat/>
    <w:uiPriority w:val="39"/>
    <w:pPr>
      <w:ind w:left="1680" w:leftChars="800"/>
    </w:pPr>
    <w:rPr>
      <w:rFonts w:ascii="等线" w:hAnsi="等线" w:eastAsia="等线" w:cs="Times New Roman"/>
      <w:szCs w:val="22"/>
    </w:rPr>
  </w:style>
  <w:style w:type="paragraph" w:styleId="5">
    <w:name w:val="toc 1"/>
    <w:basedOn w:val="1"/>
    <w:next w:val="1"/>
    <w:unhideWhenUsed/>
    <w:qFormat/>
    <w:uiPriority w:val="99"/>
    <w:pPr>
      <w:spacing w:beforeLines="0" w:afterLines="0"/>
    </w:pPr>
    <w:rPr>
      <w:rFonts w:hint="default"/>
      <w:sz w:val="21"/>
      <w:szCs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Body Text First Indent 2"/>
    <w:basedOn w:val="3"/>
    <w:qFormat/>
    <w:uiPriority w:val="99"/>
    <w:pPr>
      <w:ind w:firstLine="420"/>
    </w:pPr>
  </w:style>
  <w:style w:type="character" w:styleId="10">
    <w:name w:val="Strong"/>
    <w:basedOn w:val="9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1077</Words>
  <Characters>1174</Characters>
  <Lines>0</Lines>
  <Paragraphs>0</Paragraphs>
  <TotalTime>3</TotalTime>
  <ScaleCrop>false</ScaleCrop>
  <LinksUpToDate>false</LinksUpToDate>
  <CharactersWithSpaces>1193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2024-06-17T10:01:00Z</dcterms:created>
  <dc:creator>啊斌</dc:creator>
  <cp:lastModifiedBy>啦啦啦啦</cp:lastModifiedBy>
  <dcterms:modified xsi:type="dcterms:W3CDTF">2025-04-23T14:24:08Z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17F559F9C016443CBE8660DAA6515D4F_13</vt:lpwstr>
  </property>
  <property fmtid="{D5CDD505-2E9C-101B-9397-08002B2CF9AE}" pid="4" name="KSOTemplateDocerSaveRecord">
    <vt:lpwstr>eyJoZGlkIjoiOTI4YmQ5Y2MzMGVhMDY4NDkwNTBhM2FiMTI1OTFmZTEiLCJ1c2VySWQiOiIyMDUwMzE0MDYifQ==</vt:lpwstr>
  </property>
</Properties>
</file>