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EB168">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安化县市场监管领域涉企行政检查事项清单</w:t>
      </w:r>
    </w:p>
    <w:p w14:paraId="07C00A8F"/>
    <w:tbl>
      <w:tblPr>
        <w:tblStyle w:val="6"/>
        <w:tblW w:w="1585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09"/>
        <w:gridCol w:w="1012"/>
        <w:gridCol w:w="873"/>
        <w:gridCol w:w="5268"/>
        <w:gridCol w:w="983"/>
        <w:gridCol w:w="1000"/>
        <w:gridCol w:w="3833"/>
        <w:gridCol w:w="650"/>
        <w:gridCol w:w="650"/>
        <w:gridCol w:w="1175"/>
      </w:tblGrid>
      <w:tr w14:paraId="4BAC88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10" w:hRule="exact"/>
          <w:tblHeader/>
          <w:jc w:val="center"/>
        </w:trPr>
        <w:tc>
          <w:tcPr>
            <w:tcW w:w="409" w:type="dxa"/>
            <w:noWrap w:val="0"/>
            <w:vAlign w:val="center"/>
          </w:tcPr>
          <w:p w14:paraId="446FEF6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序号</w:t>
            </w:r>
          </w:p>
        </w:tc>
        <w:tc>
          <w:tcPr>
            <w:tcW w:w="1012" w:type="dxa"/>
            <w:noWrap w:val="0"/>
            <w:vAlign w:val="center"/>
          </w:tcPr>
          <w:p w14:paraId="396C9BBE">
            <w:pPr>
              <w:pStyle w:val="10"/>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检查</w:t>
            </w:r>
            <w:r>
              <w:rPr>
                <w:rFonts w:hint="default" w:ascii="Times New Roman" w:hAnsi="Times New Roman" w:eastAsia="方正仿宋_GBK" w:cs="Times New Roman"/>
                <w:sz w:val="24"/>
                <w:szCs w:val="24"/>
              </w:rPr>
              <w:t>事项</w:t>
            </w:r>
          </w:p>
        </w:tc>
        <w:tc>
          <w:tcPr>
            <w:tcW w:w="873" w:type="dxa"/>
            <w:noWrap w:val="0"/>
            <w:vAlign w:val="center"/>
          </w:tcPr>
          <w:p w14:paraId="6E6C1428">
            <w:pPr>
              <w:pStyle w:val="10"/>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检查主体（实施层级）</w:t>
            </w:r>
          </w:p>
        </w:tc>
        <w:tc>
          <w:tcPr>
            <w:tcW w:w="5268" w:type="dxa"/>
            <w:noWrap w:val="0"/>
            <w:vAlign w:val="center"/>
          </w:tcPr>
          <w:p w14:paraId="253285B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实施依据</w:t>
            </w:r>
          </w:p>
        </w:tc>
        <w:tc>
          <w:tcPr>
            <w:tcW w:w="983" w:type="dxa"/>
            <w:noWrap w:val="0"/>
            <w:vAlign w:val="center"/>
          </w:tcPr>
          <w:p w14:paraId="1C5DC5D9">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承办机构</w:t>
            </w:r>
          </w:p>
        </w:tc>
        <w:tc>
          <w:tcPr>
            <w:tcW w:w="1000" w:type="dxa"/>
            <w:noWrap w:val="0"/>
            <w:vAlign w:val="center"/>
          </w:tcPr>
          <w:p w14:paraId="09ADA02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检查对象</w:t>
            </w:r>
          </w:p>
        </w:tc>
        <w:tc>
          <w:tcPr>
            <w:tcW w:w="3833" w:type="dxa"/>
            <w:noWrap w:val="0"/>
            <w:vAlign w:val="center"/>
          </w:tcPr>
          <w:p w14:paraId="5B6D624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检查内容</w:t>
            </w:r>
          </w:p>
        </w:tc>
        <w:tc>
          <w:tcPr>
            <w:tcW w:w="650" w:type="dxa"/>
            <w:noWrap w:val="0"/>
            <w:vAlign w:val="center"/>
          </w:tcPr>
          <w:p w14:paraId="1E4DBA1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检查方式</w:t>
            </w:r>
          </w:p>
        </w:tc>
        <w:tc>
          <w:tcPr>
            <w:tcW w:w="650" w:type="dxa"/>
            <w:noWrap w:val="0"/>
            <w:vAlign w:val="center"/>
          </w:tcPr>
          <w:p w14:paraId="29591038">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检查频次</w:t>
            </w:r>
          </w:p>
        </w:tc>
        <w:tc>
          <w:tcPr>
            <w:tcW w:w="1175" w:type="dxa"/>
            <w:noWrap w:val="0"/>
            <w:vAlign w:val="center"/>
          </w:tcPr>
          <w:p w14:paraId="298724A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备注</w:t>
            </w:r>
          </w:p>
        </w:tc>
      </w:tr>
      <w:tr w14:paraId="678E89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06" w:hRule="atLeast"/>
          <w:jc w:val="center"/>
        </w:trPr>
        <w:tc>
          <w:tcPr>
            <w:tcW w:w="409" w:type="dxa"/>
            <w:noWrap w:val="0"/>
            <w:vAlign w:val="center"/>
          </w:tcPr>
          <w:p w14:paraId="2454C7C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i w:val="0"/>
                <w:color w:val="000000"/>
                <w:kern w:val="0"/>
                <w:sz w:val="24"/>
                <w:szCs w:val="24"/>
                <w:u w:val="none"/>
                <w:lang w:val="en-US" w:eastAsia="zh-CN" w:bidi="ar"/>
              </w:rPr>
              <w:t>1</w:t>
            </w:r>
          </w:p>
        </w:tc>
        <w:tc>
          <w:tcPr>
            <w:tcW w:w="1012" w:type="dxa"/>
            <w:noWrap w:val="0"/>
            <w:vAlign w:val="center"/>
          </w:tcPr>
          <w:p w14:paraId="11915BA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both"/>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i w:val="0"/>
                <w:color w:val="000000"/>
                <w:kern w:val="0"/>
                <w:sz w:val="24"/>
                <w:szCs w:val="24"/>
                <w:u w:val="none"/>
                <w:lang w:val="en-US" w:eastAsia="zh-CN" w:bidi="ar"/>
              </w:rPr>
              <w:t>登记事项检查</w:t>
            </w:r>
          </w:p>
        </w:tc>
        <w:tc>
          <w:tcPr>
            <w:tcW w:w="873" w:type="dxa"/>
            <w:noWrap w:val="0"/>
            <w:vAlign w:val="center"/>
          </w:tcPr>
          <w:p w14:paraId="605CA35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3013B5B6">
            <w:pPr>
              <w:keepNext w:val="0"/>
              <w:keepLines w:val="0"/>
              <w:pageBreakBefore w:val="0"/>
              <w:widowControl w:val="0"/>
              <w:suppressLineNumbers w:val="0"/>
              <w:kinsoku w:val="0"/>
              <w:wordWrap/>
              <w:overflowPunct/>
              <w:topLinePunct w:val="0"/>
              <w:autoSpaceDE/>
              <w:autoSpaceDN/>
              <w:bidi w:val="0"/>
              <w:adjustRightInd w:val="0"/>
              <w:snapToGrid w:val="0"/>
              <w:spacing w:afterAutospacing="0" w:line="240" w:lineRule="exact"/>
              <w:ind w:left="0" w:leftChars="0" w:firstLine="0" w:firstLineChars="0"/>
              <w:jc w:val="left"/>
              <w:textAlignment w:val="center"/>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i w:val="0"/>
                <w:color w:val="000000"/>
                <w:kern w:val="0"/>
                <w:sz w:val="24"/>
                <w:szCs w:val="24"/>
                <w:u w:val="none"/>
                <w:lang w:val="en-US" w:eastAsia="zh-CN" w:bidi="ar"/>
              </w:rPr>
              <w:t>《中华人民共和国公司法》第三十二条、第三十四条、第二百六十条第二款</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《中华人民共和国合伙企业法》第十三条、第九十四条、第九十五条第二款</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《企业名称登记管理规定》第十一条、第二十三条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《优化营商环境条例》第五十四条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《中华人民共和国市场主体登记管理条例》第八条、第二十四条、第二十六条、第三十一条、第三十八条、第四十六条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《公司登记管理实施办法》第四条、第十二条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《中华人民共和国市场主体登记管理条例实施细则》第六条、第三十六条、第四十四条、第六十六条、第七十二条</w:t>
            </w:r>
          </w:p>
        </w:tc>
        <w:tc>
          <w:tcPr>
            <w:tcW w:w="983" w:type="dxa"/>
            <w:noWrap w:val="0"/>
            <w:vAlign w:val="center"/>
          </w:tcPr>
          <w:p w14:paraId="0B07B8C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eastAsia" w:eastAsia="方正仿宋_GBK" w:cs="Times New Roman"/>
                <w:i w:val="0"/>
                <w:color w:val="000000"/>
                <w:kern w:val="0"/>
                <w:sz w:val="24"/>
                <w:szCs w:val="24"/>
                <w:u w:val="none"/>
                <w:lang w:val="en-US" w:eastAsia="zh-CN" w:bidi="ar"/>
              </w:rPr>
              <w:t>信用股</w:t>
            </w:r>
          </w:p>
        </w:tc>
        <w:tc>
          <w:tcPr>
            <w:tcW w:w="1000" w:type="dxa"/>
            <w:noWrap w:val="0"/>
            <w:vAlign w:val="center"/>
          </w:tcPr>
          <w:p w14:paraId="4D15698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i w:val="0"/>
                <w:color w:val="000000"/>
                <w:kern w:val="0"/>
                <w:sz w:val="24"/>
                <w:szCs w:val="24"/>
                <w:u w:val="none"/>
                <w:lang w:val="en-US" w:eastAsia="zh-CN" w:bidi="ar"/>
              </w:rPr>
              <w:t>企业、个体工商户、农民专业合作社</w:t>
            </w:r>
          </w:p>
        </w:tc>
        <w:tc>
          <w:tcPr>
            <w:tcW w:w="3833" w:type="dxa"/>
            <w:noWrap w:val="0"/>
            <w:vAlign w:val="center"/>
          </w:tcPr>
          <w:p w14:paraId="6900B5F2">
            <w:pPr>
              <w:keepNext w:val="0"/>
              <w:keepLines w:val="0"/>
              <w:pageBreakBefore w:val="0"/>
              <w:widowControl w:val="0"/>
              <w:numPr>
                <w:ilvl w:val="0"/>
                <w:numId w:val="1"/>
              </w:numPr>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i w:val="0"/>
                <w:color w:val="000000"/>
                <w:kern w:val="0"/>
                <w:sz w:val="24"/>
                <w:szCs w:val="24"/>
                <w:u w:val="none"/>
                <w:lang w:val="en-US" w:eastAsia="zh-CN" w:bidi="ar"/>
              </w:rPr>
              <w:t>名称；</w:t>
            </w:r>
            <w:bookmarkStart w:id="0" w:name="_GoBack"/>
            <w:bookmarkEnd w:id="0"/>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（二）主体类型；</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（三）经营范围；</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（四）住所或者主要经营场所；</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（五）注册资本或者出资额；</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（六）法定代表人、执行事务合伙人或者负责人姓名。</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除前款规定外，还应当根据市场主体类型登记下列事项：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（一）有限责任公司股东、股份有限公司发起人、非公司企业法人出资人的姓名或者名称；</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（二）个人独资企业的投资人姓名及居所；</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（三）合伙企业的合伙人名称或者姓名、住所、承担责任方式；</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（四）个体工商户的经营者姓名、住所、经营场所；</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（五）法律、行政法规规定的其他事项</w:t>
            </w:r>
          </w:p>
        </w:tc>
        <w:tc>
          <w:tcPr>
            <w:tcW w:w="650" w:type="dxa"/>
            <w:noWrap w:val="0"/>
            <w:vAlign w:val="center"/>
          </w:tcPr>
          <w:p w14:paraId="4D9451F3">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eastAsia" w:eastAsia="方正仿宋_GBK" w:cs="Times New Roman"/>
                <w:i w:val="0"/>
                <w:color w:val="000000"/>
                <w:kern w:val="0"/>
                <w:sz w:val="24"/>
                <w:szCs w:val="24"/>
                <w:u w:val="none"/>
                <w:lang w:val="en-US" w:eastAsia="zh-CN" w:bidi="ar"/>
              </w:rPr>
              <w:t>现场检查、非现场检查相结合</w:t>
            </w:r>
          </w:p>
        </w:tc>
        <w:tc>
          <w:tcPr>
            <w:tcW w:w="650" w:type="dxa"/>
            <w:noWrap w:val="0"/>
            <w:vAlign w:val="center"/>
          </w:tcPr>
          <w:p w14:paraId="0FD56D5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方正仿宋_GBK" w:cs="Times New Roman"/>
                <w:sz w:val="24"/>
                <w:szCs w:val="24"/>
                <w:lang w:eastAsia="zh-CN"/>
              </w:rPr>
            </w:pPr>
            <w:r>
              <w:rPr>
                <w:rFonts w:hint="eastAsia" w:eastAsia="方正仿宋_GBK" w:cs="Times New Roman"/>
                <w:sz w:val="24"/>
                <w:szCs w:val="24"/>
                <w:lang w:eastAsia="zh-CN"/>
              </w:rPr>
              <w:t>一年一次</w:t>
            </w:r>
          </w:p>
        </w:tc>
        <w:tc>
          <w:tcPr>
            <w:tcW w:w="1175" w:type="dxa"/>
            <w:noWrap w:val="0"/>
            <w:vAlign w:val="center"/>
          </w:tcPr>
          <w:p w14:paraId="7C62964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sz w:val="24"/>
                <w:szCs w:val="24"/>
              </w:rPr>
            </w:pPr>
          </w:p>
        </w:tc>
      </w:tr>
      <w:tr w14:paraId="64F263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0" w:hRule="atLeast"/>
          <w:jc w:val="center"/>
        </w:trPr>
        <w:tc>
          <w:tcPr>
            <w:tcW w:w="409" w:type="dxa"/>
            <w:noWrap w:val="0"/>
            <w:vAlign w:val="center"/>
          </w:tcPr>
          <w:p w14:paraId="1877996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2</w:t>
            </w:r>
          </w:p>
        </w:tc>
        <w:tc>
          <w:tcPr>
            <w:tcW w:w="1012" w:type="dxa"/>
            <w:noWrap w:val="0"/>
            <w:vAlign w:val="center"/>
          </w:tcPr>
          <w:p w14:paraId="5641632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备案事项检查</w:t>
            </w:r>
          </w:p>
        </w:tc>
        <w:tc>
          <w:tcPr>
            <w:tcW w:w="873" w:type="dxa"/>
            <w:noWrap w:val="0"/>
            <w:vAlign w:val="center"/>
          </w:tcPr>
          <w:p w14:paraId="3353BFE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0182172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《中华人民共和国市场主体登记管理条例》第九条、第二十九条、第三十条、第四十七条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《公司登记管理实施办法》第五条、第六条、第七条、第八条、第九条、第十一条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《中华人民共和国市场主体登记管理条例实施细则》第七条、第三十九条、第四十一条、第四十二条、第四十三条、第六十六条、第七十三条、第七十四条</w:t>
            </w:r>
          </w:p>
        </w:tc>
        <w:tc>
          <w:tcPr>
            <w:tcW w:w="983" w:type="dxa"/>
            <w:noWrap w:val="0"/>
            <w:vAlign w:val="center"/>
          </w:tcPr>
          <w:p w14:paraId="15C27C2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信用股</w:t>
            </w:r>
          </w:p>
        </w:tc>
        <w:tc>
          <w:tcPr>
            <w:tcW w:w="1000" w:type="dxa"/>
            <w:noWrap w:val="0"/>
            <w:vAlign w:val="center"/>
          </w:tcPr>
          <w:p w14:paraId="1317EAB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企业、个体工商户、农民专业合作社</w:t>
            </w:r>
          </w:p>
        </w:tc>
        <w:tc>
          <w:tcPr>
            <w:tcW w:w="3833" w:type="dxa"/>
            <w:noWrap w:val="0"/>
            <w:vAlign w:val="center"/>
          </w:tcPr>
          <w:p w14:paraId="32AFB213">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（一）章程或者合伙协议；</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（二）经营期限或者合伙期限；</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（三）有限责任公司股东或者股份有限公司发起人认缴的出资数额，合伙企业合伙人认缴或者实际缴付的出资数额、缴付期限和出资方式；</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（四）公司董事、监事、高级管理人员；</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（五）农民专业合作社（联合社）成员；</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（六）参加经营的个体工商户家庭成员姓名；</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（七）市场主体登记联络员、外商投资企业法律文件送达接受人；</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（八）公司、合伙企业等市场主体受益所有人相关信息；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（九）法律、行政法规规定的其他事项。</w:t>
            </w:r>
          </w:p>
        </w:tc>
        <w:tc>
          <w:tcPr>
            <w:tcW w:w="650" w:type="dxa"/>
            <w:noWrap w:val="0"/>
            <w:vAlign w:val="center"/>
          </w:tcPr>
          <w:p w14:paraId="582806E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现场检查、非现场检查相结合</w:t>
            </w:r>
          </w:p>
        </w:tc>
        <w:tc>
          <w:tcPr>
            <w:tcW w:w="650" w:type="dxa"/>
            <w:noWrap w:val="0"/>
            <w:vAlign w:val="center"/>
          </w:tcPr>
          <w:p w14:paraId="05DA488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一年一次</w:t>
            </w:r>
          </w:p>
        </w:tc>
        <w:tc>
          <w:tcPr>
            <w:tcW w:w="1175" w:type="dxa"/>
            <w:noWrap w:val="0"/>
            <w:vAlign w:val="center"/>
          </w:tcPr>
          <w:p w14:paraId="0BCB25D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p>
        </w:tc>
      </w:tr>
      <w:tr w14:paraId="34337D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7515A95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3</w:t>
            </w:r>
          </w:p>
        </w:tc>
        <w:tc>
          <w:tcPr>
            <w:tcW w:w="1012" w:type="dxa"/>
            <w:noWrap w:val="0"/>
            <w:vAlign w:val="center"/>
          </w:tcPr>
          <w:p w14:paraId="7B2A7FC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公示信息检查</w:t>
            </w:r>
          </w:p>
        </w:tc>
        <w:tc>
          <w:tcPr>
            <w:tcW w:w="873" w:type="dxa"/>
            <w:noWrap w:val="0"/>
            <w:vAlign w:val="center"/>
          </w:tcPr>
          <w:p w14:paraId="1220DF8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5CC1FD9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《中华人民共和国公司法》第四十条、第二百五十一条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《企业公示信息抽查暂行办法》第十条、第十二条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《企业经营异常名录管理暂行办法》第四条、第六条、第八条、第九条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《个体工商户年度报告暂行办法》第六条、第十一条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《农民专业合作社年度报告公示暂行办法》第五条、第八条、第九条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《企业信息公示暂行条例》第八条、第九条、第十条、第十四条、第十五条、第十八条第一款、第二款</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《中华人民共和国市场主体登记管理条例》第三十五条、第三十八条第二款</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《中华人民共和国市场主体登记管理条例实施细则》第六十三条、第六十六条、第七十条</w:t>
            </w:r>
          </w:p>
        </w:tc>
        <w:tc>
          <w:tcPr>
            <w:tcW w:w="983" w:type="dxa"/>
            <w:noWrap w:val="0"/>
            <w:vAlign w:val="center"/>
          </w:tcPr>
          <w:p w14:paraId="7A9DACD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信用股</w:t>
            </w:r>
          </w:p>
        </w:tc>
        <w:tc>
          <w:tcPr>
            <w:tcW w:w="1000" w:type="dxa"/>
            <w:noWrap w:val="0"/>
            <w:vAlign w:val="center"/>
          </w:tcPr>
          <w:p w14:paraId="27DE66E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企业、个体工商户、农民专业合作社</w:t>
            </w:r>
          </w:p>
        </w:tc>
        <w:tc>
          <w:tcPr>
            <w:tcW w:w="3833" w:type="dxa"/>
            <w:noWrap w:val="0"/>
            <w:vAlign w:val="center"/>
          </w:tcPr>
          <w:p w14:paraId="02938D5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年度报告：</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（一）企业通信地址、邮政编码、联系电话、电子邮箱等信息；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（二）企业开业、歇业、清算等存续状态信息；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（三）企业投资设立企业、购买股权信息；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（四）企业为有限责任公司或者股份有限公司的，其股东或者发起人认缴和实缴的出资额、出资时间、出资方式等信息；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（五）有限责任公司股东股权转让等股权变更信息；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（六）企业网站以及从事网络经营的网店的名称、网址等信息；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（七）企业从业人数、资产总额、负债总额、对外提供保证担保、所有者权益合计、营业总收入、主营业务收入、利润总额、净利润、纳税总额信息。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即时信息：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（一）有限责任公司股东或者股份有限公司发起人认缴和实缴的出资额、出资时间、出资方式等信息；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（二）有限责任公司股东股权转让等股权变更信息；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（三）行政许可取得、变更、延续信息；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（四）知识产权出质登记信息；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（五）受到行政处罚的信息；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（六）其他依法应当公示的信息。</w:t>
            </w:r>
          </w:p>
        </w:tc>
        <w:tc>
          <w:tcPr>
            <w:tcW w:w="650" w:type="dxa"/>
            <w:noWrap w:val="0"/>
            <w:vAlign w:val="center"/>
          </w:tcPr>
          <w:p w14:paraId="34D5739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现场检查、非现场检查相结合</w:t>
            </w:r>
          </w:p>
        </w:tc>
        <w:tc>
          <w:tcPr>
            <w:tcW w:w="650" w:type="dxa"/>
            <w:noWrap w:val="0"/>
            <w:vAlign w:val="center"/>
          </w:tcPr>
          <w:p w14:paraId="1A55785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一年一次</w:t>
            </w:r>
          </w:p>
        </w:tc>
        <w:tc>
          <w:tcPr>
            <w:tcW w:w="1175" w:type="dxa"/>
            <w:noWrap w:val="0"/>
            <w:vAlign w:val="center"/>
          </w:tcPr>
          <w:p w14:paraId="36103F5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p>
        </w:tc>
      </w:tr>
      <w:tr w14:paraId="6DC5D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409" w:type="dxa"/>
            <w:noWrap w:val="0"/>
            <w:vAlign w:val="center"/>
          </w:tcPr>
          <w:p w14:paraId="4829109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4</w:t>
            </w:r>
          </w:p>
        </w:tc>
        <w:tc>
          <w:tcPr>
            <w:tcW w:w="1012" w:type="dxa"/>
            <w:noWrap w:val="0"/>
            <w:vAlign w:val="center"/>
          </w:tcPr>
          <w:p w14:paraId="695FB56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外国企业常驻代表机构监督管理</w:t>
            </w:r>
          </w:p>
        </w:tc>
        <w:tc>
          <w:tcPr>
            <w:tcW w:w="873" w:type="dxa"/>
            <w:noWrap w:val="0"/>
            <w:vAlign w:val="center"/>
          </w:tcPr>
          <w:p w14:paraId="466B543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192888B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《外国企业常驻代表机构登记管理条例》第九条、第十六条、第三十五条、第三十六条、第三十七条、第三十八条</w:t>
            </w:r>
          </w:p>
        </w:tc>
        <w:tc>
          <w:tcPr>
            <w:tcW w:w="983" w:type="dxa"/>
            <w:noWrap w:val="0"/>
            <w:vAlign w:val="center"/>
          </w:tcPr>
          <w:p w14:paraId="2A0D3CF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信用股</w:t>
            </w:r>
          </w:p>
        </w:tc>
        <w:tc>
          <w:tcPr>
            <w:tcW w:w="1000" w:type="dxa"/>
            <w:noWrap w:val="0"/>
            <w:vAlign w:val="center"/>
          </w:tcPr>
          <w:p w14:paraId="56DEB10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外国企业常驻代表机构</w:t>
            </w:r>
          </w:p>
        </w:tc>
        <w:tc>
          <w:tcPr>
            <w:tcW w:w="3833" w:type="dxa"/>
            <w:noWrap w:val="0"/>
            <w:vAlign w:val="center"/>
          </w:tcPr>
          <w:p w14:paraId="480C0F0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代表机构名称、首席代表姓名、业务范围、驻在场所、驻在期限、外国企业名称、住所和年度报告。</w:t>
            </w:r>
          </w:p>
        </w:tc>
        <w:tc>
          <w:tcPr>
            <w:tcW w:w="650" w:type="dxa"/>
            <w:noWrap w:val="0"/>
            <w:vAlign w:val="center"/>
          </w:tcPr>
          <w:p w14:paraId="145BFE4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现场检查、非现场检查相结合</w:t>
            </w:r>
          </w:p>
        </w:tc>
        <w:tc>
          <w:tcPr>
            <w:tcW w:w="650" w:type="dxa"/>
            <w:noWrap w:val="0"/>
            <w:vAlign w:val="center"/>
          </w:tcPr>
          <w:p w14:paraId="0D538EC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一年一次</w:t>
            </w:r>
          </w:p>
        </w:tc>
        <w:tc>
          <w:tcPr>
            <w:tcW w:w="1175" w:type="dxa"/>
            <w:noWrap w:val="0"/>
            <w:vAlign w:val="center"/>
          </w:tcPr>
          <w:p w14:paraId="4D2D2FA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p>
        </w:tc>
      </w:tr>
      <w:tr w14:paraId="5F8B8C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24" w:hRule="atLeast"/>
          <w:jc w:val="center"/>
        </w:trPr>
        <w:tc>
          <w:tcPr>
            <w:tcW w:w="409" w:type="dxa"/>
            <w:noWrap w:val="0"/>
            <w:vAlign w:val="center"/>
          </w:tcPr>
          <w:p w14:paraId="3F5612C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5</w:t>
            </w:r>
          </w:p>
        </w:tc>
        <w:tc>
          <w:tcPr>
            <w:tcW w:w="1012" w:type="dxa"/>
            <w:noWrap w:val="0"/>
            <w:vAlign w:val="center"/>
          </w:tcPr>
          <w:p w14:paraId="40A73F4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i w:val="0"/>
                <w:color w:val="000000"/>
                <w:kern w:val="0"/>
                <w:sz w:val="24"/>
                <w:szCs w:val="24"/>
                <w:u w:val="none"/>
                <w:lang w:val="en-US" w:eastAsia="zh-CN" w:bidi="ar"/>
              </w:rPr>
              <w:t>经营者销售、收购商品和提供服务时应按规定明码标价</w:t>
            </w:r>
          </w:p>
        </w:tc>
        <w:tc>
          <w:tcPr>
            <w:tcW w:w="873" w:type="dxa"/>
            <w:noWrap w:val="0"/>
            <w:vAlign w:val="center"/>
          </w:tcPr>
          <w:p w14:paraId="6E69B96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13E5386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《中华人民共和国价格法》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第四十二条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经营者违反明码标价规定的</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责令改正</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没收违法所得</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可以并处五千元以下的罚款。</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《价格违法行为行政处罚规定》</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第十三条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经营者违反明码标价规定</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有下列行为之一的</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责令改正</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没收违法所得</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可以并处5000元以下的罚款：</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（一）不标明价格的</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（二）不按照规定的内容和方式明码标价的</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（三）在标价之外加价出售商品或者收取未标明的费用的</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（四）违反明码标价规定的其他行为。</w:t>
            </w:r>
          </w:p>
        </w:tc>
        <w:tc>
          <w:tcPr>
            <w:tcW w:w="983" w:type="dxa"/>
            <w:noWrap w:val="0"/>
            <w:vAlign w:val="center"/>
          </w:tcPr>
          <w:p w14:paraId="69D5BE5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eastAsia" w:eastAsia="方正仿宋_GBK" w:cs="Times New Roman"/>
                <w:i w:val="0"/>
                <w:color w:val="000000"/>
                <w:kern w:val="0"/>
                <w:sz w:val="24"/>
                <w:szCs w:val="24"/>
                <w:u w:val="none"/>
                <w:lang w:val="en-US" w:eastAsia="zh-CN" w:bidi="ar"/>
              </w:rPr>
              <w:t>价格股</w:t>
            </w:r>
          </w:p>
        </w:tc>
        <w:tc>
          <w:tcPr>
            <w:tcW w:w="1000" w:type="dxa"/>
            <w:noWrap w:val="0"/>
            <w:vAlign w:val="center"/>
          </w:tcPr>
          <w:p w14:paraId="1BCA2AA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66B3B11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1.商品品名、单价、计价单位等要素是否齐全。</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2.服务项目名称、服务内容和价格或计价方式是否齐全。</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3.商品在销售时是否使用标价签或标价签遗失。</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4.收取费用是否高于商品、服务的标价。</w:t>
            </w:r>
          </w:p>
        </w:tc>
        <w:tc>
          <w:tcPr>
            <w:tcW w:w="650" w:type="dxa"/>
            <w:noWrap w:val="0"/>
            <w:vAlign w:val="center"/>
          </w:tcPr>
          <w:p w14:paraId="4FCF0DC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i w:val="0"/>
                <w:color w:val="000000"/>
                <w:kern w:val="0"/>
                <w:sz w:val="24"/>
                <w:szCs w:val="24"/>
                <w:u w:val="none"/>
                <w:lang w:val="en-US" w:eastAsia="zh-CN" w:bidi="ar"/>
              </w:rPr>
              <w:t>现场检查、非现场检查相结合</w:t>
            </w:r>
          </w:p>
        </w:tc>
        <w:tc>
          <w:tcPr>
            <w:tcW w:w="650" w:type="dxa"/>
            <w:noWrap w:val="0"/>
            <w:vAlign w:val="center"/>
          </w:tcPr>
          <w:p w14:paraId="6B18052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eastAsia" w:eastAsia="方正仿宋_GBK" w:cs="Times New Roman"/>
                <w:sz w:val="24"/>
                <w:szCs w:val="24"/>
                <w:lang w:eastAsia="zh-CN"/>
              </w:rPr>
              <w:t>一年一次</w:t>
            </w:r>
          </w:p>
        </w:tc>
        <w:tc>
          <w:tcPr>
            <w:tcW w:w="1175" w:type="dxa"/>
            <w:noWrap w:val="0"/>
            <w:vAlign w:val="center"/>
          </w:tcPr>
          <w:p w14:paraId="73C8F49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重大节假日、重点时段开展市场随机巡查</w:t>
            </w:r>
          </w:p>
        </w:tc>
      </w:tr>
      <w:tr w14:paraId="1805AE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5127D87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6</w:t>
            </w:r>
          </w:p>
        </w:tc>
        <w:tc>
          <w:tcPr>
            <w:tcW w:w="1012" w:type="dxa"/>
            <w:noWrap w:val="0"/>
            <w:vAlign w:val="center"/>
          </w:tcPr>
          <w:p w14:paraId="12DD0DC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经营者执行政府指导价、政府定价以及法定的价格干预措施、紧急措施</w:t>
            </w:r>
          </w:p>
        </w:tc>
        <w:tc>
          <w:tcPr>
            <w:tcW w:w="873" w:type="dxa"/>
            <w:noWrap w:val="0"/>
            <w:vAlign w:val="center"/>
          </w:tcPr>
          <w:p w14:paraId="50C78A2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01726FA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《中华人民共和国价格法》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第三十九条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经营者不执行政府指导价、政府定价以及法定的价格干预措施、紧急措施的，责令改正，没收违法所得，可以并处违法所得五倍以下的罚款；没有违法所得的，可以处以罚款；情节严重的，责令停业整顿。</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《价格违法行为行政处罚规定》</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经营者不执行政府指导价、政府定价，有下列行为之一的，责令改正，没收违法所得，并处违法所得5倍以下的罚款</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没有违法所得的，处5万元以上50万元以下的罚款，情节较重的处50万元以上200万元以下的罚款；情节严重的，责令停业整顿：</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（一）超出政府指导价浮动幅度制定价格的；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（二）高于或者低于政府定价制定价格的；（三）擅自制定属于政府指导价、政府定价范围内的商品或者服务价格的；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（四）提前或者推迟执行政府指导价、政府定价的；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（五）自立收费项目或者自定标准收费的；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（六）采取分解收费项目、重复收费、扩大收费范围等方式</w:t>
            </w:r>
            <w:r>
              <w:rPr>
                <w:rFonts w:hint="eastAsia" w:eastAsia="方正仿宋_GBK" w:cs="Times New Roman"/>
                <w:i w:val="0"/>
                <w:color w:val="000000"/>
                <w:kern w:val="0"/>
                <w:sz w:val="24"/>
                <w:szCs w:val="24"/>
                <w:u w:val="none"/>
                <w:lang w:val="en-US" w:eastAsia="zh-CN" w:bidi="ar"/>
              </w:rPr>
              <w:t>变相</w:t>
            </w:r>
            <w:r>
              <w:rPr>
                <w:rFonts w:hint="default" w:ascii="Times New Roman" w:hAnsi="Times New Roman" w:eastAsia="方正仿宋_GBK" w:cs="Times New Roman"/>
                <w:i w:val="0"/>
                <w:color w:val="000000"/>
                <w:kern w:val="0"/>
                <w:sz w:val="24"/>
                <w:szCs w:val="24"/>
                <w:u w:val="none"/>
                <w:lang w:val="en-US" w:eastAsia="zh-CN" w:bidi="ar"/>
              </w:rPr>
              <w:t>提高收费标准的；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（七）对政府明令取消的收费项目继续收费的：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（八）违反规定以保证金、抵押金等形式变相收费的；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（九）强制或者变相强制服务并收费的；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（十）不按照规定提供服务而收取费用的；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（十一）不执行政府指导价、政府定价的其他行为。</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经营者不执行法定的价格干预措施、紧急措施，有下列行为之一的，责令改正，没收违法所得，并处违法所得5倍以下的罚款；没有违法所得的，处10万元以上100万元以下的</w:t>
            </w:r>
            <w:r>
              <w:rPr>
                <w:rFonts w:hint="eastAsia" w:eastAsia="方正仿宋_GBK" w:cs="Times New Roman"/>
                <w:i w:val="0"/>
                <w:color w:val="000000"/>
                <w:kern w:val="0"/>
                <w:sz w:val="24"/>
                <w:szCs w:val="24"/>
                <w:u w:val="none"/>
                <w:lang w:val="en-US" w:eastAsia="zh-CN" w:bidi="ar"/>
              </w:rPr>
              <w:t>罚款</w:t>
            </w:r>
            <w:r>
              <w:rPr>
                <w:rFonts w:hint="default" w:ascii="Times New Roman" w:hAnsi="Times New Roman" w:eastAsia="方正仿宋_GBK" w:cs="Times New Roman"/>
                <w:i w:val="0"/>
                <w:color w:val="000000"/>
                <w:kern w:val="0"/>
                <w:sz w:val="24"/>
                <w:szCs w:val="24"/>
                <w:u w:val="none"/>
                <w:lang w:val="en-US" w:eastAsia="zh-CN" w:bidi="ar"/>
              </w:rPr>
              <w:t>，情节较重的处100万元以上500万元以下的罚款；情节严重的，责令停业整顿：</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（一）不执行提价申报或者调价备案制度的</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（二）超过规定的差价率、利润率幅度的；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（三）不执行规定的限价、最低保护价的；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（四）不执行集中定价权限措施的；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（五）不执行冻结价格措施的；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（六）不执行法定的价格干预措施、紧急措施的其他行为。</w:t>
            </w:r>
          </w:p>
        </w:tc>
        <w:tc>
          <w:tcPr>
            <w:tcW w:w="983" w:type="dxa"/>
            <w:noWrap w:val="0"/>
            <w:vAlign w:val="center"/>
          </w:tcPr>
          <w:p w14:paraId="2896256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价格股</w:t>
            </w:r>
          </w:p>
        </w:tc>
        <w:tc>
          <w:tcPr>
            <w:tcW w:w="1000" w:type="dxa"/>
            <w:noWrap w:val="0"/>
            <w:vAlign w:val="center"/>
          </w:tcPr>
          <w:p w14:paraId="4182318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68960D1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1.经营者是否执行政府指导价、政府定价</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2.经营者是否执行法定价格干预措施、紧急措施。</w:t>
            </w:r>
          </w:p>
        </w:tc>
        <w:tc>
          <w:tcPr>
            <w:tcW w:w="650" w:type="dxa"/>
            <w:noWrap w:val="0"/>
            <w:vAlign w:val="center"/>
          </w:tcPr>
          <w:p w14:paraId="4F22518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现场检查、非现场检查相结合</w:t>
            </w:r>
          </w:p>
        </w:tc>
        <w:tc>
          <w:tcPr>
            <w:tcW w:w="650" w:type="dxa"/>
            <w:noWrap w:val="0"/>
            <w:vAlign w:val="center"/>
          </w:tcPr>
          <w:p w14:paraId="2CD8D86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一年一次</w:t>
            </w:r>
          </w:p>
        </w:tc>
        <w:tc>
          <w:tcPr>
            <w:tcW w:w="1175" w:type="dxa"/>
            <w:noWrap w:val="0"/>
            <w:vAlign w:val="center"/>
          </w:tcPr>
          <w:p w14:paraId="7CD327D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p>
        </w:tc>
      </w:tr>
      <w:tr w14:paraId="0129C0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667" w:hRule="atLeast"/>
          <w:jc w:val="center"/>
        </w:trPr>
        <w:tc>
          <w:tcPr>
            <w:tcW w:w="409" w:type="dxa"/>
            <w:noWrap w:val="0"/>
            <w:vAlign w:val="center"/>
          </w:tcPr>
          <w:p w14:paraId="27ACFF3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7</w:t>
            </w:r>
          </w:p>
        </w:tc>
        <w:tc>
          <w:tcPr>
            <w:tcW w:w="1012" w:type="dxa"/>
            <w:noWrap w:val="0"/>
            <w:vAlign w:val="center"/>
          </w:tcPr>
          <w:p w14:paraId="7258CB2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经营者提供商品或服务禁止价格欺诈行为</w:t>
            </w:r>
          </w:p>
        </w:tc>
        <w:tc>
          <w:tcPr>
            <w:tcW w:w="873" w:type="dxa"/>
            <w:noWrap w:val="0"/>
            <w:vAlign w:val="center"/>
          </w:tcPr>
          <w:p w14:paraId="787D7C1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427C071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《中华人民共和国价格法》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第十四条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第四项经营者不得有下列不正当价格行为：</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利用</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假的或者使人误解的价格手段，诱骗消费者或者其他经营者与其进行交易；</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第四十条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经营者有本法第十四条所列行为之一的，责令改正，没收违法所得，可以并处违法所得五倍以下的罚款；没有违法所得的，</w:t>
            </w:r>
            <w:r>
              <w:rPr>
                <w:rFonts w:hint="eastAsia" w:eastAsia="方正仿宋_GBK" w:cs="Times New Roman"/>
                <w:i w:val="0"/>
                <w:color w:val="000000"/>
                <w:kern w:val="0"/>
                <w:sz w:val="24"/>
                <w:szCs w:val="24"/>
                <w:u w:val="none"/>
                <w:lang w:val="en-US" w:eastAsia="zh-CN" w:bidi="ar"/>
              </w:rPr>
              <w:t>予以</w:t>
            </w:r>
            <w:r>
              <w:rPr>
                <w:rFonts w:hint="default" w:ascii="Times New Roman" w:hAnsi="Times New Roman" w:eastAsia="方正仿宋_GBK" w:cs="Times New Roman"/>
                <w:i w:val="0"/>
                <w:color w:val="000000"/>
                <w:kern w:val="0"/>
                <w:sz w:val="24"/>
                <w:szCs w:val="24"/>
                <w:u w:val="none"/>
                <w:lang w:val="en-US" w:eastAsia="zh-CN" w:bidi="ar"/>
              </w:rPr>
              <w:t>警告，可以并处罚款；</w:t>
            </w:r>
            <w:r>
              <w:rPr>
                <w:rFonts w:hint="eastAsia" w:eastAsia="方正仿宋_GBK" w:cs="Times New Roman"/>
                <w:i w:val="0"/>
                <w:color w:val="000000"/>
                <w:kern w:val="0"/>
                <w:sz w:val="24"/>
                <w:szCs w:val="24"/>
                <w:u w:val="none"/>
                <w:lang w:val="en-US" w:eastAsia="zh-CN" w:bidi="ar"/>
              </w:rPr>
              <w:t>情节严重</w:t>
            </w:r>
            <w:r>
              <w:rPr>
                <w:rFonts w:hint="default" w:ascii="Times New Roman" w:hAnsi="Times New Roman" w:eastAsia="方正仿宋_GBK" w:cs="Times New Roman"/>
                <w:i w:val="0"/>
                <w:color w:val="000000"/>
                <w:kern w:val="0"/>
                <w:sz w:val="24"/>
                <w:szCs w:val="24"/>
                <w:u w:val="none"/>
                <w:lang w:val="en-US" w:eastAsia="zh-CN" w:bidi="ar"/>
              </w:rPr>
              <w:t>的，责令停业整顿，或者由工商行政管理机关吊销营业执照。有关法律对本法第十四条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所列行为的处罚及处罚机关另有规定的，可以依照有关法律的规定执行。</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《价格违法行为行政处罚规定》</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第七条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经营者违反价格法第十四条的规定，利用</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的或者使人误解的价格手段，诱骗消费者或者其他经营者与其进行交易的，责令改正，没收违法所得，并处违法所得5倍以下的罚款；没有违法所得的，处5万元以上50万元以下的罚款；情节严重的，责令停业整顿，或者由工商行政管理机关吊销营业执照。</w:t>
            </w:r>
          </w:p>
        </w:tc>
        <w:tc>
          <w:tcPr>
            <w:tcW w:w="983" w:type="dxa"/>
            <w:noWrap w:val="0"/>
            <w:vAlign w:val="center"/>
          </w:tcPr>
          <w:p w14:paraId="34AAAFE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价格股</w:t>
            </w:r>
          </w:p>
        </w:tc>
        <w:tc>
          <w:tcPr>
            <w:tcW w:w="1000" w:type="dxa"/>
            <w:noWrap w:val="0"/>
            <w:vAlign w:val="center"/>
          </w:tcPr>
          <w:p w14:paraId="1BE62CE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4B5C9D9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1.是否谎称商品和服务价格为政府定价或者政府指导价；</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2.是否以低价诱骗消费者或者其他经营者，以高价进行结算；</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3.是否通过</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假折价、减价或者价格比较等方式销售商品或者提供服务；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4.是</w:t>
            </w:r>
            <w:r>
              <w:rPr>
                <w:rFonts w:hint="eastAsia" w:eastAsia="方正仿宋_GBK" w:cs="Times New Roman"/>
                <w:i w:val="0"/>
                <w:color w:val="000000"/>
                <w:kern w:val="0"/>
                <w:sz w:val="24"/>
                <w:szCs w:val="24"/>
                <w:u w:val="none"/>
                <w:lang w:val="en-US" w:eastAsia="zh-CN" w:bidi="ar"/>
              </w:rPr>
              <w:t>否在</w:t>
            </w:r>
            <w:r>
              <w:rPr>
                <w:rFonts w:hint="default" w:ascii="Times New Roman" w:hAnsi="Times New Roman" w:eastAsia="方正仿宋_GBK" w:cs="Times New Roman"/>
                <w:i w:val="0"/>
                <w:color w:val="000000"/>
                <w:kern w:val="0"/>
                <w:sz w:val="24"/>
                <w:szCs w:val="24"/>
                <w:u w:val="none"/>
                <w:lang w:val="en-US" w:eastAsia="zh-CN" w:bidi="ar"/>
              </w:rPr>
              <w:t>销售商品或者提供服务时，使用欺骗性、误导性的语言、</w:t>
            </w:r>
            <w:r>
              <w:rPr>
                <w:rFonts w:hint="eastAsia" w:eastAsia="方正仿宋_GBK" w:cs="Times New Roman"/>
                <w:i w:val="0"/>
                <w:color w:val="000000"/>
                <w:kern w:val="0"/>
                <w:sz w:val="24"/>
                <w:szCs w:val="24"/>
                <w:u w:val="none"/>
                <w:lang w:val="en-US" w:eastAsia="zh-CN" w:bidi="ar"/>
              </w:rPr>
              <w:t>文字</w:t>
            </w:r>
            <w:r>
              <w:rPr>
                <w:rFonts w:hint="default" w:ascii="Times New Roman" w:hAnsi="Times New Roman" w:eastAsia="方正仿宋_GBK" w:cs="Times New Roman"/>
                <w:i w:val="0"/>
                <w:color w:val="000000"/>
                <w:kern w:val="0"/>
                <w:sz w:val="24"/>
                <w:szCs w:val="24"/>
                <w:u w:val="none"/>
                <w:lang w:val="en-US" w:eastAsia="zh-CN" w:bidi="ar"/>
              </w:rPr>
              <w:t>、数字、图片或者视频等标示价格以及其他价格信息；</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5.是否无正当理由拒绝履行或者不完全履行价格承诺；</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6.是否不标示或者显著弱化标示对消费者或者其他经营者不利的价格条件，诱骗消费者或者其他经营者与其进行交易；</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7.是否通过积分、礼券、兑换券、代金券等折抵价款时，拒不按约定折抵价款。</w:t>
            </w:r>
          </w:p>
        </w:tc>
        <w:tc>
          <w:tcPr>
            <w:tcW w:w="650" w:type="dxa"/>
            <w:noWrap w:val="0"/>
            <w:vAlign w:val="center"/>
          </w:tcPr>
          <w:p w14:paraId="4A80E17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现场检查、非现场检查相结合</w:t>
            </w:r>
          </w:p>
        </w:tc>
        <w:tc>
          <w:tcPr>
            <w:tcW w:w="650" w:type="dxa"/>
            <w:noWrap w:val="0"/>
            <w:vAlign w:val="center"/>
          </w:tcPr>
          <w:p w14:paraId="245D40B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依据投诉举报进行现场核查</w:t>
            </w:r>
          </w:p>
        </w:tc>
        <w:tc>
          <w:tcPr>
            <w:tcW w:w="1175" w:type="dxa"/>
            <w:noWrap w:val="0"/>
            <w:vAlign w:val="center"/>
          </w:tcPr>
          <w:p w14:paraId="7BEE552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p>
        </w:tc>
      </w:tr>
      <w:tr w14:paraId="0329D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98" w:hRule="atLeast"/>
          <w:jc w:val="center"/>
        </w:trPr>
        <w:tc>
          <w:tcPr>
            <w:tcW w:w="409" w:type="dxa"/>
            <w:noWrap w:val="0"/>
            <w:vAlign w:val="center"/>
          </w:tcPr>
          <w:p w14:paraId="25C5029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8</w:t>
            </w:r>
          </w:p>
        </w:tc>
        <w:tc>
          <w:tcPr>
            <w:tcW w:w="1012" w:type="dxa"/>
            <w:noWrap w:val="0"/>
            <w:vAlign w:val="center"/>
          </w:tcPr>
          <w:p w14:paraId="7844FE5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经营者不得哄抬价格</w:t>
            </w:r>
          </w:p>
        </w:tc>
        <w:tc>
          <w:tcPr>
            <w:tcW w:w="873" w:type="dxa"/>
            <w:noWrap w:val="0"/>
            <w:vAlign w:val="center"/>
          </w:tcPr>
          <w:p w14:paraId="5FD6C44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7B99E10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《中华人民共和国价格法》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第十四条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第三项经营者不得有下列不正当价格行为：</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（三）捏造、散布涨价信息，哄抬价格，推动商品价格过高上涨的；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第四十条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有本法第十四条所列行为之一的，责令改正，没收违法所得，可以并处违法所得五倍以下的罚款；没有违法所得的，予以警告，可以并处罚款；情节严重的，责令停业整顿，或者由工商行政管理机关吊销营业执照。有关法律对本法第十四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所列行为的处罚及处罚机关另有规定的，可以依照有关法律的规定执行。</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《价格违法行为行政处罚规定》</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第六条第一款</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经营者违反价格法第十四条的规定，有下列推动商品价格过快、过高上涨行为之一的，责令</w:t>
            </w:r>
            <w:r>
              <w:rPr>
                <w:rFonts w:hint="eastAsia" w:eastAsia="方正仿宋_GBK" w:cs="Times New Roman"/>
                <w:i w:val="0"/>
                <w:color w:val="000000"/>
                <w:kern w:val="0"/>
                <w:sz w:val="24"/>
                <w:szCs w:val="24"/>
                <w:u w:val="none"/>
                <w:lang w:val="en-US" w:eastAsia="zh-CN" w:bidi="ar"/>
              </w:rPr>
              <w:t>改</w:t>
            </w:r>
            <w:r>
              <w:rPr>
                <w:rFonts w:hint="default" w:ascii="Times New Roman" w:hAnsi="Times New Roman" w:eastAsia="方正仿宋_GBK" w:cs="Times New Roman"/>
                <w:i w:val="0"/>
                <w:color w:val="000000"/>
                <w:kern w:val="0"/>
                <w:sz w:val="24"/>
                <w:szCs w:val="24"/>
                <w:u w:val="none"/>
                <w:lang w:val="en-US" w:eastAsia="zh-CN" w:bidi="ar"/>
              </w:rPr>
              <w:t>正，没收违法所得，并处违法所得5倍以下的罚款；没有违法所得的，处5万元以上50万元以下的罚款，情节较重的处50万元以上300万元以下的罚款；情节严重的，责令停业整顿，或者由工商行政管理机关吊销营业执照：</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（一）捏造、散布涨价信息，扰乱市场价格秩序的；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（二）除生产自用外，超出正常的存储数量或者存储周期，大量囤积市场供应紧张、价格发生异常波动的商品，经价格主管部门告诫仍继续囤积的；</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（三）利用其他手段哄抬价格，推动商品价格过快、过高上涨的。</w:t>
            </w:r>
          </w:p>
        </w:tc>
        <w:tc>
          <w:tcPr>
            <w:tcW w:w="983" w:type="dxa"/>
            <w:noWrap w:val="0"/>
            <w:vAlign w:val="center"/>
          </w:tcPr>
          <w:p w14:paraId="3F46B98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价格股</w:t>
            </w:r>
          </w:p>
        </w:tc>
        <w:tc>
          <w:tcPr>
            <w:tcW w:w="1000" w:type="dxa"/>
            <w:noWrap w:val="0"/>
            <w:vAlign w:val="center"/>
          </w:tcPr>
          <w:p w14:paraId="5E76EC7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54049FE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经营者是否捏造、散布涨价信息，哄抬价格，推动商品价格过快、过高上涨。</w:t>
            </w:r>
          </w:p>
        </w:tc>
        <w:tc>
          <w:tcPr>
            <w:tcW w:w="650" w:type="dxa"/>
            <w:noWrap w:val="0"/>
            <w:vAlign w:val="center"/>
          </w:tcPr>
          <w:p w14:paraId="3E0C1A5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现场检查、非现场检查相结合</w:t>
            </w:r>
          </w:p>
        </w:tc>
        <w:tc>
          <w:tcPr>
            <w:tcW w:w="650" w:type="dxa"/>
            <w:noWrap w:val="0"/>
            <w:vAlign w:val="center"/>
          </w:tcPr>
          <w:p w14:paraId="0CCEDE0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依据投诉举报进行现场核查</w:t>
            </w:r>
          </w:p>
        </w:tc>
        <w:tc>
          <w:tcPr>
            <w:tcW w:w="1175" w:type="dxa"/>
            <w:noWrap w:val="0"/>
            <w:vAlign w:val="center"/>
          </w:tcPr>
          <w:p w14:paraId="4F4381E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p>
        </w:tc>
      </w:tr>
      <w:tr w14:paraId="62B7E2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2515EA2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9</w:t>
            </w:r>
          </w:p>
        </w:tc>
        <w:tc>
          <w:tcPr>
            <w:tcW w:w="1012" w:type="dxa"/>
            <w:noWrap w:val="0"/>
            <w:vAlign w:val="center"/>
          </w:tcPr>
          <w:p w14:paraId="0F25FC0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经营者不得擅自使用与他人有一定影响的商品名称、包装、装潢等相同或者近似的标识。不得擅自使用他人有一定影响的企业名称、社会组织名称、姓名</w:t>
            </w:r>
          </w:p>
        </w:tc>
        <w:tc>
          <w:tcPr>
            <w:tcW w:w="873" w:type="dxa"/>
            <w:noWrap w:val="0"/>
            <w:vAlign w:val="center"/>
          </w:tcPr>
          <w:p w14:paraId="1128AEA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65CB345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《中华人民共和国反不正当竞争法》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第十八条第一款</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经营者违反本法第六条规定实施混淆行为的，由监督检查部门责令停止违法行为，没收违法商品。违法经营额五万元以上的，可以并处违法经营额五倍以下的罚款</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没有违法经营额或者违法经营额不足五万元的，可以并处二十五万元以下的罚款。情节严重的，吊销营业执照。</w:t>
            </w:r>
          </w:p>
        </w:tc>
        <w:tc>
          <w:tcPr>
            <w:tcW w:w="983" w:type="dxa"/>
            <w:noWrap w:val="0"/>
            <w:vAlign w:val="center"/>
          </w:tcPr>
          <w:p w14:paraId="66CFA283">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公平交易分局</w:t>
            </w:r>
          </w:p>
        </w:tc>
        <w:tc>
          <w:tcPr>
            <w:tcW w:w="1000" w:type="dxa"/>
            <w:noWrap w:val="0"/>
            <w:vAlign w:val="center"/>
          </w:tcPr>
          <w:p w14:paraId="0680360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4E0F917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经营者是否擅自使用与他人有一定影响的商品名称、包装、装潢等相同或者近似的标识，引人误认为是他人商品或者与他人存在特定联系。</w:t>
            </w:r>
          </w:p>
        </w:tc>
        <w:tc>
          <w:tcPr>
            <w:tcW w:w="650" w:type="dxa"/>
            <w:noWrap w:val="0"/>
            <w:vAlign w:val="center"/>
          </w:tcPr>
          <w:p w14:paraId="0B136CE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、非现场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相结合</w:t>
            </w:r>
          </w:p>
        </w:tc>
        <w:tc>
          <w:tcPr>
            <w:tcW w:w="650" w:type="dxa"/>
            <w:noWrap w:val="0"/>
            <w:vAlign w:val="center"/>
          </w:tcPr>
          <w:p w14:paraId="7672A3F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依据投诉举报进行现场核查</w:t>
            </w:r>
          </w:p>
        </w:tc>
        <w:tc>
          <w:tcPr>
            <w:tcW w:w="1175" w:type="dxa"/>
            <w:noWrap w:val="0"/>
            <w:vAlign w:val="center"/>
          </w:tcPr>
          <w:p w14:paraId="4B1EA64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p>
        </w:tc>
      </w:tr>
      <w:tr w14:paraId="2E6356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712" w:hRule="atLeast"/>
          <w:jc w:val="center"/>
        </w:trPr>
        <w:tc>
          <w:tcPr>
            <w:tcW w:w="409" w:type="dxa"/>
            <w:noWrap w:val="0"/>
            <w:vAlign w:val="center"/>
          </w:tcPr>
          <w:p w14:paraId="286653B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r>
              <w:rPr>
                <w:rFonts w:hint="eastAsia" w:eastAsia="方正仿宋_GBK" w:cs="Times New Roman"/>
                <w:sz w:val="24"/>
                <w:szCs w:val="24"/>
                <w:lang w:val="en-US" w:eastAsia="zh-CN"/>
              </w:rPr>
              <w:t>0</w:t>
            </w:r>
          </w:p>
        </w:tc>
        <w:tc>
          <w:tcPr>
            <w:tcW w:w="1012" w:type="dxa"/>
            <w:noWrap w:val="0"/>
            <w:vAlign w:val="center"/>
          </w:tcPr>
          <w:p w14:paraId="62F1ACB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经营者不得采用财物或者其他手段贿赂相关单位或者个人</w:t>
            </w:r>
          </w:p>
        </w:tc>
        <w:tc>
          <w:tcPr>
            <w:tcW w:w="873" w:type="dxa"/>
            <w:noWrap w:val="0"/>
            <w:vAlign w:val="center"/>
          </w:tcPr>
          <w:p w14:paraId="4B5FBB7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4FB6CA3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《中华人民共和国反不正当竞争法》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第十九条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经营者违反本法第七条规定贿赂他人的，由监督检查部门没收违法所得，处十万元以上三百万元以下的罚款。情节严重的，吊销营业执照。</w:t>
            </w:r>
          </w:p>
        </w:tc>
        <w:tc>
          <w:tcPr>
            <w:tcW w:w="983" w:type="dxa"/>
            <w:noWrap w:val="0"/>
            <w:vAlign w:val="center"/>
          </w:tcPr>
          <w:p w14:paraId="62FEAAB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公平交易分局</w:t>
            </w:r>
          </w:p>
        </w:tc>
        <w:tc>
          <w:tcPr>
            <w:tcW w:w="1000" w:type="dxa"/>
            <w:noWrap w:val="0"/>
            <w:vAlign w:val="center"/>
          </w:tcPr>
          <w:p w14:paraId="76A1EAF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5E4E0FA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经营者是否采用财物或者其他手段贿赂下列单位或者个人，以谋取交易机会或者竞争优势：</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一</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交易相对方的工作人员；</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二</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受交易相对方委托办理相关事务的单位或者个人；</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利用职权或者影响力影响交易的单位或者个人。</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如：某药品经营企业为向某医院销售药品，暗中给予该医院药品采购人员销售回扣。</w:t>
            </w:r>
          </w:p>
        </w:tc>
        <w:tc>
          <w:tcPr>
            <w:tcW w:w="650" w:type="dxa"/>
            <w:noWrap w:val="0"/>
            <w:vAlign w:val="center"/>
          </w:tcPr>
          <w:p w14:paraId="1728F53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、非现场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相结合</w:t>
            </w:r>
          </w:p>
        </w:tc>
        <w:tc>
          <w:tcPr>
            <w:tcW w:w="650" w:type="dxa"/>
            <w:noWrap w:val="0"/>
            <w:vAlign w:val="center"/>
          </w:tcPr>
          <w:p w14:paraId="0ABDE9B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依据投诉举报进行现场核查</w:t>
            </w:r>
          </w:p>
        </w:tc>
        <w:tc>
          <w:tcPr>
            <w:tcW w:w="1175" w:type="dxa"/>
            <w:noWrap w:val="0"/>
            <w:vAlign w:val="center"/>
          </w:tcPr>
          <w:p w14:paraId="2B5EE96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p>
        </w:tc>
      </w:tr>
      <w:tr w14:paraId="51C65B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05" w:hRule="atLeast"/>
          <w:jc w:val="center"/>
        </w:trPr>
        <w:tc>
          <w:tcPr>
            <w:tcW w:w="409" w:type="dxa"/>
            <w:noWrap w:val="0"/>
            <w:vAlign w:val="center"/>
          </w:tcPr>
          <w:p w14:paraId="3164801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r>
              <w:rPr>
                <w:rFonts w:hint="eastAsia" w:eastAsia="方正仿宋_GBK" w:cs="Times New Roman"/>
                <w:sz w:val="24"/>
                <w:szCs w:val="24"/>
                <w:lang w:val="en-US" w:eastAsia="zh-CN"/>
              </w:rPr>
              <w:t>1</w:t>
            </w:r>
          </w:p>
        </w:tc>
        <w:tc>
          <w:tcPr>
            <w:tcW w:w="1012" w:type="dxa"/>
            <w:noWrap w:val="0"/>
            <w:vAlign w:val="center"/>
          </w:tcPr>
          <w:p w14:paraId="4C7EE02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经营者不得作虚假或者引人误解的商业宣传，欺骗和误导消费者，不得帮助其他经营者进行虚假或者引人误解的商业宣传</w:t>
            </w:r>
          </w:p>
        </w:tc>
        <w:tc>
          <w:tcPr>
            <w:tcW w:w="873" w:type="dxa"/>
            <w:noWrap w:val="0"/>
            <w:vAlign w:val="center"/>
          </w:tcPr>
          <w:p w14:paraId="5124945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07C2295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《中华人民共和国反不正当竞争法》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第二十条第一款</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经营者违反本法第八条规定对其商品作</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假或者引人误解的商业宣传，或者通过组织虚假交易等方式帮助其他经营者进行</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假或者引人误解的商业宣传的，由监督检查部门责令停止违法行为，处二十万元以上一百万元以下的罚款；情节严重的，处一百万元以上二百万元以下的罚款，可以吊销营业执照。</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《网络交易监督管理办法》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第十四条第二款第四项</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网络交易经营者不得以下列方式，作</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假或者引人误解的商业宣传，欺骗、误导消费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四）</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构点击量、关注度等流量数据，以及</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构点赞、打赏等交易互动数据。</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第四十三条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网络交易经营者违反本办法第十四条的，依照《中华人民共和国反不正当竞争法》的相关规定进行处罚。</w:t>
            </w:r>
          </w:p>
        </w:tc>
        <w:tc>
          <w:tcPr>
            <w:tcW w:w="983" w:type="dxa"/>
            <w:shd w:val="clear" w:color="auto" w:fill="auto"/>
            <w:noWrap w:val="0"/>
            <w:vAlign w:val="center"/>
          </w:tcPr>
          <w:p w14:paraId="7D377EB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公平交易分局</w:t>
            </w:r>
          </w:p>
        </w:tc>
        <w:tc>
          <w:tcPr>
            <w:tcW w:w="1000" w:type="dxa"/>
            <w:noWrap w:val="0"/>
            <w:vAlign w:val="center"/>
          </w:tcPr>
          <w:p w14:paraId="30FFC8C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02C6507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经营者是否对其商品的性能、功能、质量、销售状况、用户评价、曾获荣誉等作</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假或者引人误解的商业宣传，欺骗、误导消费者。经营者是否通过组织</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假交易等方式，帮助其他经营者进行</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假或者引人误解的商业宣传。</w:t>
            </w:r>
          </w:p>
        </w:tc>
        <w:tc>
          <w:tcPr>
            <w:tcW w:w="650" w:type="dxa"/>
            <w:noWrap w:val="0"/>
            <w:vAlign w:val="center"/>
          </w:tcPr>
          <w:p w14:paraId="24C9563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、非现场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相结合</w:t>
            </w:r>
          </w:p>
        </w:tc>
        <w:tc>
          <w:tcPr>
            <w:tcW w:w="650" w:type="dxa"/>
            <w:noWrap w:val="0"/>
            <w:vAlign w:val="center"/>
          </w:tcPr>
          <w:p w14:paraId="7CE5078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依据投诉举报进行现场核查</w:t>
            </w:r>
          </w:p>
        </w:tc>
        <w:tc>
          <w:tcPr>
            <w:tcW w:w="1175" w:type="dxa"/>
            <w:noWrap w:val="0"/>
            <w:vAlign w:val="center"/>
          </w:tcPr>
          <w:p w14:paraId="682C9EC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p>
        </w:tc>
      </w:tr>
      <w:tr w14:paraId="06C792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85" w:hRule="atLeast"/>
          <w:jc w:val="center"/>
        </w:trPr>
        <w:tc>
          <w:tcPr>
            <w:tcW w:w="409" w:type="dxa"/>
            <w:noWrap w:val="0"/>
            <w:vAlign w:val="center"/>
          </w:tcPr>
          <w:p w14:paraId="3E0EF05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r>
              <w:rPr>
                <w:rFonts w:hint="eastAsia" w:eastAsia="方正仿宋_GBK" w:cs="Times New Roman"/>
                <w:sz w:val="24"/>
                <w:szCs w:val="24"/>
                <w:lang w:val="en-US" w:eastAsia="zh-CN"/>
              </w:rPr>
              <w:t>2</w:t>
            </w:r>
          </w:p>
        </w:tc>
        <w:tc>
          <w:tcPr>
            <w:tcW w:w="1012" w:type="dxa"/>
            <w:noWrap w:val="0"/>
            <w:vAlign w:val="center"/>
          </w:tcPr>
          <w:p w14:paraId="404B878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经营者不得实施侵犯商业秘密的行为</w:t>
            </w:r>
          </w:p>
        </w:tc>
        <w:tc>
          <w:tcPr>
            <w:tcW w:w="873" w:type="dxa"/>
            <w:noWrap w:val="0"/>
            <w:vAlign w:val="center"/>
          </w:tcPr>
          <w:p w14:paraId="4F315FB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71EE172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《中华人民共和国反不正当竞争法》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第二十一条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经营者以及其他自然人、法人和非法人组织违反本法第九条规定侵犯商业秘密的，由监督检查部门责令停止违法行为，没收违法所得，处十万元以上一百万元以下的罚款</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情节严重的，处五十万元以上五百万元以下的罚款。</w:t>
            </w:r>
          </w:p>
        </w:tc>
        <w:tc>
          <w:tcPr>
            <w:tcW w:w="983" w:type="dxa"/>
            <w:shd w:val="clear" w:color="auto" w:fill="auto"/>
            <w:noWrap w:val="0"/>
            <w:vAlign w:val="center"/>
          </w:tcPr>
          <w:p w14:paraId="0892F43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公平交易分局</w:t>
            </w:r>
          </w:p>
        </w:tc>
        <w:tc>
          <w:tcPr>
            <w:tcW w:w="1000" w:type="dxa"/>
            <w:noWrap w:val="0"/>
            <w:vAlign w:val="center"/>
          </w:tcPr>
          <w:p w14:paraId="719F948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12F1C1B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经营者</w:t>
            </w:r>
            <w:r>
              <w:rPr>
                <w:rFonts w:hint="default" w:ascii="Times New Roman" w:hAnsi="Times New Roman" w:eastAsia="方正仿宋_GBK" w:cs="Times New Roman"/>
                <w:i w:val="0"/>
                <w:color w:val="000000"/>
                <w:kern w:val="0"/>
                <w:sz w:val="24"/>
                <w:szCs w:val="24"/>
                <w:u w:val="none"/>
                <w:lang w:val="en-US" w:eastAsia="zh-CN" w:bidi="ar"/>
              </w:rPr>
              <w:t>是否侵犯商业秘密：</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1.以盗窃、贿赂、欺诈、胁迫、电子侵入或者其他不正当手段获取权利人的商业秘密；</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2.披露、使用或者允许他人使用以第1条所列手段获取的权利人的商业秘密；</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3.违反保密义务或者违反权利人有关保守商业秘密的要求，披露、使用或者允许他人使用其所掌握的商业秘密</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4.教唆、引诱、帮助他人违反保密义务或者违反权利人有关保守商业秘密的要求，获取、披露、使用或者允许他人使用权利人的商业秘密。</w:t>
            </w:r>
          </w:p>
        </w:tc>
        <w:tc>
          <w:tcPr>
            <w:tcW w:w="650" w:type="dxa"/>
            <w:noWrap w:val="0"/>
            <w:vAlign w:val="center"/>
          </w:tcPr>
          <w:p w14:paraId="651EA60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、非现场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相结合</w:t>
            </w:r>
          </w:p>
        </w:tc>
        <w:tc>
          <w:tcPr>
            <w:tcW w:w="650" w:type="dxa"/>
            <w:noWrap w:val="0"/>
            <w:vAlign w:val="center"/>
          </w:tcPr>
          <w:p w14:paraId="5B9423F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依据投诉举报进行现场核查</w:t>
            </w:r>
          </w:p>
        </w:tc>
        <w:tc>
          <w:tcPr>
            <w:tcW w:w="1175" w:type="dxa"/>
            <w:noWrap w:val="0"/>
            <w:vAlign w:val="center"/>
          </w:tcPr>
          <w:p w14:paraId="6246B8E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p>
        </w:tc>
      </w:tr>
      <w:tr w14:paraId="7F654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43" w:hRule="atLeast"/>
          <w:jc w:val="center"/>
        </w:trPr>
        <w:tc>
          <w:tcPr>
            <w:tcW w:w="409" w:type="dxa"/>
            <w:noWrap w:val="0"/>
            <w:vAlign w:val="center"/>
          </w:tcPr>
          <w:p w14:paraId="552A6D5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r>
              <w:rPr>
                <w:rFonts w:hint="eastAsia" w:eastAsia="方正仿宋_GBK" w:cs="Times New Roman"/>
                <w:sz w:val="24"/>
                <w:szCs w:val="24"/>
                <w:lang w:val="en-US" w:eastAsia="zh-CN"/>
              </w:rPr>
              <w:t>3</w:t>
            </w:r>
          </w:p>
        </w:tc>
        <w:tc>
          <w:tcPr>
            <w:tcW w:w="1012" w:type="dxa"/>
            <w:noWrap w:val="0"/>
            <w:vAlign w:val="center"/>
          </w:tcPr>
          <w:p w14:paraId="117521F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经营者不得进行违法有奖销售行为</w:t>
            </w:r>
          </w:p>
        </w:tc>
        <w:tc>
          <w:tcPr>
            <w:tcW w:w="873" w:type="dxa"/>
            <w:noWrap w:val="0"/>
            <w:vAlign w:val="center"/>
          </w:tcPr>
          <w:p w14:paraId="698EA00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1BC7427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《中华人民共和国反不正当竞争法》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第二十二条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经营者违反本法第十条规定进行有奖销售的，由监督检查部门</w:t>
            </w:r>
            <w:r>
              <w:rPr>
                <w:rFonts w:hint="eastAsia" w:eastAsia="方正仿宋_GBK" w:cs="Times New Roman"/>
                <w:i w:val="0"/>
                <w:color w:val="000000"/>
                <w:kern w:val="0"/>
                <w:sz w:val="24"/>
                <w:szCs w:val="24"/>
                <w:u w:val="none"/>
                <w:lang w:val="en-US" w:eastAsia="zh-CN" w:bidi="ar"/>
              </w:rPr>
              <w:t>责令</w:t>
            </w:r>
            <w:r>
              <w:rPr>
                <w:rFonts w:hint="default" w:ascii="Times New Roman" w:hAnsi="Times New Roman" w:eastAsia="方正仿宋_GBK" w:cs="Times New Roman"/>
                <w:i w:val="0"/>
                <w:color w:val="000000"/>
                <w:kern w:val="0"/>
                <w:sz w:val="24"/>
                <w:szCs w:val="24"/>
                <w:u w:val="none"/>
                <w:lang w:val="en-US" w:eastAsia="zh-CN" w:bidi="ar"/>
              </w:rPr>
              <w:t>停止违法行为，处五万元以上五十万元以下的罚款。</w:t>
            </w:r>
          </w:p>
        </w:tc>
        <w:tc>
          <w:tcPr>
            <w:tcW w:w="983" w:type="dxa"/>
            <w:shd w:val="clear" w:color="auto" w:fill="auto"/>
            <w:noWrap w:val="0"/>
            <w:vAlign w:val="center"/>
          </w:tcPr>
          <w:p w14:paraId="1FF594D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公平交易分局</w:t>
            </w:r>
          </w:p>
        </w:tc>
        <w:tc>
          <w:tcPr>
            <w:tcW w:w="1000" w:type="dxa"/>
            <w:noWrap w:val="0"/>
            <w:vAlign w:val="center"/>
          </w:tcPr>
          <w:p w14:paraId="7728B5C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5A81783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经营者进行有奖销售是否存在下列情形：</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1.有奖销售所设奖的种类、兑奖条件、奖金金额或者奖品等有奖销售信息不明确，影响兑奖；</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2.经营者采用谎称有奖或者故意让内定人员中奖的欺骗方式进行有奖销售；</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3.抽奖式的有奖销售，最高奖的金额超过五万元。</w:t>
            </w:r>
          </w:p>
        </w:tc>
        <w:tc>
          <w:tcPr>
            <w:tcW w:w="650" w:type="dxa"/>
            <w:noWrap w:val="0"/>
            <w:vAlign w:val="center"/>
          </w:tcPr>
          <w:p w14:paraId="409A98B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、非现场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相结合</w:t>
            </w:r>
          </w:p>
        </w:tc>
        <w:tc>
          <w:tcPr>
            <w:tcW w:w="650" w:type="dxa"/>
            <w:shd w:val="clear" w:color="auto" w:fill="auto"/>
            <w:noWrap w:val="0"/>
            <w:vAlign w:val="center"/>
          </w:tcPr>
          <w:p w14:paraId="05B8448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依据投诉举报进行现场核查</w:t>
            </w:r>
          </w:p>
        </w:tc>
        <w:tc>
          <w:tcPr>
            <w:tcW w:w="1175" w:type="dxa"/>
            <w:noWrap w:val="0"/>
            <w:vAlign w:val="center"/>
          </w:tcPr>
          <w:p w14:paraId="43BF878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p>
        </w:tc>
      </w:tr>
      <w:tr w14:paraId="7D8B4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02" w:hRule="atLeast"/>
          <w:jc w:val="center"/>
        </w:trPr>
        <w:tc>
          <w:tcPr>
            <w:tcW w:w="409" w:type="dxa"/>
            <w:noWrap w:val="0"/>
            <w:vAlign w:val="center"/>
          </w:tcPr>
          <w:p w14:paraId="76A9DA6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r>
              <w:rPr>
                <w:rFonts w:hint="eastAsia" w:eastAsia="方正仿宋_GBK" w:cs="Times New Roman"/>
                <w:sz w:val="24"/>
                <w:szCs w:val="24"/>
                <w:lang w:val="en-US" w:eastAsia="zh-CN"/>
              </w:rPr>
              <w:t>4</w:t>
            </w:r>
          </w:p>
        </w:tc>
        <w:tc>
          <w:tcPr>
            <w:tcW w:w="1012" w:type="dxa"/>
            <w:noWrap w:val="0"/>
            <w:vAlign w:val="center"/>
          </w:tcPr>
          <w:p w14:paraId="3A2179E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经营者不得编造、传播虚假信息或者误导性信息，损害竞争对手的商业信誉、商品声誉</w:t>
            </w:r>
          </w:p>
        </w:tc>
        <w:tc>
          <w:tcPr>
            <w:tcW w:w="873" w:type="dxa"/>
            <w:noWrap w:val="0"/>
            <w:vAlign w:val="center"/>
          </w:tcPr>
          <w:p w14:paraId="4F85E51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1B35E61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《中华人民共和国反不正当竞争法》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第十一条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经营者不得编造、传播虚假信息或者误导性信息，损害竞争对手的商业信誉、商品声誉。</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第二十三条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经营者违反本法第十一条规定损害竞</w:t>
            </w:r>
            <w:r>
              <w:rPr>
                <w:rFonts w:hint="eastAsia" w:eastAsia="方正仿宋_GBK" w:cs="Times New Roman"/>
                <w:i w:val="0"/>
                <w:color w:val="000000"/>
                <w:kern w:val="0"/>
                <w:sz w:val="24"/>
                <w:szCs w:val="24"/>
                <w:u w:val="none"/>
                <w:lang w:val="en-US" w:eastAsia="zh-CN" w:bidi="ar"/>
              </w:rPr>
              <w:t>争</w:t>
            </w:r>
            <w:r>
              <w:rPr>
                <w:rFonts w:hint="default" w:ascii="Times New Roman" w:hAnsi="Times New Roman" w:eastAsia="方正仿宋_GBK" w:cs="Times New Roman"/>
                <w:i w:val="0"/>
                <w:color w:val="000000"/>
                <w:kern w:val="0"/>
                <w:sz w:val="24"/>
                <w:szCs w:val="24"/>
                <w:u w:val="none"/>
                <w:lang w:val="en-US" w:eastAsia="zh-CN" w:bidi="ar"/>
              </w:rPr>
              <w:t>对手商业信誉、商品声誉的，由监督检查部门责令停止违法行为、消除影响，处十万元以上五十万元以下的罚款；情节严重的，处五十万元以上三百万元以下的罚款。</w:t>
            </w:r>
          </w:p>
        </w:tc>
        <w:tc>
          <w:tcPr>
            <w:tcW w:w="983" w:type="dxa"/>
            <w:shd w:val="clear" w:color="auto" w:fill="auto"/>
            <w:noWrap w:val="0"/>
            <w:vAlign w:val="center"/>
          </w:tcPr>
          <w:p w14:paraId="7583994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公平交易分局</w:t>
            </w:r>
          </w:p>
        </w:tc>
        <w:tc>
          <w:tcPr>
            <w:tcW w:w="1000" w:type="dxa"/>
            <w:noWrap w:val="0"/>
            <w:vAlign w:val="center"/>
          </w:tcPr>
          <w:p w14:paraId="1E33FA43">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0EC721E3">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经营者是否编造、传播</w:t>
            </w:r>
            <w:r>
              <w:rPr>
                <w:rFonts w:hint="eastAsia" w:eastAsia="方正仿宋_GBK" w:cs="Times New Roman"/>
                <w:i w:val="0"/>
                <w:color w:val="000000"/>
                <w:kern w:val="0"/>
                <w:sz w:val="24"/>
                <w:szCs w:val="24"/>
                <w:u w:val="none"/>
                <w:lang w:val="en-US" w:eastAsia="zh-CN" w:bidi="ar"/>
              </w:rPr>
              <w:t>虚</w:t>
            </w:r>
            <w:r>
              <w:rPr>
                <w:rFonts w:hint="default" w:ascii="Times New Roman" w:hAnsi="Times New Roman" w:eastAsia="方正仿宋_GBK" w:cs="Times New Roman"/>
                <w:i w:val="0"/>
                <w:color w:val="000000"/>
                <w:kern w:val="0"/>
                <w:sz w:val="24"/>
                <w:szCs w:val="24"/>
                <w:u w:val="none"/>
                <w:lang w:val="en-US" w:eastAsia="zh-CN" w:bidi="ar"/>
              </w:rPr>
              <w:t>假信息或者事实虽然真实，但仅陈述部分事实，容易引发错误联想的误导性信息，对竞争对手的商业信誉、商品声誉进行恶意的诋毁、贬低，以破坏竞争对手的交易机会和竞争优势，并为自己谋取不正当利益。</w:t>
            </w:r>
          </w:p>
        </w:tc>
        <w:tc>
          <w:tcPr>
            <w:tcW w:w="650" w:type="dxa"/>
            <w:noWrap w:val="0"/>
            <w:vAlign w:val="center"/>
          </w:tcPr>
          <w:p w14:paraId="55944FD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、非现场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相结合</w:t>
            </w:r>
          </w:p>
        </w:tc>
        <w:tc>
          <w:tcPr>
            <w:tcW w:w="650" w:type="dxa"/>
            <w:shd w:val="clear" w:color="auto" w:fill="auto"/>
            <w:noWrap w:val="0"/>
            <w:vAlign w:val="center"/>
          </w:tcPr>
          <w:p w14:paraId="4466ABB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依据投诉举报进行现场核查</w:t>
            </w:r>
          </w:p>
        </w:tc>
        <w:tc>
          <w:tcPr>
            <w:tcW w:w="1175" w:type="dxa"/>
            <w:noWrap w:val="0"/>
            <w:vAlign w:val="center"/>
          </w:tcPr>
          <w:p w14:paraId="31CD67A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p>
        </w:tc>
      </w:tr>
      <w:tr w14:paraId="3D38A7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86" w:hRule="atLeast"/>
          <w:jc w:val="center"/>
        </w:trPr>
        <w:tc>
          <w:tcPr>
            <w:tcW w:w="409" w:type="dxa"/>
            <w:noWrap w:val="0"/>
            <w:vAlign w:val="center"/>
          </w:tcPr>
          <w:p w14:paraId="3A20D7F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r>
              <w:rPr>
                <w:rFonts w:hint="eastAsia" w:eastAsia="方正仿宋_GBK" w:cs="Times New Roman"/>
                <w:sz w:val="24"/>
                <w:szCs w:val="24"/>
                <w:lang w:val="en-US" w:eastAsia="zh-CN"/>
              </w:rPr>
              <w:t>5</w:t>
            </w:r>
          </w:p>
        </w:tc>
        <w:tc>
          <w:tcPr>
            <w:tcW w:w="1012" w:type="dxa"/>
            <w:noWrap w:val="0"/>
            <w:vAlign w:val="center"/>
          </w:tcPr>
          <w:p w14:paraId="15F4C29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经营者不得利用技术手段，通过影响用户选择或者其他方式，实施妨碍、破坏其他经营者合法提供的网络产品或者服务正常运行的行为。</w:t>
            </w:r>
          </w:p>
        </w:tc>
        <w:tc>
          <w:tcPr>
            <w:tcW w:w="873" w:type="dxa"/>
            <w:noWrap w:val="0"/>
            <w:vAlign w:val="center"/>
          </w:tcPr>
          <w:p w14:paraId="48DEDAE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安化县市场监督管理局</w:t>
            </w:r>
          </w:p>
        </w:tc>
        <w:tc>
          <w:tcPr>
            <w:tcW w:w="5268" w:type="dxa"/>
            <w:noWrap w:val="0"/>
            <w:vAlign w:val="center"/>
          </w:tcPr>
          <w:p w14:paraId="766B2DD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《中华人民共和国反不正当竞争法》</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第二十四条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经营者违反本法第十二条规定妨碍、破坏其他经营者合法提供的网络产品或者服务正常运行的，由监督检查部门责令停止违法行为，处十万元以上五十万元以下的罚款：情节严重的，处五十万元以上三百万元以下的罚款。</w:t>
            </w:r>
          </w:p>
        </w:tc>
        <w:tc>
          <w:tcPr>
            <w:tcW w:w="983" w:type="dxa"/>
            <w:shd w:val="clear" w:color="auto" w:fill="auto"/>
            <w:noWrap w:val="0"/>
            <w:vAlign w:val="center"/>
          </w:tcPr>
          <w:p w14:paraId="6F04646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公平交易分局</w:t>
            </w:r>
          </w:p>
        </w:tc>
        <w:tc>
          <w:tcPr>
            <w:tcW w:w="1000" w:type="dxa"/>
            <w:noWrap w:val="0"/>
            <w:vAlign w:val="center"/>
          </w:tcPr>
          <w:p w14:paraId="79DBBEB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w:t>
            </w:r>
          </w:p>
        </w:tc>
        <w:tc>
          <w:tcPr>
            <w:tcW w:w="3833" w:type="dxa"/>
            <w:noWrap w:val="0"/>
            <w:vAlign w:val="center"/>
          </w:tcPr>
          <w:p w14:paraId="1969CFB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经营者是否利用技术手段，通过影响用户选择或者其他方式，实施下列妨碍、破坏其他经营者合法提供的网络产品或者服务正常运行的行为：</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未经其他经营者同意，在其合法提供的网络产品或者服务中，插入链接、强制进行目标跳转；</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（二）误导、欺骗、强迫用户修改、关闭、卸载其他经营者合法提供的网络产品或者服务；</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恶意对其他经营者合法提供的网络产品或者服务实施不兼容；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（四）其他妨碍、破坏其他经营者合法提供的网络</w:t>
            </w:r>
            <w:r>
              <w:rPr>
                <w:rFonts w:hint="eastAsia" w:eastAsia="方正仿宋_GBK" w:cs="Times New Roman"/>
                <w:i w:val="0"/>
                <w:color w:val="000000"/>
                <w:kern w:val="0"/>
                <w:sz w:val="24"/>
                <w:szCs w:val="24"/>
                <w:u w:val="none"/>
                <w:lang w:val="en-US" w:eastAsia="zh-CN" w:bidi="ar"/>
              </w:rPr>
              <w:t>产品</w:t>
            </w:r>
            <w:r>
              <w:rPr>
                <w:rFonts w:hint="default" w:ascii="Times New Roman" w:hAnsi="Times New Roman" w:eastAsia="方正仿宋_GBK" w:cs="Times New Roman"/>
                <w:i w:val="0"/>
                <w:color w:val="000000"/>
                <w:kern w:val="0"/>
                <w:sz w:val="24"/>
                <w:szCs w:val="24"/>
                <w:u w:val="none"/>
                <w:lang w:val="en-US" w:eastAsia="zh-CN" w:bidi="ar"/>
              </w:rPr>
              <w:t>或者服务正常运行的行为。</w:t>
            </w:r>
          </w:p>
        </w:tc>
        <w:tc>
          <w:tcPr>
            <w:tcW w:w="650" w:type="dxa"/>
            <w:noWrap w:val="0"/>
            <w:vAlign w:val="center"/>
          </w:tcPr>
          <w:p w14:paraId="2DA0065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、非现场</w:t>
            </w:r>
            <w:r>
              <w:rPr>
                <w:rFonts w:hint="eastAsia" w:eastAsia="方正仿宋_GBK" w:cs="Times New Roman"/>
                <w:i w:val="0"/>
                <w:color w:val="000000"/>
                <w:kern w:val="0"/>
                <w:sz w:val="24"/>
                <w:szCs w:val="24"/>
                <w:u w:val="none"/>
                <w:lang w:val="en-US" w:eastAsia="zh-CN" w:bidi="ar"/>
              </w:rPr>
              <w:t>检查</w:t>
            </w:r>
            <w:r>
              <w:rPr>
                <w:rFonts w:hint="default" w:ascii="Times New Roman" w:hAnsi="Times New Roman" w:eastAsia="方正仿宋_GBK" w:cs="Times New Roman"/>
                <w:i w:val="0"/>
                <w:color w:val="000000"/>
                <w:kern w:val="0"/>
                <w:sz w:val="24"/>
                <w:szCs w:val="24"/>
                <w:u w:val="none"/>
                <w:lang w:val="en-US" w:eastAsia="zh-CN" w:bidi="ar"/>
              </w:rPr>
              <w:t>相结合</w:t>
            </w:r>
          </w:p>
        </w:tc>
        <w:tc>
          <w:tcPr>
            <w:tcW w:w="650" w:type="dxa"/>
            <w:noWrap w:val="0"/>
            <w:vAlign w:val="center"/>
          </w:tcPr>
          <w:p w14:paraId="66FB0D2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依据投诉举报进行现场核查</w:t>
            </w:r>
          </w:p>
        </w:tc>
        <w:tc>
          <w:tcPr>
            <w:tcW w:w="1175" w:type="dxa"/>
            <w:noWrap w:val="0"/>
            <w:vAlign w:val="center"/>
          </w:tcPr>
          <w:p w14:paraId="6235949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p>
        </w:tc>
      </w:tr>
      <w:tr w14:paraId="4B4896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3227075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lang w:val="en-US" w:eastAsia="zh-CN"/>
              </w:rPr>
            </w:pPr>
            <w:r>
              <w:rPr>
                <w:rFonts w:hint="eastAsia" w:eastAsia="方正仿宋_GBK" w:cs="Times New Roman"/>
                <w:b w:val="0"/>
                <w:bCs w:val="0"/>
                <w:sz w:val="24"/>
                <w:szCs w:val="24"/>
                <w:vertAlign w:val="baseline"/>
                <w:lang w:val="en-US" w:eastAsia="zh-CN"/>
              </w:rPr>
              <w:t>16</w:t>
            </w:r>
          </w:p>
        </w:tc>
        <w:tc>
          <w:tcPr>
            <w:tcW w:w="1012" w:type="dxa"/>
            <w:noWrap w:val="0"/>
            <w:vAlign w:val="center"/>
          </w:tcPr>
          <w:p w14:paraId="5438CD5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b w:val="0"/>
                <w:bCs w:val="0"/>
                <w:sz w:val="24"/>
                <w:szCs w:val="24"/>
                <w:vertAlign w:val="baseline"/>
                <w:lang w:val="en-US" w:eastAsia="zh-CN"/>
              </w:rPr>
              <w:t>对电子商务平台经营者的行政检查</w:t>
            </w:r>
          </w:p>
        </w:tc>
        <w:tc>
          <w:tcPr>
            <w:tcW w:w="873" w:type="dxa"/>
            <w:noWrap w:val="0"/>
            <w:vAlign w:val="center"/>
          </w:tcPr>
          <w:p w14:paraId="18FAE4F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eastAsia" w:eastAsia="方正仿宋_GBK" w:cs="Times New Roman"/>
                <w:b w:val="0"/>
                <w:bCs w:val="0"/>
                <w:sz w:val="24"/>
                <w:szCs w:val="24"/>
                <w:vertAlign w:val="baseline"/>
                <w:lang w:val="en-US" w:eastAsia="zh-CN"/>
              </w:rPr>
              <w:t>安化县市场监督管理局</w:t>
            </w:r>
          </w:p>
        </w:tc>
        <w:tc>
          <w:tcPr>
            <w:tcW w:w="5268" w:type="dxa"/>
            <w:noWrap w:val="0"/>
            <w:vAlign w:val="center"/>
          </w:tcPr>
          <w:p w14:paraId="5E7AAAA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b w:val="0"/>
                <w:bCs w:val="0"/>
                <w:sz w:val="24"/>
                <w:szCs w:val="24"/>
                <w:vertAlign w:val="baseline"/>
                <w:lang w:val="en-US" w:eastAsia="zh-CN"/>
              </w:rPr>
              <w:t>《电子商务法》第二十七条、第三十一条、第三十二条、第三十三条、第三十四条、第三十六条、第三十七条、第三十九条、第四十条</w:t>
            </w:r>
          </w:p>
        </w:tc>
        <w:tc>
          <w:tcPr>
            <w:tcW w:w="983" w:type="dxa"/>
            <w:noWrap w:val="0"/>
            <w:vAlign w:val="center"/>
          </w:tcPr>
          <w:p w14:paraId="614C3C4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b w:val="0"/>
                <w:bCs w:val="0"/>
                <w:sz w:val="24"/>
                <w:szCs w:val="24"/>
                <w:vertAlign w:val="baseline"/>
                <w:lang w:val="en-US" w:eastAsia="zh-CN"/>
              </w:rPr>
              <w:t>网监股</w:t>
            </w:r>
          </w:p>
        </w:tc>
        <w:tc>
          <w:tcPr>
            <w:tcW w:w="1000" w:type="dxa"/>
            <w:noWrap w:val="0"/>
            <w:vAlign w:val="center"/>
          </w:tcPr>
          <w:p w14:paraId="6408772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b w:val="0"/>
                <w:bCs w:val="0"/>
                <w:sz w:val="24"/>
                <w:szCs w:val="24"/>
                <w:vertAlign w:val="baseline"/>
                <w:lang w:val="en-US" w:eastAsia="zh-CN"/>
              </w:rPr>
              <w:t>电子商务平台经营者</w:t>
            </w:r>
          </w:p>
        </w:tc>
        <w:tc>
          <w:tcPr>
            <w:tcW w:w="3833" w:type="dxa"/>
            <w:noWrap w:val="0"/>
            <w:vAlign w:val="center"/>
          </w:tcPr>
          <w:p w14:paraId="6309518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b w:val="0"/>
                <w:bCs w:val="0"/>
                <w:sz w:val="24"/>
                <w:szCs w:val="24"/>
                <w:vertAlign w:val="baseline"/>
                <w:lang w:val="en-US" w:eastAsia="zh-CN"/>
              </w:rPr>
              <w:t>电子商务平台经营者履行主体责任监督检查</w:t>
            </w:r>
          </w:p>
        </w:tc>
        <w:tc>
          <w:tcPr>
            <w:tcW w:w="650" w:type="dxa"/>
            <w:noWrap w:val="0"/>
            <w:vAlign w:val="center"/>
          </w:tcPr>
          <w:p w14:paraId="096C951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eastAsia" w:eastAsia="方正仿宋_GBK" w:cs="Times New Roman"/>
                <w:b w:val="0"/>
                <w:bCs w:val="0"/>
                <w:sz w:val="24"/>
                <w:szCs w:val="24"/>
                <w:vertAlign w:val="baseline"/>
                <w:lang w:val="en-US" w:eastAsia="zh-CN"/>
              </w:rPr>
              <w:t>现场检查、</w:t>
            </w:r>
            <w:r>
              <w:rPr>
                <w:rFonts w:hint="default" w:ascii="Times New Roman" w:hAnsi="Times New Roman" w:eastAsia="方正仿宋_GBK" w:cs="Times New Roman"/>
                <w:b w:val="0"/>
                <w:bCs w:val="0"/>
                <w:sz w:val="24"/>
                <w:szCs w:val="24"/>
                <w:vertAlign w:val="baseline"/>
                <w:lang w:val="en-US" w:eastAsia="zh-CN"/>
              </w:rPr>
              <w:t>非</w:t>
            </w:r>
            <w:r>
              <w:rPr>
                <w:rFonts w:hint="eastAsia" w:eastAsia="方正仿宋_GBK" w:cs="Times New Roman"/>
                <w:b w:val="0"/>
                <w:bCs w:val="0"/>
                <w:sz w:val="24"/>
                <w:szCs w:val="24"/>
                <w:vertAlign w:val="baseline"/>
                <w:lang w:val="en-US" w:eastAsia="zh-CN"/>
              </w:rPr>
              <w:t>现场检查</w:t>
            </w:r>
            <w:r>
              <w:rPr>
                <w:rFonts w:hint="default" w:ascii="Times New Roman" w:hAnsi="Times New Roman" w:eastAsia="方正仿宋_GBK" w:cs="Times New Roman"/>
                <w:b w:val="0"/>
                <w:bCs w:val="0"/>
                <w:sz w:val="24"/>
                <w:szCs w:val="24"/>
                <w:vertAlign w:val="baseline"/>
                <w:lang w:val="en-US" w:eastAsia="zh-CN"/>
              </w:rPr>
              <w:t>相结合</w:t>
            </w:r>
          </w:p>
        </w:tc>
        <w:tc>
          <w:tcPr>
            <w:tcW w:w="650" w:type="dxa"/>
            <w:noWrap w:val="0"/>
            <w:vAlign w:val="center"/>
          </w:tcPr>
          <w:p w14:paraId="0A39377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eastAsia" w:eastAsia="方正仿宋_GBK" w:cs="Times New Roman"/>
                <w:b w:val="0"/>
                <w:bCs w:val="0"/>
                <w:sz w:val="24"/>
                <w:szCs w:val="24"/>
                <w:vertAlign w:val="baseline"/>
                <w:lang w:val="en-US" w:eastAsia="zh-CN"/>
              </w:rPr>
              <w:t>一年一次</w:t>
            </w:r>
          </w:p>
        </w:tc>
        <w:tc>
          <w:tcPr>
            <w:tcW w:w="1175" w:type="dxa"/>
            <w:noWrap w:val="0"/>
            <w:vAlign w:val="center"/>
          </w:tcPr>
          <w:p w14:paraId="1F178A1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p>
        </w:tc>
      </w:tr>
      <w:tr w14:paraId="0A1A2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3FE95D4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b w:val="0"/>
                <w:bCs w:val="0"/>
                <w:sz w:val="24"/>
                <w:szCs w:val="24"/>
                <w:vertAlign w:val="baseline"/>
                <w:lang w:val="en-US" w:eastAsia="zh-CN"/>
              </w:rPr>
            </w:pPr>
            <w:r>
              <w:rPr>
                <w:rFonts w:hint="eastAsia" w:eastAsia="方正仿宋_GBK" w:cs="Times New Roman"/>
                <w:sz w:val="24"/>
                <w:szCs w:val="24"/>
                <w:lang w:val="en-US" w:eastAsia="zh-CN"/>
              </w:rPr>
              <w:t>17</w:t>
            </w:r>
          </w:p>
        </w:tc>
        <w:tc>
          <w:tcPr>
            <w:tcW w:w="1012" w:type="dxa"/>
            <w:noWrap w:val="0"/>
            <w:vAlign w:val="center"/>
          </w:tcPr>
          <w:p w14:paraId="50A1B96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color w:val="auto"/>
                <w:sz w:val="24"/>
                <w:szCs w:val="24"/>
                <w:highlight w:val="none"/>
                <w:lang w:eastAsia="zh-CN"/>
              </w:rPr>
              <w:t>对</w:t>
            </w:r>
            <w:r>
              <w:rPr>
                <w:rFonts w:hint="default" w:ascii="Times New Roman" w:hAnsi="Times New Roman" w:eastAsia="方正仿宋_GBK" w:cs="Times New Roman"/>
                <w:color w:val="auto"/>
                <w:sz w:val="24"/>
                <w:szCs w:val="24"/>
                <w:highlight w:val="none"/>
              </w:rPr>
              <w:t>广播、电视、报刊、期刊等媒体的广告行为</w:t>
            </w:r>
            <w:r>
              <w:rPr>
                <w:rFonts w:hint="default" w:ascii="Times New Roman" w:hAnsi="Times New Roman" w:eastAsia="方正仿宋_GBK" w:cs="Times New Roman"/>
                <w:color w:val="auto"/>
                <w:sz w:val="24"/>
                <w:szCs w:val="24"/>
                <w:highlight w:val="none"/>
                <w:lang w:eastAsia="zh-CN"/>
              </w:rPr>
              <w:t>检查</w:t>
            </w:r>
          </w:p>
        </w:tc>
        <w:tc>
          <w:tcPr>
            <w:tcW w:w="873" w:type="dxa"/>
            <w:noWrap w:val="0"/>
            <w:vAlign w:val="center"/>
          </w:tcPr>
          <w:p w14:paraId="78C3503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eastAsia" w:ascii="Times New Roman" w:hAnsi="Times New Roman" w:eastAsia="方正仿宋_GBK" w:cs="Times New Roman"/>
                <w:b w:val="0"/>
                <w:bCs w:val="0"/>
                <w:sz w:val="24"/>
                <w:szCs w:val="24"/>
                <w:vertAlign w:val="baseline"/>
                <w:lang w:val="en-US" w:eastAsia="zh-CN"/>
              </w:rPr>
            </w:pPr>
            <w:r>
              <w:rPr>
                <w:rFonts w:hint="eastAsia" w:eastAsia="方正仿宋_GBK" w:cs="Times New Roman"/>
                <w:sz w:val="24"/>
                <w:szCs w:val="24"/>
                <w:lang w:eastAsia="zh-CN"/>
              </w:rPr>
              <w:t>安化县市场监督管理局</w:t>
            </w:r>
          </w:p>
        </w:tc>
        <w:tc>
          <w:tcPr>
            <w:tcW w:w="5268" w:type="dxa"/>
            <w:noWrap w:val="0"/>
            <w:vAlign w:val="center"/>
          </w:tcPr>
          <w:p w14:paraId="656F3DC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color w:val="auto"/>
                <w:sz w:val="24"/>
                <w:szCs w:val="24"/>
                <w:highlight w:val="none"/>
              </w:rPr>
              <w:t>《广告法》第</w:t>
            </w:r>
            <w:r>
              <w:rPr>
                <w:rFonts w:hint="default" w:ascii="Times New Roman" w:hAnsi="Times New Roman" w:eastAsia="方正仿宋_GBK" w:cs="Times New Roman"/>
                <w:color w:val="auto"/>
                <w:sz w:val="24"/>
                <w:szCs w:val="24"/>
                <w:highlight w:val="none"/>
                <w:lang w:eastAsia="zh-CN"/>
              </w:rPr>
              <w:t>五</w:t>
            </w:r>
            <w:r>
              <w:rPr>
                <w:rFonts w:hint="default" w:ascii="Times New Roman" w:hAnsi="Times New Roman" w:eastAsia="方正仿宋_GBK" w:cs="Times New Roman"/>
                <w:color w:val="auto"/>
                <w:sz w:val="24"/>
                <w:szCs w:val="24"/>
                <w:highlight w:val="none"/>
              </w:rPr>
              <w:t>条、第六条</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第二十九条、第</w:t>
            </w:r>
            <w:r>
              <w:rPr>
                <w:rFonts w:hint="default" w:ascii="Times New Roman" w:hAnsi="Times New Roman" w:eastAsia="方正仿宋_GBK" w:cs="Times New Roman"/>
                <w:color w:val="auto"/>
                <w:sz w:val="24"/>
                <w:szCs w:val="24"/>
                <w:highlight w:val="none"/>
                <w:lang w:eastAsia="zh-CN"/>
              </w:rPr>
              <w:t>三</w:t>
            </w:r>
            <w:r>
              <w:rPr>
                <w:rFonts w:hint="default" w:ascii="Times New Roman" w:hAnsi="Times New Roman" w:eastAsia="方正仿宋_GBK" w:cs="Times New Roman"/>
                <w:color w:val="auto"/>
                <w:sz w:val="24"/>
                <w:szCs w:val="24"/>
                <w:highlight w:val="none"/>
              </w:rPr>
              <w:t>十条</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第四十九条</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第</w:t>
            </w:r>
            <w:r>
              <w:rPr>
                <w:rFonts w:hint="default" w:ascii="Times New Roman" w:hAnsi="Times New Roman" w:eastAsia="方正仿宋_GBK" w:cs="Times New Roman"/>
                <w:color w:val="auto"/>
                <w:sz w:val="24"/>
                <w:szCs w:val="24"/>
                <w:highlight w:val="none"/>
                <w:lang w:eastAsia="zh-CN"/>
              </w:rPr>
              <w:t>五</w:t>
            </w:r>
            <w:r>
              <w:rPr>
                <w:rFonts w:hint="default" w:ascii="Times New Roman" w:hAnsi="Times New Roman" w:eastAsia="方正仿宋_GBK" w:cs="Times New Roman"/>
                <w:color w:val="auto"/>
                <w:sz w:val="24"/>
                <w:szCs w:val="24"/>
                <w:highlight w:val="none"/>
              </w:rPr>
              <w:t>十</w:t>
            </w:r>
            <w:r>
              <w:rPr>
                <w:rFonts w:hint="default" w:ascii="Times New Roman" w:hAnsi="Times New Roman" w:eastAsia="方正仿宋_GBK" w:cs="Times New Roman"/>
                <w:color w:val="auto"/>
                <w:sz w:val="24"/>
                <w:szCs w:val="24"/>
                <w:highlight w:val="none"/>
                <w:lang w:eastAsia="zh-CN"/>
              </w:rPr>
              <w:t>一</w:t>
            </w:r>
            <w:r>
              <w:rPr>
                <w:rFonts w:hint="default" w:ascii="Times New Roman" w:hAnsi="Times New Roman" w:eastAsia="方正仿宋_GBK" w:cs="Times New Roman"/>
                <w:color w:val="auto"/>
                <w:sz w:val="24"/>
                <w:szCs w:val="24"/>
                <w:highlight w:val="none"/>
              </w:rPr>
              <w:t>条</w:t>
            </w:r>
          </w:p>
        </w:tc>
        <w:tc>
          <w:tcPr>
            <w:tcW w:w="983" w:type="dxa"/>
            <w:noWrap w:val="0"/>
            <w:vAlign w:val="center"/>
          </w:tcPr>
          <w:p w14:paraId="720ACD1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sz w:val="24"/>
                <w:szCs w:val="24"/>
                <w:lang w:eastAsia="zh-CN"/>
              </w:rPr>
              <w:t>广告</w:t>
            </w:r>
            <w:r>
              <w:rPr>
                <w:rFonts w:hint="eastAsia" w:eastAsia="方正仿宋_GBK" w:cs="Times New Roman"/>
                <w:sz w:val="24"/>
                <w:szCs w:val="24"/>
                <w:lang w:eastAsia="zh-CN"/>
              </w:rPr>
              <w:t>股</w:t>
            </w:r>
          </w:p>
        </w:tc>
        <w:tc>
          <w:tcPr>
            <w:tcW w:w="1000" w:type="dxa"/>
            <w:noWrap w:val="0"/>
            <w:vAlign w:val="center"/>
          </w:tcPr>
          <w:p w14:paraId="65DB48E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sz w:val="24"/>
                <w:szCs w:val="24"/>
              </w:rPr>
              <w:t>企业、个体工商户及</w:t>
            </w:r>
            <w:r>
              <w:rPr>
                <w:rFonts w:hint="default" w:ascii="Times New Roman" w:hAnsi="Times New Roman" w:eastAsia="方正仿宋_GBK" w:cs="Times New Roman"/>
                <w:sz w:val="24"/>
                <w:szCs w:val="24"/>
                <w:lang w:eastAsia="zh-CN"/>
              </w:rPr>
              <w:t>其他</w:t>
            </w:r>
            <w:r>
              <w:rPr>
                <w:rFonts w:hint="default" w:ascii="Times New Roman" w:hAnsi="Times New Roman" w:eastAsia="方正仿宋_GBK" w:cs="Times New Roman"/>
                <w:sz w:val="24"/>
                <w:szCs w:val="24"/>
              </w:rPr>
              <w:t>经营单位</w:t>
            </w:r>
          </w:p>
        </w:tc>
        <w:tc>
          <w:tcPr>
            <w:tcW w:w="3833" w:type="dxa"/>
            <w:noWrap w:val="0"/>
            <w:vAlign w:val="center"/>
          </w:tcPr>
          <w:p w14:paraId="7C3A2D0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1.</w:t>
            </w:r>
            <w:r>
              <w:rPr>
                <w:rFonts w:hint="default" w:ascii="Times New Roman" w:hAnsi="Times New Roman" w:eastAsia="方正仿宋_GBK" w:cs="Times New Roman"/>
                <w:sz w:val="24"/>
                <w:szCs w:val="24"/>
              </w:rPr>
              <w:t>检查广告</w:t>
            </w:r>
            <w:r>
              <w:rPr>
                <w:rFonts w:hint="default" w:ascii="Times New Roman" w:hAnsi="Times New Roman" w:eastAsia="方正仿宋_GBK" w:cs="Times New Roman"/>
                <w:sz w:val="24"/>
                <w:szCs w:val="24"/>
                <w:lang w:eastAsia="zh-CN"/>
              </w:rPr>
              <w:t>媒体</w:t>
            </w:r>
            <w:r>
              <w:rPr>
                <w:rFonts w:hint="default" w:ascii="Times New Roman" w:hAnsi="Times New Roman" w:eastAsia="方正仿宋_GBK" w:cs="Times New Roman"/>
                <w:sz w:val="24"/>
                <w:szCs w:val="24"/>
              </w:rPr>
              <w:t>单位是否违反《广告法》</w:t>
            </w:r>
            <w:r>
              <w:rPr>
                <w:rFonts w:hint="default" w:ascii="Times New Roman" w:hAnsi="Times New Roman" w:eastAsia="方正仿宋_GBK" w:cs="Times New Roman"/>
                <w:sz w:val="24"/>
                <w:szCs w:val="24"/>
                <w:lang w:eastAsia="zh-CN"/>
              </w:rPr>
              <w:t>等法律法规</w:t>
            </w:r>
            <w:r>
              <w:rPr>
                <w:rFonts w:hint="default" w:ascii="Times New Roman" w:hAnsi="Times New Roman" w:eastAsia="方正仿宋_GBK" w:cs="Times New Roman"/>
                <w:sz w:val="24"/>
                <w:szCs w:val="24"/>
              </w:rPr>
              <w:t>涉嫌发布虚假违法广告；</w:t>
            </w:r>
          </w:p>
          <w:p w14:paraId="69631F19">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sz w:val="24"/>
                <w:szCs w:val="24"/>
                <w:lang w:val="en-US" w:eastAsia="zh-CN"/>
              </w:rPr>
              <w:t>2.</w:t>
            </w:r>
            <w:r>
              <w:rPr>
                <w:rFonts w:hint="default" w:ascii="Times New Roman" w:hAnsi="Times New Roman" w:eastAsia="方正仿宋_GBK" w:cs="Times New Roman"/>
                <w:sz w:val="24"/>
                <w:szCs w:val="24"/>
              </w:rPr>
              <w:t>检查广告</w:t>
            </w:r>
            <w:r>
              <w:rPr>
                <w:rFonts w:hint="default" w:ascii="Times New Roman" w:hAnsi="Times New Roman" w:eastAsia="方正仿宋_GBK" w:cs="Times New Roman"/>
                <w:sz w:val="24"/>
                <w:szCs w:val="24"/>
                <w:lang w:eastAsia="zh-CN"/>
              </w:rPr>
              <w:t>媒体</w:t>
            </w:r>
            <w:r>
              <w:rPr>
                <w:rFonts w:hint="default" w:ascii="Times New Roman" w:hAnsi="Times New Roman" w:eastAsia="方正仿宋_GBK" w:cs="Times New Roman"/>
                <w:sz w:val="24"/>
                <w:szCs w:val="24"/>
              </w:rPr>
              <w:t>单位是否建立、健全广告业务的承接登记、审核、档案管理等制度。</w:t>
            </w:r>
          </w:p>
        </w:tc>
        <w:tc>
          <w:tcPr>
            <w:tcW w:w="650" w:type="dxa"/>
            <w:noWrap w:val="0"/>
            <w:vAlign w:val="center"/>
          </w:tcPr>
          <w:p w14:paraId="143569A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sz w:val="24"/>
                <w:szCs w:val="24"/>
                <w:lang w:eastAsia="zh-CN"/>
              </w:rPr>
              <w:t>现场检查</w:t>
            </w:r>
          </w:p>
        </w:tc>
        <w:tc>
          <w:tcPr>
            <w:tcW w:w="650" w:type="dxa"/>
            <w:shd w:val="clear" w:color="auto" w:fill="auto"/>
            <w:noWrap w:val="0"/>
            <w:vAlign w:val="center"/>
          </w:tcPr>
          <w:p w14:paraId="63E2F5C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3D033AF8">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p>
        </w:tc>
      </w:tr>
      <w:tr w14:paraId="4E68A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57E5EA74">
            <w:pPr>
              <w:pStyle w:val="9"/>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rPr>
            </w:pPr>
            <w:r>
              <w:rPr>
                <w:rFonts w:hint="eastAsia" w:eastAsia="方正仿宋_GBK" w:cs="Times New Roman"/>
                <w:sz w:val="24"/>
                <w:szCs w:val="24"/>
                <w:lang w:val="en-US" w:eastAsia="zh-CN"/>
              </w:rPr>
              <w:t>18</w:t>
            </w:r>
          </w:p>
        </w:tc>
        <w:tc>
          <w:tcPr>
            <w:tcW w:w="1012" w:type="dxa"/>
            <w:noWrap w:val="0"/>
            <w:vAlign w:val="center"/>
          </w:tcPr>
          <w:p w14:paraId="65E08C6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对</w:t>
            </w:r>
            <w:r>
              <w:rPr>
                <w:rFonts w:hint="default" w:ascii="Times New Roman" w:hAnsi="Times New Roman" w:eastAsia="方正仿宋_GBK" w:cs="Times New Roman"/>
                <w:sz w:val="24"/>
                <w:szCs w:val="24"/>
              </w:rPr>
              <w:t>广告经营者、广告发布者的广告业务承接登记、审核、档案管理、统计报表，广告设计、制作、代理、发布等广告行为检查</w:t>
            </w:r>
          </w:p>
        </w:tc>
        <w:tc>
          <w:tcPr>
            <w:tcW w:w="873" w:type="dxa"/>
            <w:shd w:val="clear" w:color="auto" w:fill="auto"/>
            <w:noWrap w:val="0"/>
            <w:vAlign w:val="center"/>
          </w:tcPr>
          <w:p w14:paraId="7453FFF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安化县市场监督管理局</w:t>
            </w:r>
          </w:p>
        </w:tc>
        <w:tc>
          <w:tcPr>
            <w:tcW w:w="5268" w:type="dxa"/>
            <w:noWrap w:val="0"/>
            <w:vAlign w:val="center"/>
          </w:tcPr>
          <w:p w14:paraId="0C06FCA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color w:val="auto"/>
                <w:sz w:val="24"/>
                <w:szCs w:val="24"/>
                <w:highlight w:val="none"/>
              </w:rPr>
              <w:t>《广告法》第</w:t>
            </w:r>
            <w:r>
              <w:rPr>
                <w:rFonts w:hint="default" w:ascii="Times New Roman" w:hAnsi="Times New Roman" w:eastAsia="方正仿宋_GBK" w:cs="Times New Roman"/>
                <w:color w:val="auto"/>
                <w:sz w:val="24"/>
                <w:szCs w:val="24"/>
                <w:highlight w:val="none"/>
                <w:lang w:eastAsia="zh-CN"/>
              </w:rPr>
              <w:t>五</w:t>
            </w:r>
            <w:r>
              <w:rPr>
                <w:rFonts w:hint="default" w:ascii="Times New Roman" w:hAnsi="Times New Roman" w:eastAsia="方正仿宋_GBK" w:cs="Times New Roman"/>
                <w:color w:val="auto"/>
                <w:sz w:val="24"/>
                <w:szCs w:val="24"/>
                <w:highlight w:val="none"/>
              </w:rPr>
              <w:t>条、第六条</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第四十九条</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第</w:t>
            </w:r>
            <w:r>
              <w:rPr>
                <w:rFonts w:hint="default" w:ascii="Times New Roman" w:hAnsi="Times New Roman" w:eastAsia="方正仿宋_GBK" w:cs="Times New Roman"/>
                <w:color w:val="auto"/>
                <w:sz w:val="24"/>
                <w:szCs w:val="24"/>
                <w:highlight w:val="none"/>
                <w:lang w:eastAsia="zh-CN"/>
              </w:rPr>
              <w:t>五</w:t>
            </w:r>
            <w:r>
              <w:rPr>
                <w:rFonts w:hint="default" w:ascii="Times New Roman" w:hAnsi="Times New Roman" w:eastAsia="方正仿宋_GBK" w:cs="Times New Roman"/>
                <w:color w:val="auto"/>
                <w:sz w:val="24"/>
                <w:szCs w:val="24"/>
                <w:highlight w:val="none"/>
              </w:rPr>
              <w:t>十</w:t>
            </w:r>
            <w:r>
              <w:rPr>
                <w:rFonts w:hint="default" w:ascii="Times New Roman" w:hAnsi="Times New Roman" w:eastAsia="方正仿宋_GBK" w:cs="Times New Roman"/>
                <w:color w:val="auto"/>
                <w:sz w:val="24"/>
                <w:szCs w:val="24"/>
                <w:highlight w:val="none"/>
                <w:lang w:eastAsia="zh-CN"/>
              </w:rPr>
              <w:t>一</w:t>
            </w:r>
            <w:r>
              <w:rPr>
                <w:rFonts w:hint="default" w:ascii="Times New Roman" w:hAnsi="Times New Roman" w:eastAsia="方正仿宋_GBK" w:cs="Times New Roman"/>
                <w:color w:val="auto"/>
                <w:sz w:val="24"/>
                <w:szCs w:val="24"/>
                <w:highlight w:val="none"/>
              </w:rPr>
              <w:t>条</w:t>
            </w:r>
          </w:p>
        </w:tc>
        <w:tc>
          <w:tcPr>
            <w:tcW w:w="983" w:type="dxa"/>
            <w:noWrap w:val="0"/>
            <w:vAlign w:val="center"/>
          </w:tcPr>
          <w:p w14:paraId="49173FB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sz w:val="24"/>
                <w:szCs w:val="24"/>
                <w:lang w:eastAsia="zh-CN"/>
              </w:rPr>
              <w:t>广告</w:t>
            </w:r>
            <w:r>
              <w:rPr>
                <w:rFonts w:hint="eastAsia" w:eastAsia="方正仿宋_GBK" w:cs="Times New Roman"/>
                <w:sz w:val="24"/>
                <w:szCs w:val="24"/>
                <w:lang w:eastAsia="zh-CN"/>
              </w:rPr>
              <w:t>股</w:t>
            </w:r>
          </w:p>
        </w:tc>
        <w:tc>
          <w:tcPr>
            <w:tcW w:w="1000" w:type="dxa"/>
            <w:noWrap w:val="0"/>
            <w:vAlign w:val="center"/>
          </w:tcPr>
          <w:p w14:paraId="3BAFDEA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企业、个体工商户及</w:t>
            </w:r>
            <w:r>
              <w:rPr>
                <w:rFonts w:hint="default" w:ascii="Times New Roman" w:hAnsi="Times New Roman" w:eastAsia="方正仿宋_GBK" w:cs="Times New Roman"/>
                <w:sz w:val="24"/>
                <w:szCs w:val="24"/>
                <w:lang w:eastAsia="zh-CN"/>
              </w:rPr>
              <w:t>其他</w:t>
            </w:r>
            <w:r>
              <w:rPr>
                <w:rFonts w:hint="default" w:ascii="Times New Roman" w:hAnsi="Times New Roman" w:eastAsia="方正仿宋_GBK" w:cs="Times New Roman"/>
                <w:sz w:val="24"/>
                <w:szCs w:val="24"/>
              </w:rPr>
              <w:t>经营单位</w:t>
            </w:r>
          </w:p>
        </w:tc>
        <w:tc>
          <w:tcPr>
            <w:tcW w:w="3833" w:type="dxa"/>
            <w:noWrap w:val="0"/>
            <w:vAlign w:val="center"/>
          </w:tcPr>
          <w:p w14:paraId="769821B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1.检查广告经营者、广告发布者是否违反《广告法》等法律法规涉嫌发布虚假违法广告；</w:t>
            </w:r>
          </w:p>
          <w:p w14:paraId="6DBA79C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textAlignment w:val="auto"/>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sz w:val="24"/>
                <w:szCs w:val="24"/>
                <w:lang w:val="en-US" w:eastAsia="zh-CN"/>
              </w:rPr>
              <w:t>2.检查广告经营单位是否建立、健全广告业务的承接登记、审核、档案管理等制度。</w:t>
            </w:r>
          </w:p>
        </w:tc>
        <w:tc>
          <w:tcPr>
            <w:tcW w:w="650" w:type="dxa"/>
            <w:noWrap w:val="0"/>
            <w:vAlign w:val="center"/>
          </w:tcPr>
          <w:p w14:paraId="160289E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现场检查</w:t>
            </w:r>
          </w:p>
        </w:tc>
        <w:tc>
          <w:tcPr>
            <w:tcW w:w="650" w:type="dxa"/>
            <w:shd w:val="clear" w:color="auto" w:fill="auto"/>
            <w:noWrap w:val="0"/>
            <w:vAlign w:val="center"/>
          </w:tcPr>
          <w:p w14:paraId="759C57E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7968ED0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p>
        </w:tc>
      </w:tr>
      <w:tr w14:paraId="37201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78B2B28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19</w:t>
            </w:r>
          </w:p>
        </w:tc>
        <w:tc>
          <w:tcPr>
            <w:tcW w:w="1012" w:type="dxa"/>
            <w:noWrap w:val="0"/>
            <w:vAlign w:val="center"/>
          </w:tcPr>
          <w:p w14:paraId="290A7A4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i w:val="0"/>
                <w:color w:val="auto"/>
                <w:kern w:val="0"/>
                <w:sz w:val="24"/>
                <w:szCs w:val="24"/>
                <w:u w:val="none"/>
                <w:lang w:val="en-US" w:eastAsia="zh-CN" w:bidi="ar"/>
              </w:rPr>
              <w:t>对产品质量的监督检查</w:t>
            </w:r>
          </w:p>
        </w:tc>
        <w:tc>
          <w:tcPr>
            <w:tcW w:w="873" w:type="dxa"/>
            <w:shd w:val="clear" w:color="auto" w:fill="auto"/>
            <w:noWrap w:val="0"/>
            <w:vAlign w:val="center"/>
          </w:tcPr>
          <w:p w14:paraId="48579DF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b w:val="0"/>
                <w:bCs w:val="0"/>
                <w:kern w:val="2"/>
                <w:sz w:val="24"/>
                <w:szCs w:val="24"/>
                <w:vertAlign w:val="baseline"/>
                <w:lang w:val="en-US" w:eastAsia="zh-CN" w:bidi="ar-SA"/>
              </w:rPr>
            </w:pPr>
            <w:r>
              <w:rPr>
                <w:rFonts w:hint="eastAsia" w:eastAsia="方正仿宋_GBK" w:cs="Times New Roman"/>
                <w:sz w:val="24"/>
                <w:szCs w:val="24"/>
                <w:lang w:eastAsia="zh-CN"/>
              </w:rPr>
              <w:t>安化县市场监督管理局</w:t>
            </w:r>
          </w:p>
        </w:tc>
        <w:tc>
          <w:tcPr>
            <w:tcW w:w="5268" w:type="dxa"/>
            <w:noWrap w:val="0"/>
            <w:vAlign w:val="center"/>
          </w:tcPr>
          <w:p w14:paraId="1CC8E6C3">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b w:val="0"/>
                <w:bCs/>
                <w:i w:val="0"/>
                <w:color w:val="auto"/>
                <w:kern w:val="0"/>
                <w:sz w:val="24"/>
                <w:szCs w:val="24"/>
                <w:u w:val="none"/>
                <w:lang w:val="en-US" w:eastAsia="zh-CN" w:bidi="ar"/>
              </w:rPr>
              <w:t>《中华人民共和国产品质量法》</w:t>
            </w:r>
            <w:r>
              <w:rPr>
                <w:rFonts w:hint="default" w:ascii="Times New Roman" w:hAnsi="Times New Roman" w:eastAsia="方正仿宋_GBK" w:cs="Times New Roman"/>
                <w:b w:val="0"/>
                <w:bCs/>
                <w:i w:val="0"/>
                <w:color w:val="auto"/>
                <w:kern w:val="0"/>
                <w:sz w:val="24"/>
                <w:szCs w:val="24"/>
                <w:u w:val="none"/>
                <w:lang w:val="en-US" w:eastAsia="zh-CN" w:bidi="ar"/>
              </w:rPr>
              <w:br w:type="textWrapping"/>
            </w:r>
            <w:r>
              <w:rPr>
                <w:rFonts w:hint="default" w:ascii="Times New Roman" w:hAnsi="Times New Roman" w:eastAsia="方正仿宋_GBK" w:cs="Times New Roman"/>
                <w:b w:val="0"/>
                <w:bCs/>
                <w:i w:val="0"/>
                <w:color w:val="auto"/>
                <w:kern w:val="0"/>
                <w:sz w:val="24"/>
                <w:szCs w:val="24"/>
                <w:u w:val="none"/>
                <w:lang w:val="en-US" w:eastAsia="zh-CN" w:bidi="ar"/>
              </w:rPr>
              <w:t>第八条</w:t>
            </w:r>
            <w:r>
              <w:rPr>
                <w:rFonts w:hint="eastAsia" w:eastAsia="方正仿宋_GBK" w:cs="Times New Roman"/>
                <w:b w:val="0"/>
                <w:bCs/>
                <w:i w:val="0"/>
                <w:color w:val="auto"/>
                <w:kern w:val="0"/>
                <w:sz w:val="24"/>
                <w:szCs w:val="24"/>
                <w:u w:val="none"/>
                <w:lang w:val="en-US" w:eastAsia="zh-CN" w:bidi="ar"/>
              </w:rPr>
              <w:t xml:space="preserve">  </w:t>
            </w:r>
            <w:r>
              <w:rPr>
                <w:rFonts w:hint="default" w:ascii="Times New Roman" w:hAnsi="Times New Roman" w:eastAsia="方正仿宋_GBK" w:cs="Times New Roman"/>
                <w:b w:val="0"/>
                <w:bCs/>
                <w:i w:val="0"/>
                <w:color w:val="auto"/>
                <w:kern w:val="0"/>
                <w:sz w:val="24"/>
                <w:szCs w:val="24"/>
                <w:u w:val="none"/>
                <w:lang w:val="en-US" w:eastAsia="zh-CN" w:bidi="ar"/>
              </w:rPr>
              <w:t>县级以上地方市场监督管理部门主管本行政区域内的产品质量监督工作。县级以上地方人民政府有关部门在各自的职责范围内负责产品质量监督工作。</w:t>
            </w:r>
            <w:r>
              <w:rPr>
                <w:rFonts w:hint="default" w:ascii="Times New Roman" w:hAnsi="Times New Roman" w:eastAsia="方正仿宋_GBK" w:cs="Times New Roman"/>
                <w:b w:val="0"/>
                <w:bCs/>
                <w:i w:val="0"/>
                <w:color w:val="auto"/>
                <w:kern w:val="0"/>
                <w:sz w:val="24"/>
                <w:szCs w:val="24"/>
                <w:u w:val="none"/>
                <w:lang w:val="en-US" w:eastAsia="zh-CN" w:bidi="ar"/>
              </w:rPr>
              <w:br w:type="textWrapping"/>
            </w:r>
            <w:r>
              <w:rPr>
                <w:rFonts w:hint="default" w:ascii="Times New Roman" w:hAnsi="Times New Roman" w:eastAsia="方正仿宋_GBK" w:cs="Times New Roman"/>
                <w:b w:val="0"/>
                <w:bCs/>
                <w:i w:val="0"/>
                <w:color w:val="auto"/>
                <w:kern w:val="0"/>
                <w:sz w:val="24"/>
                <w:szCs w:val="24"/>
                <w:u w:val="none"/>
                <w:lang w:val="en-US" w:eastAsia="zh-CN" w:bidi="ar"/>
              </w:rPr>
              <w:t>《工业产品生产单位落实质量安全主体责任监督管理规定》</w:t>
            </w:r>
            <w:r>
              <w:rPr>
                <w:rFonts w:hint="default" w:ascii="Times New Roman" w:hAnsi="Times New Roman" w:eastAsia="方正仿宋_GBK" w:cs="Times New Roman"/>
                <w:b w:val="0"/>
                <w:bCs/>
                <w:i w:val="0"/>
                <w:color w:val="auto"/>
                <w:kern w:val="0"/>
                <w:sz w:val="24"/>
                <w:szCs w:val="24"/>
                <w:u w:val="none"/>
                <w:lang w:val="en-US" w:eastAsia="zh-CN" w:bidi="ar"/>
              </w:rPr>
              <w:br w:type="textWrapping"/>
            </w:r>
            <w:r>
              <w:rPr>
                <w:rFonts w:hint="default" w:ascii="Times New Roman" w:hAnsi="Times New Roman" w:eastAsia="方正仿宋_GBK" w:cs="Times New Roman"/>
                <w:b w:val="0"/>
                <w:bCs/>
                <w:i w:val="0"/>
                <w:color w:val="auto"/>
                <w:kern w:val="0"/>
                <w:sz w:val="24"/>
                <w:szCs w:val="24"/>
                <w:u w:val="none"/>
                <w:lang w:val="en-US" w:eastAsia="zh-CN" w:bidi="ar"/>
              </w:rPr>
              <w:t>第十四条</w:t>
            </w:r>
            <w:r>
              <w:rPr>
                <w:rFonts w:hint="eastAsia" w:eastAsia="方正仿宋_GBK" w:cs="Times New Roman"/>
                <w:b w:val="0"/>
                <w:bCs/>
                <w:i w:val="0"/>
                <w:color w:val="auto"/>
                <w:kern w:val="0"/>
                <w:sz w:val="24"/>
                <w:szCs w:val="24"/>
                <w:u w:val="none"/>
                <w:lang w:val="en-US" w:eastAsia="zh-CN" w:bidi="ar"/>
              </w:rPr>
              <w:t xml:space="preserve">  </w:t>
            </w:r>
            <w:r>
              <w:rPr>
                <w:rFonts w:hint="default" w:ascii="Times New Roman" w:hAnsi="Times New Roman" w:eastAsia="方正仿宋_GBK" w:cs="Times New Roman"/>
                <w:b w:val="0"/>
                <w:bCs/>
                <w:i w:val="0"/>
                <w:color w:val="auto"/>
                <w:kern w:val="0"/>
                <w:sz w:val="24"/>
                <w:szCs w:val="24"/>
                <w:u w:val="none"/>
                <w:lang w:val="en-US" w:eastAsia="zh-CN" w:bidi="ar"/>
              </w:rPr>
              <w:t>市场监督管理部门应当将生产单位建立并落实工业产品质量安全责任制等管理制度,生产单位在日管控、周排查、月调度中发现的工业产品质量安全风险隐患以及整改情况作为监督检查的重要内容。</w:t>
            </w:r>
            <w:r>
              <w:rPr>
                <w:rFonts w:hint="default" w:ascii="Times New Roman" w:hAnsi="Times New Roman" w:eastAsia="方正仿宋_GBK" w:cs="Times New Roman"/>
                <w:b w:val="0"/>
                <w:bCs/>
                <w:i w:val="0"/>
                <w:color w:val="auto"/>
                <w:kern w:val="0"/>
                <w:sz w:val="24"/>
                <w:szCs w:val="24"/>
                <w:u w:val="none"/>
                <w:lang w:val="en-US" w:eastAsia="zh-CN" w:bidi="ar"/>
              </w:rPr>
              <w:br w:type="textWrapping"/>
            </w:r>
            <w:r>
              <w:rPr>
                <w:rFonts w:hint="default" w:ascii="Times New Roman" w:hAnsi="Times New Roman" w:eastAsia="方正仿宋_GBK" w:cs="Times New Roman"/>
                <w:b w:val="0"/>
                <w:bCs/>
                <w:i w:val="0"/>
                <w:color w:val="auto"/>
                <w:kern w:val="0"/>
                <w:sz w:val="24"/>
                <w:szCs w:val="24"/>
                <w:u w:val="none"/>
                <w:lang w:val="en-US" w:eastAsia="zh-CN" w:bidi="ar"/>
              </w:rPr>
              <w:t>《工业产品销售单位落实质量安全主体责任监督管理规定》</w:t>
            </w:r>
            <w:r>
              <w:rPr>
                <w:rFonts w:hint="default" w:ascii="Times New Roman" w:hAnsi="Times New Roman" w:eastAsia="方正仿宋_GBK" w:cs="Times New Roman"/>
                <w:b w:val="0"/>
                <w:bCs/>
                <w:i w:val="0"/>
                <w:color w:val="auto"/>
                <w:kern w:val="0"/>
                <w:sz w:val="24"/>
                <w:szCs w:val="24"/>
                <w:u w:val="none"/>
                <w:lang w:val="en-US" w:eastAsia="zh-CN" w:bidi="ar"/>
              </w:rPr>
              <w:br w:type="textWrapping"/>
            </w:r>
            <w:r>
              <w:rPr>
                <w:rFonts w:hint="default" w:ascii="Times New Roman" w:hAnsi="Times New Roman" w:eastAsia="方正仿宋_GBK" w:cs="Times New Roman"/>
                <w:b w:val="0"/>
                <w:bCs/>
                <w:i w:val="0"/>
                <w:color w:val="auto"/>
                <w:kern w:val="0"/>
                <w:sz w:val="24"/>
                <w:szCs w:val="24"/>
                <w:u w:val="none"/>
                <w:lang w:val="en-US" w:eastAsia="zh-CN" w:bidi="ar"/>
              </w:rPr>
              <w:t>第十四条</w:t>
            </w:r>
            <w:r>
              <w:rPr>
                <w:rFonts w:hint="eastAsia" w:eastAsia="方正仿宋_GBK" w:cs="Times New Roman"/>
                <w:b w:val="0"/>
                <w:bCs/>
                <w:i w:val="0"/>
                <w:color w:val="auto"/>
                <w:kern w:val="0"/>
                <w:sz w:val="24"/>
                <w:szCs w:val="24"/>
                <w:u w:val="none"/>
                <w:lang w:val="en-US" w:eastAsia="zh-CN" w:bidi="ar"/>
              </w:rPr>
              <w:t xml:space="preserve">  </w:t>
            </w:r>
            <w:r>
              <w:rPr>
                <w:rFonts w:hint="default" w:ascii="Times New Roman" w:hAnsi="Times New Roman" w:eastAsia="方正仿宋_GBK" w:cs="Times New Roman"/>
                <w:b w:val="0"/>
                <w:bCs/>
                <w:i w:val="0"/>
                <w:color w:val="auto"/>
                <w:kern w:val="0"/>
                <w:sz w:val="24"/>
                <w:szCs w:val="24"/>
                <w:u w:val="none"/>
                <w:lang w:val="en-US" w:eastAsia="zh-CN" w:bidi="ar"/>
              </w:rPr>
              <w:t>市场监督管理部门应当将销售单位建立并落实工业产品质量安全责任制等管理制度,生产单位在日管控、周排查、月调度中发现的工业产品质量安全风险隐患以及整改情况作为监督检查的重要内容。</w:t>
            </w:r>
          </w:p>
        </w:tc>
        <w:tc>
          <w:tcPr>
            <w:tcW w:w="983" w:type="dxa"/>
            <w:noWrap w:val="0"/>
            <w:vAlign w:val="center"/>
          </w:tcPr>
          <w:p w14:paraId="32FB5DC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color w:val="auto"/>
                <w:sz w:val="24"/>
                <w:szCs w:val="24"/>
                <w:highlight w:val="none"/>
                <w:lang w:eastAsia="zh-CN"/>
              </w:rPr>
            </w:pPr>
            <w:r>
              <w:rPr>
                <w:rFonts w:hint="eastAsia" w:eastAsia="方正仿宋_GBK" w:cs="Times New Roman"/>
                <w:color w:val="auto"/>
                <w:sz w:val="24"/>
                <w:szCs w:val="24"/>
                <w:highlight w:val="none"/>
                <w:lang w:eastAsia="zh-CN"/>
              </w:rPr>
              <w:t>产品质量与认证认可股</w:t>
            </w:r>
          </w:p>
        </w:tc>
        <w:tc>
          <w:tcPr>
            <w:tcW w:w="1000" w:type="dxa"/>
            <w:noWrap w:val="0"/>
            <w:vAlign w:val="center"/>
          </w:tcPr>
          <w:p w14:paraId="5E56120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i w:val="0"/>
                <w:color w:val="auto"/>
                <w:kern w:val="0"/>
                <w:sz w:val="24"/>
                <w:szCs w:val="24"/>
                <w:u w:val="none"/>
                <w:lang w:val="en-US" w:eastAsia="zh-CN" w:bidi="ar"/>
              </w:rPr>
              <w:t>工业产品生产企业和销售企业</w:t>
            </w:r>
          </w:p>
        </w:tc>
        <w:tc>
          <w:tcPr>
            <w:tcW w:w="3833" w:type="dxa"/>
            <w:noWrap w:val="0"/>
            <w:vAlign w:val="center"/>
          </w:tcPr>
          <w:p w14:paraId="02BF42D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i w:val="0"/>
                <w:color w:val="auto"/>
                <w:kern w:val="0"/>
                <w:sz w:val="24"/>
                <w:szCs w:val="24"/>
                <w:u w:val="none"/>
                <w:lang w:val="en-US" w:eastAsia="zh-CN" w:bidi="ar"/>
              </w:rPr>
              <w:t>1</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建立健全产品质量管理制度情况检查；</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2</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产品质量情况检查；</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3</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产品标识情况检查；</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4</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落实质量安全主体责任情况检查。</w:t>
            </w:r>
          </w:p>
        </w:tc>
        <w:tc>
          <w:tcPr>
            <w:tcW w:w="650" w:type="dxa"/>
            <w:noWrap w:val="0"/>
            <w:vAlign w:val="center"/>
          </w:tcPr>
          <w:p w14:paraId="4DAF6EE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rPr>
            </w:pPr>
            <w:r>
              <w:rPr>
                <w:rFonts w:hint="eastAsia" w:eastAsia="方正仿宋_GBK" w:cs="Times New Roman"/>
                <w:i w:val="0"/>
                <w:color w:val="auto"/>
                <w:kern w:val="0"/>
                <w:sz w:val="24"/>
                <w:szCs w:val="24"/>
                <w:u w:val="none"/>
                <w:lang w:val="en-US" w:eastAsia="zh-CN" w:bidi="ar"/>
              </w:rPr>
              <w:t>现场检查</w:t>
            </w:r>
          </w:p>
        </w:tc>
        <w:tc>
          <w:tcPr>
            <w:tcW w:w="650" w:type="dxa"/>
            <w:shd w:val="clear" w:color="auto" w:fill="auto"/>
            <w:noWrap w:val="0"/>
            <w:vAlign w:val="center"/>
          </w:tcPr>
          <w:p w14:paraId="20C76FA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noWrap w:val="0"/>
            <w:vAlign w:val="center"/>
          </w:tcPr>
          <w:p w14:paraId="346B43B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auto"/>
                <w:kern w:val="0"/>
                <w:sz w:val="24"/>
                <w:szCs w:val="24"/>
                <w:u w:val="none"/>
                <w:lang w:val="en-US" w:eastAsia="zh-CN" w:bidi="ar"/>
              </w:rPr>
              <w:t>根据质量状况、上级要求、社会舆情、投诉举报等进行评估，可在辖区内组织开展专项监督检查工作</w:t>
            </w:r>
          </w:p>
        </w:tc>
      </w:tr>
      <w:tr w14:paraId="1879C8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38D1459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b w:val="0"/>
                <w:bCs w:val="0"/>
                <w:sz w:val="24"/>
                <w:szCs w:val="24"/>
                <w:vertAlign w:val="baseline"/>
                <w:lang w:val="en-US" w:eastAsia="zh-CN"/>
              </w:rPr>
            </w:pPr>
            <w:r>
              <w:rPr>
                <w:rFonts w:hint="eastAsia" w:eastAsia="方正仿宋_GBK" w:cs="Times New Roman"/>
                <w:color w:val="auto"/>
                <w:sz w:val="24"/>
                <w:szCs w:val="24"/>
                <w:lang w:val="en-US" w:eastAsia="zh-CN"/>
              </w:rPr>
              <w:t>20</w:t>
            </w:r>
          </w:p>
        </w:tc>
        <w:tc>
          <w:tcPr>
            <w:tcW w:w="1012" w:type="dxa"/>
            <w:noWrap w:val="0"/>
            <w:vAlign w:val="center"/>
          </w:tcPr>
          <w:p w14:paraId="2152682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i w:val="0"/>
                <w:color w:val="auto"/>
                <w:kern w:val="0"/>
                <w:sz w:val="24"/>
                <w:szCs w:val="24"/>
                <w:u w:val="none"/>
                <w:lang w:val="en-US" w:eastAsia="zh-CN" w:bidi="ar"/>
              </w:rPr>
              <w:t>对获得工业产品生产许可证企业的监督检查</w:t>
            </w:r>
          </w:p>
        </w:tc>
        <w:tc>
          <w:tcPr>
            <w:tcW w:w="873" w:type="dxa"/>
            <w:noWrap w:val="0"/>
            <w:vAlign w:val="center"/>
          </w:tcPr>
          <w:p w14:paraId="5EE7B1A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b w:val="0"/>
                <w:bCs w:val="0"/>
                <w:sz w:val="24"/>
                <w:szCs w:val="24"/>
                <w:vertAlign w:val="baseline"/>
                <w:lang w:val="en-US" w:eastAsia="zh-CN"/>
              </w:rPr>
            </w:pPr>
            <w:r>
              <w:rPr>
                <w:rFonts w:hint="eastAsia" w:eastAsia="方正仿宋_GBK" w:cs="Times New Roman"/>
                <w:sz w:val="24"/>
                <w:szCs w:val="24"/>
                <w:lang w:eastAsia="zh-CN"/>
              </w:rPr>
              <w:t>安化县市场监督管理局</w:t>
            </w:r>
          </w:p>
        </w:tc>
        <w:tc>
          <w:tcPr>
            <w:tcW w:w="5268" w:type="dxa"/>
            <w:noWrap w:val="0"/>
            <w:vAlign w:val="center"/>
          </w:tcPr>
          <w:p w14:paraId="0F92416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b w:val="0"/>
                <w:bCs/>
                <w:i w:val="0"/>
                <w:color w:val="auto"/>
                <w:kern w:val="0"/>
                <w:sz w:val="24"/>
                <w:szCs w:val="24"/>
                <w:u w:val="none"/>
                <w:lang w:val="en-US" w:eastAsia="zh-CN" w:bidi="ar"/>
              </w:rPr>
              <w:t>《中华人民共和国行政许可法》</w:t>
            </w:r>
            <w:r>
              <w:rPr>
                <w:rFonts w:hint="default" w:ascii="Times New Roman" w:hAnsi="Times New Roman" w:eastAsia="方正仿宋_GBK" w:cs="Times New Roman"/>
                <w:b w:val="0"/>
                <w:bCs/>
                <w:i w:val="0"/>
                <w:color w:val="auto"/>
                <w:kern w:val="0"/>
                <w:sz w:val="24"/>
                <w:szCs w:val="24"/>
                <w:u w:val="none"/>
                <w:lang w:val="en-US" w:eastAsia="zh-CN" w:bidi="ar"/>
              </w:rPr>
              <w:br w:type="textWrapping"/>
            </w:r>
            <w:r>
              <w:rPr>
                <w:rFonts w:hint="default" w:ascii="Times New Roman" w:hAnsi="Times New Roman" w:eastAsia="方正仿宋_GBK" w:cs="Times New Roman"/>
                <w:b w:val="0"/>
                <w:bCs/>
                <w:i w:val="0"/>
                <w:color w:val="auto"/>
                <w:kern w:val="0"/>
                <w:sz w:val="24"/>
                <w:szCs w:val="24"/>
                <w:u w:val="none"/>
                <w:lang w:val="en-US" w:eastAsia="zh-CN" w:bidi="ar"/>
              </w:rPr>
              <w:t>第六十一条</w:t>
            </w:r>
            <w:r>
              <w:rPr>
                <w:rFonts w:hint="eastAsia" w:eastAsia="方正仿宋_GBK" w:cs="Times New Roman"/>
                <w:b w:val="0"/>
                <w:bCs/>
                <w:i w:val="0"/>
                <w:color w:val="auto"/>
                <w:kern w:val="0"/>
                <w:sz w:val="24"/>
                <w:szCs w:val="24"/>
                <w:u w:val="none"/>
                <w:lang w:val="en-US" w:eastAsia="zh-CN" w:bidi="ar"/>
              </w:rPr>
              <w:t xml:space="preserve">  </w:t>
            </w:r>
            <w:r>
              <w:rPr>
                <w:rFonts w:hint="default" w:ascii="Times New Roman" w:hAnsi="Times New Roman" w:eastAsia="方正仿宋_GBK" w:cs="Times New Roman"/>
                <w:b w:val="0"/>
                <w:bCs/>
                <w:i w:val="0"/>
                <w:color w:val="auto"/>
                <w:kern w:val="0"/>
                <w:sz w:val="24"/>
                <w:szCs w:val="24"/>
                <w:u w:val="none"/>
                <w:lang w:val="en-US" w:eastAsia="zh-CN" w:bidi="ar"/>
              </w:rPr>
              <w:t>行政机关应当建立健全监督制度，通过核查反映被许可人从事行政许可事项活动情况的有关材料，履行监督责任。</w:t>
            </w:r>
            <w:r>
              <w:rPr>
                <w:rFonts w:hint="default" w:ascii="Times New Roman" w:hAnsi="Times New Roman" w:eastAsia="方正仿宋_GBK" w:cs="Times New Roman"/>
                <w:b w:val="0"/>
                <w:bCs/>
                <w:i w:val="0"/>
                <w:color w:val="auto"/>
                <w:kern w:val="0"/>
                <w:sz w:val="24"/>
                <w:szCs w:val="24"/>
                <w:u w:val="none"/>
                <w:lang w:val="en-US" w:eastAsia="zh-CN" w:bidi="ar"/>
              </w:rPr>
              <w:br w:type="textWrapping"/>
            </w:r>
            <w:r>
              <w:rPr>
                <w:rFonts w:hint="default" w:ascii="Times New Roman" w:hAnsi="Times New Roman" w:eastAsia="方正仿宋_GBK" w:cs="Times New Roman"/>
                <w:b w:val="0"/>
                <w:bCs/>
                <w:i w:val="0"/>
                <w:color w:val="auto"/>
                <w:kern w:val="0"/>
                <w:sz w:val="24"/>
                <w:szCs w:val="24"/>
                <w:u w:val="none"/>
                <w:lang w:val="en-US" w:eastAsia="zh-CN" w:bidi="ar"/>
              </w:rPr>
              <w:t>《中华人民共和国工业产品生产许可证管理条例》</w:t>
            </w:r>
            <w:r>
              <w:rPr>
                <w:rFonts w:hint="default" w:ascii="Times New Roman" w:hAnsi="Times New Roman" w:eastAsia="方正仿宋_GBK" w:cs="Times New Roman"/>
                <w:b w:val="0"/>
                <w:bCs/>
                <w:i w:val="0"/>
                <w:color w:val="auto"/>
                <w:kern w:val="0"/>
                <w:sz w:val="24"/>
                <w:szCs w:val="24"/>
                <w:u w:val="none"/>
                <w:lang w:val="en-US" w:eastAsia="zh-CN" w:bidi="ar"/>
              </w:rPr>
              <w:br w:type="textWrapping"/>
            </w:r>
            <w:r>
              <w:rPr>
                <w:rFonts w:hint="default" w:ascii="Times New Roman" w:hAnsi="Times New Roman" w:eastAsia="方正仿宋_GBK" w:cs="Times New Roman"/>
                <w:b w:val="0"/>
                <w:bCs/>
                <w:i w:val="0"/>
                <w:color w:val="auto"/>
                <w:kern w:val="0"/>
                <w:sz w:val="24"/>
                <w:szCs w:val="24"/>
                <w:u w:val="none"/>
                <w:lang w:val="en-US" w:eastAsia="zh-CN" w:bidi="ar"/>
              </w:rPr>
              <w:t>第三十六条</w:t>
            </w:r>
            <w:r>
              <w:rPr>
                <w:rFonts w:hint="eastAsia" w:eastAsia="方正仿宋_GBK" w:cs="Times New Roman"/>
                <w:b w:val="0"/>
                <w:bCs/>
                <w:i w:val="0"/>
                <w:color w:val="auto"/>
                <w:kern w:val="0"/>
                <w:sz w:val="24"/>
                <w:szCs w:val="24"/>
                <w:u w:val="none"/>
                <w:lang w:val="en-US" w:eastAsia="zh-CN" w:bidi="ar"/>
              </w:rPr>
              <w:t xml:space="preserve">  </w:t>
            </w:r>
            <w:r>
              <w:rPr>
                <w:rFonts w:hint="default" w:ascii="Times New Roman" w:hAnsi="Times New Roman" w:eastAsia="方正仿宋_GBK" w:cs="Times New Roman"/>
                <w:b w:val="0"/>
                <w:bCs/>
                <w:i w:val="0"/>
                <w:color w:val="auto"/>
                <w:kern w:val="0"/>
                <w:sz w:val="24"/>
                <w:szCs w:val="24"/>
                <w:u w:val="none"/>
                <w:lang w:val="en-US" w:eastAsia="zh-CN" w:bidi="ar"/>
              </w:rPr>
              <w:t>国务院工业产品生产许可证主管部门和县级以上地方工业产品生产许可证主管部门依照本条例规定负责对生产列入目录产品的企业以及核查人员、检验机构及其检验人员的相关活动进行监督检查。</w:t>
            </w:r>
            <w:r>
              <w:rPr>
                <w:rFonts w:hint="default" w:ascii="Times New Roman" w:hAnsi="Times New Roman" w:eastAsia="方正仿宋_GBK" w:cs="Times New Roman"/>
                <w:b w:val="0"/>
                <w:bCs/>
                <w:i w:val="0"/>
                <w:color w:val="auto"/>
                <w:kern w:val="0"/>
                <w:sz w:val="24"/>
                <w:szCs w:val="24"/>
                <w:u w:val="none"/>
                <w:lang w:val="en-US" w:eastAsia="zh-CN" w:bidi="ar"/>
              </w:rPr>
              <w:br w:type="textWrapping"/>
            </w:r>
            <w:r>
              <w:rPr>
                <w:rFonts w:hint="default" w:ascii="Times New Roman" w:hAnsi="Times New Roman" w:eastAsia="方正仿宋_GBK" w:cs="Times New Roman"/>
                <w:b w:val="0"/>
                <w:bCs/>
                <w:i w:val="0"/>
                <w:color w:val="auto"/>
                <w:kern w:val="0"/>
                <w:sz w:val="24"/>
                <w:szCs w:val="24"/>
                <w:u w:val="none"/>
                <w:lang w:val="en-US" w:eastAsia="zh-CN" w:bidi="ar"/>
              </w:rPr>
              <w:t>第三十九条</w:t>
            </w:r>
            <w:r>
              <w:rPr>
                <w:rFonts w:hint="eastAsia" w:eastAsia="方正仿宋_GBK" w:cs="Times New Roman"/>
                <w:b w:val="0"/>
                <w:bCs/>
                <w:i w:val="0"/>
                <w:color w:val="auto"/>
                <w:kern w:val="0"/>
                <w:sz w:val="24"/>
                <w:szCs w:val="24"/>
                <w:u w:val="none"/>
                <w:lang w:val="en-US" w:eastAsia="zh-CN" w:bidi="ar"/>
              </w:rPr>
              <w:t xml:space="preserve">  </w:t>
            </w:r>
            <w:r>
              <w:rPr>
                <w:rFonts w:hint="default" w:ascii="Times New Roman" w:hAnsi="Times New Roman" w:eastAsia="方正仿宋_GBK" w:cs="Times New Roman"/>
                <w:b w:val="0"/>
                <w:bCs/>
                <w:i w:val="0"/>
                <w:color w:val="auto"/>
                <w:kern w:val="0"/>
                <w:sz w:val="24"/>
                <w:szCs w:val="24"/>
                <w:u w:val="none"/>
                <w:lang w:val="en-US" w:eastAsia="zh-CN" w:bidi="ar"/>
              </w:rPr>
              <w:t>国务院工业产品生产许可证主管部门和县级以上地方工业产品生产许可证主管部门应当对企业实施定期或者不定期的监督检查。</w:t>
            </w:r>
          </w:p>
        </w:tc>
        <w:tc>
          <w:tcPr>
            <w:tcW w:w="983" w:type="dxa"/>
            <w:noWrap w:val="0"/>
            <w:vAlign w:val="center"/>
          </w:tcPr>
          <w:p w14:paraId="247D0BE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b w:val="0"/>
                <w:bCs w:val="0"/>
                <w:sz w:val="24"/>
                <w:szCs w:val="24"/>
                <w:vertAlign w:val="baseline"/>
                <w:lang w:val="en-US" w:eastAsia="zh-CN"/>
              </w:rPr>
            </w:pPr>
            <w:r>
              <w:rPr>
                <w:rFonts w:hint="eastAsia" w:eastAsia="方正仿宋_GBK" w:cs="Times New Roman"/>
                <w:color w:val="auto"/>
                <w:sz w:val="24"/>
                <w:szCs w:val="24"/>
                <w:highlight w:val="none"/>
                <w:lang w:eastAsia="zh-CN"/>
              </w:rPr>
              <w:t>产品质量与认证认可股</w:t>
            </w:r>
          </w:p>
        </w:tc>
        <w:tc>
          <w:tcPr>
            <w:tcW w:w="1000" w:type="dxa"/>
            <w:noWrap w:val="0"/>
            <w:vAlign w:val="center"/>
          </w:tcPr>
          <w:p w14:paraId="72CC985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i w:val="0"/>
                <w:color w:val="auto"/>
                <w:kern w:val="0"/>
                <w:sz w:val="24"/>
                <w:szCs w:val="24"/>
                <w:u w:val="none"/>
                <w:lang w:val="en-US" w:eastAsia="zh-CN" w:bidi="ar"/>
              </w:rPr>
              <w:t>获得工业产品生产许可证的企业</w:t>
            </w:r>
          </w:p>
        </w:tc>
        <w:tc>
          <w:tcPr>
            <w:tcW w:w="3833" w:type="dxa"/>
            <w:noWrap w:val="0"/>
            <w:vAlign w:val="center"/>
          </w:tcPr>
          <w:p w14:paraId="2D06DD9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b w:val="0"/>
                <w:bCs w:val="0"/>
                <w:sz w:val="24"/>
                <w:szCs w:val="24"/>
                <w:vertAlign w:val="baseline"/>
                <w:lang w:val="en-US" w:eastAsia="zh-CN"/>
              </w:rPr>
            </w:pPr>
            <w:r>
              <w:rPr>
                <w:rFonts w:hint="default" w:ascii="Times New Roman" w:hAnsi="Times New Roman" w:eastAsia="方正仿宋_GBK" w:cs="Times New Roman"/>
                <w:i w:val="0"/>
                <w:color w:val="auto"/>
                <w:kern w:val="0"/>
                <w:sz w:val="24"/>
                <w:szCs w:val="24"/>
                <w:u w:val="none"/>
                <w:lang w:val="en-US" w:eastAsia="zh-CN" w:bidi="ar"/>
              </w:rPr>
              <w:t>按照产品对应的工业产品生产许可证实施细则执行，通常包括：</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1</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营业执照情况检查；</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2</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专业技术人员情况检查；</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3</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生产条件和检验检疫手段情况检查；</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4</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技术文件和工艺文件检查；</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5</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质量管理制度和责任制度检查；</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6</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产品质量情况检查；</w:t>
            </w:r>
            <w:r>
              <w:rPr>
                <w:rFonts w:hint="default" w:ascii="Times New Roman" w:hAnsi="Times New Roman" w:eastAsia="方正仿宋_GBK" w:cs="Times New Roman"/>
                <w:i w:val="0"/>
                <w:color w:val="auto"/>
                <w:kern w:val="0"/>
                <w:sz w:val="24"/>
                <w:szCs w:val="24"/>
                <w:u w:val="none"/>
                <w:lang w:val="en-US" w:eastAsia="zh-CN" w:bidi="ar"/>
              </w:rPr>
              <w:br w:type="textWrapping"/>
            </w:r>
            <w:r>
              <w:rPr>
                <w:rFonts w:hint="default" w:ascii="Times New Roman" w:hAnsi="Times New Roman" w:eastAsia="方正仿宋_GBK" w:cs="Times New Roman"/>
                <w:i w:val="0"/>
                <w:color w:val="auto"/>
                <w:kern w:val="0"/>
                <w:sz w:val="24"/>
                <w:szCs w:val="24"/>
                <w:u w:val="none"/>
                <w:lang w:val="en-US" w:eastAsia="zh-CN" w:bidi="ar"/>
              </w:rPr>
              <w:t>7</w:t>
            </w:r>
            <w:r>
              <w:rPr>
                <w:rFonts w:hint="eastAsia" w:eastAsia="方正仿宋_GBK" w:cs="Times New Roman"/>
                <w:i w:val="0"/>
                <w:color w:val="auto"/>
                <w:kern w:val="0"/>
                <w:sz w:val="24"/>
                <w:szCs w:val="24"/>
                <w:u w:val="none"/>
                <w:lang w:val="en-US" w:eastAsia="zh-CN" w:bidi="ar"/>
              </w:rPr>
              <w:t>.</w:t>
            </w:r>
            <w:r>
              <w:rPr>
                <w:rFonts w:hint="default" w:ascii="Times New Roman" w:hAnsi="Times New Roman" w:eastAsia="方正仿宋_GBK" w:cs="Times New Roman"/>
                <w:i w:val="0"/>
                <w:color w:val="auto"/>
                <w:kern w:val="0"/>
                <w:sz w:val="24"/>
                <w:szCs w:val="24"/>
                <w:u w:val="none"/>
                <w:lang w:val="en-US" w:eastAsia="zh-CN" w:bidi="ar"/>
              </w:rPr>
              <w:t>产业政策情况检查。</w:t>
            </w:r>
          </w:p>
        </w:tc>
        <w:tc>
          <w:tcPr>
            <w:tcW w:w="650" w:type="dxa"/>
            <w:noWrap w:val="0"/>
            <w:vAlign w:val="center"/>
          </w:tcPr>
          <w:p w14:paraId="65BD187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b w:val="0"/>
                <w:bCs w:val="0"/>
                <w:sz w:val="24"/>
                <w:szCs w:val="24"/>
                <w:vertAlign w:val="baseline"/>
                <w:lang w:val="en-US" w:eastAsia="zh-CN"/>
              </w:rPr>
            </w:pPr>
            <w:r>
              <w:rPr>
                <w:rFonts w:hint="eastAsia" w:eastAsia="方正仿宋_GBK" w:cs="Times New Roman"/>
                <w:i w:val="0"/>
                <w:color w:val="auto"/>
                <w:kern w:val="0"/>
                <w:sz w:val="24"/>
                <w:szCs w:val="24"/>
                <w:u w:val="none"/>
                <w:lang w:val="en-US" w:eastAsia="zh-CN" w:bidi="ar"/>
              </w:rPr>
              <w:t>现场检查</w:t>
            </w:r>
          </w:p>
        </w:tc>
        <w:tc>
          <w:tcPr>
            <w:tcW w:w="650" w:type="dxa"/>
            <w:shd w:val="clear" w:color="auto" w:fill="auto"/>
            <w:noWrap w:val="0"/>
            <w:vAlign w:val="center"/>
          </w:tcPr>
          <w:p w14:paraId="5F57BA9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noWrap w:val="0"/>
            <w:vAlign w:val="center"/>
          </w:tcPr>
          <w:p w14:paraId="19A851E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auto"/>
                <w:kern w:val="0"/>
                <w:sz w:val="24"/>
                <w:szCs w:val="24"/>
                <w:u w:val="none"/>
                <w:lang w:val="en-US" w:eastAsia="zh-CN" w:bidi="ar"/>
              </w:rPr>
              <w:t>按照省级检查20%、市级检查30%、县级补充全覆盖的原则，通过“双随机、一公开”平台随机抽取检查对象。</w:t>
            </w:r>
          </w:p>
        </w:tc>
      </w:tr>
      <w:tr w14:paraId="14620A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00" w:hRule="atLeast"/>
          <w:jc w:val="center"/>
        </w:trPr>
        <w:tc>
          <w:tcPr>
            <w:tcW w:w="409" w:type="dxa"/>
            <w:noWrap w:val="0"/>
            <w:vAlign w:val="center"/>
          </w:tcPr>
          <w:p w14:paraId="530192B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21</w:t>
            </w:r>
          </w:p>
        </w:tc>
        <w:tc>
          <w:tcPr>
            <w:tcW w:w="1012" w:type="dxa"/>
            <w:noWrap w:val="0"/>
            <w:vAlign w:val="center"/>
          </w:tcPr>
          <w:p w14:paraId="5F8100E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对食品（食品添加剂）生产者的监督检查</w:t>
            </w:r>
          </w:p>
          <w:p w14:paraId="5CC8704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p>
        </w:tc>
        <w:tc>
          <w:tcPr>
            <w:tcW w:w="873" w:type="dxa"/>
            <w:noWrap w:val="0"/>
            <w:vAlign w:val="center"/>
          </w:tcPr>
          <w:p w14:paraId="1C40596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090FFA5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21F70A9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第六条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p>
          <w:p w14:paraId="793D627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480" w:firstLineChars="20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县级以上地方人民政府依照本法和国务院的规定，确定本级食品安全监督管理、卫生行政部门和其他有关部门的职责。有关部门在各自职责范围内负责本行政区域的食品安全监督管理工作。</w:t>
            </w:r>
          </w:p>
          <w:p w14:paraId="5A8C93B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县级人民政府食品安全监督管理部门可以在乡镇或者特定区域设立派出机构。</w:t>
            </w:r>
          </w:p>
          <w:p w14:paraId="6AAED7E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第一百零九条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县级以上人民政府食品安全监督管理部门根据食品安全风险监测、风险评估结果和食品安全状况等，确定监督管理的重点、方式和频次，实施风险分级管理。</w:t>
            </w:r>
          </w:p>
          <w:p w14:paraId="2426AA2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县级以上地方人民政府组织本级食品安全监督管理、农业行政等部门制定本行政区域的食品安全年度监督管理计划，向社会公布并组织实施。</w:t>
            </w:r>
          </w:p>
          <w:p w14:paraId="6F889AE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第一百一十条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县级以上人民政府食品安全监督管理部门履行食品安全监督管理职责，有权采取下列措施，对生产经营者遵守本法的情况进行监督检查：</w:t>
            </w:r>
          </w:p>
          <w:p w14:paraId="55E504C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（一）进入生产经营场所实施现场检查；</w:t>
            </w:r>
          </w:p>
          <w:p w14:paraId="0052E08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（二）对生产经营的食品、食品添加剂、食品相关产品进行抽样检验；</w:t>
            </w:r>
          </w:p>
          <w:p w14:paraId="15ED574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（三）查阅、复制有关合同、票据、账簿以及其他有关资料；</w:t>
            </w:r>
          </w:p>
          <w:p w14:paraId="1F6CB9B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（四）查封、扣押有证据证明不符合食品安全标准或者有证据证明存在安全隐患以及用于违法生产经营的食品、食品添加剂、食品相关产品；</w:t>
            </w:r>
          </w:p>
          <w:p w14:paraId="5386CFE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（五）查封违法从事生产经营活动的场所。</w:t>
            </w:r>
          </w:p>
          <w:p w14:paraId="0DDC9FA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《食品生产经营监督检查管理办法》</w:t>
            </w:r>
          </w:p>
          <w:p w14:paraId="13964A3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第八条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省级市场监督管理部门负责监督指导本行政区域内食品生产经营监督检查工作，重点组织和协调对产品风险高、影响区域广的食品生产经营者的监督检查。</w:t>
            </w:r>
          </w:p>
          <w:p w14:paraId="5EE3AE7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第九条</w:t>
            </w:r>
            <w:r>
              <w:rPr>
                <w:rFonts w:hint="eastAsia" w:eastAsia="方正仿宋_GBK" w:cs="Times New Roman"/>
                <w:i w:val="0"/>
                <w:color w:val="000000"/>
                <w:kern w:val="0"/>
                <w:sz w:val="24"/>
                <w:szCs w:val="24"/>
                <w:u w:val="none"/>
                <w:lang w:val="en-US" w:eastAsia="zh-CN" w:bidi="ar"/>
              </w:rPr>
              <w:t xml:space="preserve">第一款  </w:t>
            </w:r>
            <w:r>
              <w:rPr>
                <w:rFonts w:hint="default" w:ascii="Times New Roman" w:hAnsi="Times New Roman" w:eastAsia="方正仿宋_GBK" w:cs="Times New Roman"/>
                <w:i w:val="0"/>
                <w:color w:val="000000"/>
                <w:kern w:val="0"/>
                <w:sz w:val="24"/>
                <w:szCs w:val="24"/>
                <w:u w:val="none"/>
                <w:lang w:val="en-US" w:eastAsia="zh-CN" w:bidi="ar"/>
              </w:rPr>
              <w:t>设区的市级（以下简称市级）、县级市场监督管理部门负责本行政区域内食品生产经营监督检查工作。</w:t>
            </w:r>
          </w:p>
        </w:tc>
        <w:tc>
          <w:tcPr>
            <w:tcW w:w="983" w:type="dxa"/>
            <w:noWrap w:val="0"/>
            <w:vAlign w:val="center"/>
          </w:tcPr>
          <w:p w14:paraId="72C39BF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食品生产股</w:t>
            </w:r>
          </w:p>
        </w:tc>
        <w:tc>
          <w:tcPr>
            <w:tcW w:w="1000" w:type="dxa"/>
            <w:noWrap w:val="0"/>
            <w:vAlign w:val="center"/>
          </w:tcPr>
          <w:p w14:paraId="7D94B0A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食品（食品添加剂）生产者</w:t>
            </w:r>
          </w:p>
        </w:tc>
        <w:tc>
          <w:tcPr>
            <w:tcW w:w="3833" w:type="dxa"/>
            <w:noWrap w:val="0"/>
            <w:vAlign w:val="center"/>
          </w:tcPr>
          <w:p w14:paraId="37EB555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（一）进入生产经营场所实施现场检查；</w:t>
            </w:r>
          </w:p>
          <w:p w14:paraId="3D0441A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（二）对生产经营的食品、食品添加剂、食品相关产品进行抽样检验；</w:t>
            </w:r>
          </w:p>
          <w:p w14:paraId="66581C3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（三）查阅、复制有关合同、票据、账簿以及其他有关资料；</w:t>
            </w:r>
          </w:p>
          <w:p w14:paraId="0C8011D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（四）查封、扣押有证据证明不符合食品安全标准或者有证据证明存在安全隐患以及用于违法生产经营的食品、食品添加剂、食品相关产品</w:t>
            </w:r>
            <w:r>
              <w:rPr>
                <w:rFonts w:hint="eastAsia" w:eastAsia="方正仿宋_GBK" w:cs="Times New Roman"/>
                <w:i w:val="0"/>
                <w:color w:val="000000"/>
                <w:kern w:val="0"/>
                <w:sz w:val="24"/>
                <w:szCs w:val="24"/>
                <w:u w:val="none"/>
                <w:lang w:val="en-US" w:eastAsia="zh-CN" w:bidi="ar"/>
              </w:rPr>
              <w:t>。</w:t>
            </w:r>
          </w:p>
        </w:tc>
        <w:tc>
          <w:tcPr>
            <w:tcW w:w="650" w:type="dxa"/>
            <w:noWrap w:val="0"/>
            <w:vAlign w:val="center"/>
          </w:tcPr>
          <w:p w14:paraId="0FA6805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现场检查</w:t>
            </w:r>
          </w:p>
        </w:tc>
        <w:tc>
          <w:tcPr>
            <w:tcW w:w="650" w:type="dxa"/>
            <w:shd w:val="clear" w:color="auto" w:fill="auto"/>
            <w:noWrap w:val="0"/>
            <w:vAlign w:val="center"/>
          </w:tcPr>
          <w:p w14:paraId="64C6DD8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风险分类抽查</w:t>
            </w:r>
          </w:p>
        </w:tc>
        <w:tc>
          <w:tcPr>
            <w:tcW w:w="1175" w:type="dxa"/>
            <w:shd w:val="clear" w:color="auto" w:fill="auto"/>
            <w:noWrap w:val="0"/>
            <w:vAlign w:val="center"/>
          </w:tcPr>
          <w:p w14:paraId="21F4119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r>
              <w:rPr>
                <w:rFonts w:hint="default" w:ascii="Times New Roman" w:hAnsi="Times New Roman" w:eastAsia="方正仿宋_GBK" w:cs="Times New Roman"/>
                <w:i w:val="0"/>
                <w:color w:val="000000"/>
                <w:w w:val="80"/>
                <w:kern w:val="0"/>
                <w:sz w:val="24"/>
                <w:szCs w:val="24"/>
                <w:u w:val="none"/>
                <w:lang w:val="en-US" w:eastAsia="zh-CN" w:bidi="ar"/>
              </w:rPr>
              <w:t>根据食品安全风险分级结果，对风险等级为A级风险的食用农产品开办者，原则上每年至少监督检查1次；对风险等级为B级风险的食用农产品开办者，原则上每年至少监督检查1—2次；对风险等级为C级风险的食用农产品开办者，原则上每年至少监督检查2—3次；对风险等级为D级风险的食用农产品开办者，原则上每年至少监督检查3—4次。</w:t>
            </w:r>
          </w:p>
        </w:tc>
      </w:tr>
      <w:tr w14:paraId="5F45B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680" w:hRule="atLeast"/>
          <w:jc w:val="center"/>
        </w:trPr>
        <w:tc>
          <w:tcPr>
            <w:tcW w:w="409" w:type="dxa"/>
            <w:noWrap w:val="0"/>
            <w:vAlign w:val="center"/>
          </w:tcPr>
          <w:p w14:paraId="1BA173B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 w:eastAsia="zh-CN" w:bidi="ar"/>
              </w:rPr>
            </w:pPr>
            <w:r>
              <w:rPr>
                <w:rFonts w:hint="eastAsia" w:eastAsia="方正仿宋_GBK" w:cs="Times New Roman"/>
                <w:i w:val="0"/>
                <w:color w:val="000000"/>
                <w:kern w:val="0"/>
                <w:sz w:val="24"/>
                <w:szCs w:val="24"/>
                <w:u w:val="none"/>
                <w:lang w:val="en-US" w:eastAsia="zh-CN" w:bidi="ar"/>
              </w:rPr>
              <w:t>22</w:t>
            </w:r>
          </w:p>
        </w:tc>
        <w:tc>
          <w:tcPr>
            <w:tcW w:w="1012" w:type="dxa"/>
            <w:noWrap w:val="0"/>
            <w:vAlign w:val="center"/>
          </w:tcPr>
          <w:p w14:paraId="60F52C5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对食品生产加工小作坊的监督检查</w:t>
            </w:r>
          </w:p>
        </w:tc>
        <w:tc>
          <w:tcPr>
            <w:tcW w:w="873" w:type="dxa"/>
            <w:shd w:val="clear" w:color="auto" w:fill="auto"/>
            <w:noWrap w:val="0"/>
            <w:vAlign w:val="center"/>
          </w:tcPr>
          <w:p w14:paraId="4FC2A1B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b w:val="0"/>
                <w:bCs w:val="0"/>
                <w:kern w:val="2"/>
                <w:sz w:val="24"/>
                <w:szCs w:val="24"/>
                <w:vertAlign w:val="baseline"/>
                <w:lang w:val="en-US" w:eastAsia="zh-CN" w:bidi="ar-SA"/>
              </w:rPr>
            </w:pPr>
            <w:r>
              <w:rPr>
                <w:rFonts w:hint="eastAsia" w:eastAsia="方正仿宋_GBK" w:cs="Times New Roman"/>
                <w:sz w:val="24"/>
                <w:szCs w:val="24"/>
                <w:lang w:eastAsia="zh-CN"/>
              </w:rPr>
              <w:t>安化县市场监督管理局</w:t>
            </w:r>
          </w:p>
        </w:tc>
        <w:tc>
          <w:tcPr>
            <w:tcW w:w="5268" w:type="dxa"/>
            <w:noWrap w:val="0"/>
            <w:vAlign w:val="center"/>
          </w:tcPr>
          <w:p w14:paraId="4C9193D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《湖南省食品生产加工小作坊小餐饮和食品摊贩管理条例》</w:t>
            </w:r>
          </w:p>
          <w:p w14:paraId="0BF1E49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第四条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县级以上人民政府市场监督管理部门负责对本行政区域内小作坊、小餐饮和食品摊贩的食品安全进行监督管理和指导。</w:t>
            </w:r>
          </w:p>
          <w:p w14:paraId="624E19A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县级以上人民政府城市管理部门按照法定职责做好食品摊贩的监督管理工作。</w:t>
            </w:r>
          </w:p>
          <w:p w14:paraId="19D6E74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县级以上人民政府发展和改革、卫生健康、农业农村、商务、生态环境等部门按照各自职责，负责本行政区域内小作坊、小餐饮和食品摊贩监督管理相关工作。</w:t>
            </w:r>
          </w:p>
          <w:p w14:paraId="7CE774D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第二十九条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县级以上人民政府市场监督管理等有关部门应当建立健全小作坊、小餐饮和食品摊贩的监督检查制度，通过日常巡查、定期检查和抽样检验等方式加强日常监督检查。</w:t>
            </w:r>
          </w:p>
          <w:p w14:paraId="658CDB5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县级人民政府市场监督管理部门应当建立小作坊、小餐饮食品安全信用档案，依法公布并及时更新；对安全风险隐患较高或者有不良信用记录的小作坊、小餐饮进行重点监管。</w:t>
            </w:r>
          </w:p>
        </w:tc>
        <w:tc>
          <w:tcPr>
            <w:tcW w:w="983" w:type="dxa"/>
            <w:noWrap w:val="0"/>
            <w:vAlign w:val="center"/>
          </w:tcPr>
          <w:p w14:paraId="3CC5AE8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食品生产股</w:t>
            </w:r>
          </w:p>
        </w:tc>
        <w:tc>
          <w:tcPr>
            <w:tcW w:w="1000" w:type="dxa"/>
            <w:noWrap w:val="0"/>
            <w:vAlign w:val="center"/>
          </w:tcPr>
          <w:p w14:paraId="379F536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食品生产加工小作坊</w:t>
            </w:r>
          </w:p>
        </w:tc>
        <w:tc>
          <w:tcPr>
            <w:tcW w:w="3833" w:type="dxa"/>
            <w:noWrap w:val="0"/>
            <w:vAlign w:val="center"/>
          </w:tcPr>
          <w:p w14:paraId="3876AF3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（一）进入生产经营场所实施现场检查；</w:t>
            </w:r>
          </w:p>
          <w:p w14:paraId="5165B72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（二）对生产经营的食品、食品添加剂、食品相关产品进行抽样检验；</w:t>
            </w:r>
          </w:p>
          <w:p w14:paraId="65FB3FC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（三）查阅、复制有关合同、票据、账簿以及其他有关资料；</w:t>
            </w:r>
          </w:p>
          <w:p w14:paraId="4C1ABCE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（四）查封、扣押有证据证明不符合食品安全标准或者有证据证明存在安全隐患以及用于违法生产经营的食品、食品添加剂、食品相关产品；</w:t>
            </w:r>
          </w:p>
          <w:p w14:paraId="234A219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（五）查封违法从事生产经营活动的场所。</w:t>
            </w:r>
          </w:p>
          <w:p w14:paraId="6BF3605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p>
        </w:tc>
        <w:tc>
          <w:tcPr>
            <w:tcW w:w="650" w:type="dxa"/>
            <w:noWrap w:val="0"/>
            <w:vAlign w:val="center"/>
          </w:tcPr>
          <w:p w14:paraId="364DAC1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现场检查、非现场检查相结合</w:t>
            </w:r>
          </w:p>
        </w:tc>
        <w:tc>
          <w:tcPr>
            <w:tcW w:w="650" w:type="dxa"/>
            <w:shd w:val="clear" w:color="auto" w:fill="auto"/>
            <w:noWrap w:val="0"/>
            <w:vAlign w:val="center"/>
          </w:tcPr>
          <w:p w14:paraId="2D7E402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风险分类抽查</w:t>
            </w:r>
          </w:p>
        </w:tc>
        <w:tc>
          <w:tcPr>
            <w:tcW w:w="1175" w:type="dxa"/>
            <w:shd w:val="clear" w:color="auto" w:fill="auto"/>
            <w:noWrap w:val="0"/>
            <w:vAlign w:val="center"/>
          </w:tcPr>
          <w:p w14:paraId="651B4E98">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r>
              <w:rPr>
                <w:rFonts w:hint="default" w:ascii="Times New Roman" w:hAnsi="Times New Roman" w:eastAsia="方正仿宋_GBK" w:cs="Times New Roman"/>
                <w:i w:val="0"/>
                <w:color w:val="000000"/>
                <w:w w:val="80"/>
                <w:kern w:val="0"/>
                <w:sz w:val="24"/>
                <w:szCs w:val="24"/>
                <w:u w:val="none"/>
                <w:lang w:val="en-US" w:eastAsia="zh-CN" w:bidi="ar"/>
              </w:rPr>
              <w:t>根据食品安全风险分级结果，对风险等级为A级风险的食用农产品开办者，原则上每年至少监督检查1次；对风险等级为B级风险的食用农产品开办者，原则上每年至少监督检查1—2次；对风险等级为C级风险的食用农产品开办者，原则上每年至少监督检查2—3次；对风险等级为D级风险的食用农产品开办者，原则上每年至少监督检查3—4次。</w:t>
            </w:r>
          </w:p>
        </w:tc>
      </w:tr>
      <w:tr w14:paraId="08A500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85" w:hRule="atLeast"/>
          <w:jc w:val="center"/>
        </w:trPr>
        <w:tc>
          <w:tcPr>
            <w:tcW w:w="409" w:type="dxa"/>
            <w:noWrap w:val="0"/>
            <w:vAlign w:val="center"/>
          </w:tcPr>
          <w:p w14:paraId="779C770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23</w:t>
            </w:r>
          </w:p>
        </w:tc>
        <w:tc>
          <w:tcPr>
            <w:tcW w:w="1012" w:type="dxa"/>
            <w:noWrap w:val="0"/>
            <w:vAlign w:val="center"/>
          </w:tcPr>
          <w:p w14:paraId="424C687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对餐饮服务经营者的食品安全的行政检查</w:t>
            </w:r>
          </w:p>
        </w:tc>
        <w:tc>
          <w:tcPr>
            <w:tcW w:w="873" w:type="dxa"/>
            <w:shd w:val="clear" w:color="auto" w:fill="auto"/>
            <w:noWrap w:val="0"/>
            <w:vAlign w:val="center"/>
          </w:tcPr>
          <w:p w14:paraId="460B626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0374A29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2BE51EB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第一百零九条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县级以上人民政府食品安全监督管理部门根据食品安全风险监测、风险评估结果和食品安全状况等，确定监督管理的重点、方式和频次，实施风险分级管理。</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县级以上地方人民政府组织本级食品安全监督管理、农业行政等部门制定本行政区域的食品安全年度监督管理计划，向社会公布并组织实施。</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食品安全年度监督管理计划应当将下列事项作为监督管理的重点：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（三）发生食品安全事故风险较高的食品生产经营者；</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（四）食品安全风险监测结果表明可能存在食品安全隐患的事项。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第一百一十条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县级以上人民政府食品安全监督管理部门履行食品安全监督管理职责，有权采取下列措施，对生产经营者遵守本法的情况进行监督检查：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（一）进入生产经营场所实施现场检查；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（二）对生产经营的食品、食品添加剂、食品相关产品进行抽样检验；</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（三）查阅、复制有关合同、票据、账簿以及其他有关资料；</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（四）查封、扣押有证据证明不符合食品安全标准或者有证据证明存在安全隐患以及用于违法生产经营的食品、食品添加剂、食品相关产品；</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（五）查封违法从事生产经营活动的场所。</w:t>
            </w:r>
          </w:p>
        </w:tc>
        <w:tc>
          <w:tcPr>
            <w:tcW w:w="983" w:type="dxa"/>
            <w:noWrap w:val="0"/>
            <w:vAlign w:val="center"/>
          </w:tcPr>
          <w:p w14:paraId="5787135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餐饮股</w:t>
            </w:r>
          </w:p>
        </w:tc>
        <w:tc>
          <w:tcPr>
            <w:tcW w:w="1000" w:type="dxa"/>
            <w:noWrap w:val="0"/>
            <w:vAlign w:val="center"/>
          </w:tcPr>
          <w:p w14:paraId="759895F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餐饮服务经营者</w:t>
            </w:r>
          </w:p>
        </w:tc>
        <w:tc>
          <w:tcPr>
            <w:tcW w:w="3833" w:type="dxa"/>
            <w:noWrap w:val="0"/>
            <w:vAlign w:val="center"/>
          </w:tcPr>
          <w:p w14:paraId="075932F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餐饮服务提供者资质、从业人员健康管理、原料控制、加工制作过程、食品添加剂使用管理、场所和设备设施清洁维护、餐饮具清洗消毒、食品安全事故处置等执行食品安全法律、法规、规章和食品安全标准等情况</w:t>
            </w:r>
          </w:p>
        </w:tc>
        <w:tc>
          <w:tcPr>
            <w:tcW w:w="650" w:type="dxa"/>
            <w:noWrap w:val="0"/>
            <w:vAlign w:val="center"/>
          </w:tcPr>
          <w:p w14:paraId="764C132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非</w:t>
            </w: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结合</w:t>
            </w:r>
          </w:p>
        </w:tc>
        <w:tc>
          <w:tcPr>
            <w:tcW w:w="650" w:type="dxa"/>
            <w:shd w:val="clear" w:color="auto" w:fill="auto"/>
            <w:noWrap w:val="0"/>
            <w:vAlign w:val="center"/>
          </w:tcPr>
          <w:p w14:paraId="6F0BD7B3">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风险分类抽查</w:t>
            </w:r>
          </w:p>
        </w:tc>
        <w:tc>
          <w:tcPr>
            <w:tcW w:w="1175" w:type="dxa"/>
            <w:shd w:val="clear" w:color="auto" w:fill="auto"/>
            <w:noWrap w:val="0"/>
            <w:vAlign w:val="center"/>
          </w:tcPr>
          <w:p w14:paraId="3986F62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r>
              <w:rPr>
                <w:rFonts w:hint="default" w:ascii="Times New Roman" w:hAnsi="Times New Roman" w:eastAsia="方正仿宋_GBK" w:cs="Times New Roman"/>
                <w:i w:val="0"/>
                <w:color w:val="000000"/>
                <w:w w:val="80"/>
                <w:kern w:val="0"/>
                <w:sz w:val="24"/>
                <w:szCs w:val="24"/>
                <w:u w:val="none"/>
                <w:lang w:val="en-US" w:eastAsia="zh-CN" w:bidi="ar"/>
              </w:rPr>
              <w:t>根据食品安全风险分级结果，对风险等级为A级风险的食用农产品开办者，原则上每年至少监督检查1次；对风险等级为B级风险的食用农产品开办者，原则上每年至少监督检查1—2次；对风险等级为C级风险的食用农产品开办者，原则上每年至少监督检查2—3次；对风险等级为D级风险的食用农产品开办者，原则上每年至少监督检查3—4次。</w:t>
            </w:r>
          </w:p>
        </w:tc>
      </w:tr>
      <w:tr w14:paraId="438FF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12007A8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24</w:t>
            </w:r>
          </w:p>
        </w:tc>
        <w:tc>
          <w:tcPr>
            <w:tcW w:w="1012" w:type="dxa"/>
            <w:noWrap w:val="0"/>
            <w:vAlign w:val="center"/>
          </w:tcPr>
          <w:p w14:paraId="0AD9E24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对学校、养老院等食堂、以学生为主要供餐对象的集体用餐配送单位的行政检查</w:t>
            </w:r>
          </w:p>
        </w:tc>
        <w:tc>
          <w:tcPr>
            <w:tcW w:w="873" w:type="dxa"/>
            <w:shd w:val="clear" w:color="auto" w:fill="auto"/>
            <w:noWrap w:val="0"/>
            <w:vAlign w:val="center"/>
          </w:tcPr>
          <w:p w14:paraId="667FA2C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b w:val="0"/>
                <w:bCs w:val="0"/>
                <w:kern w:val="2"/>
                <w:sz w:val="24"/>
                <w:szCs w:val="24"/>
                <w:vertAlign w:val="baseline"/>
                <w:lang w:val="en-US" w:eastAsia="zh-CN" w:bidi="ar-SA"/>
              </w:rPr>
            </w:pPr>
            <w:r>
              <w:rPr>
                <w:rFonts w:hint="eastAsia" w:eastAsia="方正仿宋_GBK" w:cs="Times New Roman"/>
                <w:sz w:val="24"/>
                <w:szCs w:val="24"/>
                <w:lang w:eastAsia="zh-CN"/>
              </w:rPr>
              <w:t>安化县市场监督管理局</w:t>
            </w:r>
          </w:p>
        </w:tc>
        <w:tc>
          <w:tcPr>
            <w:tcW w:w="5268" w:type="dxa"/>
            <w:noWrap w:val="0"/>
            <w:vAlign w:val="center"/>
          </w:tcPr>
          <w:p w14:paraId="7C495623">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530A458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第一百零九条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县级以上人民政府食品安全监督管理部门根据食品安全风险监测、风险评估结果和食品安全状况等，确定监督管理的重点、方式和频次，实施风险分级管理。</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县级以上地方人民政府组织本级食品安全监督管理、农业行政等部门制定本行政区域的食品安全年度监督管理计划，向社会公布并组织实施。</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食品安全年度监督管理计划应当将下列事项作为监督管理的重点：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（三）发生食品安全事故风险较高的食品生产经营者；</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（四）食品安全风险监测结果表明可能存在食品安全隐患的事项。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45CADD6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第一百一十条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县级以上人民政府食品安全监督管理部门履行食品安全监督管理职责，有权采取下列措施，对生产经营者遵守本法的情况进行监督检查：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（一）进入生产经营场所实施现场检查；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（二）对生产经营的食品、食品添加剂、食品相关产品进行抽样检验；</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（三）查阅、复制有关合同、票据、账簿以及其他有关资料；</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（四）查封、扣押有证据证明不符合食品安全标准或者有证据证明存在安全隐患以及用于违法生产经营的食品、食品添加剂、食品相关产品；</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（五）查封违法从事生产经营活动的场所。</w:t>
            </w:r>
          </w:p>
        </w:tc>
        <w:tc>
          <w:tcPr>
            <w:tcW w:w="983" w:type="dxa"/>
            <w:noWrap w:val="0"/>
            <w:vAlign w:val="center"/>
          </w:tcPr>
          <w:p w14:paraId="461A87D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餐饮股</w:t>
            </w:r>
          </w:p>
        </w:tc>
        <w:tc>
          <w:tcPr>
            <w:tcW w:w="1000" w:type="dxa"/>
            <w:noWrap w:val="0"/>
            <w:vAlign w:val="center"/>
          </w:tcPr>
          <w:p w14:paraId="3C3F15F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单位食堂、学生集体用餐配送单位（即校外供餐单位）</w:t>
            </w:r>
          </w:p>
        </w:tc>
        <w:tc>
          <w:tcPr>
            <w:tcW w:w="3833" w:type="dxa"/>
            <w:noWrap w:val="0"/>
            <w:vAlign w:val="center"/>
          </w:tcPr>
          <w:p w14:paraId="134F7D6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餐饮服务提供者资质、从业人员健康管理、原料控制、加工制作过程、食品添加剂使用管理、场所和设备设施清洁维护、餐饮具清洗消毒、食品安全事故处置等执行食品安全法律、法规、规章和食品安全标准等情况</w:t>
            </w:r>
          </w:p>
        </w:tc>
        <w:tc>
          <w:tcPr>
            <w:tcW w:w="650" w:type="dxa"/>
            <w:noWrap w:val="0"/>
            <w:vAlign w:val="center"/>
          </w:tcPr>
          <w:p w14:paraId="7F151BF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非</w:t>
            </w: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结合</w:t>
            </w:r>
          </w:p>
        </w:tc>
        <w:tc>
          <w:tcPr>
            <w:tcW w:w="650" w:type="dxa"/>
            <w:shd w:val="clear" w:color="auto" w:fill="auto"/>
            <w:noWrap w:val="0"/>
            <w:vAlign w:val="center"/>
          </w:tcPr>
          <w:p w14:paraId="5D2092B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风险分类抽查</w:t>
            </w:r>
          </w:p>
        </w:tc>
        <w:tc>
          <w:tcPr>
            <w:tcW w:w="1175" w:type="dxa"/>
            <w:shd w:val="clear" w:color="auto" w:fill="auto"/>
            <w:noWrap w:val="0"/>
            <w:vAlign w:val="center"/>
          </w:tcPr>
          <w:p w14:paraId="2ABACA4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r>
              <w:rPr>
                <w:rFonts w:hint="default" w:ascii="Times New Roman" w:hAnsi="Times New Roman" w:eastAsia="方正仿宋_GBK" w:cs="Times New Roman"/>
                <w:i w:val="0"/>
                <w:color w:val="000000"/>
                <w:w w:val="80"/>
                <w:kern w:val="0"/>
                <w:sz w:val="24"/>
                <w:szCs w:val="24"/>
                <w:u w:val="none"/>
                <w:lang w:val="en-US" w:eastAsia="zh-CN" w:bidi="ar"/>
              </w:rPr>
              <w:t>根据食品安全风险分级结果，对风险等级为A级风险的食用农产品开办者，原则上每年至少监督检查1次；对风险等级为B级风险的食用农产品开办者，原则上每年至少监督检查1—2次；对风险等级为C级风险的食用农产品开办者，原则上每年至少监督检查2—3次；对风险等级为D级风险的食用农产品开办者，原则上每年至少监督检查3—4次。</w:t>
            </w:r>
          </w:p>
        </w:tc>
      </w:tr>
      <w:tr w14:paraId="1D955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0490318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25</w:t>
            </w:r>
          </w:p>
        </w:tc>
        <w:tc>
          <w:tcPr>
            <w:tcW w:w="1012" w:type="dxa"/>
            <w:noWrap w:val="0"/>
            <w:vAlign w:val="center"/>
          </w:tcPr>
          <w:p w14:paraId="1B7B292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对食品销售经营者的食品安全行政检查</w:t>
            </w:r>
          </w:p>
        </w:tc>
        <w:tc>
          <w:tcPr>
            <w:tcW w:w="873" w:type="dxa"/>
            <w:shd w:val="clear" w:color="auto" w:fill="auto"/>
            <w:noWrap w:val="0"/>
            <w:vAlign w:val="center"/>
          </w:tcPr>
          <w:p w14:paraId="4B93F13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3430AB86">
            <w:pPr>
              <w:keepNext w:val="0"/>
              <w:keepLines w:val="0"/>
              <w:pageBreakBefore w:val="0"/>
              <w:widowControl w:val="0"/>
              <w:numPr>
                <w:ilvl w:val="0"/>
                <w:numId w:val="0"/>
              </w:numPr>
              <w:suppressLineNumbers w:val="0"/>
              <w:kinsoku w:val="0"/>
              <w:wordWrap/>
              <w:overflowPunct/>
              <w:topLinePunct w:val="0"/>
              <w:autoSpaceDE/>
              <w:autoSpaceDN/>
              <w:bidi w:val="0"/>
              <w:adjustRightInd w:val="0"/>
              <w:snapToGrid w:val="0"/>
              <w:spacing w:line="240" w:lineRule="exact"/>
              <w:ind w:left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59D37AA4">
            <w:pPr>
              <w:keepNext w:val="0"/>
              <w:keepLines w:val="0"/>
              <w:pageBreakBefore w:val="0"/>
              <w:widowControl w:val="0"/>
              <w:numPr>
                <w:ilvl w:val="0"/>
                <w:numId w:val="0"/>
              </w:numPr>
              <w:suppressLineNumbers w:val="0"/>
              <w:kinsoku w:val="0"/>
              <w:wordWrap/>
              <w:overflowPunct/>
              <w:topLinePunct w:val="0"/>
              <w:autoSpaceDE/>
              <w:autoSpaceDN/>
              <w:bidi w:val="0"/>
              <w:adjustRightInd w:val="0"/>
              <w:snapToGrid w:val="0"/>
              <w:spacing w:line="240" w:lineRule="exact"/>
              <w:ind w:left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第一百零九条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县级以上人民政府食品安全监督管理部门根据食品安全风险监测、风险评估结果和食品安全状况等，确定监督管理的重点、方式和频次，实施风险分级管理。</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县级以上地方人民政府组织本级食品安全监督管理、农业行政等部门制定本行政区域的食品安全年度监督管理计划，向社会公布并组织实施。</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食品安全年度监督管理计划应当将下列事项作为监督管理的重点：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（三）发生食品安全事故风险较高的食品生产经营者；</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（四）食品安全风险监测结果表明可能存在食品安全隐患的事项。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140E9A87">
            <w:pPr>
              <w:keepNext w:val="0"/>
              <w:keepLines w:val="0"/>
              <w:pageBreakBefore w:val="0"/>
              <w:widowControl w:val="0"/>
              <w:numPr>
                <w:ilvl w:val="0"/>
                <w:numId w:val="0"/>
              </w:numPr>
              <w:suppressLineNumbers w:val="0"/>
              <w:kinsoku w:val="0"/>
              <w:wordWrap/>
              <w:overflowPunct/>
              <w:topLinePunct w:val="0"/>
              <w:autoSpaceDE/>
              <w:autoSpaceDN/>
              <w:bidi w:val="0"/>
              <w:adjustRightInd w:val="0"/>
              <w:snapToGrid w:val="0"/>
              <w:spacing w:line="240" w:lineRule="exact"/>
              <w:ind w:left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第一百一十条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县级以上人民政府食品安全监督管理部门履行食品安全监督管理职责，有权采取下列措施，对生产经营者遵守本法的情况进行监督检查：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（一）进入生产经营场所实施现场检查；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（二）对生产经营的食品、食品添加剂、食品相关产品进行抽样检验；</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（三）查阅、复制有关合同、票据、账簿以及其他有关资料；</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（四）查封、扣押有证据证明不符合食品安全标准或者有证据证明存在安全隐患以及用于违法生产经营的食品、食品添加剂、食品相关产品；</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（五）查封违法从事生产经营活动的场所。</w:t>
            </w:r>
          </w:p>
        </w:tc>
        <w:tc>
          <w:tcPr>
            <w:tcW w:w="983" w:type="dxa"/>
            <w:noWrap w:val="0"/>
            <w:vAlign w:val="center"/>
          </w:tcPr>
          <w:p w14:paraId="7CA5C8C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食品流通股</w:t>
            </w:r>
          </w:p>
        </w:tc>
        <w:tc>
          <w:tcPr>
            <w:tcW w:w="1000" w:type="dxa"/>
            <w:noWrap w:val="0"/>
            <w:vAlign w:val="center"/>
          </w:tcPr>
          <w:p w14:paraId="180C088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食品销售经营者</w:t>
            </w:r>
          </w:p>
        </w:tc>
        <w:tc>
          <w:tcPr>
            <w:tcW w:w="3833" w:type="dxa"/>
            <w:noWrap w:val="0"/>
            <w:vAlign w:val="center"/>
          </w:tcPr>
          <w:p w14:paraId="23D5A4E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品销售经营者资质、一般规定执行、禁止性规定执行、经营场所环境卫生、经营过程控制、进货查验、食品贮存、食品召回、温度控制及记录、过期及其他不符合食品安全标准食品处置、标签和说明书、食品安全自查、从业人员管理、食品安全事故处置、进口食品销售、食用农产品销售、网络食品销售等执行食品安全法律、法规、规章和食品安全标准等情况</w:t>
            </w:r>
          </w:p>
        </w:tc>
        <w:tc>
          <w:tcPr>
            <w:tcW w:w="650" w:type="dxa"/>
            <w:noWrap w:val="0"/>
            <w:vAlign w:val="center"/>
          </w:tcPr>
          <w:p w14:paraId="0C587CF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非</w:t>
            </w: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结合</w:t>
            </w:r>
          </w:p>
        </w:tc>
        <w:tc>
          <w:tcPr>
            <w:tcW w:w="650" w:type="dxa"/>
            <w:shd w:val="clear" w:color="auto" w:fill="auto"/>
            <w:noWrap w:val="0"/>
            <w:vAlign w:val="center"/>
          </w:tcPr>
          <w:p w14:paraId="4BF97AE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风险分类抽查</w:t>
            </w:r>
          </w:p>
        </w:tc>
        <w:tc>
          <w:tcPr>
            <w:tcW w:w="1175" w:type="dxa"/>
            <w:shd w:val="clear" w:color="auto" w:fill="auto"/>
            <w:noWrap w:val="0"/>
            <w:vAlign w:val="center"/>
          </w:tcPr>
          <w:p w14:paraId="17D223B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r>
              <w:rPr>
                <w:rFonts w:hint="default" w:ascii="Times New Roman" w:hAnsi="Times New Roman" w:eastAsia="方正仿宋_GBK" w:cs="Times New Roman"/>
                <w:i w:val="0"/>
                <w:color w:val="000000"/>
                <w:w w:val="80"/>
                <w:kern w:val="0"/>
                <w:sz w:val="24"/>
                <w:szCs w:val="24"/>
                <w:u w:val="none"/>
                <w:lang w:val="en-US" w:eastAsia="zh-CN" w:bidi="ar"/>
              </w:rPr>
              <w:t>根据食品安全风险分级结果，对风险等级为A级风险的食用农产品开办者，原则上每年至少监督检查1次；对风险等级为B级风险的食用农产品开办者，原则上每年至少监督检查1—2次；对风险等级为C级风险的食用农产品开办者，原则上每年至少监督检查2—3次；对风险等级为D级风险的食用农产品开办者，原则上每年至少监督检查3—4次。</w:t>
            </w:r>
          </w:p>
        </w:tc>
      </w:tr>
      <w:tr w14:paraId="286ED2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15" w:hRule="atLeast"/>
          <w:jc w:val="center"/>
        </w:trPr>
        <w:tc>
          <w:tcPr>
            <w:tcW w:w="409" w:type="dxa"/>
            <w:noWrap w:val="0"/>
            <w:vAlign w:val="center"/>
          </w:tcPr>
          <w:p w14:paraId="04E9E22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26</w:t>
            </w:r>
          </w:p>
        </w:tc>
        <w:tc>
          <w:tcPr>
            <w:tcW w:w="1012" w:type="dxa"/>
            <w:noWrap w:val="0"/>
            <w:vAlign w:val="center"/>
          </w:tcPr>
          <w:p w14:paraId="0B2F35D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对小餐饮的食品安全行政检查</w:t>
            </w:r>
          </w:p>
        </w:tc>
        <w:tc>
          <w:tcPr>
            <w:tcW w:w="873" w:type="dxa"/>
            <w:noWrap w:val="0"/>
            <w:vAlign w:val="center"/>
          </w:tcPr>
          <w:p w14:paraId="3DBBFFA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4777532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《湖南省食品生产加工小作坊小餐饮和食品摊贩管理条例》</w:t>
            </w:r>
          </w:p>
          <w:p w14:paraId="5D816E3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第二十八条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县级以上人民政府应当组织市场监督管理等有关部门制定小作坊、小餐饮和食品摊贩的食品安全监督管理计划，对存在的区域性、普遍性食品安全问题组织专项检查，开展综合治理。</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乡镇人民政府、街道办事处应当开展小作坊、小餐饮和食品摊贩食品安全隐患排查。村（居）民委员会确定的食品安全协管员协助开展安全隐患排查和信息报告等工作。</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第二十九条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县级以上人民政府市场监督管理等有关部门应当建立健全小作坊、小餐饮和食品摊贩的监督检查制度，通过日常巡查、定期检查和抽样检验等方式加强日常监督检查。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县级人民政府市场监督管理部门应当建立小作坊、小餐饮食品安全信用档案，依法公布并及时更新；对安全风险隐患较高或者有不良信用记录的小作坊、小餐饮进行重点监管。</w:t>
            </w:r>
          </w:p>
        </w:tc>
        <w:tc>
          <w:tcPr>
            <w:tcW w:w="983" w:type="dxa"/>
            <w:noWrap w:val="0"/>
            <w:vAlign w:val="center"/>
          </w:tcPr>
          <w:p w14:paraId="2391E70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餐饮股</w:t>
            </w:r>
          </w:p>
        </w:tc>
        <w:tc>
          <w:tcPr>
            <w:tcW w:w="1000" w:type="dxa"/>
            <w:noWrap w:val="0"/>
            <w:vAlign w:val="center"/>
          </w:tcPr>
          <w:p w14:paraId="02FC521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小餐饮经营者</w:t>
            </w:r>
          </w:p>
        </w:tc>
        <w:tc>
          <w:tcPr>
            <w:tcW w:w="3833" w:type="dxa"/>
            <w:noWrap w:val="0"/>
            <w:vAlign w:val="center"/>
          </w:tcPr>
          <w:p w14:paraId="4A21FB5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执行食品安全法律、法规、规章和食品安全标准等情况</w:t>
            </w:r>
          </w:p>
        </w:tc>
        <w:tc>
          <w:tcPr>
            <w:tcW w:w="650" w:type="dxa"/>
            <w:noWrap w:val="0"/>
            <w:vAlign w:val="center"/>
          </w:tcPr>
          <w:p w14:paraId="00C6704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非</w:t>
            </w: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结合</w:t>
            </w:r>
          </w:p>
        </w:tc>
        <w:tc>
          <w:tcPr>
            <w:tcW w:w="650" w:type="dxa"/>
            <w:shd w:val="clear" w:color="auto" w:fill="auto"/>
            <w:noWrap w:val="0"/>
            <w:vAlign w:val="center"/>
          </w:tcPr>
          <w:p w14:paraId="1A7D7DB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风险分类抽查</w:t>
            </w:r>
          </w:p>
        </w:tc>
        <w:tc>
          <w:tcPr>
            <w:tcW w:w="1175" w:type="dxa"/>
            <w:shd w:val="clear" w:color="auto" w:fill="auto"/>
            <w:noWrap w:val="0"/>
            <w:vAlign w:val="center"/>
          </w:tcPr>
          <w:p w14:paraId="3F3998C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r>
              <w:rPr>
                <w:rFonts w:hint="default" w:ascii="Times New Roman" w:hAnsi="Times New Roman" w:eastAsia="方正仿宋_GBK" w:cs="Times New Roman"/>
                <w:i w:val="0"/>
                <w:color w:val="000000"/>
                <w:w w:val="80"/>
                <w:kern w:val="0"/>
                <w:sz w:val="24"/>
                <w:szCs w:val="24"/>
                <w:u w:val="none"/>
                <w:lang w:val="en-US" w:eastAsia="zh-CN" w:bidi="ar"/>
              </w:rPr>
              <w:t>根据食品安全风险分级结果，对风险等级为A级风险的食用农产品开办者，原则上每年至少监督检查1次；对风险等级为B级风险的食用农产品开办者，原则上每年至少监督检查1—2次；对风险等级为C级风险的食用农产品开办者，原则上每年至少监督检查2—3次；对风险等级为D级风险的食用农产品开办者，原则上每年至少监督检查3—4次。</w:t>
            </w:r>
          </w:p>
        </w:tc>
      </w:tr>
      <w:tr w14:paraId="06C26D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09" w:type="dxa"/>
            <w:noWrap w:val="0"/>
            <w:vAlign w:val="center"/>
          </w:tcPr>
          <w:p w14:paraId="66B7E39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27</w:t>
            </w:r>
          </w:p>
        </w:tc>
        <w:tc>
          <w:tcPr>
            <w:tcW w:w="1012" w:type="dxa"/>
            <w:noWrap w:val="0"/>
            <w:vAlign w:val="center"/>
          </w:tcPr>
          <w:p w14:paraId="18C8755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对市场销售食用农产品经营者的质量安全行政检查</w:t>
            </w:r>
          </w:p>
        </w:tc>
        <w:tc>
          <w:tcPr>
            <w:tcW w:w="873" w:type="dxa"/>
            <w:noWrap w:val="0"/>
            <w:vAlign w:val="center"/>
          </w:tcPr>
          <w:p w14:paraId="148C7C6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25DE78E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4D5585E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第一百零九条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县级以上人民政府食品安全监督管理部门根据食品安全风险监测、风险评估结果和食品安全状况等，确定监督管理的重点、方式和频次，实施风险分级管理。</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县级以上地方人民政府组织本级食品安全监督管理、农业行政等部门制定本行政区域的食品安全年度监督管理计划，向社会公布并组织实施。</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食品安全年度监督管理计划应当将下列事项作为监督管理的重点：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（三）发生食品安全事故风险较高的食品生产经营者；</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（四）食品安全风险监测结果表明可能存在食品安全隐患的事项。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4C2218F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第一百一十条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县级以上人民政府食品药品监督管理、质量监督部门履行各自食品安全监督管理职责，有权采取下列措施，对生产经营者遵守本法的情况进行监督检查：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（一）进入生产经营场所实施现场检查；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（二）对生产经营的食品、食品添加剂、食品相关产品进行抽样检验；</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（三）查阅、复制有关合同、票据、账簿以及其他有关资料；</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（四）查封、扣押有证据证明不符合食品安全标准或者有证据证明存在安全隐患以及用于违法生产经营的食品、食品添加剂、食品相关产品；</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（五）查封违法从事生产经营活动的场所。</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《食用农产品市场销售质量安全监督管理办法》</w:t>
            </w:r>
          </w:p>
          <w:p w14:paraId="1B56393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第二十九条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县级以上市场监督管理部门按照本行政区域食品安全年度监督管理计划，对集中交易市场开办者、销售者及其委托的贮存服务提供者遵守本办法情况进行日常监督检查：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（一）对食用农产品销售、贮存等场所、设施、设备，以及信息公示情况等进行现场检查；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（二）向当事人和其他有关人员调查了解与食用农产品销售活动和质量安全有关的情况；</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（三）检查食用农产品进货查验记录制度落实情况，查阅、复制与食用农产品质量安全有关的记录、协议、发票以及其他资料；</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（六）对食用农产品进行抽样，送有资质的食品检验机构进行检验；</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（七）对有证据证明不符合食品安全标准或者有证据证明存在质量安全隐患以及用于违法生产经营的食用农产品，有权查封、扣押、监督销毁；</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（八）依法查封违法从事食用农产品销售活动的场所。</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集中交易市场开办者、销售者及其委托的贮存服务提供者对市场监督管理部门依法实施的监督检查应当予以配合，不得拒绝、阻挠、干涉。</w:t>
            </w:r>
          </w:p>
        </w:tc>
        <w:tc>
          <w:tcPr>
            <w:tcW w:w="983" w:type="dxa"/>
            <w:noWrap w:val="0"/>
            <w:vAlign w:val="center"/>
          </w:tcPr>
          <w:p w14:paraId="7B08265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食品流通股</w:t>
            </w:r>
          </w:p>
        </w:tc>
        <w:tc>
          <w:tcPr>
            <w:tcW w:w="1000" w:type="dxa"/>
            <w:noWrap w:val="0"/>
            <w:vAlign w:val="center"/>
          </w:tcPr>
          <w:p w14:paraId="037EC320">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市场销售食用农产品经营者</w:t>
            </w:r>
          </w:p>
        </w:tc>
        <w:tc>
          <w:tcPr>
            <w:tcW w:w="3833" w:type="dxa"/>
            <w:noWrap w:val="0"/>
            <w:vAlign w:val="center"/>
          </w:tcPr>
          <w:p w14:paraId="0A78CF4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用农产品销售者一般规定执行、禁止性规定执行、经营场所环境卫生、经营过程控制、进货查验、食用农产品贮存、食用农产品召回、温度控制及记录、不符合食品安全标准食品处置、食品安全自查、从业人员管理、食品安全事故处置、网络食用农产品销售等执行食品安全法律、法规、规章和食品安全标准等情况</w:t>
            </w:r>
          </w:p>
        </w:tc>
        <w:tc>
          <w:tcPr>
            <w:tcW w:w="650" w:type="dxa"/>
            <w:noWrap w:val="0"/>
            <w:vAlign w:val="center"/>
          </w:tcPr>
          <w:p w14:paraId="62B44DF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非</w:t>
            </w: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结合</w:t>
            </w:r>
          </w:p>
        </w:tc>
        <w:tc>
          <w:tcPr>
            <w:tcW w:w="650" w:type="dxa"/>
            <w:shd w:val="clear" w:color="auto" w:fill="auto"/>
            <w:noWrap w:val="0"/>
            <w:vAlign w:val="center"/>
          </w:tcPr>
          <w:p w14:paraId="00AC6B9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风险分类抽查</w:t>
            </w:r>
          </w:p>
        </w:tc>
        <w:tc>
          <w:tcPr>
            <w:tcW w:w="1175" w:type="dxa"/>
            <w:shd w:val="clear" w:color="auto" w:fill="auto"/>
            <w:noWrap w:val="0"/>
            <w:vAlign w:val="center"/>
          </w:tcPr>
          <w:p w14:paraId="0877D559">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r>
              <w:rPr>
                <w:rFonts w:hint="default" w:ascii="Times New Roman" w:hAnsi="Times New Roman" w:eastAsia="方正仿宋_GBK" w:cs="Times New Roman"/>
                <w:i w:val="0"/>
                <w:color w:val="000000"/>
                <w:w w:val="80"/>
                <w:kern w:val="0"/>
                <w:sz w:val="24"/>
                <w:szCs w:val="24"/>
                <w:u w:val="none"/>
                <w:lang w:val="en-US" w:eastAsia="zh-CN" w:bidi="ar"/>
              </w:rPr>
              <w:t>根据食品安全风险分级结果，对风险等级为A级风险的食用农产品开办者，原则上每年至少监督检查1次；对风险等级为B级风险的食用农产品开办者，原则上每年至少监督检查1—2次；对风险等级为C级风险的食用农产品开办者，原则上每年至少监督检查2—3次；对风险等级为D级风险的食用农产品开办者，原则上每年至少监督检查3—4次。</w:t>
            </w:r>
          </w:p>
        </w:tc>
      </w:tr>
      <w:tr w14:paraId="1C32B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61" w:hRule="atLeast"/>
          <w:jc w:val="center"/>
        </w:trPr>
        <w:tc>
          <w:tcPr>
            <w:tcW w:w="409" w:type="dxa"/>
            <w:noWrap w:val="0"/>
            <w:vAlign w:val="center"/>
          </w:tcPr>
          <w:p w14:paraId="16D99AC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28</w:t>
            </w:r>
          </w:p>
        </w:tc>
        <w:tc>
          <w:tcPr>
            <w:tcW w:w="1012" w:type="dxa"/>
            <w:noWrap w:val="0"/>
            <w:vAlign w:val="center"/>
          </w:tcPr>
          <w:p w14:paraId="23E3B0F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对食用农产品集中交易市场开办者的行政检查</w:t>
            </w:r>
          </w:p>
        </w:tc>
        <w:tc>
          <w:tcPr>
            <w:tcW w:w="873" w:type="dxa"/>
            <w:noWrap w:val="0"/>
            <w:vAlign w:val="center"/>
          </w:tcPr>
          <w:p w14:paraId="49181BB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559226C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318958C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第一百零九条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县级以上人民政府食品安全监督管理部门根据食品安全风险监测、风险评估结果和食品安全状况等，确定监督管理的重点、方式和频次，实施风险分级管理。</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县级以上地方人民政府组织本级食品安全监督管理、农业行政等部门制定本行政区域的食品安全年度监督管理计划，向社会公布并组织实施。</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食品安全年度监督管理计划应当将下列事项作为监督管理的重点：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（三）发生食品安全事故风险较高的食品生产经营者；</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（四）食品安全风险监测结果表明可能存在食品安全隐患的事项。</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509D28F6">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第一百一十条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县级以上人民政府食品药品监督管理、质量监督部门履行各自食品安全监督管理职责，有权采取下列措施，对生产经营者遵守本法的情况进行监督检查：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（一）进入生产经营场所实施现场检查；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（二）对生产经营的食品、食品添加剂、食品相关产品进行抽样检验；</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（三）查阅、复制有关合同、票据、账簿以及其他有关资料；</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（四）查封、扣押有证据证明不符合食品安全标准或者有证据证明存在安全隐患以及用于违法生产经营的食品、食品添加剂、食品相关产品；</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（五）查封违法从事生产经营活动的场所。</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《食用农产品市场销售质量安全监督管理办法》</w:t>
            </w:r>
          </w:p>
          <w:p w14:paraId="4E9F92C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第二十九条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县级以上市场监督管理部门按照本行政区域食品安全年度监督管理计划，对集中交易市场开办者、销售者及其委托的贮存服务提供者遵守本办法情况进行日常监督检查：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（一）对食用农产品销售、贮存等场所、设施、设备，以及信息公示情况等进行现场检查；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（二）向当事人和其他有关人员调查了解与食用农产品销售活动和质量安全有关的情况；</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（三）检查食用农产品进货查验记录制度落实情况，查阅、复制与食用农产品质量安全有关的记录、协议、发票以及其他资料；</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（四）检查集中交易市场抽样检验情况；</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（五）对集中交易市场的食品安全总监、食品安全员随机进行监督抽查考核并公布考核结果；</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（八）依法查封违法从事食用农产品销售活动的场所。</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集中交易市场开办者、销售者及其委托的贮存服务提供者对市场监督管理部门依法实施的监督检查应当予以配合，不得拒绝、阻挠、干涉。</w:t>
            </w:r>
          </w:p>
        </w:tc>
        <w:tc>
          <w:tcPr>
            <w:tcW w:w="983" w:type="dxa"/>
            <w:noWrap w:val="0"/>
            <w:vAlign w:val="center"/>
          </w:tcPr>
          <w:p w14:paraId="529D3F5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食品流通股</w:t>
            </w:r>
          </w:p>
        </w:tc>
        <w:tc>
          <w:tcPr>
            <w:tcW w:w="1000" w:type="dxa"/>
            <w:noWrap w:val="0"/>
            <w:vAlign w:val="center"/>
          </w:tcPr>
          <w:p w14:paraId="4C11E7A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食用农产品集中交易市场开办者</w:t>
            </w:r>
          </w:p>
        </w:tc>
        <w:tc>
          <w:tcPr>
            <w:tcW w:w="3833" w:type="dxa"/>
            <w:noWrap w:val="0"/>
            <w:vAlign w:val="center"/>
          </w:tcPr>
          <w:p w14:paraId="0781C50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用农产品集中交易市场开办者举办前报告、建立健全食品安全管理制度、履行入场销售者登记建档、签订协议、入场查验、场内检查、信息公示、食品安全违法行为制止及报告、食品安全事故处置、投诉举报处置等执行食品安全法律、法规、规章和食品安全标准等情况，食用农产品批发市场开办者履行抽样检验、统一销售凭证格式以及监督入场销售者开具销售凭证等情况。</w:t>
            </w:r>
          </w:p>
        </w:tc>
        <w:tc>
          <w:tcPr>
            <w:tcW w:w="650" w:type="dxa"/>
            <w:noWrap w:val="0"/>
            <w:vAlign w:val="center"/>
          </w:tcPr>
          <w:p w14:paraId="57FA7558">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现场检查、非现场检查相结合</w:t>
            </w:r>
          </w:p>
        </w:tc>
        <w:tc>
          <w:tcPr>
            <w:tcW w:w="650" w:type="dxa"/>
            <w:noWrap w:val="0"/>
            <w:vAlign w:val="center"/>
          </w:tcPr>
          <w:p w14:paraId="6A47415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风险分类抽查</w:t>
            </w:r>
          </w:p>
        </w:tc>
        <w:tc>
          <w:tcPr>
            <w:tcW w:w="1175" w:type="dxa"/>
            <w:noWrap w:val="0"/>
            <w:vAlign w:val="center"/>
          </w:tcPr>
          <w:p w14:paraId="73F7248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r>
              <w:rPr>
                <w:rFonts w:hint="default" w:ascii="Times New Roman" w:hAnsi="Times New Roman" w:eastAsia="方正仿宋_GBK" w:cs="Times New Roman"/>
                <w:i w:val="0"/>
                <w:color w:val="000000"/>
                <w:w w:val="80"/>
                <w:kern w:val="0"/>
                <w:sz w:val="24"/>
                <w:szCs w:val="24"/>
                <w:u w:val="none"/>
                <w:lang w:val="en-US" w:eastAsia="zh-CN" w:bidi="ar"/>
              </w:rPr>
              <w:t>根据食品安全风险分级结果，对风险等级为A级风险的食用农产品开办者，原则上每年至少监督检查1次；对风险等级为B级风险的食用农产品开办者，原则上每年至少监督检查1—2次；对风险等级为C级风险的食用农产品开办者，原则上每年至少监督检查2—3次；对风险等级为D级风险的食用农产品开办者，原则上每年至少监督检查3—4次。</w:t>
            </w:r>
          </w:p>
        </w:tc>
      </w:tr>
      <w:tr w14:paraId="555EA7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09" w:type="dxa"/>
            <w:noWrap w:val="0"/>
            <w:vAlign w:val="center"/>
          </w:tcPr>
          <w:p w14:paraId="78E950F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29</w:t>
            </w:r>
          </w:p>
        </w:tc>
        <w:tc>
          <w:tcPr>
            <w:tcW w:w="1012" w:type="dxa"/>
            <w:noWrap w:val="0"/>
            <w:vAlign w:val="center"/>
          </w:tcPr>
          <w:p w14:paraId="1325490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对特殊食品经营单位的监督检查</w:t>
            </w:r>
          </w:p>
        </w:tc>
        <w:tc>
          <w:tcPr>
            <w:tcW w:w="873" w:type="dxa"/>
            <w:noWrap w:val="0"/>
            <w:vAlign w:val="center"/>
          </w:tcPr>
          <w:p w14:paraId="2020C1E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1877166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《中华人民共和国食品安全法》</w:t>
            </w:r>
          </w:p>
          <w:p w14:paraId="641A91B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第一百一十条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县级以上人民政府食品安全监督管理部门履行食品安全监督管理职责，有权采取下列措施，对生产经营者遵守本法的情况进行监督检查：（一）进入生产经营场所实施现场检查；</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（二）对生产经营的食品、食品添加剂、食品相关产品进行抽样检验；</w:t>
            </w:r>
            <w:r>
              <w:rPr>
                <w:rFonts w:hint="default" w:ascii="Times New Roman" w:hAnsi="Times New Roman" w:eastAsia="方正仿宋_GBK" w:cs="Times New Roman"/>
                <w:i w:val="0"/>
                <w:color w:val="000000"/>
                <w:kern w:val="0"/>
                <w:sz w:val="24"/>
                <w:szCs w:val="24"/>
                <w:u w:val="none"/>
                <w:lang w:val="en-US" w:eastAsia="zh-CN" w:bidi="ar"/>
              </w:rPr>
              <w:br w:type="textWrapping"/>
            </w:r>
            <w:r>
              <w:rPr>
                <w:rFonts w:hint="default" w:ascii="Times New Roman" w:hAnsi="Times New Roman" w:eastAsia="方正仿宋_GBK" w:cs="Times New Roman"/>
                <w:i w:val="0"/>
                <w:color w:val="000000"/>
                <w:kern w:val="0"/>
                <w:sz w:val="24"/>
                <w:szCs w:val="24"/>
                <w:u w:val="none"/>
                <w:lang w:val="en-US" w:eastAsia="zh-CN" w:bidi="ar"/>
              </w:rPr>
              <w:t>（三）查阅、复制有关合同、票据、账簿以及其他有关资料；</w:t>
            </w:r>
          </w:p>
        </w:tc>
        <w:tc>
          <w:tcPr>
            <w:tcW w:w="983" w:type="dxa"/>
            <w:noWrap w:val="0"/>
            <w:vAlign w:val="center"/>
          </w:tcPr>
          <w:p w14:paraId="0EF8381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特化股</w:t>
            </w:r>
          </w:p>
        </w:tc>
        <w:tc>
          <w:tcPr>
            <w:tcW w:w="1000" w:type="dxa"/>
            <w:noWrap w:val="0"/>
            <w:vAlign w:val="center"/>
          </w:tcPr>
          <w:p w14:paraId="48D1AF4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特殊食品经营单位</w:t>
            </w:r>
          </w:p>
        </w:tc>
        <w:tc>
          <w:tcPr>
            <w:tcW w:w="3833" w:type="dxa"/>
            <w:noWrap w:val="0"/>
            <w:vAlign w:val="center"/>
          </w:tcPr>
          <w:p w14:paraId="581C1BC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品销售者资质、一般规定执行、禁止性规定执行、经营场所环境卫生、经营过程控制、进货查验、食品贮存、食品召回、温度控制及记录、过期及其他不符合食品安全标准食品处置、标签和说明书、食品安全自查、从业人员管理、食品安全事故处置、进口食品销售、食用农产品销售、网络食品销售</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禁止混放要求落实等情况。</w:t>
            </w:r>
          </w:p>
        </w:tc>
        <w:tc>
          <w:tcPr>
            <w:tcW w:w="650" w:type="dxa"/>
            <w:noWrap w:val="0"/>
            <w:vAlign w:val="center"/>
          </w:tcPr>
          <w:p w14:paraId="0DF7A25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现场检查</w:t>
            </w:r>
          </w:p>
        </w:tc>
        <w:tc>
          <w:tcPr>
            <w:tcW w:w="650" w:type="dxa"/>
            <w:shd w:val="clear" w:color="auto" w:fill="auto"/>
            <w:noWrap w:val="0"/>
            <w:vAlign w:val="center"/>
          </w:tcPr>
          <w:p w14:paraId="1DBC2A19">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398201F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7DF5B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4345EBB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30</w:t>
            </w:r>
          </w:p>
        </w:tc>
        <w:tc>
          <w:tcPr>
            <w:tcW w:w="1012" w:type="dxa"/>
            <w:noWrap w:val="0"/>
            <w:vAlign w:val="center"/>
          </w:tcPr>
          <w:p w14:paraId="607D351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对食盐生产、经营的监督检查</w:t>
            </w:r>
          </w:p>
        </w:tc>
        <w:tc>
          <w:tcPr>
            <w:tcW w:w="873" w:type="dxa"/>
            <w:noWrap w:val="0"/>
            <w:vAlign w:val="center"/>
          </w:tcPr>
          <w:p w14:paraId="4070F15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296E0A8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《食盐专营办法》</w:t>
            </w:r>
          </w:p>
          <w:p w14:paraId="62A3BA7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第四条</w:t>
            </w:r>
            <w:r>
              <w:rPr>
                <w:rFonts w:hint="eastAsia" w:eastAsia="方正仿宋_GBK" w:cs="Times New Roman"/>
                <w:i w:val="0"/>
                <w:color w:val="000000"/>
                <w:kern w:val="0"/>
                <w:sz w:val="24"/>
                <w:szCs w:val="24"/>
                <w:u w:val="none"/>
                <w:lang w:val="en-US" w:eastAsia="zh-CN" w:bidi="ar"/>
              </w:rPr>
              <w:t xml:space="preserve">  </w:t>
            </w:r>
            <w:r>
              <w:rPr>
                <w:rFonts w:hint="default" w:ascii="Times New Roman" w:hAnsi="Times New Roman" w:eastAsia="方正仿宋_GBK" w:cs="Times New Roman"/>
                <w:i w:val="0"/>
                <w:color w:val="000000"/>
                <w:kern w:val="0"/>
                <w:sz w:val="24"/>
                <w:szCs w:val="24"/>
                <w:u w:val="none"/>
                <w:lang w:val="en-US" w:eastAsia="zh-CN" w:bidi="ar"/>
              </w:rPr>
              <w:t>国务院盐业主管部门主管全国盐业工作，负责管理全国食盐专营工作。县级以上地方人民政府确定的盐业主管部门负责管理本行政区域的食盐专营工作。</w:t>
            </w:r>
          </w:p>
          <w:p w14:paraId="76431DD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国务院食品药品监督管理部门负责全国食盐质量安全监督管理。县级以上地方人民政府确定的食盐质量安全监督管理部门负责本行政区域的食盐质量安全监督管理。</w:t>
            </w:r>
          </w:p>
        </w:tc>
        <w:tc>
          <w:tcPr>
            <w:tcW w:w="983" w:type="dxa"/>
            <w:noWrap w:val="0"/>
            <w:vAlign w:val="center"/>
          </w:tcPr>
          <w:p w14:paraId="2E226CD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特化股</w:t>
            </w:r>
          </w:p>
        </w:tc>
        <w:tc>
          <w:tcPr>
            <w:tcW w:w="1000" w:type="dxa"/>
            <w:noWrap w:val="0"/>
            <w:vAlign w:val="center"/>
          </w:tcPr>
          <w:p w14:paraId="5175C2A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食盐生产、经营</w:t>
            </w:r>
            <w:r>
              <w:rPr>
                <w:rFonts w:hint="eastAsia" w:eastAsia="方正仿宋_GBK" w:cs="Times New Roman"/>
                <w:i w:val="0"/>
                <w:color w:val="000000"/>
                <w:kern w:val="0"/>
                <w:sz w:val="24"/>
                <w:szCs w:val="24"/>
                <w:u w:val="none"/>
                <w:lang w:val="en-US" w:eastAsia="zh-CN" w:bidi="ar"/>
              </w:rPr>
              <w:t>单位</w:t>
            </w:r>
          </w:p>
        </w:tc>
        <w:tc>
          <w:tcPr>
            <w:tcW w:w="3833" w:type="dxa"/>
            <w:noWrap w:val="0"/>
            <w:vAlign w:val="center"/>
          </w:tcPr>
          <w:p w14:paraId="14B86B1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食盐生产、经营监管</w:t>
            </w:r>
          </w:p>
        </w:tc>
        <w:tc>
          <w:tcPr>
            <w:tcW w:w="650" w:type="dxa"/>
            <w:noWrap w:val="0"/>
            <w:vAlign w:val="center"/>
          </w:tcPr>
          <w:p w14:paraId="12C4F84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w:t>
            </w:r>
          </w:p>
        </w:tc>
        <w:tc>
          <w:tcPr>
            <w:tcW w:w="650" w:type="dxa"/>
            <w:shd w:val="clear" w:color="auto" w:fill="auto"/>
            <w:noWrap w:val="0"/>
            <w:vAlign w:val="center"/>
          </w:tcPr>
          <w:p w14:paraId="175BECD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76893C6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311F3E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5173E28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val="en-US" w:eastAsia="zh-CN"/>
              </w:rPr>
              <w:t>31</w:t>
            </w:r>
          </w:p>
        </w:tc>
        <w:tc>
          <w:tcPr>
            <w:tcW w:w="1012" w:type="dxa"/>
            <w:noWrap w:val="0"/>
            <w:vAlign w:val="center"/>
          </w:tcPr>
          <w:p w14:paraId="1B7911A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对特种设备生产、经营、使用单位和检验、检测机构的行政检查</w:t>
            </w:r>
          </w:p>
        </w:tc>
        <w:tc>
          <w:tcPr>
            <w:tcW w:w="873" w:type="dxa"/>
            <w:noWrap w:val="0"/>
            <w:vAlign w:val="center"/>
          </w:tcPr>
          <w:p w14:paraId="2956D4F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5F0E2DE4">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Style w:val="11"/>
                <w:rFonts w:hint="default" w:ascii="Times New Roman" w:hAnsi="Times New Roman" w:eastAsia="方正仿宋_GBK" w:cs="Times New Roman"/>
                <w:b w:val="0"/>
                <w:bCs/>
                <w:sz w:val="24"/>
                <w:szCs w:val="24"/>
                <w:lang w:val="en-US" w:eastAsia="zh-CN" w:bidi="ar"/>
              </w:rPr>
            </w:pPr>
            <w:r>
              <w:rPr>
                <w:rFonts w:hint="default" w:ascii="Times New Roman" w:hAnsi="Times New Roman" w:eastAsia="方正仿宋_GBK" w:cs="Times New Roman"/>
                <w:b w:val="0"/>
                <w:bCs/>
                <w:i w:val="0"/>
                <w:color w:val="000000"/>
                <w:kern w:val="0"/>
                <w:sz w:val="24"/>
                <w:szCs w:val="24"/>
                <w:u w:val="none"/>
                <w:lang w:val="en-US" w:eastAsia="zh-CN" w:bidi="ar"/>
              </w:rPr>
              <w:t>《中华人民共和国特种设备安全法》</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第五条</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县级以上地方各级人民政府负责特种设备安全监督管理的部门对本行政区域内特种设备实施安全监督管理。</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第五十七条第一款</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负责特种设备安全监督管理的部门依照本法规定，对特种设备生产、经营、使用单位和检验、检测机构实施监督检查。</w:t>
            </w:r>
          </w:p>
          <w:p w14:paraId="68EFA87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Style w:val="12"/>
                <w:rFonts w:hint="default" w:ascii="Times New Roman" w:hAnsi="Times New Roman" w:eastAsia="方正仿宋_GBK" w:cs="Times New Roman"/>
                <w:b w:val="0"/>
                <w:bCs/>
                <w:sz w:val="24"/>
                <w:szCs w:val="24"/>
                <w:lang w:val="en-US" w:eastAsia="zh-CN" w:bidi="ar"/>
              </w:rPr>
              <w:t>《特种设备安全监督检查办法》</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第二条</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市场监督管理部门对特种设备生产（包括设计、制造、安装、改造、修理）、经营、使用（含充装，下同）单位和检验、检测机构实施监督检查，</w:t>
            </w:r>
            <w:r>
              <w:rPr>
                <w:rStyle w:val="11"/>
                <w:rFonts w:hint="eastAsia" w:eastAsia="方正仿宋_GBK" w:cs="Times New Roman"/>
                <w:b w:val="0"/>
                <w:bCs/>
                <w:sz w:val="24"/>
                <w:szCs w:val="24"/>
                <w:lang w:val="en-US" w:eastAsia="zh-CN" w:bidi="ar"/>
              </w:rPr>
              <w:t>适用</w:t>
            </w:r>
            <w:r>
              <w:rPr>
                <w:rStyle w:val="11"/>
                <w:rFonts w:hint="default" w:ascii="Times New Roman" w:hAnsi="Times New Roman" w:eastAsia="方正仿宋_GBK" w:cs="Times New Roman"/>
                <w:b w:val="0"/>
                <w:bCs/>
                <w:sz w:val="24"/>
                <w:szCs w:val="24"/>
                <w:lang w:val="en-US" w:eastAsia="zh-CN" w:bidi="ar"/>
              </w:rPr>
              <w:t>本办法。</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第三条第二款</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县级以上市场监督管理部门负责本行政区域内的特种设备安全监督检查工作，依据上级市场监督管理部门部署或者实际工作需要，组织开展监督检查。</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第三条第三款</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市场监督管理所依照市场监管法律、法规、规章有关规定以及上级市场监督管理部门确定的权限，承担相关特种设备安全监督检查工作。</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第七条</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市级市场监督管理部门负责制定年度常规监督检查计划，确定辖区内市场监管部门任务分工，并分级负责实施。年度常规监督检查计划应报告同级人民政府。对特种设备生产单位开展的年度常规监督检查计划还应当同时报告省级市场监督管理部门。</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第十条</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市场监督管理部门为防范区域性、系统性风险，做好重大活动、重点工程以及节假日等重点时段安全保障，或者根据各级人民政府和上级市场监督管理部门的统一部署，在特定时间内对特定区域、领域的特种设备生产、经营、使用单位和检验、检测机构实施专项监督检查。</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第十二条</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市场监督管理部门对其许可的特种设备生产、充装单位和检验、检测机构是否持续保持许可条件、依法从事许可活动实施证后监督检查。</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第十三条</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证后监督检查由实施行政许可的市场监督管理部门负责组织实施，或者委托下级市场监督管理部门组织实施。</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第十八条</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市场监督管理部门对其他部门移送、上级交办、投诉、举报等途径和检验、检测、监测等方式发现的特种设备安全违法行为或者事故隐患线索，根据需要可以对特种设备生产、经营、使用单位和检验、检测机构实施监督检查。</w:t>
            </w:r>
            <w:r>
              <w:rPr>
                <w:rStyle w:val="11"/>
                <w:rFonts w:hint="default" w:ascii="Times New Roman" w:hAnsi="Times New Roman" w:eastAsia="方正仿宋_GBK" w:cs="Times New Roman"/>
                <w:b w:val="0"/>
                <w:bCs/>
                <w:sz w:val="24"/>
                <w:szCs w:val="24"/>
                <w:lang w:val="en-US" w:eastAsia="zh-CN" w:bidi="ar"/>
              </w:rPr>
              <w:br w:type="textWrapping"/>
            </w:r>
            <w:r>
              <w:rPr>
                <w:rStyle w:val="11"/>
                <w:rFonts w:hint="default" w:ascii="Times New Roman" w:hAnsi="Times New Roman" w:eastAsia="方正仿宋_GBK" w:cs="Times New Roman"/>
                <w:b w:val="0"/>
                <w:bCs/>
                <w:sz w:val="24"/>
                <w:szCs w:val="24"/>
                <w:lang w:val="en-US" w:eastAsia="zh-CN" w:bidi="ar"/>
              </w:rPr>
              <w:t>第十九条</w:t>
            </w:r>
            <w:r>
              <w:rPr>
                <w:rStyle w:val="11"/>
                <w:rFonts w:hint="eastAsia" w:eastAsia="方正仿宋_GBK" w:cs="Times New Roman"/>
                <w:b w:val="0"/>
                <w:bCs/>
                <w:sz w:val="24"/>
                <w:szCs w:val="24"/>
                <w:lang w:val="en-US" w:eastAsia="zh-CN" w:bidi="ar"/>
              </w:rPr>
              <w:t xml:space="preserve">  </w:t>
            </w:r>
            <w:r>
              <w:rPr>
                <w:rStyle w:val="11"/>
                <w:rFonts w:hint="default" w:ascii="Times New Roman" w:hAnsi="Times New Roman" w:eastAsia="方正仿宋_GBK" w:cs="Times New Roman"/>
                <w:b w:val="0"/>
                <w:bCs/>
                <w:sz w:val="24"/>
                <w:szCs w:val="24"/>
                <w:lang w:val="en-US" w:eastAsia="zh-CN" w:bidi="ar"/>
              </w:rPr>
              <w:t>市场监督管理部门实施监督检查时，应当有二名以上检查人员参加，出示有效的特种设备安全行政执法证件，并说明检查的任务来源、依据、内容、要求等。</w:t>
            </w:r>
          </w:p>
        </w:tc>
        <w:tc>
          <w:tcPr>
            <w:tcW w:w="983" w:type="dxa"/>
            <w:noWrap w:val="0"/>
            <w:vAlign w:val="center"/>
          </w:tcPr>
          <w:p w14:paraId="6761950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特设股</w:t>
            </w:r>
          </w:p>
        </w:tc>
        <w:tc>
          <w:tcPr>
            <w:tcW w:w="1000" w:type="dxa"/>
            <w:noWrap w:val="0"/>
            <w:vAlign w:val="center"/>
          </w:tcPr>
          <w:p w14:paraId="2F43C30A">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特种设备生产、经营、使用单位和检验、检测机构</w:t>
            </w:r>
          </w:p>
        </w:tc>
        <w:tc>
          <w:tcPr>
            <w:tcW w:w="3833" w:type="dxa"/>
            <w:noWrap w:val="0"/>
            <w:vAlign w:val="center"/>
          </w:tcPr>
          <w:p w14:paraId="1B885C0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《特种设备生产单位常规监督检查项目表</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特种设备使用单位常规监督检查项目表</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特种设备检验、检测机构专项监督检查项目表</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特种设备生产和充装单位许可规则</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特种设备检验机构核准规则</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特种设备检测机构核准规则》以及特种设备相关的技术规范要求</w:t>
            </w:r>
          </w:p>
        </w:tc>
        <w:tc>
          <w:tcPr>
            <w:tcW w:w="650" w:type="dxa"/>
            <w:noWrap w:val="0"/>
            <w:vAlign w:val="center"/>
          </w:tcPr>
          <w:p w14:paraId="654EE0F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非</w:t>
            </w: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相结合</w:t>
            </w:r>
          </w:p>
        </w:tc>
        <w:tc>
          <w:tcPr>
            <w:tcW w:w="650" w:type="dxa"/>
            <w:shd w:val="clear" w:color="auto" w:fill="auto"/>
            <w:noWrap w:val="0"/>
            <w:vAlign w:val="center"/>
          </w:tcPr>
          <w:p w14:paraId="5349262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73350D6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73F9C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8" w:hRule="atLeast"/>
          <w:jc w:val="center"/>
        </w:trPr>
        <w:tc>
          <w:tcPr>
            <w:tcW w:w="409" w:type="dxa"/>
            <w:noWrap w:val="0"/>
            <w:vAlign w:val="center"/>
          </w:tcPr>
          <w:p w14:paraId="2DB82A2B">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val="en-US" w:eastAsia="zh-CN"/>
              </w:rPr>
              <w:t>32</w:t>
            </w:r>
          </w:p>
        </w:tc>
        <w:tc>
          <w:tcPr>
            <w:tcW w:w="1012" w:type="dxa"/>
            <w:noWrap w:val="0"/>
            <w:vAlign w:val="center"/>
          </w:tcPr>
          <w:p w14:paraId="373C540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对特种设备检验、检测机构的检验、检测结果和鉴定结论的行政检查</w:t>
            </w:r>
          </w:p>
        </w:tc>
        <w:tc>
          <w:tcPr>
            <w:tcW w:w="873" w:type="dxa"/>
            <w:noWrap w:val="0"/>
            <w:vAlign w:val="center"/>
          </w:tcPr>
          <w:p w14:paraId="3A3A2DD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sz w:val="24"/>
                <w:szCs w:val="24"/>
                <w:lang w:eastAsia="zh-CN"/>
              </w:rPr>
              <w:t>安化县市场监督管理局</w:t>
            </w:r>
          </w:p>
        </w:tc>
        <w:tc>
          <w:tcPr>
            <w:tcW w:w="5268" w:type="dxa"/>
            <w:noWrap w:val="0"/>
            <w:vAlign w:val="center"/>
          </w:tcPr>
          <w:p w14:paraId="5D4EECA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b w:val="0"/>
                <w:bCs/>
                <w:i w:val="0"/>
                <w:color w:val="000000"/>
                <w:kern w:val="0"/>
                <w:sz w:val="24"/>
                <w:szCs w:val="24"/>
                <w:u w:val="none"/>
                <w:lang w:val="en-US" w:eastAsia="zh-CN" w:bidi="ar"/>
              </w:rPr>
              <w:t>《中华人民共和国特种设备安全法》</w:t>
            </w:r>
            <w:r>
              <w:rPr>
                <w:rFonts w:hint="default" w:ascii="Times New Roman" w:hAnsi="Times New Roman" w:eastAsia="方正仿宋_GBK" w:cs="Times New Roman"/>
                <w:b w:val="0"/>
                <w:bCs/>
                <w:i w:val="0"/>
                <w:color w:val="000000"/>
                <w:kern w:val="0"/>
                <w:sz w:val="24"/>
                <w:szCs w:val="24"/>
                <w:u w:val="none"/>
                <w:lang w:val="en-US" w:eastAsia="zh-CN" w:bidi="ar"/>
              </w:rPr>
              <w:br w:type="textWrapping"/>
            </w:r>
            <w:r>
              <w:rPr>
                <w:rFonts w:hint="default" w:ascii="Times New Roman" w:hAnsi="Times New Roman" w:eastAsia="方正仿宋_GBK" w:cs="Times New Roman"/>
                <w:b w:val="0"/>
                <w:bCs/>
                <w:i w:val="0"/>
                <w:color w:val="000000"/>
                <w:kern w:val="0"/>
                <w:sz w:val="24"/>
                <w:szCs w:val="24"/>
                <w:u w:val="none"/>
                <w:lang w:val="en-US" w:eastAsia="zh-CN" w:bidi="ar"/>
              </w:rPr>
              <w:t>第五条</w:t>
            </w:r>
            <w:r>
              <w:rPr>
                <w:rFonts w:hint="eastAsia" w:eastAsia="方正仿宋_GBK" w:cs="Times New Roman"/>
                <w:b w:val="0"/>
                <w:bCs/>
                <w:i w:val="0"/>
                <w:color w:val="000000"/>
                <w:kern w:val="0"/>
                <w:sz w:val="24"/>
                <w:szCs w:val="24"/>
                <w:u w:val="none"/>
                <w:lang w:val="en-US" w:eastAsia="zh-CN" w:bidi="ar"/>
              </w:rPr>
              <w:t xml:space="preserve">  </w:t>
            </w:r>
            <w:r>
              <w:rPr>
                <w:rFonts w:hint="default" w:ascii="Times New Roman" w:hAnsi="Times New Roman" w:eastAsia="方正仿宋_GBK" w:cs="Times New Roman"/>
                <w:b w:val="0"/>
                <w:bCs/>
                <w:i w:val="0"/>
                <w:color w:val="000000"/>
                <w:kern w:val="0"/>
                <w:sz w:val="24"/>
                <w:szCs w:val="24"/>
                <w:u w:val="none"/>
                <w:lang w:val="en-US" w:eastAsia="zh-CN" w:bidi="ar"/>
              </w:rPr>
              <w:t>县级以上地方各级人民政府负责特种设备安全监督管理的部门对本行政区域内特种设备实施安全监督管理。</w:t>
            </w:r>
            <w:r>
              <w:rPr>
                <w:rFonts w:hint="default" w:ascii="Times New Roman" w:hAnsi="Times New Roman" w:eastAsia="方正仿宋_GBK" w:cs="Times New Roman"/>
                <w:b w:val="0"/>
                <w:bCs/>
                <w:i w:val="0"/>
                <w:color w:val="000000"/>
                <w:kern w:val="0"/>
                <w:sz w:val="24"/>
                <w:szCs w:val="24"/>
                <w:u w:val="none"/>
                <w:lang w:val="en-US" w:eastAsia="zh-CN" w:bidi="ar"/>
              </w:rPr>
              <w:br w:type="textWrapping"/>
            </w:r>
            <w:r>
              <w:rPr>
                <w:rFonts w:hint="default" w:ascii="Times New Roman" w:hAnsi="Times New Roman" w:eastAsia="方正仿宋_GBK" w:cs="Times New Roman"/>
                <w:b w:val="0"/>
                <w:bCs/>
                <w:i w:val="0"/>
                <w:color w:val="000000"/>
                <w:kern w:val="0"/>
                <w:sz w:val="24"/>
                <w:szCs w:val="24"/>
                <w:u w:val="none"/>
                <w:lang w:val="en-US" w:eastAsia="zh-CN" w:bidi="ar"/>
              </w:rPr>
              <w:t>第五十三条第三款</w:t>
            </w:r>
            <w:r>
              <w:rPr>
                <w:rFonts w:hint="eastAsia" w:eastAsia="方正仿宋_GBK" w:cs="Times New Roman"/>
                <w:b w:val="0"/>
                <w:bCs/>
                <w:i w:val="0"/>
                <w:color w:val="000000"/>
                <w:kern w:val="0"/>
                <w:sz w:val="24"/>
                <w:szCs w:val="24"/>
                <w:u w:val="none"/>
                <w:lang w:val="en-US" w:eastAsia="zh-CN" w:bidi="ar"/>
              </w:rPr>
              <w:t xml:space="preserve">  </w:t>
            </w:r>
            <w:r>
              <w:rPr>
                <w:rFonts w:hint="default" w:ascii="Times New Roman" w:hAnsi="Times New Roman" w:eastAsia="方正仿宋_GBK" w:cs="Times New Roman"/>
                <w:b w:val="0"/>
                <w:bCs/>
                <w:i w:val="0"/>
                <w:color w:val="000000"/>
                <w:kern w:val="0"/>
                <w:sz w:val="24"/>
                <w:szCs w:val="24"/>
                <w:u w:val="none"/>
                <w:lang w:val="en-US" w:eastAsia="zh-CN" w:bidi="ar"/>
              </w:rPr>
              <w:t>负责特种设备安全监督管理的部门应当组织对特种设备检验、检测机构的检验、检测结果和鉴定结论进行监督抽查，但应当防止重复抽查。监督抽查结果应当向社会公布。</w:t>
            </w:r>
            <w:r>
              <w:rPr>
                <w:rFonts w:hint="default" w:ascii="Times New Roman" w:hAnsi="Times New Roman" w:eastAsia="方正仿宋_GBK" w:cs="Times New Roman"/>
                <w:b w:val="0"/>
                <w:bCs/>
                <w:i w:val="0"/>
                <w:color w:val="000000"/>
                <w:kern w:val="0"/>
                <w:sz w:val="24"/>
                <w:szCs w:val="24"/>
                <w:u w:val="none"/>
                <w:lang w:val="en-US" w:eastAsia="zh-CN" w:bidi="ar"/>
              </w:rPr>
              <w:br w:type="textWrapping"/>
            </w:r>
            <w:r>
              <w:rPr>
                <w:rFonts w:hint="default" w:ascii="Times New Roman" w:hAnsi="Times New Roman" w:eastAsia="方正仿宋_GBK" w:cs="Times New Roman"/>
                <w:b w:val="0"/>
                <w:bCs/>
                <w:i w:val="0"/>
                <w:color w:val="000000"/>
                <w:kern w:val="0"/>
                <w:sz w:val="24"/>
                <w:szCs w:val="24"/>
                <w:u w:val="none"/>
                <w:lang w:val="en-US" w:eastAsia="zh-CN" w:bidi="ar"/>
              </w:rPr>
              <w:t>第五十七条第一款</w:t>
            </w:r>
            <w:r>
              <w:rPr>
                <w:rFonts w:hint="eastAsia" w:eastAsia="方正仿宋_GBK" w:cs="Times New Roman"/>
                <w:b w:val="0"/>
                <w:bCs/>
                <w:i w:val="0"/>
                <w:color w:val="000000"/>
                <w:kern w:val="0"/>
                <w:sz w:val="24"/>
                <w:szCs w:val="24"/>
                <w:u w:val="none"/>
                <w:lang w:val="en-US" w:eastAsia="zh-CN" w:bidi="ar"/>
              </w:rPr>
              <w:t xml:space="preserve">  </w:t>
            </w:r>
            <w:r>
              <w:rPr>
                <w:rFonts w:hint="default" w:ascii="Times New Roman" w:hAnsi="Times New Roman" w:eastAsia="方正仿宋_GBK" w:cs="Times New Roman"/>
                <w:b w:val="0"/>
                <w:bCs/>
                <w:i w:val="0"/>
                <w:color w:val="000000"/>
                <w:kern w:val="0"/>
                <w:sz w:val="24"/>
                <w:szCs w:val="24"/>
                <w:u w:val="none"/>
                <w:lang w:val="en-US" w:eastAsia="zh-CN" w:bidi="ar"/>
              </w:rPr>
              <w:t>负责特种设备安全监督管理的部门依照本法规定，对特种设备生产、经营、使用单位和检验、检测机构实施监督检查。</w:t>
            </w:r>
            <w:r>
              <w:rPr>
                <w:rFonts w:hint="default" w:ascii="Times New Roman" w:hAnsi="Times New Roman" w:eastAsia="方正仿宋_GBK" w:cs="Times New Roman"/>
                <w:b w:val="0"/>
                <w:bCs/>
                <w:i w:val="0"/>
                <w:color w:val="000000"/>
                <w:kern w:val="0"/>
                <w:sz w:val="24"/>
                <w:szCs w:val="24"/>
                <w:u w:val="none"/>
                <w:lang w:val="en-US" w:eastAsia="zh-CN" w:bidi="ar"/>
              </w:rPr>
              <w:br w:type="textWrapping"/>
            </w:r>
            <w:r>
              <w:rPr>
                <w:rFonts w:hint="default" w:ascii="Times New Roman" w:hAnsi="Times New Roman" w:eastAsia="方正仿宋_GBK" w:cs="Times New Roman"/>
                <w:b w:val="0"/>
                <w:bCs/>
                <w:i w:val="0"/>
                <w:color w:val="000000"/>
                <w:kern w:val="0"/>
                <w:sz w:val="24"/>
                <w:szCs w:val="24"/>
                <w:u w:val="none"/>
                <w:lang w:val="en-US" w:eastAsia="zh-CN" w:bidi="ar"/>
              </w:rPr>
              <w:t>《特种设备安全监督检查办法》</w:t>
            </w:r>
            <w:r>
              <w:rPr>
                <w:rFonts w:hint="default" w:ascii="Times New Roman" w:hAnsi="Times New Roman" w:eastAsia="方正仿宋_GBK" w:cs="Times New Roman"/>
                <w:b w:val="0"/>
                <w:bCs/>
                <w:i w:val="0"/>
                <w:color w:val="000000"/>
                <w:kern w:val="0"/>
                <w:sz w:val="24"/>
                <w:szCs w:val="24"/>
                <w:u w:val="none"/>
                <w:lang w:val="en-US" w:eastAsia="zh-CN" w:bidi="ar"/>
              </w:rPr>
              <w:br w:type="textWrapping"/>
            </w:r>
            <w:r>
              <w:rPr>
                <w:rFonts w:hint="default" w:ascii="Times New Roman" w:hAnsi="Times New Roman" w:eastAsia="方正仿宋_GBK" w:cs="Times New Roman"/>
                <w:b w:val="0"/>
                <w:bCs/>
                <w:i w:val="0"/>
                <w:color w:val="000000"/>
                <w:kern w:val="0"/>
                <w:sz w:val="24"/>
                <w:szCs w:val="24"/>
                <w:u w:val="none"/>
                <w:lang w:val="en-US" w:eastAsia="zh-CN" w:bidi="ar"/>
              </w:rPr>
              <w:t>第十八条</w:t>
            </w:r>
            <w:r>
              <w:rPr>
                <w:rFonts w:hint="eastAsia" w:eastAsia="方正仿宋_GBK" w:cs="Times New Roman"/>
                <w:b w:val="0"/>
                <w:bCs/>
                <w:i w:val="0"/>
                <w:color w:val="000000"/>
                <w:kern w:val="0"/>
                <w:sz w:val="24"/>
                <w:szCs w:val="24"/>
                <w:u w:val="none"/>
                <w:lang w:val="en-US" w:eastAsia="zh-CN" w:bidi="ar"/>
              </w:rPr>
              <w:t xml:space="preserve">  </w:t>
            </w:r>
            <w:r>
              <w:rPr>
                <w:rFonts w:hint="default" w:ascii="Times New Roman" w:hAnsi="Times New Roman" w:eastAsia="方正仿宋_GBK" w:cs="Times New Roman"/>
                <w:b w:val="0"/>
                <w:bCs/>
                <w:i w:val="0"/>
                <w:color w:val="000000"/>
                <w:kern w:val="0"/>
                <w:sz w:val="24"/>
                <w:szCs w:val="24"/>
                <w:u w:val="none"/>
                <w:lang w:val="en-US" w:eastAsia="zh-CN" w:bidi="ar"/>
              </w:rPr>
              <w:t>市场监督管理部门对其他部门移送、上级交办、投诉、举报等途径和检验、检测、监测等方式发现的特种设备安全违法行为或者事故隐患线索，根据需要可以对特种设备生产、经营、使用单位和检验、检测机构实施监督检查。</w:t>
            </w:r>
          </w:p>
        </w:tc>
        <w:tc>
          <w:tcPr>
            <w:tcW w:w="983" w:type="dxa"/>
            <w:noWrap w:val="0"/>
            <w:vAlign w:val="center"/>
          </w:tcPr>
          <w:p w14:paraId="333380C2">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特设股</w:t>
            </w:r>
          </w:p>
        </w:tc>
        <w:tc>
          <w:tcPr>
            <w:tcW w:w="1000" w:type="dxa"/>
            <w:noWrap w:val="0"/>
            <w:vAlign w:val="center"/>
          </w:tcPr>
          <w:p w14:paraId="51AE9881">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特种设备检验、检测机构</w:t>
            </w:r>
          </w:p>
        </w:tc>
        <w:tc>
          <w:tcPr>
            <w:tcW w:w="3833" w:type="dxa"/>
            <w:noWrap w:val="0"/>
            <w:vAlign w:val="center"/>
          </w:tcPr>
          <w:p w14:paraId="2311112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《特种设备检验、检测机构专项监督检查项目表</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特种设备检验机构核准规则</w:t>
            </w:r>
            <w:r>
              <w:rPr>
                <w:rFonts w:hint="eastAsia" w:eastAsia="方正仿宋_GBK" w:cs="Times New Roman"/>
                <w:i w:val="0"/>
                <w:color w:val="000000"/>
                <w:kern w:val="0"/>
                <w:sz w:val="24"/>
                <w:szCs w:val="24"/>
                <w:u w:val="none"/>
                <w:lang w:val="en-US" w:eastAsia="zh-CN" w:bidi="ar"/>
              </w:rPr>
              <w:t>》《</w:t>
            </w:r>
            <w:r>
              <w:rPr>
                <w:rFonts w:hint="default" w:ascii="Times New Roman" w:hAnsi="Times New Roman" w:eastAsia="方正仿宋_GBK" w:cs="Times New Roman"/>
                <w:i w:val="0"/>
                <w:color w:val="000000"/>
                <w:kern w:val="0"/>
                <w:sz w:val="24"/>
                <w:szCs w:val="24"/>
                <w:u w:val="none"/>
                <w:lang w:val="en-US" w:eastAsia="zh-CN" w:bidi="ar"/>
              </w:rPr>
              <w:t>特种设备检测机构核准规则》以及特种设备相关的技术规范要求</w:t>
            </w:r>
          </w:p>
        </w:tc>
        <w:tc>
          <w:tcPr>
            <w:tcW w:w="650" w:type="dxa"/>
            <w:noWrap w:val="0"/>
            <w:vAlign w:val="center"/>
          </w:tcPr>
          <w:p w14:paraId="65CD238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非</w:t>
            </w:r>
            <w:r>
              <w:rPr>
                <w:rFonts w:hint="eastAsia" w:eastAsia="方正仿宋_GBK" w:cs="Times New Roman"/>
                <w:i w:val="0"/>
                <w:color w:val="000000"/>
                <w:kern w:val="0"/>
                <w:sz w:val="24"/>
                <w:szCs w:val="24"/>
                <w:u w:val="none"/>
                <w:lang w:val="en-US" w:eastAsia="zh-CN" w:bidi="ar"/>
              </w:rPr>
              <w:t>现场检查</w:t>
            </w:r>
            <w:r>
              <w:rPr>
                <w:rFonts w:hint="default" w:ascii="Times New Roman" w:hAnsi="Times New Roman" w:eastAsia="方正仿宋_GBK" w:cs="Times New Roman"/>
                <w:i w:val="0"/>
                <w:color w:val="000000"/>
                <w:kern w:val="0"/>
                <w:sz w:val="24"/>
                <w:szCs w:val="24"/>
                <w:u w:val="none"/>
                <w:lang w:val="en-US" w:eastAsia="zh-CN" w:bidi="ar"/>
              </w:rPr>
              <w:t>相结合</w:t>
            </w:r>
          </w:p>
        </w:tc>
        <w:tc>
          <w:tcPr>
            <w:tcW w:w="650" w:type="dxa"/>
            <w:shd w:val="clear" w:color="auto" w:fill="auto"/>
            <w:noWrap w:val="0"/>
            <w:vAlign w:val="center"/>
          </w:tcPr>
          <w:p w14:paraId="1E42265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6F9D409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0ABF1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457C938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lang w:val="en" w:eastAsia="zh-CN"/>
              </w:rPr>
            </w:pPr>
            <w:r>
              <w:rPr>
                <w:rFonts w:hint="eastAsia" w:eastAsia="方正仿宋_GBK" w:cs="Times New Roman"/>
                <w:sz w:val="24"/>
                <w:szCs w:val="24"/>
                <w:lang w:val="en-US" w:eastAsia="zh-CN"/>
              </w:rPr>
              <w:t>33</w:t>
            </w:r>
          </w:p>
        </w:tc>
        <w:tc>
          <w:tcPr>
            <w:tcW w:w="1012" w:type="dxa"/>
            <w:noWrap w:val="0"/>
            <w:vAlign w:val="center"/>
          </w:tcPr>
          <w:p w14:paraId="51225AB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rPr>
              <w:t>在用计量器具监督检查</w:t>
            </w:r>
          </w:p>
        </w:tc>
        <w:tc>
          <w:tcPr>
            <w:tcW w:w="873" w:type="dxa"/>
            <w:noWrap w:val="0"/>
            <w:vAlign w:val="center"/>
          </w:tcPr>
          <w:p w14:paraId="5A4B9FF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color w:val="auto"/>
                <w:sz w:val="24"/>
                <w:szCs w:val="24"/>
                <w:lang w:eastAsia="zh-CN"/>
              </w:rPr>
              <w:t>安化县市场监督管理局</w:t>
            </w:r>
          </w:p>
        </w:tc>
        <w:tc>
          <w:tcPr>
            <w:tcW w:w="5268" w:type="dxa"/>
            <w:noWrap w:val="0"/>
            <w:vAlign w:val="center"/>
          </w:tcPr>
          <w:p w14:paraId="2C1A57C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《计量法》第十八条</w:t>
            </w:r>
          </w:p>
          <w:p w14:paraId="7BC62E8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《集贸市场计量监督管理办法》</w:t>
            </w:r>
            <w:r>
              <w:rPr>
                <w:rFonts w:hint="default" w:ascii="Times New Roman" w:hAnsi="Times New Roman" w:eastAsia="方正仿宋_GBK" w:cs="Times New Roman"/>
                <w:color w:val="auto"/>
                <w:sz w:val="24"/>
                <w:szCs w:val="24"/>
                <w:lang w:eastAsia="zh-CN"/>
              </w:rPr>
              <w:t>第三条、</w:t>
            </w:r>
            <w:r>
              <w:rPr>
                <w:rFonts w:hint="default" w:ascii="Times New Roman" w:hAnsi="Times New Roman" w:eastAsia="方正仿宋_GBK" w:cs="Times New Roman"/>
                <w:color w:val="auto"/>
                <w:sz w:val="24"/>
                <w:szCs w:val="24"/>
              </w:rPr>
              <w:t>第十一条</w:t>
            </w:r>
          </w:p>
          <w:p w14:paraId="688C6C4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《加油站计量监督管理办法》第</w:t>
            </w:r>
            <w:r>
              <w:rPr>
                <w:rFonts w:hint="default" w:ascii="Times New Roman" w:hAnsi="Times New Roman" w:eastAsia="方正仿宋_GBK" w:cs="Times New Roman"/>
                <w:color w:val="auto"/>
                <w:sz w:val="24"/>
                <w:szCs w:val="24"/>
                <w:lang w:eastAsia="zh-CN"/>
              </w:rPr>
              <w:t>三条、第</w:t>
            </w:r>
            <w:r>
              <w:rPr>
                <w:rFonts w:hint="default" w:ascii="Times New Roman" w:hAnsi="Times New Roman" w:eastAsia="方正仿宋_GBK" w:cs="Times New Roman"/>
                <w:color w:val="auto"/>
                <w:sz w:val="24"/>
                <w:szCs w:val="24"/>
              </w:rPr>
              <w:t>六条</w:t>
            </w:r>
          </w:p>
          <w:p w14:paraId="32DE364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b w:val="0"/>
                <w:bCs/>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rPr>
              <w:t>《眼镜制配计量监督管理办法》第</w:t>
            </w:r>
            <w:r>
              <w:rPr>
                <w:rFonts w:hint="default" w:ascii="Times New Roman" w:hAnsi="Times New Roman" w:eastAsia="方正仿宋_GBK" w:cs="Times New Roman"/>
                <w:color w:val="auto"/>
                <w:sz w:val="24"/>
                <w:szCs w:val="24"/>
                <w:lang w:eastAsia="zh-CN"/>
              </w:rPr>
              <w:t>三条、第</w:t>
            </w:r>
            <w:r>
              <w:rPr>
                <w:rFonts w:hint="default" w:ascii="Times New Roman" w:hAnsi="Times New Roman" w:eastAsia="方正仿宋_GBK" w:cs="Times New Roman"/>
                <w:color w:val="auto"/>
                <w:sz w:val="24"/>
                <w:szCs w:val="24"/>
              </w:rPr>
              <w:t>七条</w:t>
            </w:r>
          </w:p>
        </w:tc>
        <w:tc>
          <w:tcPr>
            <w:tcW w:w="983" w:type="dxa"/>
            <w:noWrap w:val="0"/>
            <w:vAlign w:val="center"/>
          </w:tcPr>
          <w:p w14:paraId="1679FF7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lang w:eastAsia="zh-CN"/>
              </w:rPr>
              <w:t>计量股</w:t>
            </w:r>
          </w:p>
        </w:tc>
        <w:tc>
          <w:tcPr>
            <w:tcW w:w="1000" w:type="dxa"/>
            <w:noWrap w:val="0"/>
            <w:vAlign w:val="center"/>
          </w:tcPr>
          <w:p w14:paraId="0964EAC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rPr>
              <w:t>粮食购销领域、加油站、眼镜制配场所、集贸市场等在用强检计量器具使用单位</w:t>
            </w:r>
          </w:p>
        </w:tc>
        <w:tc>
          <w:tcPr>
            <w:tcW w:w="3833" w:type="dxa"/>
            <w:noWrap w:val="0"/>
            <w:vAlign w:val="center"/>
          </w:tcPr>
          <w:p w14:paraId="13884C8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rPr>
              <w:t>检查在用强检计量器具使用单位是否有完善的计量管理制度；是否配备专（兼）职计量人员；是否按照规定将其使用的强制检定工作计量器具登记造册，报当地市场监管部门备案，并向其指定的计量检定机构申请周期检定；是否存在使用未经检定、超过检定周期或检定不合格的计量器具；是否存在使用以欺骗消费者为目的的计量器具或者破坏计量器具准确度、伪造数据；是否存在使用未经型式批准的计量具。</w:t>
            </w:r>
          </w:p>
        </w:tc>
        <w:tc>
          <w:tcPr>
            <w:tcW w:w="650" w:type="dxa"/>
            <w:noWrap w:val="0"/>
            <w:vAlign w:val="center"/>
          </w:tcPr>
          <w:p w14:paraId="1D1A736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sz w:val="24"/>
                <w:szCs w:val="24"/>
              </w:rPr>
              <w:t>现场检查、</w:t>
            </w:r>
            <w:r>
              <w:rPr>
                <w:rFonts w:hint="eastAsia" w:eastAsia="方正仿宋_GBK" w:cs="Times New Roman"/>
                <w:sz w:val="24"/>
                <w:szCs w:val="24"/>
                <w:lang w:eastAsia="zh-CN"/>
              </w:rPr>
              <w:t>非现场检查相结合</w:t>
            </w:r>
          </w:p>
        </w:tc>
        <w:tc>
          <w:tcPr>
            <w:tcW w:w="650" w:type="dxa"/>
            <w:shd w:val="clear" w:color="auto" w:fill="auto"/>
            <w:noWrap w:val="0"/>
            <w:vAlign w:val="center"/>
          </w:tcPr>
          <w:p w14:paraId="7D4AEF6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2F724F0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21DC5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5BE687F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sz w:val="24"/>
                <w:szCs w:val="24"/>
                <w:lang w:val="en-US" w:eastAsia="zh-CN"/>
              </w:rPr>
            </w:pPr>
            <w:r>
              <w:rPr>
                <w:rFonts w:hint="eastAsia" w:eastAsia="方正仿宋_GBK" w:cs="Times New Roman"/>
                <w:color w:val="auto"/>
                <w:sz w:val="24"/>
                <w:szCs w:val="24"/>
                <w:lang w:val="en-US" w:eastAsia="zh-CN"/>
              </w:rPr>
              <w:t>34</w:t>
            </w:r>
          </w:p>
        </w:tc>
        <w:tc>
          <w:tcPr>
            <w:tcW w:w="1012" w:type="dxa"/>
            <w:noWrap w:val="0"/>
            <w:vAlign w:val="center"/>
          </w:tcPr>
          <w:p w14:paraId="32CE213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rPr>
              <w:t>法定计量检定机构专项监督检查</w:t>
            </w:r>
          </w:p>
        </w:tc>
        <w:tc>
          <w:tcPr>
            <w:tcW w:w="873" w:type="dxa"/>
            <w:noWrap w:val="0"/>
            <w:vAlign w:val="center"/>
          </w:tcPr>
          <w:p w14:paraId="579C73E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eastAsia="方正仿宋_GBK" w:cs="Times New Roman"/>
                <w:color w:val="auto"/>
                <w:sz w:val="24"/>
                <w:szCs w:val="24"/>
                <w:lang w:eastAsia="zh-CN"/>
              </w:rPr>
              <w:t>安化县市场监督管理局</w:t>
            </w:r>
          </w:p>
        </w:tc>
        <w:tc>
          <w:tcPr>
            <w:tcW w:w="5268" w:type="dxa"/>
            <w:noWrap w:val="0"/>
            <w:vAlign w:val="center"/>
          </w:tcPr>
          <w:p w14:paraId="7D84E36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《计量法》第十八条</w:t>
            </w:r>
          </w:p>
          <w:p w14:paraId="6EC3FED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《计量法实施细则》第二十八条</w:t>
            </w:r>
          </w:p>
          <w:p w14:paraId="654CE0E8">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pacing w:val="-6"/>
                <w:sz w:val="24"/>
                <w:szCs w:val="24"/>
              </w:rPr>
            </w:pPr>
            <w:r>
              <w:rPr>
                <w:rFonts w:hint="default" w:ascii="Times New Roman" w:hAnsi="Times New Roman" w:eastAsia="方正仿宋_GBK" w:cs="Times New Roman"/>
                <w:color w:val="auto"/>
                <w:spacing w:val="-6"/>
                <w:sz w:val="24"/>
                <w:szCs w:val="24"/>
              </w:rPr>
              <w:t>《法定计量检定机构监督管理办法》</w:t>
            </w:r>
            <w:r>
              <w:rPr>
                <w:rFonts w:hint="default" w:ascii="Times New Roman" w:hAnsi="Times New Roman" w:eastAsia="方正仿宋_GBK" w:cs="Times New Roman"/>
                <w:color w:val="auto"/>
                <w:spacing w:val="-6"/>
                <w:sz w:val="24"/>
                <w:szCs w:val="24"/>
                <w:lang w:eastAsia="zh-CN"/>
              </w:rPr>
              <w:t>第四条</w:t>
            </w:r>
            <w:r>
              <w:rPr>
                <w:rFonts w:hint="default" w:ascii="Times New Roman" w:hAnsi="Times New Roman" w:eastAsia="方正仿宋_GBK" w:cs="Times New Roman"/>
                <w:color w:val="auto"/>
                <w:spacing w:val="-6"/>
                <w:sz w:val="24"/>
                <w:szCs w:val="24"/>
              </w:rPr>
              <w:t>、十</w:t>
            </w:r>
            <w:r>
              <w:rPr>
                <w:rFonts w:hint="default" w:ascii="Times New Roman" w:hAnsi="Times New Roman" w:eastAsia="方正仿宋_GBK" w:cs="Times New Roman"/>
                <w:color w:val="auto"/>
                <w:spacing w:val="-6"/>
                <w:sz w:val="24"/>
                <w:szCs w:val="24"/>
                <w:lang w:eastAsia="zh-CN"/>
              </w:rPr>
              <w:t>九</w:t>
            </w:r>
            <w:r>
              <w:rPr>
                <w:rFonts w:hint="default" w:ascii="Times New Roman" w:hAnsi="Times New Roman" w:eastAsia="方正仿宋_GBK" w:cs="Times New Roman"/>
                <w:color w:val="auto"/>
                <w:spacing w:val="-6"/>
                <w:sz w:val="24"/>
                <w:szCs w:val="24"/>
              </w:rPr>
              <w:t>条</w:t>
            </w:r>
          </w:p>
          <w:p w14:paraId="767CFAD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b w:val="0"/>
                <w:bCs/>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rPr>
              <w:t>《专业计量站管理办法》第十</w:t>
            </w:r>
            <w:r>
              <w:rPr>
                <w:rFonts w:hint="default" w:ascii="Times New Roman" w:hAnsi="Times New Roman" w:eastAsia="方正仿宋_GBK" w:cs="Times New Roman"/>
                <w:color w:val="auto"/>
                <w:sz w:val="24"/>
                <w:szCs w:val="24"/>
                <w:lang w:eastAsia="zh-CN"/>
              </w:rPr>
              <w:t>七</w:t>
            </w:r>
            <w:r>
              <w:rPr>
                <w:rFonts w:hint="default" w:ascii="Times New Roman" w:hAnsi="Times New Roman" w:eastAsia="方正仿宋_GBK" w:cs="Times New Roman"/>
                <w:color w:val="auto"/>
                <w:sz w:val="24"/>
                <w:szCs w:val="24"/>
              </w:rPr>
              <w:t>条</w:t>
            </w:r>
          </w:p>
        </w:tc>
        <w:tc>
          <w:tcPr>
            <w:tcW w:w="983" w:type="dxa"/>
            <w:noWrap w:val="0"/>
            <w:vAlign w:val="center"/>
          </w:tcPr>
          <w:p w14:paraId="360C715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lang w:eastAsia="zh-CN"/>
              </w:rPr>
              <w:t>计量股</w:t>
            </w:r>
          </w:p>
        </w:tc>
        <w:tc>
          <w:tcPr>
            <w:tcW w:w="1000" w:type="dxa"/>
            <w:noWrap w:val="0"/>
            <w:vAlign w:val="center"/>
          </w:tcPr>
          <w:p w14:paraId="5429F42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rPr>
              <w:t>法定计量检定机构</w:t>
            </w:r>
            <w:r>
              <w:rPr>
                <w:rFonts w:hint="default" w:ascii="Times New Roman" w:hAnsi="Times New Roman" w:eastAsia="方正仿宋_GBK" w:cs="Times New Roman"/>
                <w:color w:val="auto"/>
                <w:sz w:val="24"/>
                <w:szCs w:val="24"/>
                <w:lang w:eastAsia="zh-CN"/>
              </w:rPr>
              <w:t>（含计量授权检定机构）</w:t>
            </w:r>
          </w:p>
        </w:tc>
        <w:tc>
          <w:tcPr>
            <w:tcW w:w="3833" w:type="dxa"/>
            <w:noWrap w:val="0"/>
            <w:vAlign w:val="center"/>
          </w:tcPr>
          <w:p w14:paraId="2D2A32A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rPr>
              <w:t>对法定计量检定机构（含计量授权检定机构）的人员情况、标准情况、机构管理情况及工作运行情况开展现场监督检查。</w:t>
            </w:r>
          </w:p>
        </w:tc>
        <w:tc>
          <w:tcPr>
            <w:tcW w:w="650" w:type="dxa"/>
            <w:noWrap w:val="0"/>
            <w:vAlign w:val="center"/>
          </w:tcPr>
          <w:p w14:paraId="0B47D4E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sz w:val="24"/>
                <w:szCs w:val="24"/>
              </w:rPr>
              <w:t>现场检查、</w:t>
            </w:r>
            <w:r>
              <w:rPr>
                <w:rFonts w:hint="eastAsia" w:eastAsia="方正仿宋_GBK" w:cs="Times New Roman"/>
                <w:sz w:val="24"/>
                <w:szCs w:val="24"/>
                <w:lang w:eastAsia="zh-CN"/>
              </w:rPr>
              <w:t>非现场检查相结合</w:t>
            </w:r>
          </w:p>
        </w:tc>
        <w:tc>
          <w:tcPr>
            <w:tcW w:w="650" w:type="dxa"/>
            <w:shd w:val="clear" w:color="auto" w:fill="auto"/>
            <w:noWrap w:val="0"/>
            <w:vAlign w:val="center"/>
          </w:tcPr>
          <w:p w14:paraId="55DFBAD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33DD182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72A1F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395EF39C">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color w:val="auto"/>
                <w:sz w:val="24"/>
                <w:szCs w:val="24"/>
                <w:lang w:val="en" w:eastAsia="zh-CN"/>
              </w:rPr>
            </w:pPr>
            <w:r>
              <w:rPr>
                <w:rFonts w:hint="eastAsia" w:eastAsia="方正仿宋_GBK" w:cs="Times New Roman"/>
                <w:color w:val="auto"/>
                <w:sz w:val="24"/>
                <w:szCs w:val="24"/>
                <w:lang w:val="en-US" w:eastAsia="zh-CN"/>
              </w:rPr>
              <w:t>35</w:t>
            </w:r>
          </w:p>
        </w:tc>
        <w:tc>
          <w:tcPr>
            <w:tcW w:w="1012" w:type="dxa"/>
            <w:noWrap w:val="0"/>
            <w:vAlign w:val="center"/>
          </w:tcPr>
          <w:p w14:paraId="5082201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计量单位使用情况专项监督检查</w:t>
            </w:r>
          </w:p>
        </w:tc>
        <w:tc>
          <w:tcPr>
            <w:tcW w:w="873" w:type="dxa"/>
            <w:noWrap w:val="0"/>
            <w:vAlign w:val="center"/>
          </w:tcPr>
          <w:p w14:paraId="0E61919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color w:val="auto"/>
                <w:sz w:val="24"/>
                <w:szCs w:val="24"/>
                <w:lang w:eastAsia="zh-CN"/>
              </w:rPr>
            </w:pPr>
            <w:r>
              <w:rPr>
                <w:rFonts w:hint="eastAsia" w:eastAsia="方正仿宋_GBK" w:cs="Times New Roman"/>
                <w:color w:val="auto"/>
                <w:sz w:val="24"/>
                <w:szCs w:val="24"/>
                <w:lang w:eastAsia="zh-CN"/>
              </w:rPr>
              <w:t>安化县市场监督管理局</w:t>
            </w:r>
          </w:p>
        </w:tc>
        <w:tc>
          <w:tcPr>
            <w:tcW w:w="5268" w:type="dxa"/>
            <w:noWrap w:val="0"/>
            <w:vAlign w:val="center"/>
          </w:tcPr>
          <w:p w14:paraId="5D54830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《计量法》第十八条</w:t>
            </w:r>
          </w:p>
          <w:p w14:paraId="3EEE8C6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《全面推行我国法定计量单位的意见》</w:t>
            </w:r>
          </w:p>
          <w:p w14:paraId="75D8D62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lang w:val="en-US" w:eastAsia="zh-CN"/>
              </w:rPr>
              <w:t>非法定计量单位限制使用管理办法</w:t>
            </w:r>
            <w:r>
              <w:rPr>
                <w:rFonts w:hint="default" w:ascii="Times New Roman" w:hAnsi="Times New Roman" w:eastAsia="方正仿宋_GBK" w:cs="Times New Roman"/>
                <w:color w:val="auto"/>
                <w:sz w:val="24"/>
                <w:szCs w:val="24"/>
                <w:lang w:eastAsia="zh-CN"/>
              </w:rPr>
              <w:t>》第四条、第九条</w:t>
            </w:r>
          </w:p>
        </w:tc>
        <w:tc>
          <w:tcPr>
            <w:tcW w:w="983" w:type="dxa"/>
            <w:noWrap w:val="0"/>
            <w:vAlign w:val="center"/>
          </w:tcPr>
          <w:p w14:paraId="0BD15EA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lang w:eastAsia="zh-CN"/>
              </w:rPr>
              <w:t>计量股</w:t>
            </w:r>
          </w:p>
        </w:tc>
        <w:tc>
          <w:tcPr>
            <w:tcW w:w="1000" w:type="dxa"/>
            <w:noWrap w:val="0"/>
            <w:vAlign w:val="center"/>
          </w:tcPr>
          <w:p w14:paraId="5693320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宣传出版、文化教育、市场交易等领域</w:t>
            </w:r>
            <w:r>
              <w:rPr>
                <w:rFonts w:hint="default" w:ascii="Times New Roman" w:hAnsi="Times New Roman" w:eastAsia="方正仿宋_GBK" w:cs="Times New Roman"/>
                <w:color w:val="auto"/>
                <w:sz w:val="24"/>
                <w:szCs w:val="24"/>
                <w:lang w:eastAsia="zh-CN"/>
              </w:rPr>
              <w:t>有关单位或组织</w:t>
            </w:r>
          </w:p>
        </w:tc>
        <w:tc>
          <w:tcPr>
            <w:tcW w:w="3833" w:type="dxa"/>
            <w:noWrap w:val="0"/>
            <w:vAlign w:val="center"/>
          </w:tcPr>
          <w:p w14:paraId="3ED04E7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对</w:t>
            </w:r>
            <w:r>
              <w:rPr>
                <w:rFonts w:hint="default" w:ascii="Times New Roman" w:hAnsi="Times New Roman" w:eastAsia="方正仿宋_GBK" w:cs="Times New Roman"/>
                <w:color w:val="auto"/>
                <w:sz w:val="24"/>
                <w:szCs w:val="24"/>
              </w:rPr>
              <w:t>计量单位使用情况是否符合《中华人民共和国计量法》等相关法律法规的规定组织开展监督检查</w:t>
            </w:r>
            <w:r>
              <w:rPr>
                <w:rFonts w:hint="default" w:ascii="Times New Roman" w:hAnsi="Times New Roman" w:eastAsia="方正仿宋_GBK" w:cs="Times New Roman"/>
                <w:color w:val="auto"/>
                <w:sz w:val="24"/>
                <w:szCs w:val="24"/>
                <w:lang w:eastAsia="zh-CN"/>
              </w:rPr>
              <w:t>。</w:t>
            </w:r>
          </w:p>
        </w:tc>
        <w:tc>
          <w:tcPr>
            <w:tcW w:w="650" w:type="dxa"/>
            <w:noWrap w:val="0"/>
            <w:vAlign w:val="center"/>
          </w:tcPr>
          <w:p w14:paraId="352AB61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现场检查、</w:t>
            </w:r>
            <w:r>
              <w:rPr>
                <w:rFonts w:hint="eastAsia" w:eastAsia="方正仿宋_GBK" w:cs="Times New Roman"/>
                <w:sz w:val="24"/>
                <w:szCs w:val="24"/>
                <w:lang w:eastAsia="zh-CN"/>
              </w:rPr>
              <w:t>非现场检查相结合</w:t>
            </w:r>
          </w:p>
        </w:tc>
        <w:tc>
          <w:tcPr>
            <w:tcW w:w="650" w:type="dxa"/>
            <w:shd w:val="clear" w:color="auto" w:fill="auto"/>
            <w:noWrap w:val="0"/>
            <w:vAlign w:val="center"/>
          </w:tcPr>
          <w:p w14:paraId="06A559A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28B93FC9">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76E5E8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7DC5DA79">
            <w:pPr>
              <w:pStyle w:val="9"/>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36</w:t>
            </w:r>
          </w:p>
        </w:tc>
        <w:tc>
          <w:tcPr>
            <w:tcW w:w="1012" w:type="dxa"/>
            <w:noWrap w:val="0"/>
            <w:vAlign w:val="center"/>
          </w:tcPr>
          <w:p w14:paraId="6F66A16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定量包装商品净含量国家计量监督专项抽查</w:t>
            </w:r>
          </w:p>
        </w:tc>
        <w:tc>
          <w:tcPr>
            <w:tcW w:w="873" w:type="dxa"/>
            <w:noWrap w:val="0"/>
            <w:vAlign w:val="center"/>
          </w:tcPr>
          <w:p w14:paraId="1E0D212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color w:val="auto"/>
                <w:sz w:val="24"/>
                <w:szCs w:val="24"/>
                <w:lang w:eastAsia="zh-CN"/>
              </w:rPr>
            </w:pPr>
            <w:r>
              <w:rPr>
                <w:rFonts w:hint="eastAsia" w:eastAsia="方正仿宋_GBK" w:cs="Times New Roman"/>
                <w:color w:val="auto"/>
                <w:sz w:val="24"/>
                <w:szCs w:val="24"/>
                <w:lang w:eastAsia="zh-CN"/>
              </w:rPr>
              <w:t>安化县市场监督管理局</w:t>
            </w:r>
          </w:p>
        </w:tc>
        <w:tc>
          <w:tcPr>
            <w:tcW w:w="5268" w:type="dxa"/>
            <w:noWrap w:val="0"/>
            <w:vAlign w:val="center"/>
          </w:tcPr>
          <w:p w14:paraId="42F281B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《计量法》第十八条</w:t>
            </w:r>
          </w:p>
          <w:p w14:paraId="4AB2535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《定量包装商品计量监督管理办法》</w:t>
            </w:r>
            <w:r>
              <w:rPr>
                <w:rFonts w:hint="default" w:ascii="Times New Roman" w:hAnsi="Times New Roman" w:eastAsia="方正仿宋_GBK" w:cs="Times New Roman"/>
                <w:color w:val="auto"/>
                <w:sz w:val="24"/>
                <w:szCs w:val="24"/>
                <w:lang w:eastAsia="zh-CN"/>
              </w:rPr>
              <w:t>第三条、第十二条</w:t>
            </w:r>
          </w:p>
        </w:tc>
        <w:tc>
          <w:tcPr>
            <w:tcW w:w="983" w:type="dxa"/>
            <w:noWrap w:val="0"/>
            <w:vAlign w:val="center"/>
          </w:tcPr>
          <w:p w14:paraId="1181A83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color w:val="auto"/>
                <w:sz w:val="24"/>
                <w:szCs w:val="24"/>
                <w:lang w:eastAsia="zh-CN"/>
              </w:rPr>
              <w:t>计量股</w:t>
            </w:r>
          </w:p>
        </w:tc>
        <w:tc>
          <w:tcPr>
            <w:tcW w:w="1000" w:type="dxa"/>
            <w:noWrap w:val="0"/>
            <w:vAlign w:val="center"/>
          </w:tcPr>
          <w:p w14:paraId="706A4DC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定量包装商品生产、销售企业（门店）</w:t>
            </w:r>
          </w:p>
        </w:tc>
        <w:tc>
          <w:tcPr>
            <w:tcW w:w="3833" w:type="dxa"/>
            <w:noWrap w:val="0"/>
            <w:vAlign w:val="center"/>
          </w:tcPr>
          <w:p w14:paraId="0F1C5BD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检查</w:t>
            </w:r>
            <w:r>
              <w:rPr>
                <w:rFonts w:hint="default" w:ascii="Times New Roman" w:hAnsi="Times New Roman" w:eastAsia="方正仿宋_GBK" w:cs="Times New Roman"/>
                <w:color w:val="auto"/>
                <w:sz w:val="24"/>
                <w:szCs w:val="24"/>
              </w:rPr>
              <w:t>定量包装商品净含量、净含量标注情况。</w:t>
            </w:r>
          </w:p>
        </w:tc>
        <w:tc>
          <w:tcPr>
            <w:tcW w:w="650" w:type="dxa"/>
            <w:noWrap w:val="0"/>
            <w:vAlign w:val="center"/>
          </w:tcPr>
          <w:p w14:paraId="274AF5F9">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sz w:val="24"/>
                <w:szCs w:val="24"/>
                <w:lang w:eastAsia="zh-CN"/>
              </w:rPr>
            </w:pPr>
            <w:r>
              <w:rPr>
                <w:rFonts w:hint="eastAsia" w:eastAsia="方正仿宋_GBK" w:cs="Times New Roman"/>
                <w:sz w:val="24"/>
                <w:szCs w:val="24"/>
                <w:lang w:eastAsia="zh-CN"/>
              </w:rPr>
              <w:t>非现场检查</w:t>
            </w:r>
          </w:p>
        </w:tc>
        <w:tc>
          <w:tcPr>
            <w:tcW w:w="650" w:type="dxa"/>
            <w:shd w:val="clear" w:color="auto" w:fill="auto"/>
            <w:noWrap w:val="0"/>
            <w:vAlign w:val="center"/>
          </w:tcPr>
          <w:p w14:paraId="239AA69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3489C7A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797BA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6FEB9A5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color w:val="auto"/>
                <w:sz w:val="24"/>
                <w:szCs w:val="24"/>
                <w:lang w:val="en-US" w:eastAsia="zh-CN"/>
              </w:rPr>
            </w:pPr>
            <w:r>
              <w:rPr>
                <w:rFonts w:hint="eastAsia" w:eastAsia="方正仿宋_GBK" w:cs="Times New Roman"/>
                <w:color w:val="auto"/>
                <w:sz w:val="24"/>
                <w:szCs w:val="24"/>
                <w:lang w:val="en-US" w:eastAsia="zh-CN"/>
              </w:rPr>
              <w:t>37</w:t>
            </w:r>
          </w:p>
        </w:tc>
        <w:tc>
          <w:tcPr>
            <w:tcW w:w="1012" w:type="dxa"/>
            <w:noWrap w:val="0"/>
            <w:vAlign w:val="center"/>
          </w:tcPr>
          <w:p w14:paraId="3AB1B9F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型式批准监督检查</w:t>
            </w:r>
          </w:p>
        </w:tc>
        <w:tc>
          <w:tcPr>
            <w:tcW w:w="873" w:type="dxa"/>
            <w:noWrap w:val="0"/>
            <w:vAlign w:val="center"/>
          </w:tcPr>
          <w:p w14:paraId="0EA6BEA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color w:val="auto"/>
                <w:sz w:val="24"/>
                <w:szCs w:val="24"/>
                <w:lang w:eastAsia="zh-CN"/>
              </w:rPr>
            </w:pPr>
            <w:r>
              <w:rPr>
                <w:rFonts w:hint="eastAsia" w:eastAsia="方正仿宋_GBK" w:cs="Times New Roman"/>
                <w:color w:val="auto"/>
                <w:sz w:val="24"/>
                <w:szCs w:val="24"/>
                <w:lang w:eastAsia="zh-CN"/>
              </w:rPr>
              <w:t>安化县市场监督管理局</w:t>
            </w:r>
          </w:p>
        </w:tc>
        <w:tc>
          <w:tcPr>
            <w:tcW w:w="5268" w:type="dxa"/>
            <w:noWrap w:val="0"/>
            <w:vAlign w:val="center"/>
          </w:tcPr>
          <w:p w14:paraId="2958B10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《计量法》第十八条</w:t>
            </w:r>
          </w:p>
          <w:p w14:paraId="34ADB84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《计量法实施细则》第十八条</w:t>
            </w:r>
          </w:p>
          <w:p w14:paraId="5C3C5CE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《计量器具新产品管理办法》第十</w:t>
            </w:r>
            <w:r>
              <w:rPr>
                <w:rFonts w:hint="default" w:ascii="Times New Roman" w:hAnsi="Times New Roman" w:eastAsia="方正仿宋_GBK" w:cs="Times New Roman"/>
                <w:color w:val="auto"/>
                <w:sz w:val="24"/>
                <w:szCs w:val="24"/>
                <w:lang w:eastAsia="zh-CN"/>
              </w:rPr>
              <w:t>九</w:t>
            </w:r>
            <w:r>
              <w:rPr>
                <w:rFonts w:hint="default" w:ascii="Times New Roman" w:hAnsi="Times New Roman" w:eastAsia="方正仿宋_GBK" w:cs="Times New Roman"/>
                <w:color w:val="auto"/>
                <w:sz w:val="24"/>
                <w:szCs w:val="24"/>
              </w:rPr>
              <w:t>条</w:t>
            </w:r>
          </w:p>
        </w:tc>
        <w:tc>
          <w:tcPr>
            <w:tcW w:w="983" w:type="dxa"/>
            <w:noWrap w:val="0"/>
            <w:vAlign w:val="center"/>
          </w:tcPr>
          <w:p w14:paraId="6C3A224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eastAsia="zh-CN"/>
              </w:rPr>
              <w:t>计量股</w:t>
            </w:r>
          </w:p>
        </w:tc>
        <w:tc>
          <w:tcPr>
            <w:tcW w:w="1000" w:type="dxa"/>
            <w:noWrap w:val="0"/>
            <w:vAlign w:val="center"/>
          </w:tcPr>
          <w:p w14:paraId="6DA4181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eastAsia="zh-CN"/>
              </w:rPr>
              <w:t>型式批准获证企业</w:t>
            </w:r>
          </w:p>
        </w:tc>
        <w:tc>
          <w:tcPr>
            <w:tcW w:w="3833" w:type="dxa"/>
            <w:noWrap w:val="0"/>
            <w:vAlign w:val="center"/>
          </w:tcPr>
          <w:p w14:paraId="78ABAC3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val="en-US" w:eastAsia="zh-CN"/>
              </w:rPr>
              <w:t>检查获证企业是否持续符合型式批准条件，具有与所制造的计量器具相适应的设施、人员和检定仪器设备；是否存在制造、销售未经型式批准的计量器具的行为；是否未经出厂检定或者经检定不合格仍出厂；是否擅自改变原批准的型式等。</w:t>
            </w:r>
          </w:p>
        </w:tc>
        <w:tc>
          <w:tcPr>
            <w:tcW w:w="650" w:type="dxa"/>
            <w:noWrap w:val="0"/>
            <w:vAlign w:val="center"/>
          </w:tcPr>
          <w:p w14:paraId="1ABDEA4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现场检查、</w:t>
            </w:r>
            <w:r>
              <w:rPr>
                <w:rFonts w:hint="eastAsia" w:eastAsia="方正仿宋_GBK" w:cs="Times New Roman"/>
                <w:sz w:val="24"/>
                <w:szCs w:val="24"/>
                <w:lang w:eastAsia="zh-CN"/>
              </w:rPr>
              <w:t>非现场检查相结合</w:t>
            </w:r>
          </w:p>
        </w:tc>
        <w:tc>
          <w:tcPr>
            <w:tcW w:w="650" w:type="dxa"/>
            <w:shd w:val="clear" w:color="auto" w:fill="auto"/>
            <w:noWrap w:val="0"/>
            <w:vAlign w:val="center"/>
          </w:tcPr>
          <w:p w14:paraId="33089EB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2151E3F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2C814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0BBE9DA8">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color w:val="auto"/>
                <w:sz w:val="24"/>
                <w:szCs w:val="24"/>
                <w:lang w:val="en-US" w:eastAsia="zh-CN"/>
              </w:rPr>
            </w:pPr>
            <w:r>
              <w:rPr>
                <w:rFonts w:hint="eastAsia" w:eastAsia="方正仿宋_GBK" w:cs="Times New Roman"/>
                <w:color w:val="auto"/>
                <w:sz w:val="24"/>
                <w:szCs w:val="24"/>
                <w:lang w:val="en-US" w:eastAsia="zh-CN"/>
              </w:rPr>
              <w:t>38</w:t>
            </w:r>
          </w:p>
        </w:tc>
        <w:tc>
          <w:tcPr>
            <w:tcW w:w="1012" w:type="dxa"/>
            <w:noWrap w:val="0"/>
            <w:vAlign w:val="center"/>
          </w:tcPr>
          <w:p w14:paraId="05ED779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能效标识计量专项监督检查</w:t>
            </w:r>
          </w:p>
        </w:tc>
        <w:tc>
          <w:tcPr>
            <w:tcW w:w="873" w:type="dxa"/>
            <w:noWrap w:val="0"/>
            <w:vAlign w:val="center"/>
          </w:tcPr>
          <w:p w14:paraId="0B6F18F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color w:val="auto"/>
                <w:sz w:val="24"/>
                <w:szCs w:val="24"/>
              </w:rPr>
            </w:pPr>
            <w:r>
              <w:rPr>
                <w:rFonts w:hint="eastAsia" w:eastAsia="方正仿宋_GBK" w:cs="Times New Roman"/>
                <w:color w:val="auto"/>
                <w:sz w:val="24"/>
                <w:szCs w:val="24"/>
                <w:lang w:eastAsia="zh-CN"/>
              </w:rPr>
              <w:t>安化县市场监督管理局</w:t>
            </w:r>
          </w:p>
        </w:tc>
        <w:tc>
          <w:tcPr>
            <w:tcW w:w="5268" w:type="dxa"/>
            <w:noWrap w:val="0"/>
            <w:vAlign w:val="center"/>
          </w:tcPr>
          <w:p w14:paraId="4C1EA7E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《节约能源法》</w:t>
            </w:r>
            <w:r>
              <w:rPr>
                <w:rFonts w:hint="default" w:ascii="Times New Roman" w:hAnsi="Times New Roman" w:eastAsia="方正仿宋_GBK" w:cs="Times New Roman"/>
                <w:color w:val="auto"/>
                <w:sz w:val="24"/>
                <w:szCs w:val="24"/>
                <w:lang w:eastAsia="zh-CN"/>
              </w:rPr>
              <w:t>第十二条、</w:t>
            </w:r>
            <w:r>
              <w:rPr>
                <w:rFonts w:hint="default" w:ascii="Times New Roman" w:hAnsi="Times New Roman" w:eastAsia="方正仿宋_GBK" w:cs="Times New Roman"/>
                <w:color w:val="auto"/>
                <w:sz w:val="24"/>
                <w:szCs w:val="24"/>
              </w:rPr>
              <w:t>第七十三条</w:t>
            </w:r>
          </w:p>
          <w:p w14:paraId="011865B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《能源计量监督管理办法》第十六条</w:t>
            </w:r>
          </w:p>
          <w:p w14:paraId="2B39186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《能源效率标识管理办法》</w:t>
            </w:r>
            <w:r>
              <w:rPr>
                <w:rFonts w:hint="default" w:ascii="Times New Roman" w:hAnsi="Times New Roman" w:eastAsia="方正仿宋_GBK" w:cs="Times New Roman"/>
                <w:color w:val="auto"/>
                <w:sz w:val="24"/>
                <w:szCs w:val="24"/>
                <w:lang w:eastAsia="zh-CN"/>
              </w:rPr>
              <w:t>第四条、</w:t>
            </w:r>
            <w:r>
              <w:rPr>
                <w:rFonts w:hint="default" w:ascii="Times New Roman" w:hAnsi="Times New Roman" w:eastAsia="方正仿宋_GBK" w:cs="Times New Roman"/>
                <w:color w:val="auto"/>
                <w:sz w:val="24"/>
                <w:szCs w:val="24"/>
              </w:rPr>
              <w:t>第十八条</w:t>
            </w:r>
          </w:p>
        </w:tc>
        <w:tc>
          <w:tcPr>
            <w:tcW w:w="983" w:type="dxa"/>
            <w:noWrap w:val="0"/>
            <w:vAlign w:val="center"/>
          </w:tcPr>
          <w:p w14:paraId="5536A37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eastAsia="zh-CN"/>
              </w:rPr>
              <w:t>计量股</w:t>
            </w:r>
          </w:p>
        </w:tc>
        <w:tc>
          <w:tcPr>
            <w:tcW w:w="1000" w:type="dxa"/>
            <w:noWrap w:val="0"/>
            <w:vAlign w:val="center"/>
          </w:tcPr>
          <w:p w14:paraId="77FCF41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eastAsia="zh-CN"/>
              </w:rPr>
              <w:t>能效标识产品生产企业、销售</w:t>
            </w:r>
            <w:r>
              <w:rPr>
                <w:rFonts w:hint="default" w:ascii="Times New Roman" w:hAnsi="Times New Roman" w:eastAsia="方正仿宋_GBK" w:cs="Times New Roman"/>
                <w:color w:val="auto"/>
                <w:sz w:val="24"/>
                <w:szCs w:val="24"/>
              </w:rPr>
              <w:t>企业</w:t>
            </w:r>
            <w:r>
              <w:rPr>
                <w:rFonts w:hint="default" w:ascii="Times New Roman" w:hAnsi="Times New Roman" w:eastAsia="方正仿宋_GBK" w:cs="Times New Roman"/>
                <w:color w:val="auto"/>
                <w:sz w:val="24"/>
                <w:szCs w:val="24"/>
                <w:lang w:eastAsia="zh-CN"/>
              </w:rPr>
              <w:t>（门店）</w:t>
            </w:r>
          </w:p>
        </w:tc>
        <w:tc>
          <w:tcPr>
            <w:tcW w:w="3833" w:type="dxa"/>
            <w:noWrap w:val="0"/>
            <w:vAlign w:val="center"/>
          </w:tcPr>
          <w:p w14:paraId="100B046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rPr>
              <w:t>检查列入《中华人民共和国实行能源效率标识的产品目录》的产品是否按有关标准和实施规则的要求标注能效标识；使用的能效标识是否符合有关样式、规格等标注规定（包括是否符合网络交易产品能效标识展示要求）；是否办理能效标识备案；是否存在伪造冒用能效标识或者利用能效标识进行虚假宣传的行为。</w:t>
            </w:r>
          </w:p>
        </w:tc>
        <w:tc>
          <w:tcPr>
            <w:tcW w:w="650" w:type="dxa"/>
            <w:noWrap w:val="0"/>
            <w:vAlign w:val="center"/>
          </w:tcPr>
          <w:p w14:paraId="244CE9A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sz w:val="24"/>
                <w:szCs w:val="24"/>
                <w:lang w:eastAsia="zh-CN"/>
              </w:rPr>
            </w:pPr>
            <w:r>
              <w:rPr>
                <w:rFonts w:hint="eastAsia" w:eastAsia="方正仿宋_GBK" w:cs="Times New Roman"/>
                <w:sz w:val="24"/>
                <w:szCs w:val="24"/>
                <w:lang w:eastAsia="zh-CN"/>
              </w:rPr>
              <w:t>非现场检查</w:t>
            </w:r>
          </w:p>
        </w:tc>
        <w:tc>
          <w:tcPr>
            <w:tcW w:w="650" w:type="dxa"/>
            <w:shd w:val="clear" w:color="auto" w:fill="auto"/>
            <w:noWrap w:val="0"/>
            <w:vAlign w:val="center"/>
          </w:tcPr>
          <w:p w14:paraId="2AC7D13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1D992A9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4045E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3848BCA3">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color w:val="auto"/>
                <w:sz w:val="24"/>
                <w:szCs w:val="24"/>
                <w:lang w:val="en-US" w:eastAsia="zh-CN"/>
              </w:rPr>
            </w:pPr>
            <w:r>
              <w:rPr>
                <w:rFonts w:hint="eastAsia" w:eastAsia="方正仿宋_GBK" w:cs="Times New Roman"/>
                <w:color w:val="auto"/>
                <w:sz w:val="24"/>
                <w:szCs w:val="24"/>
                <w:lang w:val="en-US" w:eastAsia="zh-CN"/>
              </w:rPr>
              <w:t>39</w:t>
            </w:r>
          </w:p>
        </w:tc>
        <w:tc>
          <w:tcPr>
            <w:tcW w:w="1012" w:type="dxa"/>
            <w:noWrap w:val="0"/>
            <w:vAlign w:val="center"/>
          </w:tcPr>
          <w:p w14:paraId="150C444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水效标识计量专项监督检查</w:t>
            </w:r>
          </w:p>
        </w:tc>
        <w:tc>
          <w:tcPr>
            <w:tcW w:w="873" w:type="dxa"/>
            <w:noWrap w:val="0"/>
            <w:vAlign w:val="center"/>
          </w:tcPr>
          <w:p w14:paraId="33D63B9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color w:val="auto"/>
                <w:sz w:val="24"/>
                <w:szCs w:val="24"/>
                <w:lang w:eastAsia="zh-CN"/>
              </w:rPr>
            </w:pPr>
            <w:r>
              <w:rPr>
                <w:rFonts w:hint="eastAsia" w:eastAsia="方正仿宋_GBK" w:cs="Times New Roman"/>
                <w:color w:val="auto"/>
                <w:sz w:val="24"/>
                <w:szCs w:val="24"/>
                <w:lang w:eastAsia="zh-CN"/>
              </w:rPr>
              <w:t>安化县市场监督管理局</w:t>
            </w:r>
          </w:p>
        </w:tc>
        <w:tc>
          <w:tcPr>
            <w:tcW w:w="5268" w:type="dxa"/>
            <w:noWrap w:val="0"/>
            <w:vAlign w:val="center"/>
          </w:tcPr>
          <w:p w14:paraId="720C3B2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《水效标识管理办法》</w:t>
            </w:r>
            <w:r>
              <w:rPr>
                <w:rFonts w:hint="default" w:ascii="Times New Roman" w:hAnsi="Times New Roman" w:eastAsia="方正仿宋_GBK" w:cs="Times New Roman"/>
                <w:color w:val="auto"/>
                <w:sz w:val="24"/>
                <w:szCs w:val="24"/>
                <w:lang w:eastAsia="zh-CN"/>
              </w:rPr>
              <w:t>第五条、</w:t>
            </w:r>
            <w:r>
              <w:rPr>
                <w:rFonts w:hint="default" w:ascii="Times New Roman" w:hAnsi="Times New Roman" w:eastAsia="方正仿宋_GBK" w:cs="Times New Roman"/>
                <w:color w:val="auto"/>
                <w:sz w:val="24"/>
                <w:szCs w:val="24"/>
              </w:rPr>
              <w:t>第十七条</w:t>
            </w:r>
          </w:p>
        </w:tc>
        <w:tc>
          <w:tcPr>
            <w:tcW w:w="983" w:type="dxa"/>
            <w:noWrap w:val="0"/>
            <w:vAlign w:val="center"/>
          </w:tcPr>
          <w:p w14:paraId="79C795BF">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eastAsia="zh-CN"/>
              </w:rPr>
              <w:t>计量股</w:t>
            </w:r>
          </w:p>
        </w:tc>
        <w:tc>
          <w:tcPr>
            <w:tcW w:w="1000" w:type="dxa"/>
            <w:noWrap w:val="0"/>
            <w:vAlign w:val="center"/>
          </w:tcPr>
          <w:p w14:paraId="09200C3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eastAsia="zh-CN"/>
              </w:rPr>
              <w:t>水效标识产品生产企业、销售</w:t>
            </w:r>
            <w:r>
              <w:rPr>
                <w:rFonts w:hint="default" w:ascii="Times New Roman" w:hAnsi="Times New Roman" w:eastAsia="方正仿宋_GBK" w:cs="Times New Roman"/>
                <w:color w:val="auto"/>
                <w:sz w:val="24"/>
                <w:szCs w:val="24"/>
              </w:rPr>
              <w:t>企业</w:t>
            </w:r>
            <w:r>
              <w:rPr>
                <w:rFonts w:hint="default" w:ascii="Times New Roman" w:hAnsi="Times New Roman" w:eastAsia="方正仿宋_GBK" w:cs="Times New Roman"/>
                <w:color w:val="auto"/>
                <w:sz w:val="24"/>
                <w:szCs w:val="24"/>
                <w:lang w:eastAsia="zh-CN"/>
              </w:rPr>
              <w:t>（门店）</w:t>
            </w:r>
          </w:p>
        </w:tc>
        <w:tc>
          <w:tcPr>
            <w:tcW w:w="3833" w:type="dxa"/>
            <w:noWrap w:val="0"/>
            <w:vAlign w:val="center"/>
          </w:tcPr>
          <w:p w14:paraId="6AAC357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检查列入《中华人民共和国实行水效标识的产品目录》的产品是否按有关标准和实施规则的要求标注水效标识；使用的水效标识是否符合有关样式、规格等标注规定（包括是否符合网络交易产品水效标识展示要求）；是否办理水效标识备案；是否存在伪造冒用水效标识或者利用水效标识进行虚假宣传的行为。</w:t>
            </w:r>
          </w:p>
        </w:tc>
        <w:tc>
          <w:tcPr>
            <w:tcW w:w="650" w:type="dxa"/>
            <w:noWrap w:val="0"/>
            <w:vAlign w:val="center"/>
          </w:tcPr>
          <w:p w14:paraId="2DC4CA8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sz w:val="24"/>
                <w:szCs w:val="24"/>
                <w:lang w:eastAsia="zh-CN"/>
              </w:rPr>
            </w:pPr>
            <w:r>
              <w:rPr>
                <w:rFonts w:hint="eastAsia" w:eastAsia="方正仿宋_GBK" w:cs="Times New Roman"/>
                <w:sz w:val="24"/>
                <w:szCs w:val="24"/>
                <w:lang w:eastAsia="zh-CN"/>
              </w:rPr>
              <w:t>非现场检查</w:t>
            </w:r>
          </w:p>
        </w:tc>
        <w:tc>
          <w:tcPr>
            <w:tcW w:w="650" w:type="dxa"/>
            <w:shd w:val="clear" w:color="auto" w:fill="auto"/>
            <w:noWrap w:val="0"/>
            <w:vAlign w:val="center"/>
          </w:tcPr>
          <w:p w14:paraId="019EAA8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7815C4B0">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7656B7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30E857AE">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eastAsia="方正仿宋_GBK" w:cs="Times New Roman"/>
                <w:color w:val="auto"/>
                <w:sz w:val="24"/>
                <w:szCs w:val="24"/>
                <w:lang w:val="en-US" w:eastAsia="zh-CN"/>
              </w:rPr>
            </w:pPr>
            <w:r>
              <w:rPr>
                <w:rFonts w:hint="eastAsia" w:eastAsia="方正仿宋_GBK" w:cs="Times New Roman"/>
                <w:color w:val="auto"/>
                <w:sz w:val="24"/>
                <w:szCs w:val="24"/>
                <w:lang w:val="en-US" w:eastAsia="zh-CN"/>
              </w:rPr>
              <w:t>40</w:t>
            </w:r>
          </w:p>
        </w:tc>
        <w:tc>
          <w:tcPr>
            <w:tcW w:w="1012" w:type="dxa"/>
            <w:noWrap w:val="0"/>
            <w:vAlign w:val="center"/>
          </w:tcPr>
          <w:p w14:paraId="283BF2B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对能源计量情况的行政检查</w:t>
            </w:r>
          </w:p>
        </w:tc>
        <w:tc>
          <w:tcPr>
            <w:tcW w:w="873" w:type="dxa"/>
            <w:noWrap w:val="0"/>
            <w:vAlign w:val="center"/>
          </w:tcPr>
          <w:p w14:paraId="2837ED4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color w:val="auto"/>
                <w:sz w:val="24"/>
                <w:szCs w:val="24"/>
                <w:lang w:eastAsia="zh-CN"/>
              </w:rPr>
            </w:pPr>
            <w:r>
              <w:rPr>
                <w:rFonts w:hint="eastAsia" w:eastAsia="方正仿宋_GBK" w:cs="Times New Roman"/>
                <w:color w:val="auto"/>
                <w:sz w:val="24"/>
                <w:szCs w:val="24"/>
                <w:lang w:eastAsia="zh-CN"/>
              </w:rPr>
              <w:t>安化县市场监督管理局</w:t>
            </w:r>
          </w:p>
        </w:tc>
        <w:tc>
          <w:tcPr>
            <w:tcW w:w="5268" w:type="dxa"/>
            <w:noWrap w:val="0"/>
            <w:vAlign w:val="center"/>
          </w:tcPr>
          <w:p w14:paraId="7903397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《能源计量监督管理办法》</w:t>
            </w:r>
          </w:p>
          <w:p w14:paraId="1A891815">
            <w:pPr>
              <w:keepNext w:val="0"/>
              <w:keepLines w:val="0"/>
              <w:pageBreakBefore w:val="0"/>
              <w:widowControl w:val="0"/>
              <w:numPr>
                <w:ilvl w:val="0"/>
                <w:numId w:val="2"/>
              </w:numPr>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eastAsia" w:eastAsia="方正仿宋_GBK" w:cs="Times New Roman"/>
                <w:color w:val="auto"/>
                <w:sz w:val="24"/>
                <w:szCs w:val="24"/>
                <w:lang w:val="en-US" w:eastAsia="zh-CN"/>
              </w:rPr>
              <w:t xml:space="preserve"> </w:t>
            </w:r>
            <w:r>
              <w:rPr>
                <w:rFonts w:hint="default" w:ascii="Times New Roman" w:hAnsi="Times New Roman" w:eastAsia="方正仿宋_GBK" w:cs="Times New Roman"/>
                <w:color w:val="auto"/>
                <w:sz w:val="24"/>
                <w:szCs w:val="24"/>
              </w:rPr>
              <w:t>市场监督管理部门应当对用能单位能源计量工作情况、列入国家能源效率标识管理产品目录的用能产品能源效率实施监督检查。任何单位和个人不得拒绝、阻碍依法开展的能源计量监督检查。</w:t>
            </w:r>
          </w:p>
          <w:p w14:paraId="38C655BD">
            <w:pPr>
              <w:keepNext w:val="0"/>
              <w:keepLines w:val="0"/>
              <w:pageBreakBefore w:val="0"/>
              <w:widowControl w:val="0"/>
              <w:numPr>
                <w:ilvl w:val="0"/>
                <w:numId w:val="0"/>
              </w:numPr>
              <w:kinsoku w:val="0"/>
              <w:wordWrap/>
              <w:overflowPunct/>
              <w:topLinePunct w:val="0"/>
              <w:autoSpaceDE/>
              <w:autoSpaceDN/>
              <w:bidi w:val="0"/>
              <w:adjustRightInd w:val="0"/>
              <w:snapToGrid w:val="0"/>
              <w:spacing w:line="240" w:lineRule="exact"/>
              <w:ind w:leftChars="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第十七条</w:t>
            </w:r>
            <w:r>
              <w:rPr>
                <w:rFonts w:hint="eastAsia" w:eastAsia="方正仿宋_GBK" w:cs="Times New Roman"/>
                <w:color w:val="auto"/>
                <w:sz w:val="24"/>
                <w:szCs w:val="24"/>
                <w:lang w:val="en-US" w:eastAsia="zh-CN"/>
              </w:rPr>
              <w:t xml:space="preserve">  </w:t>
            </w:r>
            <w:r>
              <w:rPr>
                <w:rFonts w:hint="default" w:ascii="Times New Roman" w:hAnsi="Times New Roman" w:eastAsia="方正仿宋_GBK" w:cs="Times New Roman"/>
                <w:color w:val="auto"/>
                <w:sz w:val="24"/>
                <w:szCs w:val="24"/>
              </w:rPr>
              <w:t>市场监督管理部门应当对重点用能单位的能源计量器具配备和使用，计量数据管理以及能源计量工作人员配备和培训等能源计量工作情况开展定期审查。</w:t>
            </w:r>
          </w:p>
        </w:tc>
        <w:tc>
          <w:tcPr>
            <w:tcW w:w="983" w:type="dxa"/>
            <w:noWrap w:val="0"/>
            <w:vAlign w:val="center"/>
          </w:tcPr>
          <w:p w14:paraId="3B561785">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eastAsia="zh-CN"/>
              </w:rPr>
              <w:t>计量股</w:t>
            </w:r>
          </w:p>
        </w:tc>
        <w:tc>
          <w:tcPr>
            <w:tcW w:w="1000" w:type="dxa"/>
            <w:noWrap w:val="0"/>
            <w:vAlign w:val="center"/>
          </w:tcPr>
          <w:p w14:paraId="30BC583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eastAsia="zh-CN"/>
              </w:rPr>
              <w:t>能</w:t>
            </w:r>
            <w:r>
              <w:rPr>
                <w:rFonts w:hint="eastAsia" w:eastAsia="方正仿宋_GBK" w:cs="Times New Roman"/>
                <w:color w:val="auto"/>
                <w:sz w:val="24"/>
                <w:szCs w:val="24"/>
                <w:lang w:eastAsia="zh-CN"/>
              </w:rPr>
              <w:t>源</w:t>
            </w:r>
            <w:r>
              <w:rPr>
                <w:rFonts w:hint="default" w:ascii="Times New Roman" w:hAnsi="Times New Roman" w:eastAsia="方正仿宋_GBK" w:cs="Times New Roman"/>
                <w:color w:val="auto"/>
                <w:sz w:val="24"/>
                <w:szCs w:val="24"/>
                <w:lang w:eastAsia="zh-CN"/>
              </w:rPr>
              <w:t>标识产品生产企业、销售</w:t>
            </w:r>
            <w:r>
              <w:rPr>
                <w:rFonts w:hint="default" w:ascii="Times New Roman" w:hAnsi="Times New Roman" w:eastAsia="方正仿宋_GBK" w:cs="Times New Roman"/>
                <w:color w:val="auto"/>
                <w:sz w:val="24"/>
                <w:szCs w:val="24"/>
              </w:rPr>
              <w:t>企业</w:t>
            </w:r>
            <w:r>
              <w:rPr>
                <w:rFonts w:hint="default" w:ascii="Times New Roman" w:hAnsi="Times New Roman" w:eastAsia="方正仿宋_GBK" w:cs="Times New Roman"/>
                <w:color w:val="auto"/>
                <w:sz w:val="24"/>
                <w:szCs w:val="24"/>
                <w:lang w:eastAsia="zh-CN"/>
              </w:rPr>
              <w:t>（门店）</w:t>
            </w:r>
          </w:p>
        </w:tc>
        <w:tc>
          <w:tcPr>
            <w:tcW w:w="3833" w:type="dxa"/>
            <w:noWrap w:val="0"/>
            <w:vAlign w:val="center"/>
          </w:tcPr>
          <w:p w14:paraId="3BCF126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检查列入《能源计量监督管理办法》的产品是否按有关标准和实施规则的要求标注</w:t>
            </w:r>
            <w:r>
              <w:rPr>
                <w:rFonts w:hint="eastAsia" w:eastAsia="方正仿宋_GBK" w:cs="Times New Roman"/>
                <w:color w:val="auto"/>
                <w:sz w:val="24"/>
                <w:szCs w:val="24"/>
                <w:lang w:eastAsia="zh-CN"/>
              </w:rPr>
              <w:t>能源</w:t>
            </w:r>
            <w:r>
              <w:rPr>
                <w:rFonts w:hint="default" w:ascii="Times New Roman" w:hAnsi="Times New Roman" w:eastAsia="方正仿宋_GBK" w:cs="Times New Roman"/>
                <w:color w:val="auto"/>
                <w:sz w:val="24"/>
                <w:szCs w:val="24"/>
              </w:rPr>
              <w:t>标识；使用的能</w:t>
            </w:r>
            <w:r>
              <w:rPr>
                <w:rFonts w:hint="eastAsia" w:eastAsia="方正仿宋_GBK" w:cs="Times New Roman"/>
                <w:color w:val="auto"/>
                <w:sz w:val="24"/>
                <w:szCs w:val="24"/>
                <w:lang w:eastAsia="zh-CN"/>
              </w:rPr>
              <w:t>源</w:t>
            </w:r>
            <w:r>
              <w:rPr>
                <w:rFonts w:hint="default" w:ascii="Times New Roman" w:hAnsi="Times New Roman" w:eastAsia="方正仿宋_GBK" w:cs="Times New Roman"/>
                <w:color w:val="auto"/>
                <w:sz w:val="24"/>
                <w:szCs w:val="24"/>
              </w:rPr>
              <w:t>标识是否符合有关样式、规格等标注规定（包括是否符合网络交易产品能效标识展示要求）；是否办理能</w:t>
            </w:r>
            <w:r>
              <w:rPr>
                <w:rFonts w:hint="eastAsia" w:eastAsia="方正仿宋_GBK" w:cs="Times New Roman"/>
                <w:color w:val="auto"/>
                <w:sz w:val="24"/>
                <w:szCs w:val="24"/>
                <w:lang w:eastAsia="zh-CN"/>
              </w:rPr>
              <w:t>源</w:t>
            </w:r>
            <w:r>
              <w:rPr>
                <w:rFonts w:hint="default" w:ascii="Times New Roman" w:hAnsi="Times New Roman" w:eastAsia="方正仿宋_GBK" w:cs="Times New Roman"/>
                <w:color w:val="auto"/>
                <w:sz w:val="24"/>
                <w:szCs w:val="24"/>
              </w:rPr>
              <w:t>标识备案；是否存在伪造冒用能</w:t>
            </w:r>
            <w:r>
              <w:rPr>
                <w:rFonts w:hint="eastAsia" w:eastAsia="方正仿宋_GBK" w:cs="Times New Roman"/>
                <w:color w:val="auto"/>
                <w:sz w:val="24"/>
                <w:szCs w:val="24"/>
                <w:lang w:eastAsia="zh-CN"/>
              </w:rPr>
              <w:t>源</w:t>
            </w:r>
            <w:r>
              <w:rPr>
                <w:rFonts w:hint="default" w:ascii="Times New Roman" w:hAnsi="Times New Roman" w:eastAsia="方正仿宋_GBK" w:cs="Times New Roman"/>
                <w:color w:val="auto"/>
                <w:sz w:val="24"/>
                <w:szCs w:val="24"/>
              </w:rPr>
              <w:t>标识或者利用能</w:t>
            </w:r>
            <w:r>
              <w:rPr>
                <w:rFonts w:hint="eastAsia" w:eastAsia="方正仿宋_GBK" w:cs="Times New Roman"/>
                <w:color w:val="auto"/>
                <w:sz w:val="24"/>
                <w:szCs w:val="24"/>
                <w:lang w:eastAsia="zh-CN"/>
              </w:rPr>
              <w:t>源</w:t>
            </w:r>
            <w:r>
              <w:rPr>
                <w:rFonts w:hint="default" w:ascii="Times New Roman" w:hAnsi="Times New Roman" w:eastAsia="方正仿宋_GBK" w:cs="Times New Roman"/>
                <w:color w:val="auto"/>
                <w:sz w:val="24"/>
                <w:szCs w:val="24"/>
              </w:rPr>
              <w:t>标识进行虚假宣传的行为。</w:t>
            </w:r>
          </w:p>
        </w:tc>
        <w:tc>
          <w:tcPr>
            <w:tcW w:w="650" w:type="dxa"/>
            <w:noWrap w:val="0"/>
            <w:vAlign w:val="center"/>
          </w:tcPr>
          <w:p w14:paraId="2474951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抽样检测</w:t>
            </w:r>
          </w:p>
        </w:tc>
        <w:tc>
          <w:tcPr>
            <w:tcW w:w="650" w:type="dxa"/>
            <w:shd w:val="clear" w:color="auto" w:fill="auto"/>
            <w:noWrap w:val="0"/>
            <w:vAlign w:val="center"/>
          </w:tcPr>
          <w:p w14:paraId="6841C13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2F06C3F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168F6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45550E77">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eastAsia="方正仿宋_GBK" w:cs="Times New Roman"/>
                <w:color w:val="auto"/>
                <w:sz w:val="24"/>
                <w:szCs w:val="24"/>
                <w:lang w:val="en-US" w:eastAsia="zh-CN"/>
              </w:rPr>
            </w:pPr>
            <w:r>
              <w:rPr>
                <w:rFonts w:hint="eastAsia" w:eastAsia="方正仿宋_GBK" w:cs="Times New Roman"/>
                <w:color w:val="auto"/>
                <w:sz w:val="24"/>
                <w:szCs w:val="24"/>
                <w:lang w:val="en-US" w:eastAsia="zh-CN"/>
              </w:rPr>
              <w:t>41</w:t>
            </w:r>
          </w:p>
        </w:tc>
        <w:tc>
          <w:tcPr>
            <w:tcW w:w="1012" w:type="dxa"/>
            <w:noWrap w:val="0"/>
            <w:vAlign w:val="center"/>
          </w:tcPr>
          <w:p w14:paraId="468CA13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rPr>
            </w:pPr>
            <w:r>
              <w:rPr>
                <w:rFonts w:hint="eastAsia" w:ascii="Times New Roman" w:hAnsi="Times New Roman" w:eastAsia="方正仿宋_GBK" w:cs="方正仿宋_GBK"/>
                <w:color w:val="auto"/>
                <w:sz w:val="24"/>
                <w:szCs w:val="24"/>
                <w:highlight w:val="none"/>
              </w:rPr>
              <w:t>企业</w:t>
            </w:r>
            <w:r>
              <w:rPr>
                <w:rFonts w:hint="eastAsia" w:eastAsia="方正仿宋_GBK" w:cs="方正仿宋_GBK"/>
                <w:color w:val="auto"/>
                <w:sz w:val="24"/>
                <w:szCs w:val="24"/>
                <w:highlight w:val="none"/>
                <w:lang w:eastAsia="zh-CN"/>
              </w:rPr>
              <w:t>、社会团体</w:t>
            </w:r>
            <w:r>
              <w:rPr>
                <w:rFonts w:hint="eastAsia" w:ascii="Times New Roman" w:hAnsi="Times New Roman" w:eastAsia="方正仿宋_GBK" w:cs="方正仿宋_GBK"/>
                <w:color w:val="auto"/>
                <w:sz w:val="24"/>
                <w:szCs w:val="24"/>
                <w:highlight w:val="none"/>
              </w:rPr>
              <w:t>标准自我声明监督检查</w:t>
            </w:r>
          </w:p>
        </w:tc>
        <w:tc>
          <w:tcPr>
            <w:tcW w:w="873" w:type="dxa"/>
            <w:noWrap w:val="0"/>
            <w:vAlign w:val="center"/>
          </w:tcPr>
          <w:p w14:paraId="3D860B79">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color w:val="auto"/>
                <w:sz w:val="24"/>
                <w:szCs w:val="24"/>
                <w:lang w:eastAsia="zh-CN"/>
              </w:rPr>
            </w:pPr>
            <w:r>
              <w:rPr>
                <w:rFonts w:hint="eastAsia" w:eastAsia="方正仿宋_GBK" w:cs="Times New Roman"/>
                <w:color w:val="auto"/>
                <w:sz w:val="24"/>
                <w:szCs w:val="24"/>
                <w:lang w:eastAsia="zh-CN"/>
              </w:rPr>
              <w:t>安化县市场监督管理局</w:t>
            </w:r>
          </w:p>
        </w:tc>
        <w:tc>
          <w:tcPr>
            <w:tcW w:w="5268" w:type="dxa"/>
            <w:noWrap w:val="0"/>
            <w:vAlign w:val="center"/>
          </w:tcPr>
          <w:p w14:paraId="15C1137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color w:val="auto"/>
                <w:sz w:val="24"/>
                <w:szCs w:val="24"/>
              </w:rPr>
            </w:pPr>
            <w:r>
              <w:rPr>
                <w:rFonts w:hint="eastAsia" w:ascii="Times New Roman" w:hAnsi="Times New Roman" w:eastAsia="方正仿宋_GBK" w:cs="方正仿宋_GBK"/>
                <w:color w:val="auto"/>
                <w:sz w:val="24"/>
                <w:szCs w:val="24"/>
                <w:highlight w:val="none"/>
              </w:rPr>
              <w:t>《标准化法》第二十七条、第三十八条、第三十九条、第四十二条</w:t>
            </w:r>
          </w:p>
        </w:tc>
        <w:tc>
          <w:tcPr>
            <w:tcW w:w="983" w:type="dxa"/>
            <w:noWrap w:val="0"/>
            <w:vAlign w:val="center"/>
          </w:tcPr>
          <w:p w14:paraId="13390D4D">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方正仿宋_GBK" w:cs="Times New Roman"/>
                <w:color w:val="auto"/>
                <w:sz w:val="24"/>
                <w:szCs w:val="24"/>
                <w:lang w:eastAsia="zh-CN"/>
              </w:rPr>
            </w:pPr>
            <w:r>
              <w:rPr>
                <w:rFonts w:hint="eastAsia" w:eastAsia="方正仿宋_GBK" w:cs="Times New Roman"/>
                <w:color w:val="auto"/>
                <w:sz w:val="24"/>
                <w:szCs w:val="24"/>
                <w:lang w:eastAsia="zh-CN"/>
              </w:rPr>
              <w:t>标质股</w:t>
            </w:r>
          </w:p>
        </w:tc>
        <w:tc>
          <w:tcPr>
            <w:tcW w:w="1000" w:type="dxa"/>
            <w:noWrap w:val="0"/>
            <w:vAlign w:val="center"/>
          </w:tcPr>
          <w:p w14:paraId="4FD457A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color w:val="auto"/>
                <w:sz w:val="24"/>
                <w:szCs w:val="24"/>
                <w:lang w:eastAsia="zh-CN"/>
              </w:rPr>
            </w:pPr>
            <w:r>
              <w:rPr>
                <w:rFonts w:hint="eastAsia" w:eastAsia="方正仿宋_GBK" w:cs="Times New Roman"/>
                <w:color w:val="auto"/>
                <w:sz w:val="24"/>
                <w:szCs w:val="24"/>
                <w:lang w:eastAsia="zh-CN"/>
              </w:rPr>
              <w:t>企业、社会团体</w:t>
            </w:r>
          </w:p>
        </w:tc>
        <w:tc>
          <w:tcPr>
            <w:tcW w:w="3833" w:type="dxa"/>
            <w:noWrap w:val="0"/>
            <w:vAlign w:val="center"/>
          </w:tcPr>
          <w:p w14:paraId="2141912D">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eastAsia"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rPr>
              <w:t>团体标准、企业标准自我声明公开和监督制度</w:t>
            </w:r>
            <w:r>
              <w:rPr>
                <w:rFonts w:hint="eastAsia" w:eastAsia="方正仿宋_GBK" w:cs="Times New Roman"/>
                <w:color w:val="auto"/>
                <w:sz w:val="24"/>
                <w:szCs w:val="24"/>
                <w:lang w:eastAsia="zh-CN"/>
              </w:rPr>
              <w:t>检查</w:t>
            </w:r>
          </w:p>
        </w:tc>
        <w:tc>
          <w:tcPr>
            <w:tcW w:w="650" w:type="dxa"/>
            <w:noWrap w:val="0"/>
            <w:vAlign w:val="center"/>
          </w:tcPr>
          <w:p w14:paraId="57C7B97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sz w:val="24"/>
                <w:szCs w:val="24"/>
                <w:lang w:eastAsia="zh-CN"/>
              </w:rPr>
            </w:pPr>
            <w:r>
              <w:rPr>
                <w:rFonts w:hint="eastAsia" w:eastAsia="方正仿宋_GBK" w:cs="方正仿宋_GBK"/>
                <w:color w:val="auto"/>
                <w:sz w:val="24"/>
                <w:szCs w:val="24"/>
                <w:highlight w:val="none"/>
                <w:lang w:eastAsia="zh-CN"/>
              </w:rPr>
              <w:t>非现场检查</w:t>
            </w:r>
          </w:p>
        </w:tc>
        <w:tc>
          <w:tcPr>
            <w:tcW w:w="650" w:type="dxa"/>
            <w:shd w:val="clear" w:color="auto" w:fill="auto"/>
            <w:noWrap w:val="0"/>
            <w:vAlign w:val="center"/>
          </w:tcPr>
          <w:p w14:paraId="1705401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2E56FA9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685C40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09" w:type="dxa"/>
            <w:noWrap w:val="0"/>
            <w:vAlign w:val="center"/>
          </w:tcPr>
          <w:p w14:paraId="177A989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42</w:t>
            </w:r>
          </w:p>
        </w:tc>
        <w:tc>
          <w:tcPr>
            <w:tcW w:w="1012" w:type="dxa"/>
            <w:noWrap w:val="0"/>
            <w:vAlign w:val="center"/>
          </w:tcPr>
          <w:p w14:paraId="51F3A26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对检验检测机构的行政检查</w:t>
            </w:r>
          </w:p>
        </w:tc>
        <w:tc>
          <w:tcPr>
            <w:tcW w:w="873" w:type="dxa"/>
            <w:noWrap w:val="0"/>
            <w:vAlign w:val="center"/>
          </w:tcPr>
          <w:p w14:paraId="48471C0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sz w:val="24"/>
                <w:szCs w:val="24"/>
                <w:lang w:eastAsia="zh-CN"/>
              </w:rPr>
            </w:pPr>
            <w:r>
              <w:rPr>
                <w:rFonts w:hint="eastAsia" w:eastAsia="方正仿宋_GBK" w:cs="Times New Roman"/>
                <w:sz w:val="24"/>
                <w:szCs w:val="24"/>
                <w:lang w:eastAsia="zh-CN"/>
              </w:rPr>
              <w:t>安化县市场监督管理局</w:t>
            </w:r>
          </w:p>
        </w:tc>
        <w:tc>
          <w:tcPr>
            <w:tcW w:w="5268" w:type="dxa"/>
            <w:noWrap w:val="0"/>
            <w:vAlign w:val="center"/>
          </w:tcPr>
          <w:p w14:paraId="365BB32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《检验检测机构监督管理办法》</w:t>
            </w:r>
          </w:p>
          <w:p w14:paraId="4C51E72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第四条第三款</w:t>
            </w:r>
            <w:r>
              <w:rPr>
                <w:rFonts w:hint="eastAsia" w:eastAsia="方正仿宋_GBK" w:cs="Times New Roman"/>
                <w:b w:val="0"/>
                <w:bCs/>
                <w:sz w:val="24"/>
                <w:szCs w:val="24"/>
                <w:lang w:val="en-US" w:eastAsia="zh-CN"/>
              </w:rPr>
              <w:t xml:space="preserve">  </w:t>
            </w:r>
            <w:r>
              <w:rPr>
                <w:rFonts w:hint="default" w:ascii="Times New Roman" w:hAnsi="Times New Roman" w:eastAsia="方正仿宋_GBK" w:cs="Times New Roman"/>
                <w:b w:val="0"/>
                <w:bCs/>
                <w:sz w:val="24"/>
                <w:szCs w:val="24"/>
              </w:rPr>
              <w:t>地（市）、县级市场监督管理部门负责本行政区域内检验检测机构监督检查工作。</w:t>
            </w:r>
          </w:p>
          <w:p w14:paraId="5B0207B2">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第十七条第一款</w:t>
            </w:r>
            <w:r>
              <w:rPr>
                <w:rFonts w:hint="eastAsia" w:eastAsia="方正仿宋_GBK" w:cs="Times New Roman"/>
                <w:b w:val="0"/>
                <w:bCs/>
                <w:sz w:val="24"/>
                <w:szCs w:val="24"/>
                <w:lang w:val="en-US" w:eastAsia="zh-CN"/>
              </w:rPr>
              <w:t xml:space="preserve">  </w:t>
            </w:r>
            <w:r>
              <w:rPr>
                <w:rFonts w:hint="default" w:ascii="Times New Roman" w:hAnsi="Times New Roman" w:eastAsia="方正仿宋_GBK" w:cs="Times New Roman"/>
                <w:b w:val="0"/>
                <w:bCs/>
                <w:sz w:val="24"/>
                <w:szCs w:val="24"/>
              </w:rPr>
              <w:t>县级以上市场监督管理部门应当依据检验检测机构年度监督检查计划，随机抽取检查对象、随机选派执法检查人员开展监督检查工作；</w:t>
            </w:r>
          </w:p>
          <w:p w14:paraId="05DC6DC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第二款</w:t>
            </w:r>
            <w:r>
              <w:rPr>
                <w:rFonts w:hint="eastAsia" w:eastAsia="方正仿宋_GBK" w:cs="Times New Roman"/>
                <w:b w:val="0"/>
                <w:bCs/>
                <w:sz w:val="24"/>
                <w:szCs w:val="24"/>
                <w:lang w:val="en-US" w:eastAsia="zh-CN"/>
              </w:rPr>
              <w:t xml:space="preserve">  </w:t>
            </w:r>
            <w:r>
              <w:rPr>
                <w:rFonts w:hint="default" w:ascii="Times New Roman" w:hAnsi="Times New Roman" w:eastAsia="方正仿宋_GBK" w:cs="Times New Roman"/>
                <w:b w:val="0"/>
                <w:bCs/>
                <w:sz w:val="24"/>
                <w:szCs w:val="24"/>
              </w:rPr>
              <w:t>因应对突发事件等需要，县级以上市场监督管理部门可以应急开展相关监督检查工作；</w:t>
            </w:r>
          </w:p>
          <w:p w14:paraId="63F9357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第十九条</w:t>
            </w:r>
            <w:r>
              <w:rPr>
                <w:rFonts w:hint="eastAsia" w:eastAsia="方正仿宋_GBK" w:cs="Times New Roman"/>
                <w:b w:val="0"/>
                <w:bCs/>
                <w:sz w:val="24"/>
                <w:szCs w:val="24"/>
                <w:lang w:val="en-US" w:eastAsia="zh-CN"/>
              </w:rPr>
              <w:t xml:space="preserve">  </w:t>
            </w:r>
            <w:r>
              <w:rPr>
                <w:rFonts w:hint="default" w:ascii="Times New Roman" w:hAnsi="Times New Roman" w:eastAsia="方正仿宋_GBK" w:cs="Times New Roman"/>
                <w:b w:val="0"/>
                <w:bCs/>
                <w:sz w:val="24"/>
                <w:szCs w:val="24"/>
              </w:rPr>
              <w:t>省级市场监督管理部门可以结合风险程度、能力验证及监督检查结果、投诉举报情况等，对本行政区域内检验检测机构进行分类监管。</w:t>
            </w:r>
          </w:p>
          <w:p w14:paraId="29B9107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第二十条</w:t>
            </w:r>
            <w:r>
              <w:rPr>
                <w:rFonts w:hint="eastAsia" w:eastAsia="方正仿宋_GBK" w:cs="Times New Roman"/>
                <w:b w:val="0"/>
                <w:bCs/>
                <w:sz w:val="24"/>
                <w:szCs w:val="24"/>
                <w:lang w:val="en-US" w:eastAsia="zh-CN"/>
              </w:rPr>
              <w:t xml:space="preserve">  </w:t>
            </w:r>
            <w:r>
              <w:rPr>
                <w:rFonts w:hint="default" w:ascii="Times New Roman" w:hAnsi="Times New Roman" w:eastAsia="方正仿宋_GBK" w:cs="Times New Roman"/>
                <w:b w:val="0"/>
                <w:bCs/>
                <w:sz w:val="24"/>
                <w:szCs w:val="24"/>
              </w:rPr>
              <w:t>市场监督管理部门可以依法行使下列职权：</w:t>
            </w:r>
          </w:p>
          <w:p w14:paraId="5C76803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（一）进入检验检测机构进行现场检查；</w:t>
            </w:r>
          </w:p>
          <w:p w14:paraId="78E7D40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（二）向检验检测机构、委托人等有关单位及人员询问、调查有关情况或者验证相关检验检测活动；</w:t>
            </w:r>
          </w:p>
          <w:p w14:paraId="15C6938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（三）查阅、复制有关检验检测原始记录、报告、发票、账簿及其他相关资料；</w:t>
            </w:r>
          </w:p>
          <w:p w14:paraId="2CF988D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（四）法律、行政法规规定的其他职权。</w:t>
            </w:r>
          </w:p>
        </w:tc>
        <w:tc>
          <w:tcPr>
            <w:tcW w:w="983" w:type="dxa"/>
            <w:noWrap w:val="0"/>
            <w:vAlign w:val="center"/>
          </w:tcPr>
          <w:p w14:paraId="5467144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eastAsia" w:eastAsia="方正仿宋_GBK" w:cs="Times New Roman"/>
                <w:sz w:val="24"/>
                <w:szCs w:val="24"/>
                <w:lang w:eastAsia="zh-CN"/>
              </w:rPr>
              <w:t>产品质量认证认可股</w:t>
            </w:r>
          </w:p>
        </w:tc>
        <w:tc>
          <w:tcPr>
            <w:tcW w:w="1000" w:type="dxa"/>
            <w:noWrap w:val="0"/>
            <w:vAlign w:val="center"/>
          </w:tcPr>
          <w:p w14:paraId="7980F1D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检验检测机构</w:t>
            </w:r>
          </w:p>
        </w:tc>
        <w:tc>
          <w:tcPr>
            <w:tcW w:w="3833" w:type="dxa"/>
            <w:noWrap w:val="0"/>
            <w:vAlign w:val="center"/>
          </w:tcPr>
          <w:p w14:paraId="6C50928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1.对机构持续保持资质认定条件的监督检查；</w:t>
            </w:r>
          </w:p>
          <w:p w14:paraId="152007C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2.对机构从事检验检测活动的监督检查。</w:t>
            </w:r>
          </w:p>
        </w:tc>
        <w:tc>
          <w:tcPr>
            <w:tcW w:w="650" w:type="dxa"/>
            <w:noWrap w:val="0"/>
            <w:vAlign w:val="center"/>
          </w:tcPr>
          <w:p w14:paraId="2A3AF67F">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现场检查、非现场检查相结合</w:t>
            </w:r>
          </w:p>
        </w:tc>
        <w:tc>
          <w:tcPr>
            <w:tcW w:w="650" w:type="dxa"/>
            <w:shd w:val="clear" w:color="auto" w:fill="auto"/>
            <w:noWrap w:val="0"/>
            <w:vAlign w:val="center"/>
          </w:tcPr>
          <w:p w14:paraId="391A36C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6676F37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479615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09" w:type="dxa"/>
            <w:noWrap w:val="0"/>
            <w:vAlign w:val="center"/>
          </w:tcPr>
          <w:p w14:paraId="4BA0195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43</w:t>
            </w:r>
          </w:p>
        </w:tc>
        <w:tc>
          <w:tcPr>
            <w:tcW w:w="1012" w:type="dxa"/>
            <w:noWrap w:val="0"/>
            <w:vAlign w:val="center"/>
          </w:tcPr>
          <w:p w14:paraId="65F4089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对认证活动和认证结果的行政检查</w:t>
            </w:r>
          </w:p>
        </w:tc>
        <w:tc>
          <w:tcPr>
            <w:tcW w:w="873" w:type="dxa"/>
            <w:noWrap w:val="0"/>
            <w:vAlign w:val="center"/>
          </w:tcPr>
          <w:p w14:paraId="5063B05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eastAsia" w:ascii="Times New Roman" w:hAnsi="Times New Roman" w:eastAsia="方正仿宋_GBK" w:cs="Times New Roman"/>
                <w:sz w:val="24"/>
                <w:szCs w:val="24"/>
                <w:lang w:eastAsia="zh-CN"/>
              </w:rPr>
            </w:pPr>
            <w:r>
              <w:rPr>
                <w:rFonts w:hint="eastAsia" w:eastAsia="方正仿宋_GBK" w:cs="Times New Roman"/>
                <w:sz w:val="24"/>
                <w:szCs w:val="24"/>
                <w:lang w:eastAsia="zh-CN"/>
              </w:rPr>
              <w:t>安化县市场监督管理局</w:t>
            </w:r>
          </w:p>
        </w:tc>
        <w:tc>
          <w:tcPr>
            <w:tcW w:w="5268" w:type="dxa"/>
            <w:noWrap w:val="0"/>
            <w:vAlign w:val="center"/>
          </w:tcPr>
          <w:p w14:paraId="5091C4A9">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《中华人民共和国认证认可条例》</w:t>
            </w:r>
          </w:p>
          <w:p w14:paraId="7917A2D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第五十四条</w:t>
            </w:r>
            <w:r>
              <w:rPr>
                <w:rFonts w:hint="eastAsia" w:ascii="Times New Roman" w:hAnsi="Times New Roman" w:eastAsia="方正仿宋_GBK" w:cs="Times New Roman"/>
                <w:b w:val="0"/>
                <w:bCs/>
                <w:sz w:val="24"/>
                <w:szCs w:val="24"/>
                <w:lang w:val="en-US" w:eastAsia="zh-CN"/>
              </w:rPr>
              <w:t xml:space="preserve"> </w:t>
            </w:r>
            <w:r>
              <w:rPr>
                <w:rFonts w:hint="eastAsia" w:eastAsia="方正仿宋_GBK" w:cs="Times New Roman"/>
                <w:b w:val="0"/>
                <w:bCs/>
                <w:sz w:val="24"/>
                <w:szCs w:val="24"/>
                <w:lang w:val="en-US" w:eastAsia="zh-CN"/>
              </w:rPr>
              <w:t xml:space="preserve"> </w:t>
            </w:r>
            <w:r>
              <w:rPr>
                <w:rFonts w:hint="default" w:ascii="Times New Roman" w:hAnsi="Times New Roman" w:eastAsia="方正仿宋_GBK" w:cs="Times New Roman"/>
                <w:b w:val="0"/>
                <w:bCs/>
                <w:sz w:val="24"/>
                <w:szCs w:val="24"/>
              </w:rPr>
              <w:t>县级以上地方人民政府市场监督管理部门在国务院认证认可监督管理部门的授权范围内，依照本条例的规定对认证活动实施监督管理。</w:t>
            </w:r>
          </w:p>
          <w:p w14:paraId="1DBDE069">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《认证机构管理办法》</w:t>
            </w:r>
          </w:p>
          <w:p w14:paraId="035C6A8B">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第四条</w:t>
            </w:r>
            <w:r>
              <w:rPr>
                <w:rFonts w:hint="eastAsia" w:eastAsia="方正仿宋_GBK" w:cs="Times New Roman"/>
                <w:b w:val="0"/>
                <w:bCs/>
                <w:sz w:val="24"/>
                <w:szCs w:val="24"/>
                <w:lang w:val="en-US" w:eastAsia="zh-CN"/>
              </w:rPr>
              <w:t xml:space="preserve">  </w:t>
            </w:r>
            <w:r>
              <w:rPr>
                <w:rFonts w:hint="default" w:ascii="Times New Roman" w:hAnsi="Times New Roman" w:eastAsia="方正仿宋_GBK" w:cs="Times New Roman"/>
                <w:b w:val="0"/>
                <w:bCs/>
                <w:sz w:val="24"/>
                <w:szCs w:val="24"/>
              </w:rPr>
              <w:t>国务院认证认可监督管理部门主管认证机构的资质审批及监督管理工作。县级以上地方认证监督管理部门依照本办法的规定，负责所辖区域内认证机构从事认证活动的监督管理。</w:t>
            </w:r>
          </w:p>
          <w:p w14:paraId="020EBA2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《强制性产品认证管理规定》</w:t>
            </w:r>
          </w:p>
          <w:p w14:paraId="4CA3B96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both"/>
              <w:rPr>
                <w:rFonts w:hint="default" w:ascii="Times New Roman" w:hAnsi="Times New Roman" w:eastAsia="方正仿宋_GBK" w:cs="Times New Roman"/>
                <w:b w:val="0"/>
                <w:bCs/>
                <w:sz w:val="24"/>
                <w:szCs w:val="24"/>
              </w:rPr>
            </w:pPr>
            <w:r>
              <w:rPr>
                <w:rFonts w:hint="default" w:ascii="Times New Roman" w:hAnsi="Times New Roman" w:eastAsia="方正仿宋_GBK" w:cs="Times New Roman"/>
                <w:b w:val="0"/>
                <w:bCs/>
                <w:sz w:val="24"/>
                <w:szCs w:val="24"/>
              </w:rPr>
              <w:t>第三十七条</w:t>
            </w:r>
            <w:r>
              <w:rPr>
                <w:rFonts w:hint="eastAsia" w:eastAsia="方正仿宋_GBK" w:cs="Times New Roman"/>
                <w:b w:val="0"/>
                <w:bCs/>
                <w:sz w:val="24"/>
                <w:szCs w:val="24"/>
                <w:lang w:val="en-US" w:eastAsia="zh-CN"/>
              </w:rPr>
              <w:t xml:space="preserve">  </w:t>
            </w:r>
            <w:r>
              <w:rPr>
                <w:rFonts w:hint="default" w:ascii="Times New Roman" w:hAnsi="Times New Roman" w:eastAsia="方正仿宋_GBK" w:cs="Times New Roman"/>
                <w:b w:val="0"/>
                <w:bCs/>
                <w:sz w:val="24"/>
                <w:szCs w:val="24"/>
              </w:rPr>
              <w:t>县级以上地方市场监督管理部门负责对所辖区域内强制性产品认证活动实施监督检查，对违法行为进行查处。</w:t>
            </w:r>
          </w:p>
        </w:tc>
        <w:tc>
          <w:tcPr>
            <w:tcW w:w="983" w:type="dxa"/>
            <w:noWrap w:val="0"/>
            <w:vAlign w:val="center"/>
          </w:tcPr>
          <w:p w14:paraId="152980C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eastAsia" w:eastAsia="方正仿宋_GBK" w:cs="Times New Roman"/>
                <w:sz w:val="24"/>
                <w:szCs w:val="24"/>
                <w:lang w:eastAsia="zh-CN"/>
              </w:rPr>
              <w:t>产品质量认证认可股</w:t>
            </w:r>
          </w:p>
        </w:tc>
        <w:tc>
          <w:tcPr>
            <w:tcW w:w="1000" w:type="dxa"/>
            <w:noWrap w:val="0"/>
            <w:vAlign w:val="center"/>
          </w:tcPr>
          <w:p w14:paraId="1DA8C267">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获证组织</w:t>
            </w:r>
          </w:p>
        </w:tc>
        <w:tc>
          <w:tcPr>
            <w:tcW w:w="3833" w:type="dxa"/>
            <w:noWrap w:val="0"/>
            <w:vAlign w:val="center"/>
          </w:tcPr>
          <w:p w14:paraId="2625B4A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认证活动及结果合规性、有效性的检查。</w:t>
            </w:r>
          </w:p>
        </w:tc>
        <w:tc>
          <w:tcPr>
            <w:tcW w:w="650" w:type="dxa"/>
            <w:noWrap w:val="0"/>
            <w:vAlign w:val="center"/>
          </w:tcPr>
          <w:p w14:paraId="79AADEA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现场检查</w:t>
            </w:r>
          </w:p>
        </w:tc>
        <w:tc>
          <w:tcPr>
            <w:tcW w:w="650" w:type="dxa"/>
            <w:shd w:val="clear" w:color="auto" w:fill="auto"/>
            <w:noWrap w:val="0"/>
            <w:vAlign w:val="center"/>
          </w:tcPr>
          <w:p w14:paraId="0E786268">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454A746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7E310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75" w:hRule="atLeast"/>
          <w:jc w:val="center"/>
        </w:trPr>
        <w:tc>
          <w:tcPr>
            <w:tcW w:w="409" w:type="dxa"/>
            <w:noWrap w:val="0"/>
            <w:vAlign w:val="center"/>
          </w:tcPr>
          <w:p w14:paraId="42F0F488">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44</w:t>
            </w:r>
          </w:p>
        </w:tc>
        <w:tc>
          <w:tcPr>
            <w:tcW w:w="1012" w:type="dxa"/>
            <w:noWrap w:val="0"/>
            <w:vAlign w:val="center"/>
          </w:tcPr>
          <w:p w14:paraId="52748FB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sz w:val="24"/>
                <w:szCs w:val="24"/>
                <w:lang w:eastAsia="zh-CN"/>
              </w:rPr>
              <w:t>商标代理机构主体资格、执业行为进行检查</w:t>
            </w:r>
          </w:p>
        </w:tc>
        <w:tc>
          <w:tcPr>
            <w:tcW w:w="873" w:type="dxa"/>
            <w:noWrap w:val="0"/>
            <w:vAlign w:val="center"/>
          </w:tcPr>
          <w:p w14:paraId="2A1801A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rPr>
            </w:pPr>
            <w:r>
              <w:rPr>
                <w:rFonts w:hint="eastAsia" w:eastAsia="方正仿宋_GBK" w:cs="Times New Roman"/>
                <w:color w:val="auto"/>
                <w:sz w:val="24"/>
                <w:szCs w:val="24"/>
                <w:lang w:eastAsia="zh-CN"/>
              </w:rPr>
              <w:t>安化县市场监督管理局</w:t>
            </w:r>
          </w:p>
        </w:tc>
        <w:tc>
          <w:tcPr>
            <w:tcW w:w="5268" w:type="dxa"/>
            <w:noWrap w:val="0"/>
            <w:vAlign w:val="center"/>
          </w:tcPr>
          <w:p w14:paraId="7E49C93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sz w:val="24"/>
                <w:szCs w:val="24"/>
                <w:lang w:eastAsia="zh-CN"/>
              </w:rPr>
              <w:t>《商标法》第十九条、第六十八条、《商标法实施条例》第八十四条、第八十八条，</w:t>
            </w:r>
            <w:r>
              <w:rPr>
                <w:rFonts w:hint="default" w:ascii="Times New Roman" w:hAnsi="Times New Roman" w:eastAsia="方正仿宋_GBK" w:cs="Times New Roman"/>
                <w:color w:val="auto"/>
                <w:sz w:val="24"/>
                <w:szCs w:val="24"/>
                <w:highlight w:val="none"/>
              </w:rPr>
              <w:t>第八十九条</w:t>
            </w:r>
          </w:p>
        </w:tc>
        <w:tc>
          <w:tcPr>
            <w:tcW w:w="983" w:type="dxa"/>
            <w:noWrap w:val="0"/>
            <w:vAlign w:val="center"/>
          </w:tcPr>
          <w:p w14:paraId="3C6BE1F9">
            <w:pPr>
              <w:keepNext w:val="0"/>
              <w:keepLines w:val="0"/>
              <w:pageBreakBefore w:val="0"/>
              <w:widowControl w:val="0"/>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caps w:val="0"/>
                <w:spacing w:val="0"/>
                <w:kern w:val="0"/>
                <w:sz w:val="24"/>
                <w:szCs w:val="24"/>
                <w:shd w:val="clear" w:color="auto" w:fill="FFFFFF"/>
                <w:lang w:val="en-US" w:eastAsia="zh-CN" w:bidi="ar"/>
              </w:rPr>
              <w:t>知识产权</w:t>
            </w:r>
            <w:r>
              <w:rPr>
                <w:rFonts w:hint="eastAsia" w:eastAsia="方正仿宋_GBK" w:cs="Times New Roman"/>
                <w:i w:val="0"/>
                <w:caps w:val="0"/>
                <w:spacing w:val="0"/>
                <w:kern w:val="0"/>
                <w:sz w:val="24"/>
                <w:szCs w:val="24"/>
                <w:shd w:val="clear" w:color="auto" w:fill="FFFFFF"/>
                <w:lang w:val="en-US" w:eastAsia="zh-CN" w:bidi="ar"/>
              </w:rPr>
              <w:t>股</w:t>
            </w:r>
          </w:p>
        </w:tc>
        <w:tc>
          <w:tcPr>
            <w:tcW w:w="1000" w:type="dxa"/>
            <w:noWrap w:val="0"/>
            <w:vAlign w:val="center"/>
          </w:tcPr>
          <w:p w14:paraId="6DD5C4C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商标代理机构</w:t>
            </w:r>
          </w:p>
        </w:tc>
        <w:tc>
          <w:tcPr>
            <w:tcW w:w="3833" w:type="dxa"/>
            <w:noWrap w:val="0"/>
            <w:vAlign w:val="center"/>
          </w:tcPr>
          <w:p w14:paraId="64DBF65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eastAsia="zh-CN"/>
              </w:rPr>
              <w:t>商标代理机构主体资格、执业行为进行检查</w:t>
            </w:r>
          </w:p>
        </w:tc>
        <w:tc>
          <w:tcPr>
            <w:tcW w:w="650" w:type="dxa"/>
            <w:noWrap w:val="0"/>
            <w:vAlign w:val="center"/>
          </w:tcPr>
          <w:p w14:paraId="1078AEF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rPr>
            </w:pPr>
            <w:r>
              <w:rPr>
                <w:rFonts w:hint="eastAsia" w:eastAsia="方正仿宋_GBK" w:cs="Times New Roman"/>
                <w:sz w:val="24"/>
                <w:szCs w:val="24"/>
                <w:lang w:eastAsia="zh-CN"/>
              </w:rPr>
              <w:t>现场检查、非现场检查相结合</w:t>
            </w:r>
          </w:p>
        </w:tc>
        <w:tc>
          <w:tcPr>
            <w:tcW w:w="650" w:type="dxa"/>
            <w:shd w:val="clear" w:color="auto" w:fill="auto"/>
            <w:noWrap w:val="0"/>
            <w:vAlign w:val="center"/>
          </w:tcPr>
          <w:p w14:paraId="4AC350AC">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7F2C6A1E">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7ABC8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09" w:type="dxa"/>
            <w:noWrap w:val="0"/>
            <w:vAlign w:val="center"/>
          </w:tcPr>
          <w:p w14:paraId="39D69B21">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45</w:t>
            </w:r>
          </w:p>
        </w:tc>
        <w:tc>
          <w:tcPr>
            <w:tcW w:w="1012" w:type="dxa"/>
            <w:noWrap w:val="0"/>
            <w:vAlign w:val="center"/>
          </w:tcPr>
          <w:p w14:paraId="27131A3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color w:val="auto"/>
                <w:sz w:val="24"/>
                <w:szCs w:val="24"/>
                <w:highlight w:val="none"/>
              </w:rPr>
              <w:t>专利代理机构主体资格和执业资质检查</w:t>
            </w:r>
          </w:p>
        </w:tc>
        <w:tc>
          <w:tcPr>
            <w:tcW w:w="873" w:type="dxa"/>
            <w:noWrap w:val="0"/>
            <w:vAlign w:val="center"/>
          </w:tcPr>
          <w:p w14:paraId="1D7AA3E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rPr>
            </w:pPr>
            <w:r>
              <w:rPr>
                <w:rFonts w:hint="eastAsia" w:eastAsia="方正仿宋_GBK" w:cs="Times New Roman"/>
                <w:color w:val="auto"/>
                <w:sz w:val="24"/>
                <w:szCs w:val="24"/>
                <w:lang w:eastAsia="zh-CN"/>
              </w:rPr>
              <w:t>安化县市场监督管理局</w:t>
            </w:r>
          </w:p>
        </w:tc>
        <w:tc>
          <w:tcPr>
            <w:tcW w:w="5268" w:type="dxa"/>
            <w:noWrap w:val="0"/>
            <w:vAlign w:val="center"/>
          </w:tcPr>
          <w:p w14:paraId="6CA264D7">
            <w:pPr>
              <w:keepNext w:val="0"/>
              <w:keepLines w:val="0"/>
              <w:pageBreakBefore w:val="0"/>
              <w:widowControl w:val="0"/>
              <w:shd w:val="clear" w:color="auto" w:fill="auto"/>
              <w:kinsoku w:val="0"/>
              <w:wordWrap/>
              <w:overflowPunct/>
              <w:topLinePunct w:val="0"/>
              <w:autoSpaceDE/>
              <w:autoSpaceDN/>
              <w:bidi w:val="0"/>
              <w:adjustRightInd w:val="0"/>
              <w:snapToGrid w:val="0"/>
              <w:spacing w:line="240" w:lineRule="exact"/>
              <w:ind w:left="0" w:leftChars="0" w:firstLine="0" w:firstLineChars="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《专利代理条例》第四条、第五条、第六条</w:t>
            </w:r>
          </w:p>
          <w:p w14:paraId="431874A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color w:val="auto"/>
                <w:sz w:val="24"/>
                <w:szCs w:val="24"/>
                <w:highlight w:val="none"/>
              </w:rPr>
              <w:t>《专利代理管理办法》第九条、第十条、第十一条、第十二条、第十三条、第十八条、第二十条、第二十六条、第二十一条、第三十七条第四十一条第三十五条、第三十七条、第三十八条、第三十九条、第四十条、第四十一条、第四十二条、第四十五条。</w:t>
            </w:r>
          </w:p>
        </w:tc>
        <w:tc>
          <w:tcPr>
            <w:tcW w:w="983" w:type="dxa"/>
            <w:noWrap w:val="0"/>
            <w:vAlign w:val="center"/>
          </w:tcPr>
          <w:p w14:paraId="46AB51F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caps w:val="0"/>
                <w:spacing w:val="0"/>
                <w:kern w:val="0"/>
                <w:sz w:val="24"/>
                <w:szCs w:val="24"/>
                <w:shd w:val="clear" w:color="auto" w:fill="FFFFFF"/>
                <w:lang w:val="en-US" w:eastAsia="zh-CN" w:bidi="ar"/>
              </w:rPr>
              <w:t>知识产权</w:t>
            </w:r>
            <w:r>
              <w:rPr>
                <w:rFonts w:hint="eastAsia" w:eastAsia="方正仿宋_GBK" w:cs="Times New Roman"/>
                <w:i w:val="0"/>
                <w:caps w:val="0"/>
                <w:spacing w:val="0"/>
                <w:kern w:val="0"/>
                <w:sz w:val="24"/>
                <w:szCs w:val="24"/>
                <w:shd w:val="clear" w:color="auto" w:fill="FFFFFF"/>
                <w:lang w:val="en-US" w:eastAsia="zh-CN" w:bidi="ar"/>
              </w:rPr>
              <w:t>股</w:t>
            </w:r>
          </w:p>
        </w:tc>
        <w:tc>
          <w:tcPr>
            <w:tcW w:w="1000" w:type="dxa"/>
            <w:noWrap w:val="0"/>
            <w:vAlign w:val="center"/>
          </w:tcPr>
          <w:p w14:paraId="78222B0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color w:val="auto"/>
                <w:sz w:val="24"/>
                <w:szCs w:val="24"/>
                <w:highlight w:val="none"/>
              </w:rPr>
              <w:t>专利代理机构</w:t>
            </w:r>
          </w:p>
        </w:tc>
        <w:tc>
          <w:tcPr>
            <w:tcW w:w="3833" w:type="dxa"/>
            <w:noWrap w:val="0"/>
            <w:vAlign w:val="center"/>
          </w:tcPr>
          <w:p w14:paraId="1AFBC906">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left"/>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color w:val="auto"/>
                <w:sz w:val="24"/>
                <w:szCs w:val="24"/>
                <w:highlight w:val="none"/>
              </w:rPr>
              <w:t>专利代理机构主体资格和执业资质检查</w:t>
            </w:r>
          </w:p>
        </w:tc>
        <w:tc>
          <w:tcPr>
            <w:tcW w:w="650" w:type="dxa"/>
            <w:noWrap w:val="0"/>
            <w:vAlign w:val="center"/>
          </w:tcPr>
          <w:p w14:paraId="20427CC3">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方正仿宋_GBK" w:cs="Times New Roman"/>
                <w:sz w:val="24"/>
                <w:szCs w:val="24"/>
                <w:lang w:eastAsia="zh-CN"/>
              </w:rPr>
            </w:pPr>
            <w:r>
              <w:rPr>
                <w:rFonts w:hint="eastAsia" w:eastAsia="方正仿宋_GBK" w:cs="Times New Roman"/>
                <w:sz w:val="24"/>
                <w:szCs w:val="24"/>
                <w:lang w:eastAsia="zh-CN"/>
              </w:rPr>
              <w:t>现场检查、非现场检查相结合</w:t>
            </w:r>
          </w:p>
        </w:tc>
        <w:tc>
          <w:tcPr>
            <w:tcW w:w="650" w:type="dxa"/>
            <w:shd w:val="clear" w:color="auto" w:fill="auto"/>
            <w:noWrap w:val="0"/>
            <w:vAlign w:val="center"/>
          </w:tcPr>
          <w:p w14:paraId="748B32A4">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b w:val="0"/>
                <w:bCs w:val="0"/>
                <w:sz w:val="24"/>
                <w:szCs w:val="24"/>
                <w:vertAlign w:val="baseline"/>
                <w:lang w:val="en-US" w:eastAsia="zh-CN"/>
              </w:rPr>
              <w:t>一年一次</w:t>
            </w:r>
          </w:p>
        </w:tc>
        <w:tc>
          <w:tcPr>
            <w:tcW w:w="1175" w:type="dxa"/>
            <w:shd w:val="clear" w:color="auto" w:fill="auto"/>
            <w:noWrap w:val="0"/>
            <w:vAlign w:val="center"/>
          </w:tcPr>
          <w:p w14:paraId="15A91E6A">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p>
        </w:tc>
      </w:tr>
      <w:tr w14:paraId="7EC67A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60" w:hRule="atLeast"/>
          <w:jc w:val="center"/>
        </w:trPr>
        <w:tc>
          <w:tcPr>
            <w:tcW w:w="15853" w:type="dxa"/>
            <w:gridSpan w:val="10"/>
            <w:noWrap w:val="0"/>
            <w:vAlign w:val="center"/>
          </w:tcPr>
          <w:p w14:paraId="4AADB455">
            <w:pPr>
              <w:keepNext w:val="0"/>
              <w:keepLines w:val="0"/>
              <w:pageBreakBefore w:val="0"/>
              <w:widowControl w:val="0"/>
              <w:kinsoku w:val="0"/>
              <w:wordWrap/>
              <w:overflowPunct/>
              <w:topLinePunct w:val="0"/>
              <w:autoSpaceDE/>
              <w:autoSpaceDN/>
              <w:bidi w:val="0"/>
              <w:adjustRightInd w:val="0"/>
              <w:snapToGrid w:val="0"/>
              <w:spacing w:line="240" w:lineRule="exact"/>
              <w:ind w:left="0" w:leftChars="0" w:firstLine="0" w:firstLineChars="0"/>
              <w:rPr>
                <w:rFonts w:hint="default" w:ascii="Times New Roman" w:hAnsi="Times New Roman" w:eastAsia="方正仿宋_GBK" w:cs="Times New Roman"/>
                <w:i w:val="0"/>
                <w:color w:val="auto"/>
                <w:kern w:val="0"/>
                <w:sz w:val="24"/>
                <w:szCs w:val="24"/>
                <w:u w:val="none"/>
                <w:lang w:val="en-US" w:eastAsia="zh-CN" w:bidi="ar"/>
              </w:rPr>
            </w:pPr>
            <w:r>
              <w:rPr>
                <w:rFonts w:hint="eastAsia" w:ascii="仿宋_GB2312" w:hAnsi="宋体" w:eastAsia="仿宋_GB2312" w:cs="仿宋_GB2312"/>
                <w:b/>
                <w:color w:val="000000"/>
                <w:sz w:val="24"/>
                <w:szCs w:val="24"/>
                <w:u w:val="none"/>
                <w:lang w:val="en-US" w:eastAsia="zh-CN" w:bidi="ar"/>
              </w:rPr>
              <w:t>说明：</w:t>
            </w:r>
            <w:r>
              <w:rPr>
                <w:rStyle w:val="13"/>
                <w:rFonts w:hAnsi="宋体"/>
                <w:lang w:val="en-US" w:eastAsia="zh-CN" w:bidi="ar"/>
              </w:rPr>
              <w:br w:type="textWrapping"/>
            </w:r>
            <w:r>
              <w:rPr>
                <w:rFonts w:hint="eastAsia" w:ascii="仿宋_GB2312" w:hAnsi="宋体" w:eastAsia="仿宋_GB2312" w:cs="仿宋_GB2312"/>
                <w:b/>
                <w:color w:val="000000"/>
                <w:sz w:val="24"/>
                <w:szCs w:val="24"/>
                <w:u w:val="none"/>
                <w:lang w:val="en-US" w:eastAsia="zh-CN" w:bidi="ar"/>
              </w:rPr>
              <w:t>1.本清单根据有关法律法规规章立改废情况进行动态调整。</w:t>
            </w:r>
            <w:r>
              <w:rPr>
                <w:rFonts w:hint="eastAsia" w:ascii="仿宋_GB2312" w:hAnsi="宋体" w:eastAsia="仿宋_GB2312" w:cs="仿宋_GB2312"/>
                <w:b/>
                <w:color w:val="000000"/>
                <w:sz w:val="24"/>
                <w:szCs w:val="24"/>
                <w:u w:val="none"/>
                <w:lang w:val="en-US" w:eastAsia="zh-CN" w:bidi="ar"/>
              </w:rPr>
              <w:br w:type="textWrapping"/>
            </w:r>
            <w:r>
              <w:rPr>
                <w:rFonts w:hint="eastAsia" w:ascii="仿宋_GB2312" w:hAnsi="宋体" w:eastAsia="仿宋_GB2312" w:cs="仿宋_GB2312"/>
                <w:b/>
                <w:color w:val="000000"/>
                <w:sz w:val="24"/>
                <w:szCs w:val="24"/>
                <w:u w:val="none"/>
                <w:lang w:val="en-US" w:eastAsia="zh-CN" w:bidi="ar"/>
              </w:rPr>
              <w:t>2.严禁行政执法机关（含所属法律法规授权组织）对同一检查对象进行重复行政检查。</w:t>
            </w:r>
            <w:r>
              <w:rPr>
                <w:rFonts w:hint="eastAsia" w:ascii="仿宋_GB2312" w:hAnsi="宋体" w:eastAsia="仿宋_GB2312" w:cs="仿宋_GB2312"/>
                <w:b/>
                <w:color w:val="000000"/>
                <w:sz w:val="24"/>
                <w:szCs w:val="24"/>
                <w:u w:val="none"/>
                <w:lang w:val="en-US" w:eastAsia="zh-CN" w:bidi="ar"/>
              </w:rPr>
              <w:br w:type="textWrapping"/>
            </w:r>
            <w:r>
              <w:rPr>
                <w:rFonts w:hint="eastAsia" w:ascii="仿宋_GB2312" w:hAnsi="宋体" w:eastAsia="仿宋_GB2312" w:cs="仿宋_GB2312"/>
                <w:b/>
                <w:color w:val="000000"/>
                <w:sz w:val="24"/>
                <w:szCs w:val="24"/>
                <w:u w:val="none"/>
                <w:lang w:val="en-US" w:eastAsia="zh-CN" w:bidi="ar"/>
              </w:rPr>
              <w:t>3.本单位对于未列入清单的涉企行政检查事项一律不得实施行政检查；违规实施的，企业有权拒绝接受检查，并可以向本单位行政执法监督机构（电话：0737-7821609，邮箱：397019560@qq.com）和县司法局（联系电话：0737-7221990，电子邮箱：ahxzzfjd@126.com）举报。</w:t>
            </w:r>
          </w:p>
        </w:tc>
      </w:tr>
    </w:tbl>
    <w:p w14:paraId="25164D6E">
      <w:pPr>
        <w:rPr>
          <w:rFonts w:hint="eastAsia" w:ascii="方正仿宋_GBK" w:hAnsi="方正仿宋_GBK" w:eastAsia="方正仿宋_GBK" w:cs="方正仿宋_GBK"/>
          <w:sz w:val="24"/>
          <w:szCs w:val="24"/>
        </w:rPr>
      </w:pPr>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6F9CB4E0-930F-478E-BADC-9DE7263D588D}"/>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embedRegular r:id="rId2" w:fontKey="{240784E5-04DB-489F-9D21-DA5ED9671403}"/>
  </w:font>
  <w:font w:name="方正小标宋简体">
    <w:panose1 w:val="03000509000000000000"/>
    <w:charset w:val="86"/>
    <w:family w:val="auto"/>
    <w:pitch w:val="default"/>
    <w:sig w:usb0="00000001" w:usb1="080E0000" w:usb2="00000000" w:usb3="00000000" w:csb0="00040000" w:csb1="00000000"/>
    <w:embedRegular r:id="rId3" w:fontKey="{BD8542DF-F18D-4682-8D2C-E62F0CB99C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2CADC">
    <w:pPr>
      <w:pStyle w:val="5"/>
      <w:jc w:val="center"/>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589A53"/>
    <w:multiLevelType w:val="singleLevel"/>
    <w:tmpl w:val="EA589A53"/>
    <w:lvl w:ilvl="0" w:tentative="0">
      <w:start w:val="1"/>
      <w:numFmt w:val="chineseCounting"/>
      <w:suff w:val="nothing"/>
      <w:lvlText w:val="（%1）"/>
      <w:lvlJc w:val="left"/>
      <w:rPr>
        <w:rFonts w:hint="eastAsia"/>
      </w:rPr>
    </w:lvl>
  </w:abstractNum>
  <w:abstractNum w:abstractNumId="1">
    <w:nsid w:val="F15EE439"/>
    <w:multiLevelType w:val="singleLevel"/>
    <w:tmpl w:val="F15EE439"/>
    <w:lvl w:ilvl="0" w:tentative="0">
      <w:start w:val="16"/>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DF9C53"/>
    <w:rsid w:val="03E67C43"/>
    <w:rsid w:val="05EF21A1"/>
    <w:rsid w:val="05F03837"/>
    <w:rsid w:val="0D775A2D"/>
    <w:rsid w:val="1A927ABA"/>
    <w:rsid w:val="1DF73DB0"/>
    <w:rsid w:val="27D8770A"/>
    <w:rsid w:val="2A3A46D1"/>
    <w:rsid w:val="30B61724"/>
    <w:rsid w:val="317E6691"/>
    <w:rsid w:val="379D86E0"/>
    <w:rsid w:val="38784E8A"/>
    <w:rsid w:val="47549769"/>
    <w:rsid w:val="47FF014C"/>
    <w:rsid w:val="4FAB1E47"/>
    <w:rsid w:val="50F96FFC"/>
    <w:rsid w:val="5178776B"/>
    <w:rsid w:val="56B50C7C"/>
    <w:rsid w:val="5B5B0767"/>
    <w:rsid w:val="5C59054A"/>
    <w:rsid w:val="5DDDCDBF"/>
    <w:rsid w:val="5EBB1D95"/>
    <w:rsid w:val="5EECB9D5"/>
    <w:rsid w:val="5F5B93D8"/>
    <w:rsid w:val="627D0275"/>
    <w:rsid w:val="667F5CD4"/>
    <w:rsid w:val="69F57042"/>
    <w:rsid w:val="6C954F2D"/>
    <w:rsid w:val="70335974"/>
    <w:rsid w:val="73D21956"/>
    <w:rsid w:val="7DAE4844"/>
    <w:rsid w:val="BA7B23C6"/>
    <w:rsid w:val="BF3FD328"/>
    <w:rsid w:val="DBDF9C53"/>
    <w:rsid w:val="F65FEB46"/>
    <w:rsid w:val="FBEEFE7F"/>
    <w:rsid w:val="FE734873"/>
    <w:rsid w:val="FFB7C97D"/>
    <w:rsid w:val="FFF76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rPr>
      <w:rFonts w:ascii="仿宋_GB2312" w:hAnsi="Times New Roman" w:eastAsia="仿宋_GB2312"/>
      <w:sz w:val="32"/>
      <w:szCs w:val="20"/>
    </w:rPr>
  </w:style>
  <w:style w:type="paragraph" w:styleId="4">
    <w:name w:val="Normal Indent"/>
    <w:basedOn w:val="1"/>
    <w:unhideWhenUsed/>
    <w:qFormat/>
    <w:uiPriority w:val="99"/>
    <w:pPr>
      <w:ind w:firstLine="420" w:firstLineChars="200"/>
    </w:pPr>
    <w:rPr>
      <w:rFonts w:eastAsia="仿宋"/>
    </w:rPr>
  </w:style>
  <w:style w:type="paragraph" w:styleId="5">
    <w:name w:val="footer"/>
    <w:basedOn w:val="1"/>
    <w:qFormat/>
    <w:uiPriority w:val="99"/>
    <w:pPr>
      <w:tabs>
        <w:tab w:val="center" w:pos="4153"/>
        <w:tab w:val="right" w:pos="8306"/>
      </w:tabs>
      <w:snapToGrid w:val="0"/>
      <w:jc w:val="left"/>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_Style 5"/>
    <w:basedOn w:val="1"/>
    <w:qFormat/>
    <w:uiPriority w:val="0"/>
    <w:pPr>
      <w:ind w:firstLine="200" w:firstLineChars="200"/>
    </w:pPr>
    <w:rPr>
      <w:sz w:val="24"/>
    </w:rPr>
  </w:style>
  <w:style w:type="paragraph" w:customStyle="1" w:styleId="10">
    <w:name w:val="Table Paragraph"/>
    <w:basedOn w:val="1"/>
    <w:qFormat/>
    <w:uiPriority w:val="0"/>
    <w:pPr>
      <w:jc w:val="left"/>
    </w:pPr>
    <w:rPr>
      <w:rFonts w:ascii="Calibri" w:hAnsi="Calibri" w:eastAsia="宋体"/>
      <w:kern w:val="0"/>
      <w:sz w:val="22"/>
      <w:szCs w:val="22"/>
      <w:lang w:eastAsia="en-US"/>
    </w:rPr>
  </w:style>
  <w:style w:type="character" w:customStyle="1" w:styleId="11">
    <w:name w:val="font11"/>
    <w:basedOn w:val="8"/>
    <w:qFormat/>
    <w:uiPriority w:val="0"/>
    <w:rPr>
      <w:rFonts w:hint="eastAsia" w:ascii="宋体" w:hAnsi="宋体" w:eastAsia="宋体" w:cs="宋体"/>
      <w:color w:val="000000"/>
      <w:sz w:val="24"/>
      <w:szCs w:val="24"/>
      <w:u w:val="none"/>
    </w:rPr>
  </w:style>
  <w:style w:type="character" w:customStyle="1" w:styleId="12">
    <w:name w:val="font01"/>
    <w:basedOn w:val="8"/>
    <w:qFormat/>
    <w:uiPriority w:val="0"/>
    <w:rPr>
      <w:rFonts w:hint="eastAsia" w:ascii="宋体" w:hAnsi="宋体" w:eastAsia="宋体" w:cs="宋体"/>
      <w:b/>
      <w:color w:val="000000"/>
      <w:sz w:val="28"/>
      <w:szCs w:val="28"/>
      <w:u w:val="none"/>
    </w:rPr>
  </w:style>
  <w:style w:type="character" w:customStyle="1" w:styleId="13">
    <w:name w:val="font3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20573</Words>
  <Characters>20772</Characters>
  <Lines>0</Lines>
  <Paragraphs>0</Paragraphs>
  <TotalTime>4</TotalTime>
  <ScaleCrop>false</ScaleCrop>
  <LinksUpToDate>false</LinksUpToDate>
  <CharactersWithSpaces>20925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2025-02-14T01:35:00Z</dcterms:created>
  <dc:creator>kylin</dc:creator>
  <cp:lastModifiedBy>小五</cp:lastModifiedBy>
  <cp:lastPrinted>2025-02-15T00:42:00Z</cp:lastPrinted>
  <dcterms:modified xsi:type="dcterms:W3CDTF">2025-09-18T03:14:03Z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eyJoZGlkIjoiZjhkNGE5YTQ0ODQ4OTI0NjJjNzZkZjJlNzk3YTgwNDAiLCJ1c2VySWQiOiI1MTI2MTczMjUifQ==</vt:lpwstr>
  </property>
  <property fmtid="{D5CDD505-2E9C-101B-9397-08002B2CF9AE}" pid="4" name="ICV">
    <vt:lpwstr>793C25C24E9A40C2933013CC33F78418_13</vt:lpwstr>
  </property>
</Properties>
</file>