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A3E02">
      <w:pPr>
        <w:spacing w:line="360" w:lineRule="auto"/>
        <w:jc w:val="center"/>
        <w:rPr>
          <w:color w:val="FF0000"/>
          <w:sz w:val="24"/>
          <w:szCs w:val="24"/>
        </w:rPr>
      </w:pPr>
      <w:bookmarkStart w:id="0" w:name="_Hlk118120180"/>
    </w:p>
    <w:p w14:paraId="2E09B901">
      <w:pPr>
        <w:spacing w:line="360" w:lineRule="auto"/>
        <w:jc w:val="center"/>
        <w:rPr>
          <w:color w:val="FF0000"/>
          <w:sz w:val="24"/>
          <w:szCs w:val="24"/>
        </w:rPr>
      </w:pPr>
    </w:p>
    <w:p w14:paraId="460B32F4">
      <w:pPr>
        <w:spacing w:line="360" w:lineRule="auto"/>
        <w:jc w:val="center"/>
        <w:rPr>
          <w:color w:val="FF0000"/>
          <w:sz w:val="24"/>
          <w:szCs w:val="24"/>
        </w:rPr>
      </w:pPr>
    </w:p>
    <w:p w14:paraId="36AEA171">
      <w:pPr>
        <w:spacing w:line="360" w:lineRule="auto"/>
        <w:jc w:val="center"/>
        <w:rPr>
          <w:color w:val="FF0000"/>
          <w:sz w:val="24"/>
          <w:szCs w:val="24"/>
        </w:rPr>
      </w:pPr>
    </w:p>
    <w:p w14:paraId="64744DFB">
      <w:pPr>
        <w:jc w:val="center"/>
        <w:rPr>
          <w:rFonts w:hint="eastAsia" w:ascii="楷体" w:hAnsi="楷体" w:eastAsia="楷体"/>
          <w:bCs/>
          <w:color w:val="000000"/>
          <w:sz w:val="72"/>
          <w:szCs w:val="72"/>
        </w:rPr>
      </w:pPr>
      <w:r>
        <w:rPr>
          <w:rFonts w:ascii="楷体" w:hAnsi="楷体" w:eastAsia="楷体"/>
          <w:bCs/>
          <w:color w:val="000000"/>
          <w:sz w:val="72"/>
          <w:szCs w:val="72"/>
        </w:rPr>
        <w:t>建设项目环境影响报告表</w:t>
      </w:r>
    </w:p>
    <w:p w14:paraId="5CE07F88">
      <w:pPr>
        <w:spacing w:before="192" w:beforeLines="80"/>
        <w:jc w:val="center"/>
        <w:rPr>
          <w:rFonts w:hint="eastAsia" w:ascii="楷体" w:hAnsi="楷体" w:eastAsia="楷体"/>
          <w:bCs/>
          <w:color w:val="000000"/>
          <w:sz w:val="48"/>
          <w:szCs w:val="48"/>
        </w:rPr>
      </w:pPr>
      <w:r>
        <w:rPr>
          <w:rFonts w:ascii="楷体" w:hAnsi="楷体" w:eastAsia="楷体"/>
          <w:bCs/>
          <w:color w:val="000000"/>
          <w:sz w:val="48"/>
          <w:szCs w:val="48"/>
        </w:rPr>
        <w:t>（污染影响类）</w:t>
      </w:r>
    </w:p>
    <w:p w14:paraId="2B896D15">
      <w:pPr>
        <w:spacing w:line="360" w:lineRule="auto"/>
        <w:jc w:val="center"/>
        <w:rPr>
          <w:color w:val="000000"/>
          <w:sz w:val="24"/>
          <w:szCs w:val="24"/>
        </w:rPr>
      </w:pPr>
    </w:p>
    <w:p w14:paraId="522A8EF4">
      <w:pPr>
        <w:spacing w:line="360" w:lineRule="auto"/>
        <w:jc w:val="center"/>
        <w:rPr>
          <w:color w:val="FF0000"/>
          <w:sz w:val="24"/>
          <w:szCs w:val="24"/>
        </w:rPr>
      </w:pPr>
    </w:p>
    <w:p w14:paraId="45BAF5B1">
      <w:pPr>
        <w:spacing w:line="360" w:lineRule="auto"/>
        <w:jc w:val="center"/>
        <w:rPr>
          <w:color w:val="FF0000"/>
          <w:sz w:val="24"/>
          <w:szCs w:val="24"/>
        </w:rPr>
      </w:pPr>
    </w:p>
    <w:p w14:paraId="307052FB">
      <w:pPr>
        <w:spacing w:line="360" w:lineRule="auto"/>
        <w:jc w:val="center"/>
        <w:rPr>
          <w:color w:val="FF0000"/>
          <w:sz w:val="24"/>
          <w:szCs w:val="24"/>
        </w:rPr>
      </w:pPr>
    </w:p>
    <w:p w14:paraId="602C2C31">
      <w:pPr>
        <w:spacing w:line="360" w:lineRule="auto"/>
        <w:jc w:val="center"/>
        <w:rPr>
          <w:color w:val="FF0000"/>
          <w:sz w:val="24"/>
          <w:szCs w:val="24"/>
        </w:rPr>
      </w:pPr>
    </w:p>
    <w:p w14:paraId="19A838CF">
      <w:pPr>
        <w:spacing w:line="360" w:lineRule="auto"/>
        <w:jc w:val="center"/>
        <w:rPr>
          <w:color w:val="FF0000"/>
          <w:sz w:val="24"/>
          <w:szCs w:val="24"/>
        </w:rPr>
      </w:pPr>
    </w:p>
    <w:p w14:paraId="65980AFA">
      <w:pPr>
        <w:spacing w:line="360" w:lineRule="auto"/>
        <w:jc w:val="center"/>
        <w:rPr>
          <w:color w:val="FF0000"/>
          <w:sz w:val="24"/>
          <w:szCs w:val="24"/>
        </w:rPr>
      </w:pPr>
    </w:p>
    <w:p w14:paraId="14EA185A">
      <w:pPr>
        <w:spacing w:line="360" w:lineRule="auto"/>
        <w:jc w:val="center"/>
        <w:rPr>
          <w:color w:val="FF0000"/>
          <w:sz w:val="24"/>
          <w:szCs w:val="24"/>
        </w:rPr>
      </w:pPr>
    </w:p>
    <w:p w14:paraId="73B4EE03">
      <w:pPr>
        <w:spacing w:line="360" w:lineRule="auto"/>
        <w:jc w:val="center"/>
        <w:rPr>
          <w:color w:val="FF0000"/>
          <w:sz w:val="24"/>
          <w:szCs w:val="24"/>
        </w:rPr>
      </w:pPr>
    </w:p>
    <w:p w14:paraId="7F1BE791">
      <w:pPr>
        <w:spacing w:line="360" w:lineRule="auto"/>
        <w:jc w:val="center"/>
        <w:rPr>
          <w:color w:val="FF0000"/>
          <w:sz w:val="24"/>
          <w:szCs w:val="24"/>
        </w:rPr>
      </w:pPr>
    </w:p>
    <w:p w14:paraId="6C8F96E4">
      <w:pPr>
        <w:spacing w:line="360" w:lineRule="auto"/>
        <w:jc w:val="center"/>
        <w:rPr>
          <w:color w:val="FF0000"/>
          <w:sz w:val="24"/>
          <w:szCs w:val="24"/>
        </w:rPr>
      </w:pPr>
    </w:p>
    <w:p w14:paraId="5B9C9459">
      <w:pPr>
        <w:spacing w:line="360" w:lineRule="auto"/>
        <w:jc w:val="center"/>
        <w:rPr>
          <w:color w:val="000000"/>
          <w:sz w:val="24"/>
          <w:szCs w:val="24"/>
        </w:rPr>
      </w:pPr>
    </w:p>
    <w:p w14:paraId="20F40D59">
      <w:pPr>
        <w:spacing w:line="360" w:lineRule="auto"/>
        <w:jc w:val="center"/>
        <w:rPr>
          <w:color w:val="000000"/>
          <w:sz w:val="24"/>
          <w:szCs w:val="24"/>
        </w:rPr>
      </w:pPr>
    </w:p>
    <w:p w14:paraId="4DB0E234">
      <w:pPr>
        <w:spacing w:line="360" w:lineRule="auto"/>
        <w:jc w:val="center"/>
        <w:rPr>
          <w:color w:val="000000"/>
          <w:sz w:val="24"/>
          <w:szCs w:val="24"/>
        </w:rPr>
      </w:pPr>
    </w:p>
    <w:p w14:paraId="15E2BAB0">
      <w:pPr>
        <w:spacing w:line="360" w:lineRule="auto"/>
        <w:rPr>
          <w:rFonts w:hint="eastAsia" w:ascii="黑体" w:hAnsi="黑体" w:eastAsia="黑体"/>
          <w:color w:val="000000"/>
          <w:sz w:val="32"/>
          <w:szCs w:val="32"/>
          <w:u w:val="single"/>
        </w:rPr>
      </w:pPr>
      <w:r>
        <w:rPr>
          <w:rFonts w:ascii="黑体" w:hAnsi="黑体" w:eastAsia="黑体"/>
          <w:color w:val="000000"/>
          <w:sz w:val="32"/>
          <w:szCs w:val="32"/>
        </w:rPr>
        <w:t>项目名称：</w:t>
      </w:r>
      <w:r>
        <w:rPr>
          <w:rFonts w:hint="eastAsia" w:ascii="黑体" w:hAnsi="黑体" w:eastAsia="黑体"/>
          <w:color w:val="000000"/>
          <w:sz w:val="32"/>
          <w:szCs w:val="32"/>
          <w:u w:val="single"/>
        </w:rPr>
        <w:t xml:space="preserve">       安化县莲台山幸福驿站建设项目           </w:t>
      </w:r>
      <w:r>
        <w:rPr>
          <w:rFonts w:eastAsia="黑体"/>
          <w:color w:val="000000"/>
          <w:sz w:val="32"/>
          <w:szCs w:val="32"/>
          <w:u w:val="single"/>
        </w:rPr>
        <w:t xml:space="preserve"> </w:t>
      </w:r>
    </w:p>
    <w:p w14:paraId="3620A497">
      <w:pPr>
        <w:spacing w:line="360" w:lineRule="auto"/>
        <w:rPr>
          <w:rFonts w:hint="eastAsia" w:ascii="黑体" w:hAnsi="黑体" w:eastAsia="黑体"/>
          <w:color w:val="000000"/>
          <w:sz w:val="32"/>
          <w:szCs w:val="32"/>
          <w:u w:val="single"/>
        </w:rPr>
      </w:pPr>
      <w:r>
        <w:rPr>
          <w:rFonts w:ascii="黑体" w:hAnsi="黑体" w:eastAsia="黑体"/>
          <w:color w:val="000000"/>
          <w:sz w:val="32"/>
          <w:szCs w:val="32"/>
        </w:rPr>
        <w:t>建设单位（盖章）：</w:t>
      </w:r>
      <w:r>
        <w:rPr>
          <w:rFonts w:hint="eastAsia" w:ascii="黑体" w:hAnsi="黑体" w:eastAsia="黑体"/>
          <w:color w:val="000000"/>
          <w:sz w:val="32"/>
          <w:szCs w:val="32"/>
          <w:u w:val="single"/>
          <w:lang w:val="en-US" w:eastAsia="zh-CN"/>
        </w:rPr>
        <w:t xml:space="preserve"> </w:t>
      </w:r>
      <w:r>
        <w:rPr>
          <w:rFonts w:hint="eastAsia" w:ascii="黑体" w:hAnsi="黑体" w:eastAsia="黑体"/>
          <w:color w:val="000000"/>
          <w:sz w:val="32"/>
          <w:szCs w:val="32"/>
          <w:u w:val="single"/>
        </w:rPr>
        <w:t xml:space="preserve">安化县莲花台幸福驿站项目管理有限公司                                           </w:t>
      </w:r>
      <w:r>
        <w:rPr>
          <w:rFonts w:ascii="黑体" w:hAnsi="黑体" w:eastAsia="黑体"/>
          <w:color w:val="000000"/>
          <w:sz w:val="32"/>
          <w:szCs w:val="32"/>
          <w:u w:val="single"/>
        </w:rPr>
        <w:t xml:space="preserve">    </w:t>
      </w:r>
    </w:p>
    <w:p w14:paraId="1D57069B">
      <w:pPr>
        <w:spacing w:line="360" w:lineRule="auto"/>
        <w:rPr>
          <w:rFonts w:hint="eastAsia" w:ascii="黑体" w:hAnsi="黑体" w:eastAsia="黑体"/>
          <w:color w:val="000000"/>
          <w:sz w:val="32"/>
          <w:szCs w:val="32"/>
          <w:u w:val="single"/>
        </w:rPr>
      </w:pPr>
      <w:r>
        <w:rPr>
          <w:rFonts w:ascii="黑体" w:hAnsi="黑体" w:eastAsia="黑体"/>
          <w:color w:val="000000"/>
          <w:sz w:val="32"/>
          <w:szCs w:val="32"/>
        </w:rPr>
        <w:t>编制日期：</w:t>
      </w:r>
      <w:r>
        <w:rPr>
          <w:rFonts w:hint="eastAsia" w:ascii="黑体" w:hAnsi="黑体" w:eastAsia="黑体"/>
          <w:color w:val="000000"/>
          <w:sz w:val="32"/>
          <w:szCs w:val="32"/>
          <w:u w:val="single"/>
        </w:rPr>
        <w:t xml:space="preserve"> </w:t>
      </w:r>
      <w:r>
        <w:rPr>
          <w:rFonts w:ascii="黑体" w:hAnsi="黑体" w:eastAsia="黑体"/>
          <w:color w:val="000000"/>
          <w:sz w:val="32"/>
          <w:szCs w:val="32"/>
          <w:u w:val="single"/>
        </w:rPr>
        <w:t xml:space="preserve">                  </w:t>
      </w:r>
      <w:r>
        <w:rPr>
          <w:rFonts w:eastAsia="黑体"/>
          <w:color w:val="000000"/>
          <w:sz w:val="32"/>
          <w:szCs w:val="32"/>
          <w:u w:val="single"/>
        </w:rPr>
        <w:t>202</w:t>
      </w:r>
      <w:r>
        <w:rPr>
          <w:rFonts w:hint="eastAsia" w:eastAsia="黑体"/>
          <w:color w:val="000000"/>
          <w:sz w:val="32"/>
          <w:szCs w:val="32"/>
          <w:u w:val="single"/>
        </w:rPr>
        <w:t>6</w:t>
      </w:r>
      <w:r>
        <w:rPr>
          <w:rFonts w:eastAsia="黑体"/>
          <w:color w:val="000000"/>
          <w:sz w:val="32"/>
          <w:szCs w:val="32"/>
          <w:u w:val="single"/>
        </w:rPr>
        <w:t>年</w:t>
      </w:r>
      <w:r>
        <w:rPr>
          <w:rFonts w:hint="eastAsia" w:eastAsia="黑体"/>
          <w:color w:val="000000"/>
          <w:sz w:val="32"/>
          <w:szCs w:val="32"/>
          <w:u w:val="single"/>
          <w:lang w:val="en-US" w:eastAsia="zh-CN"/>
        </w:rPr>
        <w:t>9</w:t>
      </w:r>
      <w:r>
        <w:rPr>
          <w:rFonts w:eastAsia="黑体"/>
          <w:color w:val="000000"/>
          <w:sz w:val="32"/>
          <w:szCs w:val="32"/>
          <w:u w:val="single"/>
        </w:rPr>
        <w:t>月</w:t>
      </w:r>
      <w:r>
        <w:rPr>
          <w:rFonts w:ascii="黑体" w:hAnsi="黑体" w:eastAsia="黑体"/>
          <w:color w:val="000000"/>
          <w:sz w:val="32"/>
          <w:szCs w:val="32"/>
          <w:u w:val="single"/>
        </w:rPr>
        <w:t xml:space="preserve">                  </w:t>
      </w:r>
    </w:p>
    <w:p w14:paraId="2EA5224E">
      <w:pPr>
        <w:adjustRightInd w:val="0"/>
        <w:snapToGrid w:val="0"/>
        <w:spacing w:line="360" w:lineRule="auto"/>
        <w:jc w:val="center"/>
        <w:rPr>
          <w:color w:val="000000"/>
          <w:sz w:val="24"/>
          <w:szCs w:val="24"/>
        </w:rPr>
      </w:pPr>
    </w:p>
    <w:p w14:paraId="1021D471">
      <w:pPr>
        <w:adjustRightInd w:val="0"/>
        <w:snapToGrid w:val="0"/>
        <w:spacing w:line="360" w:lineRule="auto"/>
        <w:jc w:val="center"/>
        <w:rPr>
          <w:color w:val="000000"/>
          <w:sz w:val="24"/>
          <w:szCs w:val="24"/>
        </w:rPr>
      </w:pPr>
    </w:p>
    <w:p w14:paraId="7CDFBF2D">
      <w:pPr>
        <w:adjustRightInd w:val="0"/>
        <w:snapToGrid w:val="0"/>
        <w:spacing w:line="360" w:lineRule="auto"/>
        <w:jc w:val="center"/>
        <w:rPr>
          <w:rFonts w:hint="eastAsia" w:ascii="楷体" w:hAnsi="楷体" w:eastAsia="楷体"/>
          <w:color w:val="000000"/>
          <w:sz w:val="36"/>
          <w:szCs w:val="36"/>
          <w:lang w:eastAsia="zh-CN"/>
        </w:rPr>
      </w:pPr>
      <w:r>
        <w:rPr>
          <w:rFonts w:ascii="楷体" w:hAnsi="楷体" w:eastAsia="楷体"/>
          <w:color w:val="000000"/>
          <w:sz w:val="36"/>
          <w:szCs w:val="36"/>
        </w:rPr>
        <w:t>中华人民共和国生态环境部制</w:t>
      </w:r>
    </w:p>
    <w:p w14:paraId="2EB6102B">
      <w:pPr>
        <w:pStyle w:val="176"/>
        <w:spacing w:before="0" w:line="360" w:lineRule="auto"/>
        <w:jc w:val="center"/>
        <w:outlineLvl w:val="0"/>
        <w:rPr>
          <w:rFonts w:ascii="Times New Roman" w:hAnsi="Times New Roman"/>
          <w:b/>
          <w:bCs/>
          <w:color w:val="000000"/>
          <w:sz w:val="28"/>
          <w:szCs w:val="28"/>
        </w:rPr>
      </w:pPr>
      <w:r>
        <w:rPr>
          <w:rFonts w:ascii="Times New Roman" w:hAnsi="Times New Roman"/>
          <w:b/>
          <w:bCs/>
          <w:color w:val="000000"/>
          <w:sz w:val="28"/>
          <w:szCs w:val="28"/>
          <w:lang w:val="zh-CN"/>
        </w:rPr>
        <w:t>目录</w:t>
      </w:r>
    </w:p>
    <w:p w14:paraId="19970DFA">
      <w:pPr>
        <w:pStyle w:val="34"/>
        <w:tabs>
          <w:tab w:val="right" w:leader="dot" w:pos="9016"/>
        </w:tabs>
        <w:spacing w:line="360" w:lineRule="auto"/>
        <w:rPr>
          <w:rFonts w:eastAsia="等线"/>
          <w:color w:val="000000"/>
          <w:sz w:val="24"/>
          <w:szCs w:val="24"/>
        </w:rPr>
      </w:pPr>
      <w:r>
        <w:rPr>
          <w:b/>
          <w:bCs/>
          <w:color w:val="000000"/>
          <w:sz w:val="24"/>
          <w:szCs w:val="24"/>
        </w:rPr>
        <w:fldChar w:fldCharType="begin"/>
      </w:r>
      <w:r>
        <w:rPr>
          <w:b/>
          <w:bCs/>
          <w:color w:val="000000"/>
          <w:sz w:val="24"/>
          <w:szCs w:val="24"/>
        </w:rPr>
        <w:instrText xml:space="preserve"> TOC \o "1-3" \h \z \u </w:instrText>
      </w:r>
      <w:r>
        <w:rPr>
          <w:b/>
          <w:bCs/>
          <w:color w:val="000000"/>
          <w:sz w:val="24"/>
          <w:szCs w:val="24"/>
        </w:rPr>
        <w:fldChar w:fldCharType="separate"/>
      </w:r>
      <w:r>
        <w:fldChar w:fldCharType="begin"/>
      </w:r>
      <w:r>
        <w:instrText xml:space="preserve"> HYPERLINK \l "_Toc163829133" </w:instrText>
      </w:r>
      <w:r>
        <w:fldChar w:fldCharType="separate"/>
      </w:r>
      <w:r>
        <w:rPr>
          <w:rStyle w:val="57"/>
          <w:b/>
          <w:bCs/>
          <w:snapToGrid w:val="0"/>
          <w:color w:val="000000"/>
          <w:sz w:val="24"/>
          <w:szCs w:val="24"/>
        </w:rPr>
        <w:t>一、建设项目基本情况</w:t>
      </w:r>
      <w:r>
        <w:rPr>
          <w:color w:val="000000"/>
          <w:sz w:val="24"/>
          <w:szCs w:val="24"/>
        </w:rPr>
        <w:tab/>
      </w:r>
      <w:r>
        <w:rPr>
          <w:color w:val="000000"/>
          <w:sz w:val="24"/>
          <w:szCs w:val="24"/>
        </w:rPr>
        <w:fldChar w:fldCharType="begin"/>
      </w:r>
      <w:r>
        <w:rPr>
          <w:color w:val="000000"/>
          <w:sz w:val="24"/>
          <w:szCs w:val="24"/>
        </w:rPr>
        <w:instrText xml:space="preserve"> PAGEREF _Toc163829133 \h </w:instrText>
      </w:r>
      <w:r>
        <w:rPr>
          <w:color w:val="000000"/>
          <w:sz w:val="24"/>
          <w:szCs w:val="24"/>
        </w:rPr>
        <w:fldChar w:fldCharType="separate"/>
      </w:r>
      <w:r>
        <w:rPr>
          <w:color w:val="000000"/>
          <w:sz w:val="24"/>
          <w:szCs w:val="24"/>
        </w:rPr>
        <w:t>1</w:t>
      </w:r>
      <w:r>
        <w:rPr>
          <w:color w:val="000000"/>
          <w:sz w:val="24"/>
          <w:szCs w:val="24"/>
        </w:rPr>
        <w:fldChar w:fldCharType="end"/>
      </w:r>
      <w:r>
        <w:rPr>
          <w:color w:val="000000"/>
          <w:sz w:val="24"/>
          <w:szCs w:val="24"/>
        </w:rPr>
        <w:fldChar w:fldCharType="end"/>
      </w:r>
    </w:p>
    <w:p w14:paraId="52FFE6D1">
      <w:pPr>
        <w:pStyle w:val="34"/>
        <w:tabs>
          <w:tab w:val="right" w:leader="dot" w:pos="9016"/>
        </w:tabs>
        <w:spacing w:line="360" w:lineRule="auto"/>
        <w:rPr>
          <w:rFonts w:eastAsia="等线"/>
          <w:color w:val="000000"/>
          <w:sz w:val="24"/>
          <w:szCs w:val="24"/>
        </w:rPr>
      </w:pPr>
      <w:r>
        <w:fldChar w:fldCharType="begin"/>
      </w:r>
      <w:r>
        <w:instrText xml:space="preserve"> HYPERLINK \l "_Toc163829134" </w:instrText>
      </w:r>
      <w:r>
        <w:fldChar w:fldCharType="separate"/>
      </w:r>
      <w:r>
        <w:rPr>
          <w:rStyle w:val="57"/>
          <w:b/>
          <w:bCs/>
          <w:snapToGrid w:val="0"/>
          <w:color w:val="000000"/>
          <w:sz w:val="24"/>
          <w:szCs w:val="24"/>
        </w:rPr>
        <w:t>二、建设项目工程分析</w:t>
      </w:r>
      <w:r>
        <w:rPr>
          <w:color w:val="000000"/>
          <w:sz w:val="24"/>
          <w:szCs w:val="24"/>
        </w:rPr>
        <w:tab/>
      </w:r>
      <w:r>
        <w:rPr>
          <w:color w:val="000000"/>
          <w:sz w:val="24"/>
          <w:szCs w:val="24"/>
        </w:rPr>
        <w:t>1</w:t>
      </w:r>
      <w:r>
        <w:rPr>
          <w:rFonts w:hint="eastAsia"/>
          <w:color w:val="000000"/>
          <w:sz w:val="24"/>
          <w:szCs w:val="24"/>
          <w:lang w:val="en-US" w:eastAsia="zh-CN"/>
        </w:rPr>
        <w:t>0</w:t>
      </w:r>
      <w:r>
        <w:rPr>
          <w:rFonts w:hint="eastAsia"/>
          <w:color w:val="000000"/>
          <w:sz w:val="24"/>
          <w:szCs w:val="24"/>
        </w:rPr>
        <w:fldChar w:fldCharType="end"/>
      </w:r>
    </w:p>
    <w:p w14:paraId="3E46C634">
      <w:pPr>
        <w:pStyle w:val="34"/>
        <w:tabs>
          <w:tab w:val="right" w:leader="dot" w:pos="9016"/>
        </w:tabs>
        <w:spacing w:line="360" w:lineRule="auto"/>
        <w:rPr>
          <w:rFonts w:hint="eastAsia" w:eastAsia="宋体"/>
          <w:color w:val="000000"/>
          <w:sz w:val="24"/>
          <w:szCs w:val="24"/>
          <w:lang w:eastAsia="zh-CN"/>
        </w:rPr>
      </w:pPr>
      <w:r>
        <w:fldChar w:fldCharType="begin"/>
      </w:r>
      <w:r>
        <w:instrText xml:space="preserve"> HYPERLINK \l "_Toc163829135" </w:instrText>
      </w:r>
      <w:r>
        <w:fldChar w:fldCharType="separate"/>
      </w:r>
      <w:r>
        <w:rPr>
          <w:rStyle w:val="57"/>
          <w:b/>
          <w:bCs/>
          <w:snapToGrid w:val="0"/>
          <w:color w:val="000000"/>
          <w:sz w:val="24"/>
          <w:szCs w:val="24"/>
        </w:rPr>
        <w:t>三、区域环境质量现状、环境保护目标及评价标准</w:t>
      </w:r>
      <w:r>
        <w:rPr>
          <w:color w:val="000000"/>
          <w:sz w:val="24"/>
          <w:szCs w:val="24"/>
        </w:rPr>
        <w:tab/>
      </w:r>
      <w:r>
        <w:rPr>
          <w:rFonts w:hint="eastAsia"/>
          <w:color w:val="000000"/>
          <w:sz w:val="24"/>
          <w:szCs w:val="24"/>
        </w:rPr>
        <w:t>2</w:t>
      </w:r>
      <w:r>
        <w:rPr>
          <w:rFonts w:hint="eastAsia"/>
          <w:color w:val="000000"/>
          <w:sz w:val="24"/>
          <w:szCs w:val="24"/>
        </w:rPr>
        <w:fldChar w:fldCharType="end"/>
      </w:r>
      <w:r>
        <w:rPr>
          <w:rFonts w:hint="eastAsia"/>
          <w:color w:val="000000"/>
          <w:sz w:val="24"/>
          <w:szCs w:val="24"/>
          <w:lang w:val="en-US" w:eastAsia="zh-CN"/>
        </w:rPr>
        <w:t>9</w:t>
      </w:r>
    </w:p>
    <w:p w14:paraId="3C2E9068">
      <w:pPr>
        <w:pStyle w:val="34"/>
        <w:tabs>
          <w:tab w:val="right" w:leader="dot" w:pos="9016"/>
        </w:tabs>
        <w:spacing w:line="360" w:lineRule="auto"/>
        <w:rPr>
          <w:rFonts w:hint="eastAsia" w:eastAsia="宋体"/>
          <w:color w:val="000000"/>
          <w:sz w:val="24"/>
          <w:szCs w:val="24"/>
          <w:lang w:eastAsia="zh-CN"/>
        </w:rPr>
      </w:pPr>
      <w:r>
        <w:fldChar w:fldCharType="begin"/>
      </w:r>
      <w:r>
        <w:instrText xml:space="preserve"> HYPERLINK \l "_Toc163829136" </w:instrText>
      </w:r>
      <w:r>
        <w:fldChar w:fldCharType="separate"/>
      </w:r>
      <w:r>
        <w:rPr>
          <w:rStyle w:val="57"/>
          <w:b/>
          <w:bCs/>
          <w:snapToGrid w:val="0"/>
          <w:color w:val="000000"/>
          <w:sz w:val="24"/>
          <w:szCs w:val="24"/>
        </w:rPr>
        <w:t>四、主要环境影响和保护措施</w:t>
      </w:r>
      <w:r>
        <w:rPr>
          <w:color w:val="000000"/>
          <w:sz w:val="24"/>
          <w:szCs w:val="24"/>
        </w:rPr>
        <w:tab/>
      </w:r>
      <w:r>
        <w:rPr>
          <w:rFonts w:hint="eastAsia"/>
          <w:color w:val="000000"/>
          <w:sz w:val="24"/>
          <w:szCs w:val="24"/>
        </w:rPr>
        <w:t>3</w:t>
      </w:r>
      <w:r>
        <w:rPr>
          <w:rFonts w:hint="eastAsia"/>
          <w:color w:val="000000"/>
          <w:sz w:val="24"/>
          <w:szCs w:val="24"/>
        </w:rPr>
        <w:fldChar w:fldCharType="end"/>
      </w:r>
      <w:r>
        <w:rPr>
          <w:rFonts w:hint="eastAsia"/>
          <w:color w:val="000000"/>
          <w:sz w:val="24"/>
          <w:szCs w:val="24"/>
          <w:lang w:val="en-US" w:eastAsia="zh-CN"/>
        </w:rPr>
        <w:t>6</w:t>
      </w:r>
    </w:p>
    <w:p w14:paraId="6166C59D">
      <w:pPr>
        <w:pStyle w:val="34"/>
        <w:tabs>
          <w:tab w:val="right" w:leader="dot" w:pos="9016"/>
        </w:tabs>
        <w:spacing w:line="360" w:lineRule="auto"/>
        <w:rPr>
          <w:rFonts w:hint="eastAsia" w:eastAsia="宋体"/>
          <w:color w:val="000000"/>
          <w:sz w:val="24"/>
          <w:szCs w:val="24"/>
          <w:lang w:eastAsia="zh-CN"/>
        </w:rPr>
      </w:pPr>
      <w:r>
        <w:fldChar w:fldCharType="begin"/>
      </w:r>
      <w:r>
        <w:instrText xml:space="preserve"> HYPERLINK \l "_Toc163829137" </w:instrText>
      </w:r>
      <w:r>
        <w:fldChar w:fldCharType="separate"/>
      </w:r>
      <w:r>
        <w:rPr>
          <w:rStyle w:val="57"/>
          <w:b/>
          <w:bCs/>
          <w:snapToGrid w:val="0"/>
          <w:color w:val="000000"/>
          <w:sz w:val="24"/>
          <w:szCs w:val="24"/>
        </w:rPr>
        <w:t>五、环境保护措施监督检查清单</w:t>
      </w:r>
      <w:r>
        <w:rPr>
          <w:color w:val="000000"/>
          <w:sz w:val="24"/>
          <w:szCs w:val="24"/>
        </w:rPr>
        <w:tab/>
      </w:r>
      <w:r>
        <w:rPr>
          <w:rFonts w:hint="eastAsia"/>
          <w:color w:val="000000"/>
          <w:sz w:val="24"/>
          <w:szCs w:val="24"/>
          <w:lang w:val="en-US" w:eastAsia="zh-CN"/>
        </w:rPr>
        <w:t>8</w:t>
      </w:r>
      <w:r>
        <w:rPr>
          <w:rFonts w:hint="eastAsia"/>
          <w:color w:val="000000"/>
          <w:sz w:val="24"/>
          <w:szCs w:val="24"/>
        </w:rPr>
        <w:fldChar w:fldCharType="end"/>
      </w:r>
      <w:r>
        <w:rPr>
          <w:rFonts w:hint="eastAsia"/>
          <w:color w:val="000000"/>
          <w:sz w:val="24"/>
          <w:szCs w:val="24"/>
          <w:lang w:val="en-US" w:eastAsia="zh-CN"/>
        </w:rPr>
        <w:t>2</w:t>
      </w:r>
    </w:p>
    <w:p w14:paraId="3EB7FE17">
      <w:pPr>
        <w:pStyle w:val="34"/>
        <w:tabs>
          <w:tab w:val="right" w:leader="dot" w:pos="9016"/>
        </w:tabs>
        <w:spacing w:line="360" w:lineRule="auto"/>
        <w:rPr>
          <w:rFonts w:hint="eastAsia" w:eastAsia="宋体"/>
          <w:color w:val="000000"/>
          <w:sz w:val="24"/>
          <w:szCs w:val="24"/>
          <w:lang w:eastAsia="zh-CN"/>
        </w:rPr>
      </w:pPr>
      <w:r>
        <w:fldChar w:fldCharType="begin"/>
      </w:r>
      <w:r>
        <w:instrText xml:space="preserve"> HYPERLINK \l "_Toc163829138" </w:instrText>
      </w:r>
      <w:r>
        <w:fldChar w:fldCharType="separate"/>
      </w:r>
      <w:r>
        <w:rPr>
          <w:rStyle w:val="57"/>
          <w:b/>
          <w:bCs/>
          <w:snapToGrid w:val="0"/>
          <w:color w:val="000000"/>
          <w:sz w:val="24"/>
          <w:szCs w:val="24"/>
        </w:rPr>
        <w:t>六、结论</w:t>
      </w:r>
      <w:r>
        <w:rPr>
          <w:color w:val="000000"/>
          <w:sz w:val="24"/>
          <w:szCs w:val="24"/>
        </w:rPr>
        <w:tab/>
      </w:r>
      <w:r>
        <w:rPr>
          <w:rFonts w:hint="eastAsia"/>
          <w:color w:val="000000"/>
          <w:sz w:val="24"/>
          <w:szCs w:val="24"/>
          <w:lang w:val="en-US" w:eastAsia="zh-CN"/>
        </w:rPr>
        <w:t>8</w:t>
      </w:r>
      <w:r>
        <w:rPr>
          <w:rFonts w:hint="eastAsia"/>
          <w:color w:val="000000"/>
          <w:sz w:val="24"/>
          <w:szCs w:val="24"/>
        </w:rPr>
        <w:fldChar w:fldCharType="end"/>
      </w:r>
      <w:r>
        <w:rPr>
          <w:rFonts w:hint="eastAsia"/>
          <w:color w:val="000000"/>
          <w:sz w:val="24"/>
          <w:szCs w:val="24"/>
          <w:lang w:val="en-US" w:eastAsia="zh-CN"/>
        </w:rPr>
        <w:t>6</w:t>
      </w:r>
    </w:p>
    <w:p w14:paraId="339B7AF8">
      <w:pPr>
        <w:spacing w:line="360" w:lineRule="auto"/>
        <w:rPr>
          <w:b/>
          <w:bCs/>
          <w:color w:val="FF0000"/>
          <w:sz w:val="24"/>
          <w:szCs w:val="24"/>
          <w:lang w:val="zh-CN"/>
        </w:rPr>
      </w:pPr>
      <w:r>
        <w:rPr>
          <w:b/>
          <w:bCs/>
          <w:color w:val="000000"/>
          <w:sz w:val="24"/>
          <w:szCs w:val="24"/>
          <w:lang w:val="zh-CN"/>
        </w:rPr>
        <w:fldChar w:fldCharType="end"/>
      </w:r>
    </w:p>
    <w:p w14:paraId="6EC941ED">
      <w:pPr>
        <w:spacing w:line="360" w:lineRule="auto"/>
        <w:rPr>
          <w:b/>
          <w:bCs/>
          <w:color w:val="000000"/>
          <w:sz w:val="24"/>
          <w:szCs w:val="24"/>
        </w:rPr>
      </w:pPr>
      <w:r>
        <w:rPr>
          <w:b/>
          <w:bCs/>
          <w:color w:val="000000"/>
          <w:sz w:val="24"/>
          <w:szCs w:val="24"/>
        </w:rPr>
        <w:t>附件</w:t>
      </w:r>
    </w:p>
    <w:p w14:paraId="39F30607">
      <w:pPr>
        <w:spacing w:line="360" w:lineRule="auto"/>
        <w:rPr>
          <w:color w:val="000000"/>
          <w:sz w:val="24"/>
          <w:szCs w:val="24"/>
        </w:rPr>
      </w:pPr>
      <w:r>
        <w:rPr>
          <w:rFonts w:hint="eastAsia"/>
          <w:color w:val="000000"/>
          <w:sz w:val="24"/>
          <w:szCs w:val="24"/>
        </w:rPr>
        <w:t>附件1  环评委托书</w:t>
      </w:r>
    </w:p>
    <w:p w14:paraId="3B3B07CB">
      <w:pPr>
        <w:spacing w:line="360" w:lineRule="auto"/>
        <w:rPr>
          <w:color w:val="auto"/>
          <w:sz w:val="24"/>
          <w:szCs w:val="24"/>
        </w:rPr>
      </w:pPr>
      <w:r>
        <w:rPr>
          <w:rFonts w:hint="eastAsia"/>
          <w:color w:val="auto"/>
          <w:sz w:val="24"/>
          <w:szCs w:val="24"/>
        </w:rPr>
        <w:t>附件2  法人身份证</w:t>
      </w:r>
    </w:p>
    <w:p w14:paraId="370F0754">
      <w:pPr>
        <w:spacing w:line="360" w:lineRule="auto"/>
        <w:rPr>
          <w:rFonts w:hint="eastAsia" w:eastAsia="宋体"/>
          <w:color w:val="auto"/>
          <w:sz w:val="24"/>
          <w:szCs w:val="24"/>
          <w:lang w:val="en-US" w:eastAsia="zh-CN"/>
        </w:rPr>
      </w:pPr>
      <w:r>
        <w:rPr>
          <w:rFonts w:hint="eastAsia"/>
          <w:color w:val="auto"/>
          <w:sz w:val="24"/>
          <w:szCs w:val="24"/>
        </w:rPr>
        <w:t xml:space="preserve">附件3  </w:t>
      </w:r>
      <w:r>
        <w:rPr>
          <w:rFonts w:hint="eastAsia"/>
          <w:color w:val="auto"/>
          <w:sz w:val="24"/>
          <w:szCs w:val="24"/>
          <w:lang w:val="en-US" w:eastAsia="zh-CN"/>
        </w:rPr>
        <w:t>营业执照</w:t>
      </w:r>
    </w:p>
    <w:p w14:paraId="62A6DB00">
      <w:pPr>
        <w:spacing w:line="360" w:lineRule="auto"/>
        <w:rPr>
          <w:rFonts w:hint="eastAsia"/>
          <w:color w:val="auto"/>
          <w:sz w:val="24"/>
          <w:szCs w:val="24"/>
          <w:lang w:val="en-US" w:eastAsia="zh-CN"/>
        </w:rPr>
      </w:pPr>
      <w:r>
        <w:rPr>
          <w:rFonts w:hint="eastAsia"/>
          <w:color w:val="auto"/>
          <w:sz w:val="24"/>
          <w:szCs w:val="24"/>
          <w:lang w:val="en-US" w:eastAsia="zh-CN"/>
        </w:rPr>
        <w:t xml:space="preserve">附件4  </w:t>
      </w:r>
      <w:r>
        <w:rPr>
          <w:rFonts w:hint="eastAsia"/>
          <w:color w:val="auto"/>
          <w:sz w:val="24"/>
          <w:szCs w:val="24"/>
        </w:rPr>
        <w:t>土地</w:t>
      </w:r>
      <w:r>
        <w:rPr>
          <w:rFonts w:hint="eastAsia"/>
          <w:color w:val="auto"/>
          <w:sz w:val="24"/>
          <w:szCs w:val="24"/>
          <w:lang w:val="en-US" w:eastAsia="zh-CN"/>
        </w:rPr>
        <w:t>审批单</w:t>
      </w:r>
    </w:p>
    <w:p w14:paraId="2CF17242">
      <w:pPr>
        <w:spacing w:line="360" w:lineRule="auto"/>
        <w:rPr>
          <w:rFonts w:hint="default"/>
          <w:color w:val="auto"/>
          <w:sz w:val="24"/>
          <w:szCs w:val="24"/>
          <w:u w:val="single"/>
          <w:lang w:val="en-US" w:eastAsia="zh-CN"/>
        </w:rPr>
      </w:pPr>
      <w:r>
        <w:rPr>
          <w:rFonts w:hint="eastAsia"/>
          <w:color w:val="auto"/>
          <w:sz w:val="24"/>
          <w:szCs w:val="24"/>
          <w:u w:val="single"/>
          <w:lang w:val="en-US" w:eastAsia="zh-CN"/>
        </w:rPr>
        <w:t>附件5  土地租赁合同</w:t>
      </w:r>
    </w:p>
    <w:p w14:paraId="362C6A30">
      <w:pPr>
        <w:spacing w:line="360" w:lineRule="auto"/>
        <w:rPr>
          <w:rFonts w:hint="eastAsia"/>
          <w:color w:val="000000"/>
          <w:sz w:val="24"/>
          <w:szCs w:val="24"/>
        </w:rPr>
      </w:pPr>
      <w:r>
        <w:rPr>
          <w:rFonts w:hint="eastAsia"/>
          <w:color w:val="000000"/>
          <w:sz w:val="24"/>
          <w:szCs w:val="24"/>
        </w:rPr>
        <w:t>附件</w:t>
      </w:r>
      <w:r>
        <w:rPr>
          <w:rFonts w:hint="eastAsia"/>
          <w:color w:val="000000"/>
          <w:sz w:val="24"/>
          <w:szCs w:val="24"/>
          <w:lang w:val="en-US" w:eastAsia="zh-CN"/>
        </w:rPr>
        <w:t>6</w:t>
      </w:r>
      <w:r>
        <w:rPr>
          <w:rFonts w:hint="eastAsia"/>
          <w:color w:val="000000"/>
          <w:sz w:val="24"/>
          <w:szCs w:val="24"/>
        </w:rPr>
        <w:t xml:space="preserve">  </w:t>
      </w:r>
      <w:r>
        <w:rPr>
          <w:rFonts w:hint="eastAsia"/>
          <w:color w:val="000000"/>
          <w:sz w:val="24"/>
          <w:szCs w:val="24"/>
          <w:lang w:val="en-US" w:eastAsia="zh-CN"/>
        </w:rPr>
        <w:t>安化县民政局</w:t>
      </w:r>
      <w:r>
        <w:rPr>
          <w:rFonts w:hint="eastAsia"/>
          <w:color w:val="000000"/>
          <w:sz w:val="24"/>
          <w:szCs w:val="24"/>
        </w:rPr>
        <w:t>关于《</w:t>
      </w:r>
      <w:r>
        <w:rPr>
          <w:rFonts w:hint="eastAsia"/>
          <w:color w:val="000000"/>
          <w:sz w:val="24"/>
          <w:szCs w:val="24"/>
          <w:lang w:val="en-US" w:eastAsia="zh-CN"/>
        </w:rPr>
        <w:t>安化县莲台山幸福驿站建设项目</w:t>
      </w:r>
      <w:r>
        <w:rPr>
          <w:rFonts w:hint="eastAsia"/>
          <w:color w:val="000000"/>
          <w:sz w:val="24"/>
          <w:szCs w:val="24"/>
        </w:rPr>
        <w:t>》的</w:t>
      </w:r>
      <w:r>
        <w:rPr>
          <w:rFonts w:hint="eastAsia"/>
          <w:color w:val="000000"/>
          <w:sz w:val="24"/>
          <w:szCs w:val="24"/>
          <w:lang w:val="en-US" w:eastAsia="zh-CN"/>
        </w:rPr>
        <w:t>意见</w:t>
      </w:r>
    </w:p>
    <w:p w14:paraId="60F28F73">
      <w:pPr>
        <w:spacing w:line="360" w:lineRule="auto"/>
        <w:rPr>
          <w:rFonts w:hint="eastAsia"/>
          <w:color w:val="000000"/>
          <w:sz w:val="24"/>
          <w:szCs w:val="24"/>
          <w:lang w:val="en-US" w:eastAsia="zh-CN"/>
        </w:rPr>
      </w:pPr>
      <w:r>
        <w:rPr>
          <w:rFonts w:hint="eastAsia"/>
          <w:color w:val="000000"/>
          <w:sz w:val="24"/>
          <w:szCs w:val="24"/>
        </w:rPr>
        <w:t>附件</w:t>
      </w:r>
      <w:r>
        <w:rPr>
          <w:rFonts w:hint="eastAsia"/>
          <w:color w:val="000000"/>
          <w:sz w:val="24"/>
          <w:szCs w:val="24"/>
          <w:lang w:val="en-US" w:eastAsia="zh-CN"/>
        </w:rPr>
        <w:t>7</w:t>
      </w:r>
      <w:r>
        <w:rPr>
          <w:rFonts w:hint="eastAsia"/>
          <w:color w:val="000000"/>
          <w:sz w:val="24"/>
          <w:szCs w:val="24"/>
        </w:rPr>
        <w:t xml:space="preserve">  </w:t>
      </w:r>
      <w:r>
        <w:rPr>
          <w:rFonts w:hint="eastAsia"/>
          <w:color w:val="000000"/>
          <w:sz w:val="24"/>
          <w:szCs w:val="24"/>
          <w:lang w:val="en-US" w:eastAsia="zh-CN"/>
        </w:rPr>
        <w:t>发改备案文件</w:t>
      </w:r>
    </w:p>
    <w:p w14:paraId="6A163995">
      <w:pPr>
        <w:spacing w:line="360" w:lineRule="auto"/>
        <w:rPr>
          <w:rFonts w:hint="eastAsia"/>
          <w:color w:val="000000"/>
          <w:sz w:val="24"/>
          <w:szCs w:val="24"/>
          <w:u w:val="single"/>
          <w:lang w:val="en-US" w:eastAsia="zh-CN"/>
        </w:rPr>
      </w:pPr>
      <w:r>
        <w:rPr>
          <w:rFonts w:hint="eastAsia"/>
          <w:color w:val="000000"/>
          <w:sz w:val="24"/>
          <w:szCs w:val="24"/>
          <w:u w:val="single"/>
          <w:lang w:val="en-US" w:eastAsia="zh-CN"/>
        </w:rPr>
        <w:t>附件8  项目废水接入市政污水管网的报告</w:t>
      </w:r>
    </w:p>
    <w:p w14:paraId="0973D736">
      <w:pPr>
        <w:spacing w:line="360" w:lineRule="auto"/>
        <w:rPr>
          <w:rFonts w:hint="default"/>
          <w:color w:val="000000"/>
          <w:sz w:val="24"/>
          <w:szCs w:val="24"/>
          <w:u w:val="single"/>
          <w:lang w:val="en-US" w:eastAsia="zh-CN"/>
        </w:rPr>
      </w:pPr>
      <w:r>
        <w:rPr>
          <w:rFonts w:hint="eastAsia"/>
          <w:color w:val="000000"/>
          <w:sz w:val="24"/>
          <w:szCs w:val="24"/>
          <w:u w:val="single"/>
          <w:lang w:val="en-US" w:eastAsia="zh-CN"/>
        </w:rPr>
        <w:t>附件9  研判报告</w:t>
      </w:r>
    </w:p>
    <w:p w14:paraId="267CD7D6">
      <w:pPr>
        <w:spacing w:line="360" w:lineRule="auto"/>
        <w:rPr>
          <w:rFonts w:hint="eastAsia"/>
          <w:color w:val="000000"/>
          <w:sz w:val="24"/>
          <w:szCs w:val="24"/>
          <w:lang w:val="en-US" w:eastAsia="zh-CN"/>
        </w:rPr>
      </w:pPr>
    </w:p>
    <w:p w14:paraId="1E70F6A0">
      <w:pPr>
        <w:spacing w:line="400" w:lineRule="exact"/>
        <w:rPr>
          <w:b/>
          <w:bCs/>
          <w:color w:val="000000"/>
          <w:sz w:val="24"/>
          <w:szCs w:val="24"/>
        </w:rPr>
      </w:pPr>
      <w:r>
        <w:rPr>
          <w:b/>
          <w:bCs/>
          <w:color w:val="000000"/>
          <w:sz w:val="24"/>
          <w:szCs w:val="24"/>
        </w:rPr>
        <w:t>附图</w:t>
      </w:r>
    </w:p>
    <w:bookmarkEnd w:id="0"/>
    <w:p w14:paraId="6EB20F58">
      <w:pPr>
        <w:spacing w:line="400" w:lineRule="exact"/>
        <w:rPr>
          <w:color w:val="000000"/>
          <w:sz w:val="24"/>
          <w:szCs w:val="24"/>
        </w:rPr>
      </w:pPr>
      <w:r>
        <w:rPr>
          <w:rFonts w:hint="eastAsia"/>
          <w:color w:val="000000"/>
          <w:sz w:val="24"/>
          <w:szCs w:val="24"/>
        </w:rPr>
        <w:t>附图1  项目地理位置图</w:t>
      </w:r>
    </w:p>
    <w:p w14:paraId="40039E27">
      <w:pPr>
        <w:spacing w:line="400" w:lineRule="exact"/>
        <w:rPr>
          <w:color w:val="000000"/>
          <w:sz w:val="24"/>
          <w:szCs w:val="24"/>
          <w:highlight w:val="yellow"/>
        </w:rPr>
      </w:pPr>
      <w:r>
        <w:rPr>
          <w:rFonts w:hint="eastAsia"/>
          <w:color w:val="000000"/>
          <w:sz w:val="24"/>
          <w:szCs w:val="24"/>
        </w:rPr>
        <w:t xml:space="preserve">附图2  </w:t>
      </w:r>
      <w:r>
        <w:rPr>
          <w:rFonts w:hint="eastAsia"/>
          <w:color w:val="000000"/>
          <w:sz w:val="24"/>
          <w:szCs w:val="24"/>
          <w:lang w:val="en-US" w:eastAsia="zh-CN"/>
        </w:rPr>
        <w:t>环境空气保护目标示意图</w:t>
      </w:r>
    </w:p>
    <w:p w14:paraId="65D70952">
      <w:pPr>
        <w:spacing w:line="400" w:lineRule="exact"/>
        <w:rPr>
          <w:rFonts w:hint="default" w:eastAsia="宋体"/>
          <w:color w:val="000000"/>
          <w:sz w:val="24"/>
          <w:szCs w:val="24"/>
          <w:highlight w:val="yellow"/>
          <w:lang w:val="en-US" w:eastAsia="zh-CN"/>
        </w:rPr>
      </w:pPr>
      <w:r>
        <w:rPr>
          <w:rFonts w:hint="eastAsia"/>
          <w:color w:val="000000"/>
          <w:sz w:val="24"/>
          <w:szCs w:val="24"/>
        </w:rPr>
        <w:t>附图3</w:t>
      </w:r>
      <w:r>
        <w:rPr>
          <w:color w:val="000000"/>
          <w:sz w:val="24"/>
          <w:szCs w:val="24"/>
        </w:rPr>
        <w:t xml:space="preserve">  </w:t>
      </w:r>
      <w:r>
        <w:rPr>
          <w:rFonts w:hint="eastAsia"/>
          <w:color w:val="000000"/>
          <w:sz w:val="24"/>
          <w:szCs w:val="24"/>
        </w:rPr>
        <w:t>项目</w:t>
      </w:r>
      <w:r>
        <w:rPr>
          <w:rFonts w:hint="eastAsia"/>
          <w:color w:val="000000"/>
          <w:sz w:val="24"/>
          <w:szCs w:val="24"/>
          <w:lang w:val="en-US" w:eastAsia="zh-CN"/>
        </w:rPr>
        <w:t>平面布局图</w:t>
      </w:r>
    </w:p>
    <w:p w14:paraId="4CF1B691">
      <w:pPr>
        <w:spacing w:line="400" w:lineRule="exact"/>
        <w:rPr>
          <w:rFonts w:hint="default" w:eastAsia="宋体"/>
          <w:color w:val="000000"/>
          <w:sz w:val="24"/>
          <w:szCs w:val="24"/>
          <w:lang w:val="en-US" w:eastAsia="zh-CN"/>
        </w:rPr>
      </w:pPr>
      <w:r>
        <w:rPr>
          <w:rFonts w:hint="eastAsia"/>
          <w:color w:val="000000"/>
          <w:sz w:val="24"/>
          <w:szCs w:val="24"/>
        </w:rPr>
        <w:t xml:space="preserve">附图4  </w:t>
      </w:r>
      <w:r>
        <w:rPr>
          <w:rFonts w:hint="eastAsia"/>
          <w:color w:val="000000"/>
          <w:sz w:val="24"/>
          <w:szCs w:val="24"/>
          <w:lang w:val="en-US" w:eastAsia="zh-CN"/>
        </w:rPr>
        <w:t>项目鸟瞰图</w:t>
      </w:r>
    </w:p>
    <w:p w14:paraId="6B5E0EF6">
      <w:pPr>
        <w:spacing w:line="400" w:lineRule="exact"/>
        <w:rPr>
          <w:rFonts w:hint="eastAsia"/>
          <w:color w:val="000000"/>
          <w:sz w:val="24"/>
          <w:szCs w:val="24"/>
          <w:u w:val="single"/>
          <w:lang w:val="en-US" w:eastAsia="zh-CN"/>
        </w:rPr>
      </w:pPr>
      <w:r>
        <w:rPr>
          <w:rFonts w:hint="eastAsia"/>
          <w:color w:val="000000"/>
          <w:sz w:val="24"/>
          <w:szCs w:val="24"/>
          <w:u w:val="single"/>
          <w:lang w:val="en-US" w:eastAsia="zh-CN"/>
        </w:rPr>
        <w:t>附图5  项目地表水监测点位示意图</w:t>
      </w:r>
    </w:p>
    <w:p w14:paraId="03BCF148">
      <w:pPr>
        <w:spacing w:line="400" w:lineRule="exact"/>
        <w:rPr>
          <w:rFonts w:hint="eastAsia"/>
          <w:color w:val="000000"/>
          <w:sz w:val="24"/>
          <w:szCs w:val="24"/>
          <w:u w:val="single"/>
        </w:rPr>
      </w:pPr>
      <w:r>
        <w:rPr>
          <w:rFonts w:hint="eastAsia"/>
          <w:color w:val="000000"/>
          <w:sz w:val="24"/>
          <w:szCs w:val="24"/>
          <w:u w:val="single"/>
        </w:rPr>
        <w:t>附图</w:t>
      </w:r>
      <w:r>
        <w:rPr>
          <w:rFonts w:hint="eastAsia"/>
          <w:color w:val="000000"/>
          <w:sz w:val="24"/>
          <w:szCs w:val="24"/>
          <w:u w:val="single"/>
          <w:lang w:val="en-US" w:eastAsia="zh-CN"/>
        </w:rPr>
        <w:t>6</w:t>
      </w:r>
      <w:r>
        <w:rPr>
          <w:rFonts w:hint="eastAsia"/>
          <w:color w:val="000000"/>
          <w:sz w:val="24"/>
          <w:szCs w:val="24"/>
          <w:u w:val="single"/>
        </w:rPr>
        <w:t xml:space="preserve">  </w:t>
      </w:r>
      <w:r>
        <w:rPr>
          <w:rFonts w:hint="eastAsia"/>
          <w:color w:val="000000"/>
          <w:sz w:val="24"/>
          <w:szCs w:val="24"/>
          <w:u w:val="single"/>
          <w:lang w:val="en-US" w:eastAsia="zh-CN"/>
        </w:rPr>
        <w:t>项目废水排放口排水走向图</w:t>
      </w:r>
    </w:p>
    <w:p w14:paraId="058D6FC0">
      <w:pPr>
        <w:spacing w:line="400" w:lineRule="exact"/>
        <w:rPr>
          <w:color w:val="000000"/>
          <w:sz w:val="24"/>
          <w:szCs w:val="24"/>
        </w:rPr>
      </w:pPr>
      <w:r>
        <w:rPr>
          <w:rFonts w:hint="eastAsia"/>
          <w:color w:val="000000"/>
          <w:sz w:val="24"/>
          <w:szCs w:val="24"/>
          <w:u w:val="none"/>
          <w:lang w:val="en-US" w:eastAsia="zh-CN"/>
        </w:rPr>
        <w:t>附件7  项目排水走向图</w:t>
      </w:r>
    </w:p>
    <w:p w14:paraId="1E04CDE0">
      <w:pPr>
        <w:spacing w:line="400" w:lineRule="exact"/>
        <w:rPr>
          <w:rFonts w:hint="default" w:eastAsia="宋体"/>
          <w:color w:val="000000"/>
          <w:sz w:val="24"/>
          <w:szCs w:val="24"/>
          <w:u w:val="none"/>
          <w:lang w:val="en-US" w:eastAsia="zh-CN"/>
        </w:rPr>
      </w:pPr>
      <w:r>
        <w:rPr>
          <w:rFonts w:hint="eastAsia"/>
          <w:color w:val="000000"/>
          <w:sz w:val="24"/>
          <w:szCs w:val="24"/>
          <w:u w:val="none"/>
        </w:rPr>
        <w:t>附图</w:t>
      </w:r>
      <w:r>
        <w:rPr>
          <w:rFonts w:hint="eastAsia"/>
          <w:color w:val="000000"/>
          <w:sz w:val="24"/>
          <w:szCs w:val="24"/>
          <w:u w:val="none"/>
          <w:lang w:val="en-US" w:eastAsia="zh-CN"/>
        </w:rPr>
        <w:t>8</w:t>
      </w:r>
      <w:r>
        <w:rPr>
          <w:rFonts w:hint="eastAsia"/>
          <w:color w:val="000000"/>
          <w:sz w:val="24"/>
          <w:szCs w:val="24"/>
          <w:u w:val="none"/>
        </w:rPr>
        <w:t xml:space="preserve">  </w:t>
      </w:r>
      <w:r>
        <w:rPr>
          <w:rFonts w:hint="eastAsia"/>
          <w:color w:val="000000"/>
          <w:sz w:val="24"/>
          <w:szCs w:val="24"/>
          <w:u w:val="none"/>
          <w:lang w:val="en-US" w:eastAsia="zh-CN"/>
        </w:rPr>
        <w:t>现场踏勘</w:t>
      </w:r>
      <w:r>
        <w:rPr>
          <w:color w:val="000000"/>
          <w:sz w:val="24"/>
          <w:szCs w:val="24"/>
          <w:u w:val="none"/>
        </w:rPr>
        <w:t>图</w:t>
      </w:r>
    </w:p>
    <w:p w14:paraId="6DB2D201">
      <w:pPr>
        <w:spacing w:line="400" w:lineRule="exact"/>
        <w:rPr>
          <w:color w:val="000000"/>
          <w:sz w:val="24"/>
          <w:szCs w:val="24"/>
        </w:rPr>
      </w:pPr>
    </w:p>
    <w:p w14:paraId="002F6D33">
      <w:pPr>
        <w:spacing w:line="400" w:lineRule="exact"/>
        <w:rPr>
          <w:color w:val="000000"/>
          <w:sz w:val="24"/>
          <w:szCs w:val="24"/>
        </w:rPr>
        <w:sectPr>
          <w:footerReference r:id="rId3" w:type="default"/>
          <w:pgSz w:w="11906" w:h="16838"/>
          <w:pgMar w:top="1701" w:right="1440" w:bottom="1701" w:left="1440" w:header="851" w:footer="1077" w:gutter="0"/>
          <w:pgNumType w:start="3"/>
          <w:cols w:space="720" w:num="1"/>
        </w:sectPr>
      </w:pPr>
      <w:r>
        <w:rPr>
          <w:color w:val="000000"/>
          <w:sz w:val="24"/>
          <w:szCs w:val="24"/>
        </w:rPr>
        <w:t xml:space="preserve"> </w:t>
      </w:r>
    </w:p>
    <w:p w14:paraId="367CE251">
      <w:pPr>
        <w:pStyle w:val="44"/>
        <w:spacing w:before="120" w:beforeLines="50" w:beforeAutospacing="0" w:after="120" w:afterLines="50" w:afterAutospacing="0"/>
        <w:jc w:val="center"/>
        <w:outlineLvl w:val="0"/>
        <w:rPr>
          <w:rFonts w:hint="eastAsia"/>
          <w:b/>
          <w:bCs/>
          <w:snapToGrid w:val="0"/>
          <w:color w:val="000000"/>
          <w:sz w:val="30"/>
          <w:szCs w:val="30"/>
        </w:rPr>
      </w:pPr>
      <w:bookmarkStart w:id="1" w:name="_Toc163829133"/>
      <w:r>
        <w:rPr>
          <w:b/>
          <w:bCs/>
          <w:snapToGrid w:val="0"/>
          <w:color w:val="000000"/>
          <w:sz w:val="30"/>
          <w:szCs w:val="30"/>
        </w:rPr>
        <w:t>一、建设项目基本情况</w:t>
      </w:r>
      <w:bookmarkEnd w:id="1"/>
    </w:p>
    <w:tbl>
      <w:tblPr>
        <w:tblStyle w:val="47"/>
        <w:tblW w:w="90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52"/>
        <w:gridCol w:w="2124"/>
        <w:gridCol w:w="2001"/>
        <w:gridCol w:w="3395"/>
      </w:tblGrid>
      <w:tr w14:paraId="2E743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52" w:type="dxa"/>
            <w:tcMar>
              <w:top w:w="16" w:type="dxa"/>
              <w:left w:w="16" w:type="dxa"/>
              <w:bottom w:w="0" w:type="dxa"/>
              <w:right w:w="16" w:type="dxa"/>
            </w:tcMar>
            <w:vAlign w:val="center"/>
          </w:tcPr>
          <w:p w14:paraId="70031E62">
            <w:pPr>
              <w:jc w:val="center"/>
              <w:rPr>
                <w:color w:val="000000"/>
                <w:sz w:val="24"/>
                <w:szCs w:val="24"/>
              </w:rPr>
            </w:pPr>
            <w:r>
              <w:rPr>
                <w:color w:val="000000"/>
                <w:sz w:val="24"/>
                <w:szCs w:val="24"/>
              </w:rPr>
              <w:t>建设项目名称</w:t>
            </w:r>
          </w:p>
        </w:tc>
        <w:tc>
          <w:tcPr>
            <w:tcW w:w="7520" w:type="dxa"/>
            <w:gridSpan w:val="3"/>
            <w:vAlign w:val="center"/>
          </w:tcPr>
          <w:p w14:paraId="42B17F7A">
            <w:pPr>
              <w:jc w:val="center"/>
              <w:rPr>
                <w:color w:val="000000"/>
                <w:sz w:val="24"/>
                <w:szCs w:val="24"/>
              </w:rPr>
            </w:pPr>
            <w:r>
              <w:rPr>
                <w:rFonts w:hint="eastAsia"/>
                <w:color w:val="000000"/>
                <w:sz w:val="24"/>
                <w:szCs w:val="24"/>
              </w:rPr>
              <w:t>安化县莲台山幸福驿站建设项目</w:t>
            </w:r>
          </w:p>
        </w:tc>
      </w:tr>
      <w:tr w14:paraId="43671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52" w:type="dxa"/>
            <w:tcMar>
              <w:top w:w="16" w:type="dxa"/>
              <w:left w:w="16" w:type="dxa"/>
              <w:bottom w:w="0" w:type="dxa"/>
              <w:right w:w="16" w:type="dxa"/>
            </w:tcMar>
            <w:vAlign w:val="center"/>
          </w:tcPr>
          <w:p w14:paraId="3B99DE12">
            <w:pPr>
              <w:jc w:val="center"/>
              <w:rPr>
                <w:color w:val="000000"/>
                <w:sz w:val="24"/>
                <w:szCs w:val="24"/>
              </w:rPr>
            </w:pPr>
            <w:r>
              <w:rPr>
                <w:color w:val="000000"/>
                <w:sz w:val="24"/>
                <w:szCs w:val="24"/>
              </w:rPr>
              <w:t>项目代码</w:t>
            </w:r>
          </w:p>
        </w:tc>
        <w:tc>
          <w:tcPr>
            <w:tcW w:w="7520" w:type="dxa"/>
            <w:gridSpan w:val="3"/>
            <w:vAlign w:val="center"/>
          </w:tcPr>
          <w:p w14:paraId="18E92618">
            <w:pPr>
              <w:jc w:val="center"/>
              <w:rPr>
                <w:color w:val="000000"/>
                <w:sz w:val="24"/>
                <w:szCs w:val="24"/>
              </w:rPr>
            </w:pPr>
            <w:r>
              <w:rPr>
                <w:rFonts w:hint="default"/>
                <w:color w:val="000000"/>
                <w:sz w:val="24"/>
                <w:szCs w:val="24"/>
              </w:rPr>
              <w:t>2211-430923-04-01-760292</w:t>
            </w:r>
          </w:p>
        </w:tc>
      </w:tr>
      <w:tr w14:paraId="32A48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52" w:type="dxa"/>
            <w:tcMar>
              <w:top w:w="16" w:type="dxa"/>
              <w:left w:w="16" w:type="dxa"/>
              <w:bottom w:w="0" w:type="dxa"/>
              <w:right w:w="16" w:type="dxa"/>
            </w:tcMar>
            <w:vAlign w:val="center"/>
          </w:tcPr>
          <w:p w14:paraId="6561E1F7">
            <w:pPr>
              <w:jc w:val="center"/>
              <w:rPr>
                <w:color w:val="000000"/>
                <w:sz w:val="24"/>
                <w:szCs w:val="24"/>
              </w:rPr>
            </w:pPr>
            <w:r>
              <w:rPr>
                <w:color w:val="000000"/>
                <w:sz w:val="24"/>
                <w:szCs w:val="24"/>
              </w:rPr>
              <w:t>建设单位联系人</w:t>
            </w:r>
          </w:p>
        </w:tc>
        <w:tc>
          <w:tcPr>
            <w:tcW w:w="2124" w:type="dxa"/>
            <w:vAlign w:val="center"/>
          </w:tcPr>
          <w:p w14:paraId="77269E3D">
            <w:pPr>
              <w:jc w:val="center"/>
              <w:rPr>
                <w:rFonts w:hint="eastAsia" w:eastAsia="宋体"/>
                <w:color w:val="000000"/>
                <w:sz w:val="24"/>
                <w:szCs w:val="24"/>
                <w:lang w:eastAsia="zh-CN"/>
              </w:rPr>
            </w:pPr>
            <w:r>
              <w:rPr>
                <w:rFonts w:hint="eastAsia"/>
                <w:color w:val="000000"/>
                <w:sz w:val="24"/>
                <w:szCs w:val="24"/>
                <w:lang w:val="en-US" w:eastAsia="zh-CN"/>
              </w:rPr>
              <w:t>莫晓东</w:t>
            </w:r>
          </w:p>
        </w:tc>
        <w:tc>
          <w:tcPr>
            <w:tcW w:w="2001" w:type="dxa"/>
            <w:vAlign w:val="center"/>
          </w:tcPr>
          <w:p w14:paraId="1F917E60">
            <w:pPr>
              <w:jc w:val="center"/>
              <w:rPr>
                <w:color w:val="000000"/>
                <w:sz w:val="24"/>
                <w:szCs w:val="24"/>
              </w:rPr>
            </w:pPr>
            <w:r>
              <w:rPr>
                <w:color w:val="000000"/>
                <w:sz w:val="24"/>
                <w:szCs w:val="24"/>
              </w:rPr>
              <w:t>联系方式</w:t>
            </w:r>
          </w:p>
        </w:tc>
        <w:tc>
          <w:tcPr>
            <w:tcW w:w="3395" w:type="dxa"/>
            <w:vAlign w:val="center"/>
          </w:tcPr>
          <w:p w14:paraId="2BA9F83A">
            <w:pPr>
              <w:jc w:val="center"/>
              <w:rPr>
                <w:rFonts w:hint="default" w:eastAsia="宋体"/>
                <w:color w:val="000000"/>
                <w:sz w:val="24"/>
                <w:szCs w:val="24"/>
                <w:lang w:val="en-US" w:eastAsia="zh-CN"/>
              </w:rPr>
            </w:pPr>
            <w:r>
              <w:rPr>
                <w:rFonts w:hint="eastAsia"/>
                <w:color w:val="000000"/>
                <w:sz w:val="24"/>
                <w:szCs w:val="24"/>
                <w:lang w:val="en-US" w:eastAsia="zh-CN"/>
              </w:rPr>
              <w:t>13973786980</w:t>
            </w:r>
          </w:p>
        </w:tc>
      </w:tr>
      <w:tr w14:paraId="67A25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52" w:type="dxa"/>
            <w:tcMar>
              <w:top w:w="16" w:type="dxa"/>
              <w:left w:w="16" w:type="dxa"/>
              <w:bottom w:w="0" w:type="dxa"/>
              <w:right w:w="16" w:type="dxa"/>
            </w:tcMar>
            <w:vAlign w:val="center"/>
          </w:tcPr>
          <w:p w14:paraId="6D58E0DD">
            <w:pPr>
              <w:jc w:val="center"/>
              <w:rPr>
                <w:color w:val="000000"/>
                <w:sz w:val="24"/>
                <w:szCs w:val="24"/>
              </w:rPr>
            </w:pPr>
            <w:r>
              <w:rPr>
                <w:color w:val="000000"/>
                <w:sz w:val="24"/>
                <w:szCs w:val="24"/>
              </w:rPr>
              <w:t>建设地点</w:t>
            </w:r>
          </w:p>
        </w:tc>
        <w:tc>
          <w:tcPr>
            <w:tcW w:w="7520" w:type="dxa"/>
            <w:gridSpan w:val="3"/>
            <w:vAlign w:val="center"/>
          </w:tcPr>
          <w:p w14:paraId="05B764CA">
            <w:pPr>
              <w:jc w:val="center"/>
              <w:rPr>
                <w:rFonts w:hint="default" w:eastAsia="宋体"/>
                <w:color w:val="000000"/>
                <w:spacing w:val="-6"/>
                <w:sz w:val="24"/>
                <w:szCs w:val="24"/>
                <w:lang w:val="en-US" w:eastAsia="zh-CN"/>
              </w:rPr>
            </w:pPr>
            <w:r>
              <w:rPr>
                <w:rFonts w:hint="eastAsia"/>
                <w:color w:val="000000"/>
                <w:spacing w:val="-6"/>
                <w:sz w:val="24"/>
                <w:szCs w:val="24"/>
                <w:lang w:val="en-US" w:eastAsia="zh-CN"/>
              </w:rPr>
              <w:t>安化县东坪镇城南区城南社区连台片</w:t>
            </w:r>
          </w:p>
        </w:tc>
      </w:tr>
      <w:tr w14:paraId="03A64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52" w:type="dxa"/>
            <w:tcMar>
              <w:top w:w="16" w:type="dxa"/>
              <w:left w:w="16" w:type="dxa"/>
              <w:bottom w:w="0" w:type="dxa"/>
              <w:right w:w="16" w:type="dxa"/>
            </w:tcMar>
            <w:vAlign w:val="center"/>
          </w:tcPr>
          <w:p w14:paraId="5B344585">
            <w:pPr>
              <w:jc w:val="center"/>
              <w:rPr>
                <w:color w:val="000000"/>
                <w:sz w:val="24"/>
                <w:szCs w:val="24"/>
              </w:rPr>
            </w:pPr>
            <w:r>
              <w:rPr>
                <w:color w:val="000000"/>
                <w:sz w:val="24"/>
                <w:szCs w:val="24"/>
              </w:rPr>
              <w:t>地理坐标</w:t>
            </w:r>
          </w:p>
        </w:tc>
        <w:tc>
          <w:tcPr>
            <w:tcW w:w="7520" w:type="dxa"/>
            <w:gridSpan w:val="3"/>
            <w:vAlign w:val="center"/>
          </w:tcPr>
          <w:p w14:paraId="7F5BE67D">
            <w:pPr>
              <w:jc w:val="center"/>
              <w:rPr>
                <w:color w:val="000000"/>
                <w:sz w:val="24"/>
                <w:szCs w:val="24"/>
              </w:rPr>
            </w:pPr>
            <w:r>
              <w:rPr>
                <w:color w:val="000000"/>
                <w:sz w:val="24"/>
                <w:szCs w:val="24"/>
              </w:rPr>
              <w:t>（</w:t>
            </w:r>
            <w:r>
              <w:rPr>
                <w:rFonts w:hint="default" w:ascii="Times New Roman" w:hAnsi="Times New Roman" w:cs="Times New Roman"/>
                <w:color w:val="auto"/>
                <w:sz w:val="24"/>
                <w:szCs w:val="24"/>
              </w:rPr>
              <w:t>111°11′19.184"E，28°22′7.423"N</w:t>
            </w:r>
            <w:r>
              <w:rPr>
                <w:color w:val="000000"/>
                <w:sz w:val="24"/>
                <w:szCs w:val="24"/>
              </w:rPr>
              <w:t>）</w:t>
            </w:r>
          </w:p>
        </w:tc>
      </w:tr>
      <w:tr w14:paraId="4D87D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52" w:type="dxa"/>
            <w:tcMar>
              <w:top w:w="16" w:type="dxa"/>
              <w:left w:w="16" w:type="dxa"/>
              <w:bottom w:w="0" w:type="dxa"/>
              <w:right w:w="16" w:type="dxa"/>
            </w:tcMar>
            <w:vAlign w:val="center"/>
          </w:tcPr>
          <w:p w14:paraId="1E1235D2">
            <w:pPr>
              <w:jc w:val="center"/>
              <w:rPr>
                <w:color w:val="000000"/>
                <w:sz w:val="24"/>
                <w:szCs w:val="24"/>
              </w:rPr>
            </w:pPr>
            <w:bookmarkStart w:id="2" w:name="OLE_LINK13"/>
            <w:bookmarkStart w:id="3" w:name="OLE_LINK12"/>
            <w:r>
              <w:rPr>
                <w:color w:val="000000"/>
                <w:sz w:val="24"/>
                <w:szCs w:val="24"/>
              </w:rPr>
              <w:t>国民经济</w:t>
            </w:r>
          </w:p>
          <w:p w14:paraId="3BA77D79">
            <w:pPr>
              <w:jc w:val="center"/>
              <w:rPr>
                <w:color w:val="000000"/>
                <w:sz w:val="24"/>
                <w:szCs w:val="24"/>
              </w:rPr>
            </w:pPr>
            <w:r>
              <w:rPr>
                <w:color w:val="000000"/>
                <w:sz w:val="24"/>
                <w:szCs w:val="24"/>
              </w:rPr>
              <w:t>行业类别</w:t>
            </w:r>
            <w:bookmarkEnd w:id="2"/>
            <w:bookmarkEnd w:id="3"/>
          </w:p>
        </w:tc>
        <w:tc>
          <w:tcPr>
            <w:tcW w:w="2124" w:type="dxa"/>
            <w:vAlign w:val="center"/>
          </w:tcPr>
          <w:p w14:paraId="2385700A">
            <w:pPr>
              <w:jc w:val="center"/>
              <w:rPr>
                <w:color w:val="000000"/>
                <w:sz w:val="24"/>
                <w:szCs w:val="24"/>
              </w:rPr>
            </w:pPr>
            <w:r>
              <w:rPr>
                <w:rFonts w:hint="eastAsia"/>
                <w:color w:val="000000"/>
                <w:sz w:val="24"/>
                <w:szCs w:val="24"/>
              </w:rPr>
              <w:t>Q8416 疗养院</w:t>
            </w:r>
          </w:p>
        </w:tc>
        <w:tc>
          <w:tcPr>
            <w:tcW w:w="2001" w:type="dxa"/>
            <w:vAlign w:val="center"/>
          </w:tcPr>
          <w:p w14:paraId="5127E462">
            <w:pPr>
              <w:jc w:val="center"/>
              <w:rPr>
                <w:color w:val="000000"/>
                <w:sz w:val="24"/>
                <w:szCs w:val="24"/>
              </w:rPr>
            </w:pPr>
            <w:bookmarkStart w:id="4" w:name="_Hlk49843745"/>
            <w:r>
              <w:rPr>
                <w:color w:val="000000"/>
                <w:sz w:val="24"/>
                <w:szCs w:val="24"/>
              </w:rPr>
              <w:t>建设项目</w:t>
            </w:r>
          </w:p>
          <w:p w14:paraId="027158A6">
            <w:pPr>
              <w:jc w:val="center"/>
              <w:rPr>
                <w:color w:val="000000"/>
                <w:sz w:val="24"/>
                <w:szCs w:val="24"/>
              </w:rPr>
            </w:pPr>
            <w:r>
              <w:rPr>
                <w:color w:val="000000"/>
                <w:sz w:val="24"/>
                <w:szCs w:val="24"/>
              </w:rPr>
              <w:t>行业类别</w:t>
            </w:r>
            <w:bookmarkEnd w:id="4"/>
          </w:p>
        </w:tc>
        <w:tc>
          <w:tcPr>
            <w:tcW w:w="3395" w:type="dxa"/>
            <w:vAlign w:val="center"/>
          </w:tcPr>
          <w:p w14:paraId="51629200">
            <w:pPr>
              <w:jc w:val="center"/>
              <w:rPr>
                <w:color w:val="000000"/>
                <w:spacing w:val="-4"/>
                <w:sz w:val="24"/>
                <w:szCs w:val="24"/>
              </w:rPr>
            </w:pPr>
            <w:r>
              <w:rPr>
                <w:color w:val="000000"/>
                <w:spacing w:val="-4"/>
                <w:sz w:val="24"/>
                <w:szCs w:val="24"/>
              </w:rPr>
              <w:t>四十九、卫生</w:t>
            </w:r>
            <w:r>
              <w:rPr>
                <w:rFonts w:hint="eastAsia"/>
                <w:color w:val="000000"/>
                <w:spacing w:val="-4"/>
                <w:sz w:val="24"/>
                <w:szCs w:val="24"/>
                <w:lang w:val="en-US" w:eastAsia="zh-CN"/>
              </w:rPr>
              <w:t>84-医院</w:t>
            </w:r>
            <w:r>
              <w:rPr>
                <w:color w:val="000000"/>
                <w:spacing w:val="-4"/>
                <w:sz w:val="24"/>
                <w:szCs w:val="24"/>
              </w:rPr>
              <w:t xml:space="preserve"> 84</w:t>
            </w:r>
            <w:r>
              <w:rPr>
                <w:rFonts w:hint="eastAsia"/>
                <w:color w:val="000000"/>
                <w:spacing w:val="-4"/>
                <w:sz w:val="24"/>
                <w:szCs w:val="24"/>
              </w:rPr>
              <w:t>1—其他</w:t>
            </w:r>
          </w:p>
        </w:tc>
      </w:tr>
      <w:tr w14:paraId="114C9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52" w:type="dxa"/>
            <w:tcMar>
              <w:top w:w="16" w:type="dxa"/>
              <w:left w:w="16" w:type="dxa"/>
              <w:bottom w:w="0" w:type="dxa"/>
              <w:right w:w="16" w:type="dxa"/>
            </w:tcMar>
            <w:vAlign w:val="center"/>
          </w:tcPr>
          <w:p w14:paraId="707360D5">
            <w:pPr>
              <w:jc w:val="center"/>
              <w:rPr>
                <w:color w:val="000000"/>
                <w:sz w:val="24"/>
                <w:szCs w:val="24"/>
              </w:rPr>
            </w:pPr>
            <w:r>
              <w:rPr>
                <w:color w:val="000000"/>
                <w:sz w:val="24"/>
                <w:szCs w:val="24"/>
              </w:rPr>
              <w:t>建设性质</w:t>
            </w:r>
          </w:p>
        </w:tc>
        <w:tc>
          <w:tcPr>
            <w:tcW w:w="2124" w:type="dxa"/>
            <w:vAlign w:val="center"/>
          </w:tcPr>
          <w:p w14:paraId="1556AFA3">
            <w:pPr>
              <w:jc w:val="left"/>
              <w:rPr>
                <w:color w:val="000000"/>
                <w:sz w:val="24"/>
                <w:szCs w:val="24"/>
              </w:rPr>
            </w:pPr>
            <w:r>
              <w:rPr>
                <w:rFonts w:hint="eastAsia" w:cs="Times New Roman"/>
                <w:color w:val="000000"/>
                <w:sz w:val="24"/>
                <w:szCs w:val="24"/>
                <w:lang w:eastAsia="zh-CN"/>
              </w:rPr>
              <w:t>☑□</w:t>
            </w:r>
            <w:r>
              <w:rPr>
                <w:color w:val="000000"/>
                <w:sz w:val="24"/>
                <w:szCs w:val="24"/>
              </w:rPr>
              <w:t>新建（迁建）</w:t>
            </w:r>
          </w:p>
          <w:p w14:paraId="399CB531">
            <w:pPr>
              <w:jc w:val="left"/>
              <w:rPr>
                <w:color w:val="000000"/>
                <w:sz w:val="24"/>
                <w:szCs w:val="24"/>
              </w:rPr>
            </w:pPr>
            <w:r>
              <w:rPr>
                <w:color w:val="000000"/>
                <w:sz w:val="24"/>
                <w:szCs w:val="24"/>
              </w:rPr>
              <w:sym w:font="Wingdings 2" w:char="00A3"/>
            </w:r>
            <w:r>
              <w:rPr>
                <w:color w:val="000000"/>
                <w:sz w:val="24"/>
                <w:szCs w:val="24"/>
              </w:rPr>
              <w:t>改建</w:t>
            </w:r>
          </w:p>
          <w:p w14:paraId="4BDFDC63">
            <w:pPr>
              <w:jc w:val="left"/>
              <w:rPr>
                <w:color w:val="000000"/>
                <w:sz w:val="24"/>
                <w:szCs w:val="24"/>
              </w:rPr>
            </w:pPr>
            <w:r>
              <w:rPr>
                <w:color w:val="000000"/>
                <w:sz w:val="24"/>
                <w:szCs w:val="24"/>
              </w:rPr>
              <w:sym w:font="Wingdings 2" w:char="00A3"/>
            </w:r>
            <w:r>
              <w:rPr>
                <w:color w:val="000000"/>
                <w:sz w:val="24"/>
                <w:szCs w:val="24"/>
              </w:rPr>
              <w:t>扩建</w:t>
            </w:r>
          </w:p>
          <w:p w14:paraId="661695A8">
            <w:pPr>
              <w:jc w:val="left"/>
              <w:rPr>
                <w:color w:val="000000"/>
                <w:sz w:val="24"/>
                <w:szCs w:val="24"/>
              </w:rPr>
            </w:pPr>
            <w:r>
              <w:rPr>
                <w:color w:val="000000"/>
                <w:sz w:val="24"/>
                <w:szCs w:val="24"/>
              </w:rPr>
              <w:sym w:font="Wingdings 2" w:char="00A3"/>
            </w:r>
            <w:r>
              <w:rPr>
                <w:color w:val="000000"/>
                <w:sz w:val="24"/>
                <w:szCs w:val="24"/>
              </w:rPr>
              <w:t>技术改造</w:t>
            </w:r>
          </w:p>
        </w:tc>
        <w:tc>
          <w:tcPr>
            <w:tcW w:w="2001" w:type="dxa"/>
            <w:vAlign w:val="center"/>
          </w:tcPr>
          <w:p w14:paraId="0B784A1E">
            <w:pPr>
              <w:jc w:val="center"/>
              <w:rPr>
                <w:color w:val="000000"/>
                <w:sz w:val="24"/>
                <w:szCs w:val="24"/>
              </w:rPr>
            </w:pPr>
            <w:r>
              <w:rPr>
                <w:color w:val="000000"/>
                <w:sz w:val="24"/>
                <w:szCs w:val="24"/>
              </w:rPr>
              <w:t>建设项目</w:t>
            </w:r>
          </w:p>
          <w:p w14:paraId="20C00C95">
            <w:pPr>
              <w:jc w:val="center"/>
              <w:rPr>
                <w:color w:val="000000"/>
                <w:sz w:val="24"/>
                <w:szCs w:val="24"/>
              </w:rPr>
            </w:pPr>
            <w:r>
              <w:rPr>
                <w:color w:val="000000"/>
                <w:sz w:val="24"/>
                <w:szCs w:val="24"/>
              </w:rPr>
              <w:t>申报情形</w:t>
            </w:r>
          </w:p>
        </w:tc>
        <w:tc>
          <w:tcPr>
            <w:tcW w:w="3395" w:type="dxa"/>
            <w:vAlign w:val="center"/>
          </w:tcPr>
          <w:p w14:paraId="02AF8600">
            <w:pPr>
              <w:jc w:val="left"/>
              <w:rPr>
                <w:color w:val="000000"/>
                <w:sz w:val="24"/>
                <w:szCs w:val="24"/>
              </w:rPr>
            </w:pPr>
            <w:r>
              <w:rPr>
                <w:rFonts w:hint="eastAsia" w:ascii="Segoe UI Symbol" w:hAnsi="Segoe UI Symbol" w:cs="Segoe UI Symbol"/>
                <w:color w:val="000000"/>
                <w:sz w:val="24"/>
                <w:szCs w:val="24"/>
                <w:lang w:eastAsia="zh-CN"/>
              </w:rPr>
              <w:t>☑</w:t>
            </w:r>
            <w:r>
              <w:rPr>
                <w:color w:val="000000"/>
                <w:sz w:val="24"/>
                <w:szCs w:val="24"/>
              </w:rPr>
              <w:t>首次申报项目</w:t>
            </w:r>
          </w:p>
          <w:p w14:paraId="22B4679F">
            <w:pPr>
              <w:jc w:val="left"/>
              <w:rPr>
                <w:color w:val="000000"/>
                <w:sz w:val="24"/>
                <w:szCs w:val="24"/>
              </w:rPr>
            </w:pPr>
            <w:r>
              <w:rPr>
                <w:color w:val="000000"/>
                <w:sz w:val="24"/>
                <w:szCs w:val="24"/>
              </w:rPr>
              <w:sym w:font="Wingdings 2" w:char="00A3"/>
            </w:r>
            <w:r>
              <w:rPr>
                <w:color w:val="000000"/>
                <w:sz w:val="24"/>
                <w:szCs w:val="24"/>
              </w:rPr>
              <w:t>不予批准后再次申报项目</w:t>
            </w:r>
          </w:p>
          <w:p w14:paraId="7DF80C63">
            <w:pPr>
              <w:jc w:val="left"/>
              <w:rPr>
                <w:color w:val="000000"/>
                <w:sz w:val="24"/>
                <w:szCs w:val="24"/>
              </w:rPr>
            </w:pPr>
            <w:r>
              <w:rPr>
                <w:color w:val="000000"/>
                <w:sz w:val="24"/>
                <w:szCs w:val="24"/>
              </w:rPr>
              <w:sym w:font="Wingdings 2" w:char="00A3"/>
            </w:r>
            <w:r>
              <w:rPr>
                <w:color w:val="000000"/>
                <w:sz w:val="24"/>
                <w:szCs w:val="24"/>
              </w:rPr>
              <w:t>超五年重新审核项目</w:t>
            </w:r>
          </w:p>
          <w:p w14:paraId="300029B4">
            <w:pPr>
              <w:jc w:val="left"/>
              <w:rPr>
                <w:color w:val="000000"/>
                <w:sz w:val="24"/>
                <w:szCs w:val="24"/>
              </w:rPr>
            </w:pPr>
            <w:r>
              <w:rPr>
                <w:color w:val="000000"/>
                <w:sz w:val="24"/>
                <w:szCs w:val="24"/>
              </w:rPr>
              <w:sym w:font="Wingdings 2" w:char="00A3"/>
            </w:r>
            <w:r>
              <w:rPr>
                <w:color w:val="000000"/>
                <w:sz w:val="24"/>
                <w:szCs w:val="24"/>
              </w:rPr>
              <w:t>重大变动重新报批项目</w:t>
            </w:r>
          </w:p>
        </w:tc>
      </w:tr>
      <w:tr w14:paraId="73CDE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52" w:type="dxa"/>
            <w:tcMar>
              <w:top w:w="16" w:type="dxa"/>
              <w:left w:w="16" w:type="dxa"/>
              <w:bottom w:w="0" w:type="dxa"/>
              <w:right w:w="16" w:type="dxa"/>
            </w:tcMar>
            <w:vAlign w:val="center"/>
          </w:tcPr>
          <w:p w14:paraId="430BB1BB">
            <w:pPr>
              <w:jc w:val="center"/>
              <w:rPr>
                <w:color w:val="000000"/>
                <w:sz w:val="24"/>
                <w:szCs w:val="24"/>
              </w:rPr>
            </w:pPr>
            <w:r>
              <w:rPr>
                <w:color w:val="000000"/>
                <w:sz w:val="24"/>
                <w:szCs w:val="24"/>
              </w:rPr>
              <w:t>项目审批</w:t>
            </w:r>
          </w:p>
          <w:p w14:paraId="32AE3B4F">
            <w:pPr>
              <w:jc w:val="center"/>
              <w:rPr>
                <w:color w:val="000000"/>
                <w:sz w:val="24"/>
                <w:szCs w:val="24"/>
              </w:rPr>
            </w:pPr>
            <w:r>
              <w:rPr>
                <w:color w:val="000000"/>
                <w:sz w:val="24"/>
                <w:szCs w:val="24"/>
              </w:rPr>
              <w:t>（核准/备案）</w:t>
            </w:r>
          </w:p>
          <w:p w14:paraId="61262083">
            <w:pPr>
              <w:jc w:val="center"/>
              <w:rPr>
                <w:color w:val="000000"/>
                <w:sz w:val="24"/>
                <w:szCs w:val="24"/>
              </w:rPr>
            </w:pPr>
            <w:r>
              <w:rPr>
                <w:color w:val="000000"/>
                <w:sz w:val="24"/>
                <w:szCs w:val="24"/>
              </w:rPr>
              <w:t>部门</w:t>
            </w:r>
          </w:p>
        </w:tc>
        <w:tc>
          <w:tcPr>
            <w:tcW w:w="2124" w:type="dxa"/>
            <w:vAlign w:val="center"/>
          </w:tcPr>
          <w:p w14:paraId="0EBA2120">
            <w:pPr>
              <w:jc w:val="center"/>
              <w:rPr>
                <w:color w:val="000000"/>
                <w:sz w:val="24"/>
                <w:szCs w:val="24"/>
              </w:rPr>
            </w:pPr>
            <w:r>
              <w:rPr>
                <w:rFonts w:hint="eastAsia"/>
                <w:color w:val="000000"/>
                <w:sz w:val="24"/>
                <w:szCs w:val="24"/>
              </w:rPr>
              <w:t>安化县发展和改革局</w:t>
            </w:r>
          </w:p>
        </w:tc>
        <w:tc>
          <w:tcPr>
            <w:tcW w:w="2001" w:type="dxa"/>
            <w:vAlign w:val="center"/>
          </w:tcPr>
          <w:p w14:paraId="159592CF">
            <w:pPr>
              <w:jc w:val="center"/>
              <w:rPr>
                <w:color w:val="000000"/>
                <w:sz w:val="24"/>
                <w:szCs w:val="24"/>
              </w:rPr>
            </w:pPr>
            <w:r>
              <w:rPr>
                <w:color w:val="000000"/>
                <w:sz w:val="24"/>
                <w:szCs w:val="24"/>
              </w:rPr>
              <w:t>项目审批</w:t>
            </w:r>
          </w:p>
          <w:p w14:paraId="262DBBEF">
            <w:pPr>
              <w:jc w:val="center"/>
              <w:rPr>
                <w:color w:val="000000"/>
                <w:sz w:val="24"/>
                <w:szCs w:val="24"/>
              </w:rPr>
            </w:pPr>
            <w:r>
              <w:rPr>
                <w:color w:val="000000"/>
                <w:sz w:val="24"/>
                <w:szCs w:val="24"/>
              </w:rPr>
              <w:t>（核准/备案）文号</w:t>
            </w:r>
          </w:p>
        </w:tc>
        <w:tc>
          <w:tcPr>
            <w:tcW w:w="3395" w:type="dxa"/>
            <w:vAlign w:val="center"/>
          </w:tcPr>
          <w:p w14:paraId="438F8429">
            <w:pPr>
              <w:jc w:val="center"/>
              <w:rPr>
                <w:rFonts w:hint="eastAsia" w:eastAsia="宋体"/>
                <w:color w:val="000000"/>
                <w:sz w:val="24"/>
                <w:szCs w:val="24"/>
                <w:lang w:val="en-US" w:eastAsia="zh-CN"/>
              </w:rPr>
            </w:pPr>
            <w:r>
              <w:rPr>
                <w:rFonts w:hint="eastAsia"/>
                <w:color w:val="000000"/>
                <w:sz w:val="24"/>
                <w:szCs w:val="24"/>
                <w:lang w:val="en-US" w:eastAsia="zh-CN"/>
              </w:rPr>
              <w:t>/</w:t>
            </w:r>
          </w:p>
        </w:tc>
      </w:tr>
      <w:tr w14:paraId="495A5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52" w:type="dxa"/>
            <w:tcMar>
              <w:top w:w="16" w:type="dxa"/>
              <w:left w:w="16" w:type="dxa"/>
              <w:bottom w:w="0" w:type="dxa"/>
              <w:right w:w="16" w:type="dxa"/>
            </w:tcMar>
            <w:vAlign w:val="center"/>
          </w:tcPr>
          <w:p w14:paraId="3CEBFEBB">
            <w:pPr>
              <w:jc w:val="center"/>
              <w:rPr>
                <w:color w:val="000000"/>
                <w:sz w:val="24"/>
                <w:szCs w:val="24"/>
              </w:rPr>
            </w:pPr>
            <w:r>
              <w:rPr>
                <w:color w:val="000000"/>
                <w:sz w:val="24"/>
                <w:szCs w:val="24"/>
              </w:rPr>
              <w:t>总投资（万元）</w:t>
            </w:r>
          </w:p>
        </w:tc>
        <w:tc>
          <w:tcPr>
            <w:tcW w:w="2124" w:type="dxa"/>
            <w:vAlign w:val="center"/>
          </w:tcPr>
          <w:p w14:paraId="449821E0">
            <w:pPr>
              <w:jc w:val="center"/>
              <w:rPr>
                <w:color w:val="auto"/>
                <w:sz w:val="24"/>
                <w:szCs w:val="24"/>
                <w:highlight w:val="yellow"/>
              </w:rPr>
            </w:pPr>
            <w:r>
              <w:rPr>
                <w:rFonts w:hint="eastAsia"/>
                <w:color w:val="auto"/>
                <w:sz w:val="24"/>
                <w:szCs w:val="24"/>
                <w:lang w:val="en-US" w:eastAsia="zh-CN"/>
              </w:rPr>
              <w:t>160</w:t>
            </w:r>
            <w:r>
              <w:rPr>
                <w:rFonts w:hint="eastAsia"/>
                <w:color w:val="auto"/>
                <w:sz w:val="24"/>
                <w:szCs w:val="24"/>
              </w:rPr>
              <w:t>00</w:t>
            </w:r>
          </w:p>
        </w:tc>
        <w:tc>
          <w:tcPr>
            <w:tcW w:w="2001" w:type="dxa"/>
            <w:tcMar>
              <w:top w:w="16" w:type="dxa"/>
              <w:left w:w="16" w:type="dxa"/>
              <w:bottom w:w="0" w:type="dxa"/>
              <w:right w:w="16" w:type="dxa"/>
            </w:tcMar>
            <w:vAlign w:val="center"/>
          </w:tcPr>
          <w:p w14:paraId="1B587554">
            <w:pPr>
              <w:ind w:left="-315" w:leftChars="-150" w:right="-420" w:rightChars="-200"/>
              <w:jc w:val="center"/>
              <w:rPr>
                <w:color w:val="auto"/>
                <w:spacing w:val="-14"/>
                <w:sz w:val="24"/>
                <w:szCs w:val="24"/>
              </w:rPr>
            </w:pPr>
            <w:r>
              <w:rPr>
                <w:color w:val="auto"/>
                <w:spacing w:val="-14"/>
                <w:sz w:val="24"/>
                <w:szCs w:val="24"/>
              </w:rPr>
              <w:t>环保投资（万元）</w:t>
            </w:r>
          </w:p>
        </w:tc>
        <w:tc>
          <w:tcPr>
            <w:tcW w:w="3395" w:type="dxa"/>
            <w:vAlign w:val="center"/>
          </w:tcPr>
          <w:p w14:paraId="2B99E106">
            <w:pPr>
              <w:jc w:val="center"/>
              <w:rPr>
                <w:rFonts w:hint="default" w:eastAsia="宋体"/>
                <w:color w:val="auto"/>
                <w:sz w:val="24"/>
                <w:szCs w:val="24"/>
                <w:highlight w:val="yellow"/>
                <w:lang w:val="en-US" w:eastAsia="zh-CN"/>
              </w:rPr>
            </w:pPr>
            <w:r>
              <w:rPr>
                <w:rFonts w:hint="eastAsia"/>
                <w:color w:val="auto"/>
                <w:sz w:val="24"/>
                <w:szCs w:val="24"/>
                <w:lang w:val="en-US" w:eastAsia="zh-CN"/>
              </w:rPr>
              <w:t>200</w:t>
            </w:r>
          </w:p>
        </w:tc>
      </w:tr>
      <w:tr w14:paraId="1A90E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52" w:type="dxa"/>
            <w:tcMar>
              <w:top w:w="16" w:type="dxa"/>
              <w:left w:w="16" w:type="dxa"/>
              <w:bottom w:w="0" w:type="dxa"/>
              <w:right w:w="16" w:type="dxa"/>
            </w:tcMar>
            <w:vAlign w:val="center"/>
          </w:tcPr>
          <w:p w14:paraId="2AD21029">
            <w:pPr>
              <w:jc w:val="center"/>
              <w:rPr>
                <w:color w:val="000000"/>
                <w:spacing w:val="-16"/>
                <w:sz w:val="24"/>
                <w:szCs w:val="24"/>
              </w:rPr>
            </w:pPr>
            <w:r>
              <w:rPr>
                <w:color w:val="000000"/>
                <w:sz w:val="24"/>
                <w:szCs w:val="24"/>
              </w:rPr>
              <w:t>环保投资占比（%）</w:t>
            </w:r>
          </w:p>
        </w:tc>
        <w:tc>
          <w:tcPr>
            <w:tcW w:w="2124" w:type="dxa"/>
            <w:vAlign w:val="center"/>
          </w:tcPr>
          <w:p w14:paraId="57C2BE2C">
            <w:pPr>
              <w:jc w:val="center"/>
              <w:rPr>
                <w:rFonts w:hint="default" w:eastAsia="宋体"/>
                <w:color w:val="auto"/>
                <w:sz w:val="24"/>
                <w:szCs w:val="24"/>
                <w:highlight w:val="yellow"/>
                <w:lang w:val="en-US" w:eastAsia="zh-CN"/>
              </w:rPr>
            </w:pPr>
            <w:r>
              <w:rPr>
                <w:rFonts w:hint="eastAsia"/>
                <w:color w:val="auto"/>
                <w:sz w:val="24"/>
                <w:szCs w:val="24"/>
                <w:lang w:val="en-US" w:eastAsia="zh-CN"/>
              </w:rPr>
              <w:t>1.25</w:t>
            </w:r>
          </w:p>
        </w:tc>
        <w:tc>
          <w:tcPr>
            <w:tcW w:w="2001" w:type="dxa"/>
            <w:tcMar>
              <w:top w:w="16" w:type="dxa"/>
              <w:left w:w="16" w:type="dxa"/>
              <w:bottom w:w="0" w:type="dxa"/>
              <w:right w:w="16" w:type="dxa"/>
            </w:tcMar>
            <w:vAlign w:val="center"/>
          </w:tcPr>
          <w:p w14:paraId="6506908C">
            <w:pPr>
              <w:jc w:val="center"/>
              <w:rPr>
                <w:color w:val="auto"/>
                <w:sz w:val="24"/>
                <w:szCs w:val="24"/>
              </w:rPr>
            </w:pPr>
            <w:r>
              <w:rPr>
                <w:color w:val="auto"/>
                <w:sz w:val="24"/>
                <w:szCs w:val="24"/>
              </w:rPr>
              <w:t>施工工期</w:t>
            </w:r>
          </w:p>
        </w:tc>
        <w:tc>
          <w:tcPr>
            <w:tcW w:w="3395" w:type="dxa"/>
            <w:vAlign w:val="center"/>
          </w:tcPr>
          <w:p w14:paraId="47E440A6">
            <w:pPr>
              <w:jc w:val="center"/>
              <w:rPr>
                <w:color w:val="auto"/>
                <w:sz w:val="24"/>
                <w:szCs w:val="24"/>
                <w:highlight w:val="yellow"/>
              </w:rPr>
            </w:pPr>
            <w:r>
              <w:rPr>
                <w:rFonts w:hint="eastAsia"/>
                <w:color w:val="auto"/>
                <w:sz w:val="24"/>
                <w:szCs w:val="24"/>
                <w:lang w:val="en-US" w:eastAsia="zh-CN"/>
              </w:rPr>
              <w:t>24</w:t>
            </w:r>
            <w:r>
              <w:rPr>
                <w:color w:val="auto"/>
                <w:sz w:val="24"/>
                <w:szCs w:val="24"/>
              </w:rPr>
              <w:t>个月</w:t>
            </w:r>
          </w:p>
        </w:tc>
      </w:tr>
      <w:tr w14:paraId="09544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552" w:type="dxa"/>
            <w:tcMar>
              <w:top w:w="16" w:type="dxa"/>
              <w:left w:w="16" w:type="dxa"/>
              <w:bottom w:w="0" w:type="dxa"/>
              <w:right w:w="16" w:type="dxa"/>
            </w:tcMar>
            <w:vAlign w:val="center"/>
          </w:tcPr>
          <w:p w14:paraId="4432CDA2">
            <w:pPr>
              <w:jc w:val="center"/>
              <w:rPr>
                <w:color w:val="000000"/>
                <w:sz w:val="24"/>
                <w:szCs w:val="24"/>
              </w:rPr>
            </w:pPr>
            <w:r>
              <w:rPr>
                <w:color w:val="000000"/>
                <w:sz w:val="24"/>
                <w:szCs w:val="24"/>
              </w:rPr>
              <w:t>是否开工建设</w:t>
            </w:r>
          </w:p>
        </w:tc>
        <w:tc>
          <w:tcPr>
            <w:tcW w:w="2124" w:type="dxa"/>
            <w:vAlign w:val="center"/>
          </w:tcPr>
          <w:p w14:paraId="6C07A6BA">
            <w:pPr>
              <w:rPr>
                <w:color w:val="000000"/>
                <w:sz w:val="24"/>
                <w:szCs w:val="24"/>
              </w:rPr>
            </w:pPr>
            <w:r>
              <w:rPr>
                <w:rFonts w:ascii="Segoe UI Symbol" w:hAnsi="Segoe UI Symbol" w:cs="Segoe UI Symbol"/>
                <w:color w:val="000000"/>
                <w:sz w:val="24"/>
                <w:szCs w:val="24"/>
              </w:rPr>
              <w:t>☑</w:t>
            </w:r>
            <w:r>
              <w:rPr>
                <w:color w:val="000000"/>
                <w:sz w:val="24"/>
                <w:szCs w:val="24"/>
              </w:rPr>
              <w:t>否</w:t>
            </w:r>
          </w:p>
          <w:p w14:paraId="7C941677">
            <w:pPr>
              <w:rPr>
                <w:color w:val="000000"/>
                <w:sz w:val="24"/>
                <w:szCs w:val="24"/>
              </w:rPr>
            </w:pPr>
            <w:r>
              <w:rPr>
                <w:color w:val="000000"/>
                <w:sz w:val="24"/>
                <w:szCs w:val="24"/>
              </w:rPr>
              <w:sym w:font="Wingdings 2" w:char="00A3"/>
            </w:r>
            <w:r>
              <w:rPr>
                <w:color w:val="000000"/>
                <w:sz w:val="24"/>
                <w:szCs w:val="24"/>
              </w:rPr>
              <w:t xml:space="preserve">是 </w:t>
            </w:r>
          </w:p>
        </w:tc>
        <w:tc>
          <w:tcPr>
            <w:tcW w:w="2001" w:type="dxa"/>
            <w:tcMar>
              <w:top w:w="16" w:type="dxa"/>
              <w:left w:w="16" w:type="dxa"/>
              <w:bottom w:w="0" w:type="dxa"/>
              <w:right w:w="16" w:type="dxa"/>
            </w:tcMar>
            <w:vAlign w:val="center"/>
          </w:tcPr>
          <w:p w14:paraId="582EDED2">
            <w:pPr>
              <w:jc w:val="center"/>
              <w:rPr>
                <w:color w:val="000000"/>
                <w:spacing w:val="-6"/>
                <w:sz w:val="24"/>
                <w:szCs w:val="24"/>
              </w:rPr>
            </w:pPr>
            <w:r>
              <w:rPr>
                <w:color w:val="000000"/>
                <w:spacing w:val="-6"/>
                <w:sz w:val="24"/>
                <w:szCs w:val="24"/>
              </w:rPr>
              <w:t>用地面积（m</w:t>
            </w:r>
            <w:r>
              <w:rPr>
                <w:color w:val="000000"/>
                <w:spacing w:val="-6"/>
                <w:sz w:val="24"/>
                <w:szCs w:val="24"/>
                <w:vertAlign w:val="superscript"/>
              </w:rPr>
              <w:t>2</w:t>
            </w:r>
            <w:r>
              <w:rPr>
                <w:color w:val="000000"/>
                <w:spacing w:val="-6"/>
                <w:sz w:val="24"/>
                <w:szCs w:val="24"/>
              </w:rPr>
              <w:t>）</w:t>
            </w:r>
          </w:p>
        </w:tc>
        <w:tc>
          <w:tcPr>
            <w:tcW w:w="3395" w:type="dxa"/>
            <w:vAlign w:val="center"/>
          </w:tcPr>
          <w:p w14:paraId="1927076B">
            <w:pPr>
              <w:jc w:val="center"/>
              <w:rPr>
                <w:rFonts w:hint="default" w:eastAsia="宋体"/>
                <w:color w:val="000000"/>
                <w:sz w:val="24"/>
                <w:szCs w:val="24"/>
                <w:highlight w:val="yellow"/>
                <w:lang w:val="en-US" w:eastAsia="zh-CN"/>
              </w:rPr>
            </w:pPr>
            <w:r>
              <w:rPr>
                <w:rFonts w:hint="eastAsia"/>
                <w:color w:val="000000"/>
                <w:sz w:val="24"/>
                <w:szCs w:val="24"/>
                <w:u w:val="single"/>
                <w:lang w:val="en-US" w:eastAsia="zh-CN"/>
              </w:rPr>
              <w:t>24141</w:t>
            </w:r>
          </w:p>
        </w:tc>
      </w:tr>
      <w:tr w14:paraId="6192E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12" w:hRule="atLeast"/>
          <w:jc w:val="center"/>
        </w:trPr>
        <w:tc>
          <w:tcPr>
            <w:tcW w:w="1552" w:type="dxa"/>
            <w:tcMar>
              <w:top w:w="0" w:type="dxa"/>
              <w:left w:w="108" w:type="dxa"/>
              <w:bottom w:w="0" w:type="dxa"/>
              <w:right w:w="108" w:type="dxa"/>
            </w:tcMar>
            <w:vAlign w:val="center"/>
          </w:tcPr>
          <w:p w14:paraId="00591D7C">
            <w:pPr>
              <w:autoSpaceDE w:val="0"/>
              <w:autoSpaceDN w:val="0"/>
              <w:jc w:val="center"/>
              <w:rPr>
                <w:color w:val="FF0000"/>
                <w:kern w:val="0"/>
                <w:sz w:val="24"/>
                <w:szCs w:val="24"/>
              </w:rPr>
            </w:pPr>
            <w:r>
              <w:rPr>
                <w:color w:val="000000"/>
                <w:kern w:val="0"/>
                <w:sz w:val="24"/>
                <w:szCs w:val="24"/>
              </w:rPr>
              <w:t>专项评价设置情况</w:t>
            </w:r>
          </w:p>
        </w:tc>
        <w:tc>
          <w:tcPr>
            <w:tcW w:w="7520" w:type="dxa"/>
            <w:gridSpan w:val="3"/>
            <w:tcMar>
              <w:top w:w="0" w:type="dxa"/>
              <w:left w:w="108" w:type="dxa"/>
              <w:bottom w:w="0" w:type="dxa"/>
              <w:right w:w="108" w:type="dxa"/>
            </w:tcMar>
            <w:vAlign w:val="center"/>
          </w:tcPr>
          <w:p w14:paraId="75CCC59B">
            <w:pPr>
              <w:autoSpaceDE w:val="0"/>
              <w:autoSpaceDN w:val="0"/>
              <w:spacing w:line="360" w:lineRule="auto"/>
              <w:rPr>
                <w:color w:val="000000"/>
                <w:kern w:val="0"/>
                <w:sz w:val="24"/>
                <w:szCs w:val="24"/>
              </w:rPr>
            </w:pPr>
            <w:r>
              <w:rPr>
                <w:color w:val="000000"/>
                <w:kern w:val="0"/>
                <w:sz w:val="24"/>
                <w:szCs w:val="24"/>
              </w:rPr>
              <w:t>根据专项设置原则表，本项目无需设置专项评价，详见下表所示。</w:t>
            </w:r>
          </w:p>
          <w:p w14:paraId="4BC5C7EA">
            <w:pPr>
              <w:autoSpaceDE w:val="0"/>
              <w:autoSpaceDN w:val="0"/>
              <w:spacing w:line="360" w:lineRule="auto"/>
              <w:jc w:val="center"/>
              <w:rPr>
                <w:b/>
                <w:bCs/>
                <w:color w:val="000000"/>
                <w:kern w:val="0"/>
                <w:sz w:val="24"/>
                <w:szCs w:val="24"/>
              </w:rPr>
            </w:pPr>
            <w:r>
              <w:rPr>
                <w:b/>
                <w:bCs/>
                <w:color w:val="000000"/>
                <w:kern w:val="0"/>
                <w:sz w:val="24"/>
                <w:szCs w:val="24"/>
              </w:rPr>
              <w:t>表1-1 专项评价设置原则表</w:t>
            </w:r>
          </w:p>
          <w:tbl>
            <w:tblPr>
              <w:tblStyle w:val="47"/>
              <w:tblW w:w="4997"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13"/>
              <w:gridCol w:w="1075"/>
              <w:gridCol w:w="1380"/>
              <w:gridCol w:w="2578"/>
              <w:gridCol w:w="1524"/>
            </w:tblGrid>
            <w:tr w14:paraId="49F6FEC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tcMar>
                    <w:left w:w="0" w:type="dxa"/>
                    <w:right w:w="0" w:type="dxa"/>
                  </w:tcMar>
                  <w:vAlign w:val="center"/>
                </w:tcPr>
                <w:p w14:paraId="7D9346ED">
                  <w:pPr>
                    <w:autoSpaceDE w:val="0"/>
                    <w:autoSpaceDN w:val="0"/>
                    <w:adjustRightInd w:val="0"/>
                    <w:snapToGrid w:val="0"/>
                    <w:jc w:val="center"/>
                    <w:rPr>
                      <w:rFonts w:hint="eastAsia" w:ascii="宋体" w:hAnsi="宋体"/>
                      <w:kern w:val="0"/>
                      <w:szCs w:val="21"/>
                    </w:rPr>
                  </w:pPr>
                  <w:r>
                    <w:rPr>
                      <w:rFonts w:hint="eastAsia" w:ascii="宋体" w:hAnsi="宋体"/>
                      <w:kern w:val="0"/>
                      <w:szCs w:val="21"/>
                    </w:rPr>
                    <w:t>类别</w:t>
                  </w:r>
                </w:p>
              </w:tc>
              <w:tc>
                <w:tcPr>
                  <w:tcW w:w="3460" w:type="pct"/>
                  <w:gridSpan w:val="3"/>
                  <w:tcMar>
                    <w:left w:w="0" w:type="dxa"/>
                    <w:right w:w="0" w:type="dxa"/>
                  </w:tcMar>
                  <w:vAlign w:val="center"/>
                </w:tcPr>
                <w:p w14:paraId="1614FA05">
                  <w:pPr>
                    <w:autoSpaceDE w:val="0"/>
                    <w:autoSpaceDN w:val="0"/>
                    <w:adjustRightInd w:val="0"/>
                    <w:snapToGrid w:val="0"/>
                    <w:jc w:val="center"/>
                    <w:rPr>
                      <w:rFonts w:hint="eastAsia" w:ascii="宋体" w:hAnsi="宋体"/>
                      <w:kern w:val="0"/>
                      <w:szCs w:val="21"/>
                    </w:rPr>
                  </w:pPr>
                  <w:r>
                    <w:rPr>
                      <w:rFonts w:hint="eastAsia" w:ascii="宋体" w:hAnsi="宋体"/>
                      <w:kern w:val="0"/>
                      <w:szCs w:val="21"/>
                    </w:rPr>
                    <w:t>判据</w:t>
                  </w:r>
                </w:p>
              </w:tc>
              <w:tc>
                <w:tcPr>
                  <w:tcW w:w="1048" w:type="pct"/>
                  <w:tcMar>
                    <w:left w:w="0" w:type="dxa"/>
                    <w:right w:w="0" w:type="dxa"/>
                  </w:tcMar>
                  <w:vAlign w:val="center"/>
                </w:tcPr>
                <w:p w14:paraId="3DC85879">
                  <w:pPr>
                    <w:autoSpaceDE w:val="0"/>
                    <w:autoSpaceDN w:val="0"/>
                    <w:adjustRightInd w:val="0"/>
                    <w:snapToGrid w:val="0"/>
                    <w:jc w:val="center"/>
                    <w:rPr>
                      <w:rFonts w:hint="eastAsia" w:ascii="宋体" w:hAnsi="宋体"/>
                      <w:kern w:val="0"/>
                      <w:szCs w:val="21"/>
                    </w:rPr>
                  </w:pPr>
                  <w:r>
                    <w:rPr>
                      <w:rFonts w:hint="eastAsia" w:ascii="宋体" w:hAnsi="宋体"/>
                      <w:kern w:val="0"/>
                      <w:szCs w:val="21"/>
                    </w:rPr>
                    <w:t>专题情况</w:t>
                  </w:r>
                </w:p>
              </w:tc>
            </w:tr>
            <w:tr w14:paraId="5F3357C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restart"/>
                  <w:tcMar>
                    <w:left w:w="0" w:type="dxa"/>
                    <w:right w:w="0" w:type="dxa"/>
                  </w:tcMar>
                  <w:vAlign w:val="center"/>
                </w:tcPr>
                <w:p w14:paraId="239A37C6">
                  <w:pPr>
                    <w:autoSpaceDE w:val="0"/>
                    <w:autoSpaceDN w:val="0"/>
                    <w:adjustRightInd w:val="0"/>
                    <w:snapToGrid w:val="0"/>
                    <w:jc w:val="center"/>
                    <w:rPr>
                      <w:rFonts w:hint="eastAsia" w:ascii="宋体" w:hAnsi="宋体"/>
                      <w:kern w:val="0"/>
                      <w:szCs w:val="21"/>
                    </w:rPr>
                  </w:pPr>
                  <w:r>
                    <w:rPr>
                      <w:rFonts w:hint="eastAsia" w:ascii="宋体" w:hAnsi="宋体"/>
                      <w:kern w:val="0"/>
                      <w:szCs w:val="21"/>
                    </w:rPr>
                    <w:t>大气</w:t>
                  </w:r>
                </w:p>
              </w:tc>
              <w:tc>
                <w:tcPr>
                  <w:tcW w:w="739" w:type="pct"/>
                  <w:vMerge w:val="restart"/>
                  <w:tcMar>
                    <w:left w:w="0" w:type="dxa"/>
                    <w:right w:w="0" w:type="dxa"/>
                  </w:tcMar>
                  <w:vAlign w:val="center"/>
                </w:tcPr>
                <w:p w14:paraId="6E5A61F8">
                  <w:pPr>
                    <w:autoSpaceDE w:val="0"/>
                    <w:autoSpaceDN w:val="0"/>
                    <w:adjustRightInd w:val="0"/>
                    <w:snapToGrid w:val="0"/>
                    <w:jc w:val="center"/>
                    <w:rPr>
                      <w:rFonts w:hint="eastAsia" w:ascii="宋体" w:hAnsi="宋体"/>
                      <w:kern w:val="0"/>
                      <w:szCs w:val="21"/>
                    </w:rPr>
                  </w:pPr>
                  <w:r>
                    <w:rPr>
                      <w:rFonts w:hint="eastAsia" w:ascii="宋体" w:hAnsi="宋体"/>
                      <w:kern w:val="0"/>
                      <w:szCs w:val="21"/>
                    </w:rPr>
                    <w:t>厂界外</w:t>
                  </w:r>
                  <w:r>
                    <w:rPr>
                      <w:kern w:val="0"/>
                      <w:szCs w:val="21"/>
                    </w:rPr>
                    <w:t>500 米范围内</w:t>
                  </w:r>
                  <w:r>
                    <w:rPr>
                      <w:rFonts w:hint="eastAsia" w:ascii="宋体" w:hAnsi="宋体"/>
                      <w:kern w:val="0"/>
                      <w:szCs w:val="21"/>
                    </w:rPr>
                    <w:t>是否有环境空气保护目标</w:t>
                  </w:r>
                  <w:r>
                    <w:rPr>
                      <w:rFonts w:hint="eastAsia"/>
                      <w:szCs w:val="21"/>
                    </w:rPr>
                    <w:t>（是☑否□ ）</w:t>
                  </w:r>
                </w:p>
              </w:tc>
              <w:tc>
                <w:tcPr>
                  <w:tcW w:w="2721" w:type="pct"/>
                  <w:gridSpan w:val="2"/>
                  <w:vAlign w:val="center"/>
                </w:tcPr>
                <w:p w14:paraId="1C6D6C65">
                  <w:pPr>
                    <w:autoSpaceDE w:val="0"/>
                    <w:autoSpaceDN w:val="0"/>
                    <w:adjustRightInd w:val="0"/>
                    <w:snapToGrid w:val="0"/>
                    <w:ind w:firstLine="210" w:firstLineChars="100"/>
                    <w:jc w:val="left"/>
                    <w:rPr>
                      <w:rFonts w:hint="eastAsia" w:ascii="宋体" w:hAnsi="宋体"/>
                      <w:kern w:val="0"/>
                      <w:szCs w:val="21"/>
                    </w:rPr>
                  </w:pPr>
                  <w:r>
                    <w:rPr>
                      <w:rFonts w:hint="eastAsia" w:ascii="宋体" w:hAnsi="宋体"/>
                      <w:szCs w:val="21"/>
                    </w:rPr>
                    <w:t xml:space="preserve">□ </w:t>
                  </w:r>
                  <w:r>
                    <w:rPr>
                      <w:rFonts w:hint="eastAsia" w:ascii="宋体" w:hAnsi="宋体"/>
                      <w:kern w:val="0"/>
                      <w:szCs w:val="21"/>
                    </w:rPr>
                    <w:t>自然保护区</w:t>
                  </w:r>
                </w:p>
              </w:tc>
              <w:tc>
                <w:tcPr>
                  <w:tcW w:w="1048" w:type="pct"/>
                  <w:vMerge w:val="restart"/>
                  <w:tcMar>
                    <w:left w:w="0" w:type="dxa"/>
                    <w:right w:w="0" w:type="dxa"/>
                  </w:tcMar>
                  <w:vAlign w:val="center"/>
                </w:tcPr>
                <w:p w14:paraId="2CE41790">
                  <w:pPr>
                    <w:autoSpaceDE w:val="0"/>
                    <w:autoSpaceDN w:val="0"/>
                    <w:adjustRightInd w:val="0"/>
                    <w:snapToGrid w:val="0"/>
                    <w:jc w:val="center"/>
                    <w:rPr>
                      <w:rFonts w:hint="eastAsia" w:ascii="宋体" w:hAnsi="宋体"/>
                      <w:kern w:val="0"/>
                      <w:szCs w:val="21"/>
                    </w:rPr>
                  </w:pPr>
                  <w:r>
                    <w:rPr>
                      <w:rFonts w:hint="eastAsia" w:ascii="宋体" w:hAnsi="宋体"/>
                      <w:szCs w:val="21"/>
                    </w:rPr>
                    <w:t>□</w:t>
                  </w:r>
                  <w:r>
                    <w:rPr>
                      <w:rFonts w:hint="eastAsia" w:ascii="宋体" w:hAnsi="宋体"/>
                      <w:kern w:val="0"/>
                      <w:szCs w:val="21"/>
                    </w:rPr>
                    <w:t>设置专题</w:t>
                  </w:r>
                </w:p>
                <w:p w14:paraId="4568C3FB">
                  <w:pPr>
                    <w:autoSpaceDE w:val="0"/>
                    <w:autoSpaceDN w:val="0"/>
                    <w:adjustRightInd w:val="0"/>
                    <w:snapToGrid w:val="0"/>
                    <w:jc w:val="center"/>
                    <w:rPr>
                      <w:rFonts w:hint="eastAsia" w:ascii="宋体" w:hAnsi="宋体"/>
                      <w:kern w:val="0"/>
                      <w:szCs w:val="21"/>
                    </w:rPr>
                  </w:pPr>
                  <w:r>
                    <w:rPr>
                      <w:rFonts w:hint="eastAsia" w:ascii="宋体" w:hAnsi="宋体"/>
                      <w:szCs w:val="21"/>
                    </w:rPr>
                    <w:t>☑</w:t>
                  </w:r>
                  <w:r>
                    <w:rPr>
                      <w:rFonts w:hint="eastAsia" w:ascii="宋体" w:hAnsi="宋体"/>
                      <w:kern w:val="0"/>
                      <w:szCs w:val="21"/>
                    </w:rPr>
                    <w:t>不设置专题</w:t>
                  </w:r>
                </w:p>
              </w:tc>
            </w:tr>
            <w:tr w14:paraId="7F29926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4FBABD0A">
                  <w:pPr>
                    <w:autoSpaceDE w:val="0"/>
                    <w:autoSpaceDN w:val="0"/>
                    <w:adjustRightInd w:val="0"/>
                    <w:snapToGrid w:val="0"/>
                    <w:jc w:val="center"/>
                    <w:rPr>
                      <w:rFonts w:hint="eastAsia" w:ascii="宋体" w:hAnsi="宋体"/>
                      <w:kern w:val="0"/>
                      <w:szCs w:val="21"/>
                    </w:rPr>
                  </w:pPr>
                </w:p>
              </w:tc>
              <w:tc>
                <w:tcPr>
                  <w:tcW w:w="739" w:type="pct"/>
                  <w:vMerge w:val="continue"/>
                  <w:tcMar>
                    <w:left w:w="0" w:type="dxa"/>
                    <w:right w:w="0" w:type="dxa"/>
                  </w:tcMar>
                  <w:vAlign w:val="center"/>
                </w:tcPr>
                <w:p w14:paraId="49F3035F">
                  <w:pPr>
                    <w:autoSpaceDE w:val="0"/>
                    <w:autoSpaceDN w:val="0"/>
                    <w:adjustRightInd w:val="0"/>
                    <w:snapToGrid w:val="0"/>
                    <w:jc w:val="center"/>
                    <w:rPr>
                      <w:rFonts w:hint="eastAsia" w:ascii="宋体" w:hAnsi="宋体"/>
                      <w:kern w:val="0"/>
                      <w:szCs w:val="21"/>
                    </w:rPr>
                  </w:pPr>
                </w:p>
              </w:tc>
              <w:tc>
                <w:tcPr>
                  <w:tcW w:w="2721" w:type="pct"/>
                  <w:gridSpan w:val="2"/>
                  <w:vAlign w:val="center"/>
                </w:tcPr>
                <w:p w14:paraId="0AD52C15">
                  <w:pPr>
                    <w:autoSpaceDE w:val="0"/>
                    <w:autoSpaceDN w:val="0"/>
                    <w:adjustRightInd w:val="0"/>
                    <w:snapToGrid w:val="0"/>
                    <w:ind w:firstLine="210" w:firstLineChars="100"/>
                    <w:jc w:val="left"/>
                    <w:rPr>
                      <w:rFonts w:hint="eastAsia" w:ascii="宋体" w:hAnsi="宋体"/>
                      <w:kern w:val="0"/>
                      <w:szCs w:val="21"/>
                    </w:rPr>
                  </w:pPr>
                  <w:r>
                    <w:rPr>
                      <w:rFonts w:hint="eastAsia" w:ascii="宋体" w:hAnsi="宋体"/>
                      <w:szCs w:val="21"/>
                    </w:rPr>
                    <w:t xml:space="preserve">□ </w:t>
                  </w:r>
                  <w:r>
                    <w:rPr>
                      <w:rFonts w:hint="eastAsia" w:ascii="宋体" w:hAnsi="宋体"/>
                      <w:kern w:val="0"/>
                      <w:szCs w:val="21"/>
                    </w:rPr>
                    <w:t>风景名胜区</w:t>
                  </w:r>
                </w:p>
              </w:tc>
              <w:tc>
                <w:tcPr>
                  <w:tcW w:w="1048" w:type="pct"/>
                  <w:vMerge w:val="continue"/>
                  <w:tcMar>
                    <w:left w:w="0" w:type="dxa"/>
                    <w:right w:w="0" w:type="dxa"/>
                  </w:tcMar>
                  <w:vAlign w:val="center"/>
                </w:tcPr>
                <w:p w14:paraId="2F08C991">
                  <w:pPr>
                    <w:autoSpaceDE w:val="0"/>
                    <w:autoSpaceDN w:val="0"/>
                    <w:adjustRightInd w:val="0"/>
                    <w:snapToGrid w:val="0"/>
                    <w:jc w:val="center"/>
                    <w:rPr>
                      <w:rFonts w:hint="eastAsia" w:ascii="宋体" w:hAnsi="宋体"/>
                      <w:kern w:val="0"/>
                      <w:szCs w:val="21"/>
                    </w:rPr>
                  </w:pPr>
                </w:p>
              </w:tc>
            </w:tr>
            <w:tr w14:paraId="12F3EA3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78E21AE8">
                  <w:pPr>
                    <w:autoSpaceDE w:val="0"/>
                    <w:autoSpaceDN w:val="0"/>
                    <w:adjustRightInd w:val="0"/>
                    <w:snapToGrid w:val="0"/>
                    <w:jc w:val="center"/>
                    <w:rPr>
                      <w:rFonts w:hint="eastAsia" w:ascii="宋体" w:hAnsi="宋体"/>
                      <w:kern w:val="0"/>
                      <w:szCs w:val="21"/>
                    </w:rPr>
                  </w:pPr>
                </w:p>
              </w:tc>
              <w:tc>
                <w:tcPr>
                  <w:tcW w:w="739" w:type="pct"/>
                  <w:vMerge w:val="continue"/>
                  <w:tcMar>
                    <w:left w:w="0" w:type="dxa"/>
                    <w:right w:w="0" w:type="dxa"/>
                  </w:tcMar>
                  <w:vAlign w:val="center"/>
                </w:tcPr>
                <w:p w14:paraId="152F3DFB">
                  <w:pPr>
                    <w:autoSpaceDE w:val="0"/>
                    <w:autoSpaceDN w:val="0"/>
                    <w:adjustRightInd w:val="0"/>
                    <w:snapToGrid w:val="0"/>
                    <w:jc w:val="center"/>
                    <w:rPr>
                      <w:rFonts w:hint="eastAsia" w:ascii="宋体" w:hAnsi="宋体"/>
                      <w:kern w:val="0"/>
                      <w:szCs w:val="21"/>
                    </w:rPr>
                  </w:pPr>
                </w:p>
              </w:tc>
              <w:tc>
                <w:tcPr>
                  <w:tcW w:w="2721" w:type="pct"/>
                  <w:gridSpan w:val="2"/>
                  <w:vAlign w:val="center"/>
                </w:tcPr>
                <w:p w14:paraId="506977DC">
                  <w:pPr>
                    <w:autoSpaceDE w:val="0"/>
                    <w:autoSpaceDN w:val="0"/>
                    <w:adjustRightInd w:val="0"/>
                    <w:snapToGrid w:val="0"/>
                    <w:ind w:firstLine="210" w:firstLineChars="100"/>
                    <w:jc w:val="left"/>
                    <w:rPr>
                      <w:rFonts w:hint="eastAsia" w:ascii="宋体" w:hAnsi="宋体"/>
                      <w:kern w:val="0"/>
                      <w:szCs w:val="21"/>
                    </w:rPr>
                  </w:pPr>
                  <w:r>
                    <w:rPr>
                      <w:rFonts w:hint="eastAsia" w:ascii="宋体" w:hAnsi="宋体"/>
                      <w:szCs w:val="21"/>
                    </w:rPr>
                    <w:t xml:space="preserve">☑ </w:t>
                  </w:r>
                  <w:r>
                    <w:rPr>
                      <w:rFonts w:hint="eastAsia" w:ascii="宋体" w:hAnsi="宋体"/>
                      <w:kern w:val="0"/>
                      <w:szCs w:val="21"/>
                    </w:rPr>
                    <w:t>居住区</w:t>
                  </w:r>
                </w:p>
              </w:tc>
              <w:tc>
                <w:tcPr>
                  <w:tcW w:w="1048" w:type="pct"/>
                  <w:vMerge w:val="continue"/>
                  <w:tcMar>
                    <w:left w:w="0" w:type="dxa"/>
                    <w:right w:w="0" w:type="dxa"/>
                  </w:tcMar>
                  <w:vAlign w:val="center"/>
                </w:tcPr>
                <w:p w14:paraId="79281D2B">
                  <w:pPr>
                    <w:autoSpaceDE w:val="0"/>
                    <w:autoSpaceDN w:val="0"/>
                    <w:adjustRightInd w:val="0"/>
                    <w:snapToGrid w:val="0"/>
                    <w:jc w:val="center"/>
                    <w:rPr>
                      <w:rFonts w:hint="eastAsia" w:ascii="宋体" w:hAnsi="宋体"/>
                      <w:kern w:val="0"/>
                      <w:szCs w:val="21"/>
                    </w:rPr>
                  </w:pPr>
                </w:p>
              </w:tc>
            </w:tr>
            <w:tr w14:paraId="61CDD05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326C1F1C">
                  <w:pPr>
                    <w:autoSpaceDE w:val="0"/>
                    <w:autoSpaceDN w:val="0"/>
                    <w:adjustRightInd w:val="0"/>
                    <w:snapToGrid w:val="0"/>
                    <w:jc w:val="center"/>
                    <w:rPr>
                      <w:rFonts w:hint="eastAsia" w:ascii="宋体" w:hAnsi="宋体"/>
                      <w:kern w:val="0"/>
                      <w:szCs w:val="21"/>
                    </w:rPr>
                  </w:pPr>
                </w:p>
              </w:tc>
              <w:tc>
                <w:tcPr>
                  <w:tcW w:w="739" w:type="pct"/>
                  <w:vMerge w:val="continue"/>
                  <w:tcMar>
                    <w:left w:w="0" w:type="dxa"/>
                    <w:right w:w="0" w:type="dxa"/>
                  </w:tcMar>
                  <w:vAlign w:val="center"/>
                </w:tcPr>
                <w:p w14:paraId="78F24FAF">
                  <w:pPr>
                    <w:autoSpaceDE w:val="0"/>
                    <w:autoSpaceDN w:val="0"/>
                    <w:adjustRightInd w:val="0"/>
                    <w:snapToGrid w:val="0"/>
                    <w:jc w:val="center"/>
                    <w:rPr>
                      <w:rFonts w:hint="eastAsia" w:ascii="宋体" w:hAnsi="宋体"/>
                      <w:kern w:val="0"/>
                      <w:szCs w:val="21"/>
                    </w:rPr>
                  </w:pPr>
                </w:p>
              </w:tc>
              <w:tc>
                <w:tcPr>
                  <w:tcW w:w="2721" w:type="pct"/>
                  <w:gridSpan w:val="2"/>
                  <w:vAlign w:val="center"/>
                </w:tcPr>
                <w:p w14:paraId="02E7D69A">
                  <w:pPr>
                    <w:autoSpaceDE w:val="0"/>
                    <w:autoSpaceDN w:val="0"/>
                    <w:adjustRightInd w:val="0"/>
                    <w:snapToGrid w:val="0"/>
                    <w:ind w:firstLine="210" w:firstLineChars="100"/>
                    <w:jc w:val="left"/>
                    <w:rPr>
                      <w:rFonts w:hint="eastAsia" w:ascii="宋体" w:hAnsi="宋体"/>
                      <w:kern w:val="0"/>
                      <w:szCs w:val="21"/>
                    </w:rPr>
                  </w:pPr>
                  <w:r>
                    <w:rPr>
                      <w:rFonts w:hint="eastAsia" w:ascii="宋体" w:hAnsi="宋体"/>
                      <w:szCs w:val="21"/>
                    </w:rPr>
                    <w:t xml:space="preserve">□ </w:t>
                  </w:r>
                  <w:r>
                    <w:rPr>
                      <w:rFonts w:hint="eastAsia" w:ascii="宋体" w:hAnsi="宋体"/>
                      <w:kern w:val="0"/>
                      <w:szCs w:val="21"/>
                    </w:rPr>
                    <w:t>文化区</w:t>
                  </w:r>
                </w:p>
              </w:tc>
              <w:tc>
                <w:tcPr>
                  <w:tcW w:w="1048" w:type="pct"/>
                  <w:vMerge w:val="continue"/>
                  <w:tcMar>
                    <w:left w:w="0" w:type="dxa"/>
                    <w:right w:w="0" w:type="dxa"/>
                  </w:tcMar>
                  <w:vAlign w:val="center"/>
                </w:tcPr>
                <w:p w14:paraId="13208653">
                  <w:pPr>
                    <w:autoSpaceDE w:val="0"/>
                    <w:autoSpaceDN w:val="0"/>
                    <w:adjustRightInd w:val="0"/>
                    <w:snapToGrid w:val="0"/>
                    <w:jc w:val="center"/>
                    <w:rPr>
                      <w:rFonts w:hint="eastAsia" w:ascii="宋体" w:hAnsi="宋体"/>
                      <w:kern w:val="0"/>
                      <w:szCs w:val="21"/>
                    </w:rPr>
                  </w:pPr>
                </w:p>
              </w:tc>
            </w:tr>
            <w:tr w14:paraId="0F5F17E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2FBF185D">
                  <w:pPr>
                    <w:autoSpaceDE w:val="0"/>
                    <w:autoSpaceDN w:val="0"/>
                    <w:adjustRightInd w:val="0"/>
                    <w:snapToGrid w:val="0"/>
                    <w:jc w:val="center"/>
                    <w:rPr>
                      <w:rFonts w:hint="eastAsia" w:ascii="宋体" w:hAnsi="宋体"/>
                      <w:kern w:val="0"/>
                      <w:szCs w:val="21"/>
                    </w:rPr>
                  </w:pPr>
                </w:p>
              </w:tc>
              <w:tc>
                <w:tcPr>
                  <w:tcW w:w="739" w:type="pct"/>
                  <w:vMerge w:val="continue"/>
                  <w:tcMar>
                    <w:left w:w="0" w:type="dxa"/>
                    <w:right w:w="0" w:type="dxa"/>
                  </w:tcMar>
                  <w:vAlign w:val="center"/>
                </w:tcPr>
                <w:p w14:paraId="51167170">
                  <w:pPr>
                    <w:autoSpaceDE w:val="0"/>
                    <w:autoSpaceDN w:val="0"/>
                    <w:adjustRightInd w:val="0"/>
                    <w:snapToGrid w:val="0"/>
                    <w:jc w:val="center"/>
                    <w:rPr>
                      <w:rFonts w:hint="eastAsia" w:ascii="宋体" w:hAnsi="宋体"/>
                      <w:kern w:val="0"/>
                      <w:szCs w:val="21"/>
                    </w:rPr>
                  </w:pPr>
                </w:p>
              </w:tc>
              <w:tc>
                <w:tcPr>
                  <w:tcW w:w="2721" w:type="pct"/>
                  <w:gridSpan w:val="2"/>
                  <w:vAlign w:val="center"/>
                </w:tcPr>
                <w:p w14:paraId="650AC4BB">
                  <w:pPr>
                    <w:autoSpaceDE w:val="0"/>
                    <w:autoSpaceDN w:val="0"/>
                    <w:adjustRightInd w:val="0"/>
                    <w:snapToGrid w:val="0"/>
                    <w:ind w:firstLine="210" w:firstLineChars="100"/>
                    <w:jc w:val="left"/>
                    <w:rPr>
                      <w:rFonts w:hint="eastAsia" w:ascii="宋体" w:hAnsi="宋体"/>
                      <w:kern w:val="0"/>
                      <w:szCs w:val="21"/>
                    </w:rPr>
                  </w:pPr>
                  <w:r>
                    <w:rPr>
                      <w:rFonts w:hint="eastAsia" w:ascii="宋体" w:hAnsi="宋体"/>
                      <w:szCs w:val="21"/>
                    </w:rPr>
                    <w:t xml:space="preserve">□ </w:t>
                  </w:r>
                  <w:r>
                    <w:rPr>
                      <w:rFonts w:hint="eastAsia" w:ascii="宋体" w:hAnsi="宋体"/>
                      <w:kern w:val="0"/>
                      <w:szCs w:val="21"/>
                    </w:rPr>
                    <w:t>农村地区中人群较集中区域</w:t>
                  </w:r>
                </w:p>
              </w:tc>
              <w:tc>
                <w:tcPr>
                  <w:tcW w:w="1048" w:type="pct"/>
                  <w:vMerge w:val="continue"/>
                  <w:tcMar>
                    <w:left w:w="0" w:type="dxa"/>
                    <w:right w:w="0" w:type="dxa"/>
                  </w:tcMar>
                  <w:vAlign w:val="center"/>
                </w:tcPr>
                <w:p w14:paraId="692A1B1D">
                  <w:pPr>
                    <w:autoSpaceDE w:val="0"/>
                    <w:autoSpaceDN w:val="0"/>
                    <w:adjustRightInd w:val="0"/>
                    <w:snapToGrid w:val="0"/>
                    <w:jc w:val="center"/>
                    <w:rPr>
                      <w:rFonts w:hint="eastAsia" w:ascii="宋体" w:hAnsi="宋体"/>
                      <w:kern w:val="0"/>
                      <w:szCs w:val="21"/>
                    </w:rPr>
                  </w:pPr>
                </w:p>
              </w:tc>
            </w:tr>
            <w:tr w14:paraId="4B7E191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4E25CA9F">
                  <w:pPr>
                    <w:autoSpaceDE w:val="0"/>
                    <w:autoSpaceDN w:val="0"/>
                    <w:adjustRightInd w:val="0"/>
                    <w:snapToGrid w:val="0"/>
                    <w:jc w:val="center"/>
                    <w:rPr>
                      <w:rFonts w:hint="eastAsia" w:ascii="宋体" w:hAnsi="宋体"/>
                      <w:kern w:val="0"/>
                      <w:szCs w:val="21"/>
                    </w:rPr>
                  </w:pPr>
                </w:p>
              </w:tc>
              <w:tc>
                <w:tcPr>
                  <w:tcW w:w="739" w:type="pct"/>
                  <w:vMerge w:val="restart"/>
                  <w:tcMar>
                    <w:left w:w="0" w:type="dxa"/>
                    <w:right w:w="0" w:type="dxa"/>
                  </w:tcMar>
                  <w:vAlign w:val="center"/>
                </w:tcPr>
                <w:p w14:paraId="1ADB0257">
                  <w:pPr>
                    <w:autoSpaceDE w:val="0"/>
                    <w:autoSpaceDN w:val="0"/>
                    <w:adjustRightInd w:val="0"/>
                    <w:snapToGrid w:val="0"/>
                    <w:jc w:val="center"/>
                    <w:rPr>
                      <w:rFonts w:hint="eastAsia" w:ascii="宋体" w:hAnsi="宋体"/>
                      <w:kern w:val="0"/>
                      <w:szCs w:val="21"/>
                    </w:rPr>
                  </w:pPr>
                  <w:r>
                    <w:rPr>
                      <w:rFonts w:hint="eastAsia"/>
                      <w:szCs w:val="21"/>
                    </w:rPr>
                    <w:t>排放废气是否含有毒有害污染物（是□否☑ ）</w:t>
                  </w:r>
                </w:p>
              </w:tc>
              <w:tc>
                <w:tcPr>
                  <w:tcW w:w="949" w:type="pct"/>
                  <w:vAlign w:val="center"/>
                </w:tcPr>
                <w:p w14:paraId="5EF58F82">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二氯甲烷</w:t>
                  </w:r>
                </w:p>
              </w:tc>
              <w:tc>
                <w:tcPr>
                  <w:tcW w:w="1771" w:type="pct"/>
                  <w:vAlign w:val="center"/>
                </w:tcPr>
                <w:p w14:paraId="0D8F4825">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汞及其化合物</w:t>
                  </w:r>
                </w:p>
              </w:tc>
              <w:tc>
                <w:tcPr>
                  <w:tcW w:w="1048" w:type="pct"/>
                  <w:vMerge w:val="continue"/>
                  <w:tcMar>
                    <w:left w:w="0" w:type="dxa"/>
                    <w:right w:w="0" w:type="dxa"/>
                  </w:tcMar>
                  <w:vAlign w:val="center"/>
                </w:tcPr>
                <w:p w14:paraId="4CCF65B8">
                  <w:pPr>
                    <w:autoSpaceDE w:val="0"/>
                    <w:autoSpaceDN w:val="0"/>
                    <w:adjustRightInd w:val="0"/>
                    <w:snapToGrid w:val="0"/>
                    <w:jc w:val="center"/>
                    <w:rPr>
                      <w:rFonts w:hint="eastAsia" w:ascii="宋体" w:hAnsi="宋体"/>
                      <w:kern w:val="0"/>
                      <w:szCs w:val="21"/>
                    </w:rPr>
                  </w:pPr>
                </w:p>
              </w:tc>
            </w:tr>
            <w:tr w14:paraId="10F3212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3F963C23">
                  <w:pPr>
                    <w:autoSpaceDE w:val="0"/>
                    <w:autoSpaceDN w:val="0"/>
                    <w:adjustRightInd w:val="0"/>
                    <w:snapToGrid w:val="0"/>
                    <w:jc w:val="center"/>
                    <w:rPr>
                      <w:rFonts w:hint="eastAsia" w:ascii="宋体" w:hAnsi="宋体"/>
                      <w:kern w:val="0"/>
                      <w:szCs w:val="21"/>
                    </w:rPr>
                  </w:pPr>
                </w:p>
              </w:tc>
              <w:tc>
                <w:tcPr>
                  <w:tcW w:w="739" w:type="pct"/>
                  <w:vMerge w:val="continue"/>
                  <w:tcMar>
                    <w:left w:w="0" w:type="dxa"/>
                    <w:right w:w="0" w:type="dxa"/>
                  </w:tcMar>
                  <w:vAlign w:val="center"/>
                </w:tcPr>
                <w:p w14:paraId="018DD2F3">
                  <w:pPr>
                    <w:autoSpaceDE w:val="0"/>
                    <w:autoSpaceDN w:val="0"/>
                    <w:adjustRightInd w:val="0"/>
                    <w:snapToGrid w:val="0"/>
                    <w:jc w:val="center"/>
                    <w:rPr>
                      <w:rFonts w:hint="eastAsia" w:ascii="宋体" w:hAnsi="宋体"/>
                      <w:kern w:val="0"/>
                      <w:szCs w:val="21"/>
                    </w:rPr>
                  </w:pPr>
                </w:p>
              </w:tc>
              <w:tc>
                <w:tcPr>
                  <w:tcW w:w="949" w:type="pct"/>
                  <w:vAlign w:val="center"/>
                </w:tcPr>
                <w:p w14:paraId="38E26BA6">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甲醛</w:t>
                  </w:r>
                </w:p>
              </w:tc>
              <w:tc>
                <w:tcPr>
                  <w:tcW w:w="1771" w:type="pct"/>
                  <w:vAlign w:val="center"/>
                </w:tcPr>
                <w:p w14:paraId="6148A20F">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铅及其化合物</w:t>
                  </w:r>
                </w:p>
              </w:tc>
              <w:tc>
                <w:tcPr>
                  <w:tcW w:w="1048" w:type="pct"/>
                  <w:vMerge w:val="continue"/>
                  <w:tcMar>
                    <w:left w:w="0" w:type="dxa"/>
                    <w:right w:w="0" w:type="dxa"/>
                  </w:tcMar>
                  <w:vAlign w:val="center"/>
                </w:tcPr>
                <w:p w14:paraId="3A7E0E30">
                  <w:pPr>
                    <w:autoSpaceDE w:val="0"/>
                    <w:autoSpaceDN w:val="0"/>
                    <w:adjustRightInd w:val="0"/>
                    <w:snapToGrid w:val="0"/>
                    <w:jc w:val="center"/>
                    <w:rPr>
                      <w:rFonts w:hint="eastAsia" w:ascii="宋体" w:hAnsi="宋体"/>
                      <w:kern w:val="0"/>
                      <w:szCs w:val="21"/>
                    </w:rPr>
                  </w:pPr>
                </w:p>
              </w:tc>
            </w:tr>
            <w:tr w14:paraId="22E14BA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5A4AB2B9">
                  <w:pPr>
                    <w:autoSpaceDE w:val="0"/>
                    <w:autoSpaceDN w:val="0"/>
                    <w:adjustRightInd w:val="0"/>
                    <w:snapToGrid w:val="0"/>
                    <w:jc w:val="center"/>
                    <w:rPr>
                      <w:rFonts w:hint="eastAsia" w:ascii="宋体" w:hAnsi="宋体"/>
                      <w:kern w:val="0"/>
                      <w:szCs w:val="21"/>
                    </w:rPr>
                  </w:pPr>
                </w:p>
              </w:tc>
              <w:tc>
                <w:tcPr>
                  <w:tcW w:w="739" w:type="pct"/>
                  <w:vMerge w:val="continue"/>
                  <w:tcMar>
                    <w:left w:w="0" w:type="dxa"/>
                    <w:right w:w="0" w:type="dxa"/>
                  </w:tcMar>
                  <w:vAlign w:val="center"/>
                </w:tcPr>
                <w:p w14:paraId="7EB744D6">
                  <w:pPr>
                    <w:autoSpaceDE w:val="0"/>
                    <w:autoSpaceDN w:val="0"/>
                    <w:adjustRightInd w:val="0"/>
                    <w:snapToGrid w:val="0"/>
                    <w:jc w:val="center"/>
                    <w:rPr>
                      <w:rFonts w:hint="eastAsia" w:ascii="宋体" w:hAnsi="宋体"/>
                      <w:kern w:val="0"/>
                      <w:szCs w:val="21"/>
                    </w:rPr>
                  </w:pPr>
                </w:p>
              </w:tc>
              <w:tc>
                <w:tcPr>
                  <w:tcW w:w="949" w:type="pct"/>
                  <w:vAlign w:val="center"/>
                </w:tcPr>
                <w:p w14:paraId="57D8B995">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三氯甲烷</w:t>
                  </w:r>
                </w:p>
              </w:tc>
              <w:tc>
                <w:tcPr>
                  <w:tcW w:w="1771" w:type="pct"/>
                  <w:vAlign w:val="center"/>
                </w:tcPr>
                <w:p w14:paraId="30545C13">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砷及其化合物</w:t>
                  </w:r>
                </w:p>
              </w:tc>
              <w:tc>
                <w:tcPr>
                  <w:tcW w:w="1048" w:type="pct"/>
                  <w:vMerge w:val="continue"/>
                  <w:tcMar>
                    <w:left w:w="0" w:type="dxa"/>
                    <w:right w:w="0" w:type="dxa"/>
                  </w:tcMar>
                  <w:vAlign w:val="center"/>
                </w:tcPr>
                <w:p w14:paraId="2F5D21AA">
                  <w:pPr>
                    <w:autoSpaceDE w:val="0"/>
                    <w:autoSpaceDN w:val="0"/>
                    <w:adjustRightInd w:val="0"/>
                    <w:snapToGrid w:val="0"/>
                    <w:jc w:val="center"/>
                    <w:rPr>
                      <w:rFonts w:hint="eastAsia" w:ascii="宋体" w:hAnsi="宋体"/>
                      <w:kern w:val="0"/>
                      <w:szCs w:val="21"/>
                    </w:rPr>
                  </w:pPr>
                </w:p>
              </w:tc>
            </w:tr>
            <w:tr w14:paraId="3573ACF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382017CA">
                  <w:pPr>
                    <w:autoSpaceDE w:val="0"/>
                    <w:autoSpaceDN w:val="0"/>
                    <w:adjustRightInd w:val="0"/>
                    <w:snapToGrid w:val="0"/>
                    <w:jc w:val="center"/>
                    <w:rPr>
                      <w:rFonts w:hint="eastAsia" w:ascii="宋体" w:hAnsi="宋体"/>
                      <w:kern w:val="0"/>
                      <w:szCs w:val="21"/>
                    </w:rPr>
                  </w:pPr>
                </w:p>
              </w:tc>
              <w:tc>
                <w:tcPr>
                  <w:tcW w:w="739" w:type="pct"/>
                  <w:vMerge w:val="continue"/>
                  <w:tcMar>
                    <w:left w:w="0" w:type="dxa"/>
                    <w:right w:w="0" w:type="dxa"/>
                  </w:tcMar>
                  <w:vAlign w:val="center"/>
                </w:tcPr>
                <w:p w14:paraId="423D7D38">
                  <w:pPr>
                    <w:autoSpaceDE w:val="0"/>
                    <w:autoSpaceDN w:val="0"/>
                    <w:adjustRightInd w:val="0"/>
                    <w:snapToGrid w:val="0"/>
                    <w:jc w:val="center"/>
                    <w:rPr>
                      <w:rFonts w:hint="eastAsia" w:ascii="宋体" w:hAnsi="宋体"/>
                      <w:kern w:val="0"/>
                      <w:szCs w:val="21"/>
                    </w:rPr>
                  </w:pPr>
                </w:p>
              </w:tc>
              <w:tc>
                <w:tcPr>
                  <w:tcW w:w="949" w:type="pct"/>
                  <w:vAlign w:val="center"/>
                </w:tcPr>
                <w:p w14:paraId="4BF9A935">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三氯乙烯</w:t>
                  </w:r>
                </w:p>
              </w:tc>
              <w:tc>
                <w:tcPr>
                  <w:tcW w:w="1771" w:type="pct"/>
                  <w:vAlign w:val="center"/>
                </w:tcPr>
                <w:p w14:paraId="43DD2441">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二噁英</w:t>
                  </w:r>
                </w:p>
              </w:tc>
              <w:tc>
                <w:tcPr>
                  <w:tcW w:w="1048" w:type="pct"/>
                  <w:vMerge w:val="continue"/>
                  <w:tcMar>
                    <w:left w:w="0" w:type="dxa"/>
                    <w:right w:w="0" w:type="dxa"/>
                  </w:tcMar>
                  <w:vAlign w:val="center"/>
                </w:tcPr>
                <w:p w14:paraId="15C4AED4">
                  <w:pPr>
                    <w:autoSpaceDE w:val="0"/>
                    <w:autoSpaceDN w:val="0"/>
                    <w:adjustRightInd w:val="0"/>
                    <w:snapToGrid w:val="0"/>
                    <w:jc w:val="center"/>
                    <w:rPr>
                      <w:rFonts w:hint="eastAsia" w:ascii="宋体" w:hAnsi="宋体"/>
                      <w:kern w:val="0"/>
                      <w:szCs w:val="21"/>
                    </w:rPr>
                  </w:pPr>
                </w:p>
              </w:tc>
            </w:tr>
            <w:tr w14:paraId="53BC6F7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31C06C08">
                  <w:pPr>
                    <w:autoSpaceDE w:val="0"/>
                    <w:autoSpaceDN w:val="0"/>
                    <w:adjustRightInd w:val="0"/>
                    <w:snapToGrid w:val="0"/>
                    <w:jc w:val="center"/>
                    <w:rPr>
                      <w:rFonts w:hint="eastAsia" w:ascii="宋体" w:hAnsi="宋体"/>
                      <w:kern w:val="0"/>
                      <w:szCs w:val="21"/>
                    </w:rPr>
                  </w:pPr>
                </w:p>
              </w:tc>
              <w:tc>
                <w:tcPr>
                  <w:tcW w:w="739" w:type="pct"/>
                  <w:vMerge w:val="continue"/>
                  <w:tcMar>
                    <w:left w:w="0" w:type="dxa"/>
                    <w:right w:w="0" w:type="dxa"/>
                  </w:tcMar>
                  <w:vAlign w:val="center"/>
                </w:tcPr>
                <w:p w14:paraId="3DFD4DFE">
                  <w:pPr>
                    <w:autoSpaceDE w:val="0"/>
                    <w:autoSpaceDN w:val="0"/>
                    <w:adjustRightInd w:val="0"/>
                    <w:snapToGrid w:val="0"/>
                    <w:jc w:val="center"/>
                    <w:rPr>
                      <w:rFonts w:hint="eastAsia" w:ascii="宋体" w:hAnsi="宋体"/>
                      <w:kern w:val="0"/>
                      <w:szCs w:val="21"/>
                    </w:rPr>
                  </w:pPr>
                </w:p>
              </w:tc>
              <w:tc>
                <w:tcPr>
                  <w:tcW w:w="949" w:type="pct"/>
                  <w:vAlign w:val="center"/>
                </w:tcPr>
                <w:p w14:paraId="39A5D002">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四氯乙烯</w:t>
                  </w:r>
                </w:p>
              </w:tc>
              <w:tc>
                <w:tcPr>
                  <w:tcW w:w="1771" w:type="pct"/>
                  <w:vAlign w:val="center"/>
                </w:tcPr>
                <w:p w14:paraId="2929A230">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苯并</w:t>
                  </w:r>
                  <w:r>
                    <w:rPr>
                      <w:spacing w:val="-10"/>
                      <w:kern w:val="0"/>
                      <w:szCs w:val="21"/>
                    </w:rPr>
                    <w:t>〔a〕芘</w:t>
                  </w:r>
                </w:p>
              </w:tc>
              <w:tc>
                <w:tcPr>
                  <w:tcW w:w="1048" w:type="pct"/>
                  <w:vMerge w:val="continue"/>
                  <w:tcMar>
                    <w:left w:w="0" w:type="dxa"/>
                    <w:right w:w="0" w:type="dxa"/>
                  </w:tcMar>
                  <w:vAlign w:val="center"/>
                </w:tcPr>
                <w:p w14:paraId="3D3FCD86">
                  <w:pPr>
                    <w:autoSpaceDE w:val="0"/>
                    <w:autoSpaceDN w:val="0"/>
                    <w:adjustRightInd w:val="0"/>
                    <w:snapToGrid w:val="0"/>
                    <w:jc w:val="center"/>
                    <w:rPr>
                      <w:rFonts w:hint="eastAsia" w:ascii="宋体" w:hAnsi="宋体"/>
                      <w:kern w:val="0"/>
                      <w:szCs w:val="21"/>
                    </w:rPr>
                  </w:pPr>
                </w:p>
              </w:tc>
            </w:tr>
            <w:tr w14:paraId="2B5214D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7F0CDD47">
                  <w:pPr>
                    <w:autoSpaceDE w:val="0"/>
                    <w:autoSpaceDN w:val="0"/>
                    <w:adjustRightInd w:val="0"/>
                    <w:snapToGrid w:val="0"/>
                    <w:jc w:val="center"/>
                    <w:rPr>
                      <w:rFonts w:hint="eastAsia" w:ascii="宋体" w:hAnsi="宋体"/>
                      <w:kern w:val="0"/>
                      <w:szCs w:val="21"/>
                    </w:rPr>
                  </w:pPr>
                </w:p>
              </w:tc>
              <w:tc>
                <w:tcPr>
                  <w:tcW w:w="739" w:type="pct"/>
                  <w:vMerge w:val="continue"/>
                  <w:tcMar>
                    <w:left w:w="0" w:type="dxa"/>
                    <w:right w:w="0" w:type="dxa"/>
                  </w:tcMar>
                  <w:vAlign w:val="center"/>
                </w:tcPr>
                <w:p w14:paraId="2B91DDB6">
                  <w:pPr>
                    <w:autoSpaceDE w:val="0"/>
                    <w:autoSpaceDN w:val="0"/>
                    <w:adjustRightInd w:val="0"/>
                    <w:snapToGrid w:val="0"/>
                    <w:jc w:val="center"/>
                    <w:rPr>
                      <w:rFonts w:hint="eastAsia" w:ascii="宋体" w:hAnsi="宋体"/>
                      <w:kern w:val="0"/>
                      <w:szCs w:val="21"/>
                    </w:rPr>
                  </w:pPr>
                </w:p>
              </w:tc>
              <w:tc>
                <w:tcPr>
                  <w:tcW w:w="949" w:type="pct"/>
                  <w:vAlign w:val="center"/>
                </w:tcPr>
                <w:p w14:paraId="15F35EC5">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乙醛</w:t>
                  </w:r>
                </w:p>
              </w:tc>
              <w:tc>
                <w:tcPr>
                  <w:tcW w:w="1771" w:type="pct"/>
                  <w:vAlign w:val="center"/>
                </w:tcPr>
                <w:p w14:paraId="34876244">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氰化物</w:t>
                  </w:r>
                </w:p>
              </w:tc>
              <w:tc>
                <w:tcPr>
                  <w:tcW w:w="1048" w:type="pct"/>
                  <w:vMerge w:val="continue"/>
                  <w:tcMar>
                    <w:left w:w="0" w:type="dxa"/>
                    <w:right w:w="0" w:type="dxa"/>
                  </w:tcMar>
                  <w:vAlign w:val="center"/>
                </w:tcPr>
                <w:p w14:paraId="48D1951B">
                  <w:pPr>
                    <w:autoSpaceDE w:val="0"/>
                    <w:autoSpaceDN w:val="0"/>
                    <w:adjustRightInd w:val="0"/>
                    <w:snapToGrid w:val="0"/>
                    <w:jc w:val="center"/>
                    <w:rPr>
                      <w:rFonts w:hint="eastAsia" w:ascii="宋体" w:hAnsi="宋体"/>
                      <w:kern w:val="0"/>
                      <w:szCs w:val="21"/>
                    </w:rPr>
                  </w:pPr>
                </w:p>
              </w:tc>
            </w:tr>
            <w:tr w14:paraId="26CC6BA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06F5278A">
                  <w:pPr>
                    <w:autoSpaceDE w:val="0"/>
                    <w:autoSpaceDN w:val="0"/>
                    <w:adjustRightInd w:val="0"/>
                    <w:snapToGrid w:val="0"/>
                    <w:jc w:val="center"/>
                    <w:rPr>
                      <w:rFonts w:hint="eastAsia" w:ascii="宋体" w:hAnsi="宋体"/>
                      <w:kern w:val="0"/>
                      <w:szCs w:val="21"/>
                    </w:rPr>
                  </w:pPr>
                </w:p>
              </w:tc>
              <w:tc>
                <w:tcPr>
                  <w:tcW w:w="739" w:type="pct"/>
                  <w:vMerge w:val="continue"/>
                  <w:tcMar>
                    <w:left w:w="0" w:type="dxa"/>
                    <w:right w:w="0" w:type="dxa"/>
                  </w:tcMar>
                  <w:vAlign w:val="center"/>
                </w:tcPr>
                <w:p w14:paraId="05FA808D">
                  <w:pPr>
                    <w:autoSpaceDE w:val="0"/>
                    <w:autoSpaceDN w:val="0"/>
                    <w:adjustRightInd w:val="0"/>
                    <w:snapToGrid w:val="0"/>
                    <w:jc w:val="center"/>
                    <w:rPr>
                      <w:rFonts w:hint="eastAsia" w:ascii="宋体" w:hAnsi="宋体"/>
                      <w:kern w:val="0"/>
                      <w:szCs w:val="21"/>
                    </w:rPr>
                  </w:pPr>
                </w:p>
              </w:tc>
              <w:tc>
                <w:tcPr>
                  <w:tcW w:w="949" w:type="pct"/>
                  <w:vAlign w:val="center"/>
                </w:tcPr>
                <w:p w14:paraId="7622432A">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镉及其化合物</w:t>
                  </w:r>
                </w:p>
              </w:tc>
              <w:tc>
                <w:tcPr>
                  <w:tcW w:w="1771" w:type="pct"/>
                  <w:vAlign w:val="center"/>
                </w:tcPr>
                <w:p w14:paraId="1B7786F7">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氯气</w:t>
                  </w:r>
                </w:p>
              </w:tc>
              <w:tc>
                <w:tcPr>
                  <w:tcW w:w="1048" w:type="pct"/>
                  <w:vMerge w:val="continue"/>
                  <w:tcMar>
                    <w:left w:w="0" w:type="dxa"/>
                    <w:right w:w="0" w:type="dxa"/>
                  </w:tcMar>
                  <w:vAlign w:val="center"/>
                </w:tcPr>
                <w:p w14:paraId="53816A00">
                  <w:pPr>
                    <w:autoSpaceDE w:val="0"/>
                    <w:autoSpaceDN w:val="0"/>
                    <w:adjustRightInd w:val="0"/>
                    <w:snapToGrid w:val="0"/>
                    <w:jc w:val="center"/>
                    <w:rPr>
                      <w:rFonts w:hint="eastAsia" w:ascii="宋体" w:hAnsi="宋体"/>
                      <w:kern w:val="0"/>
                      <w:szCs w:val="21"/>
                    </w:rPr>
                  </w:pPr>
                </w:p>
              </w:tc>
            </w:tr>
            <w:tr w14:paraId="7D3410D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vMerge w:val="continue"/>
                  <w:tcMar>
                    <w:left w:w="0" w:type="dxa"/>
                    <w:right w:w="0" w:type="dxa"/>
                  </w:tcMar>
                  <w:vAlign w:val="center"/>
                </w:tcPr>
                <w:p w14:paraId="0B4A9D7E">
                  <w:pPr>
                    <w:autoSpaceDE w:val="0"/>
                    <w:autoSpaceDN w:val="0"/>
                    <w:adjustRightInd w:val="0"/>
                    <w:snapToGrid w:val="0"/>
                    <w:jc w:val="center"/>
                    <w:rPr>
                      <w:rFonts w:hint="eastAsia" w:ascii="宋体" w:hAnsi="宋体"/>
                      <w:kern w:val="0"/>
                      <w:szCs w:val="21"/>
                    </w:rPr>
                  </w:pPr>
                </w:p>
              </w:tc>
              <w:tc>
                <w:tcPr>
                  <w:tcW w:w="739" w:type="pct"/>
                  <w:vMerge w:val="continue"/>
                  <w:tcMar>
                    <w:left w:w="0" w:type="dxa"/>
                    <w:right w:w="0" w:type="dxa"/>
                  </w:tcMar>
                  <w:vAlign w:val="center"/>
                </w:tcPr>
                <w:p w14:paraId="4888AA9D">
                  <w:pPr>
                    <w:autoSpaceDE w:val="0"/>
                    <w:autoSpaceDN w:val="0"/>
                    <w:adjustRightInd w:val="0"/>
                    <w:snapToGrid w:val="0"/>
                    <w:jc w:val="center"/>
                    <w:rPr>
                      <w:rFonts w:hint="eastAsia" w:ascii="宋体" w:hAnsi="宋体"/>
                      <w:kern w:val="0"/>
                      <w:szCs w:val="21"/>
                    </w:rPr>
                  </w:pPr>
                </w:p>
              </w:tc>
              <w:tc>
                <w:tcPr>
                  <w:tcW w:w="949" w:type="pct"/>
                  <w:vAlign w:val="center"/>
                </w:tcPr>
                <w:p w14:paraId="3E061995">
                  <w:pPr>
                    <w:autoSpaceDE w:val="0"/>
                    <w:autoSpaceDN w:val="0"/>
                    <w:adjustRightInd w:val="0"/>
                    <w:snapToGrid w:val="0"/>
                    <w:jc w:val="left"/>
                    <w:rPr>
                      <w:rFonts w:hint="eastAsia" w:ascii="宋体" w:hAnsi="宋体"/>
                      <w:kern w:val="0"/>
                      <w:szCs w:val="21"/>
                    </w:rPr>
                  </w:pPr>
                  <w:r>
                    <w:rPr>
                      <w:rFonts w:hint="eastAsia" w:ascii="宋体" w:hAnsi="宋体"/>
                      <w:szCs w:val="21"/>
                    </w:rPr>
                    <w:t>□</w:t>
                  </w:r>
                  <w:r>
                    <w:rPr>
                      <w:rFonts w:hint="eastAsia" w:ascii="宋体" w:hAnsi="宋体"/>
                      <w:spacing w:val="-10"/>
                      <w:kern w:val="0"/>
                      <w:szCs w:val="21"/>
                    </w:rPr>
                    <w:t>铬及其化合物</w:t>
                  </w:r>
                </w:p>
              </w:tc>
              <w:tc>
                <w:tcPr>
                  <w:tcW w:w="1771" w:type="pct"/>
                  <w:vAlign w:val="center"/>
                </w:tcPr>
                <w:p w14:paraId="0B104D16">
                  <w:pPr>
                    <w:autoSpaceDE w:val="0"/>
                    <w:autoSpaceDN w:val="0"/>
                    <w:adjustRightInd w:val="0"/>
                    <w:snapToGrid w:val="0"/>
                    <w:jc w:val="left"/>
                    <w:rPr>
                      <w:rFonts w:hint="eastAsia" w:ascii="宋体" w:hAnsi="宋体"/>
                      <w:kern w:val="0"/>
                      <w:szCs w:val="21"/>
                    </w:rPr>
                  </w:pPr>
                </w:p>
              </w:tc>
              <w:tc>
                <w:tcPr>
                  <w:tcW w:w="1048" w:type="pct"/>
                  <w:vMerge w:val="continue"/>
                  <w:tcMar>
                    <w:left w:w="0" w:type="dxa"/>
                    <w:right w:w="0" w:type="dxa"/>
                  </w:tcMar>
                  <w:vAlign w:val="center"/>
                </w:tcPr>
                <w:p w14:paraId="0B6A044F">
                  <w:pPr>
                    <w:autoSpaceDE w:val="0"/>
                    <w:autoSpaceDN w:val="0"/>
                    <w:adjustRightInd w:val="0"/>
                    <w:snapToGrid w:val="0"/>
                    <w:jc w:val="center"/>
                    <w:rPr>
                      <w:rFonts w:hint="eastAsia" w:ascii="宋体" w:hAnsi="宋体"/>
                      <w:kern w:val="0"/>
                      <w:szCs w:val="21"/>
                    </w:rPr>
                  </w:pPr>
                </w:p>
              </w:tc>
            </w:tr>
            <w:tr w14:paraId="40C95ED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tcMar>
                    <w:left w:w="0" w:type="dxa"/>
                    <w:right w:w="0" w:type="dxa"/>
                  </w:tcMar>
                  <w:vAlign w:val="center"/>
                </w:tcPr>
                <w:p w14:paraId="517695D1">
                  <w:pPr>
                    <w:autoSpaceDE w:val="0"/>
                    <w:autoSpaceDN w:val="0"/>
                    <w:adjustRightInd w:val="0"/>
                    <w:snapToGrid w:val="0"/>
                    <w:jc w:val="center"/>
                    <w:rPr>
                      <w:rFonts w:hint="eastAsia" w:ascii="宋体" w:hAnsi="宋体"/>
                      <w:kern w:val="0"/>
                      <w:szCs w:val="21"/>
                    </w:rPr>
                  </w:pPr>
                  <w:r>
                    <w:rPr>
                      <w:rFonts w:hint="eastAsia" w:ascii="宋体" w:hAnsi="宋体"/>
                      <w:kern w:val="0"/>
                      <w:szCs w:val="21"/>
                    </w:rPr>
                    <w:t>地表水</w:t>
                  </w:r>
                </w:p>
              </w:tc>
              <w:tc>
                <w:tcPr>
                  <w:tcW w:w="3460" w:type="pct"/>
                  <w:gridSpan w:val="3"/>
                  <w:tcMar>
                    <w:left w:w="0" w:type="dxa"/>
                    <w:right w:w="0" w:type="dxa"/>
                  </w:tcMar>
                  <w:vAlign w:val="center"/>
                </w:tcPr>
                <w:p w14:paraId="4D5E560E">
                  <w:pPr>
                    <w:autoSpaceDE w:val="0"/>
                    <w:autoSpaceDN w:val="0"/>
                    <w:adjustRightInd w:val="0"/>
                    <w:snapToGrid w:val="0"/>
                    <w:rPr>
                      <w:rFonts w:hint="eastAsia" w:ascii="宋体" w:hAnsi="宋体"/>
                      <w:kern w:val="0"/>
                      <w:szCs w:val="21"/>
                    </w:rPr>
                  </w:pPr>
                  <w:r>
                    <w:rPr>
                      <w:rFonts w:hint="eastAsia" w:ascii="宋体" w:hAnsi="宋体"/>
                      <w:kern w:val="0"/>
                      <w:szCs w:val="21"/>
                    </w:rPr>
                    <w:t>□新增工业废水直排建设项目（槽罐车外送污水处理厂的除外）</w:t>
                  </w:r>
                </w:p>
                <w:p w14:paraId="37183CD7">
                  <w:pPr>
                    <w:autoSpaceDE w:val="0"/>
                    <w:autoSpaceDN w:val="0"/>
                    <w:adjustRightInd w:val="0"/>
                    <w:snapToGrid w:val="0"/>
                    <w:rPr>
                      <w:rFonts w:hint="eastAsia" w:ascii="宋体" w:hAnsi="宋体"/>
                      <w:kern w:val="0"/>
                      <w:szCs w:val="21"/>
                    </w:rPr>
                  </w:pPr>
                  <w:r>
                    <w:rPr>
                      <w:rFonts w:hint="eastAsia" w:ascii="宋体" w:hAnsi="宋体"/>
                      <w:kern w:val="0"/>
                      <w:szCs w:val="21"/>
                    </w:rPr>
                    <w:t>□新增废水直排的污水集中处理厂</w:t>
                  </w:r>
                </w:p>
                <w:p w14:paraId="37E2D135">
                  <w:pPr>
                    <w:autoSpaceDE w:val="0"/>
                    <w:autoSpaceDN w:val="0"/>
                    <w:adjustRightInd w:val="0"/>
                    <w:snapToGrid w:val="0"/>
                    <w:rPr>
                      <w:rFonts w:hint="eastAsia" w:ascii="宋体" w:hAnsi="宋体"/>
                      <w:kern w:val="0"/>
                      <w:szCs w:val="21"/>
                    </w:rPr>
                  </w:pPr>
                  <w:r>
                    <w:rPr>
                      <w:rFonts w:hint="eastAsia" w:ascii="宋体" w:hAnsi="宋体"/>
                      <w:kern w:val="0"/>
                      <w:szCs w:val="21"/>
                    </w:rPr>
                    <w:t>□工业废水间接排放</w:t>
                  </w:r>
                </w:p>
              </w:tc>
              <w:tc>
                <w:tcPr>
                  <w:tcW w:w="1048" w:type="pct"/>
                  <w:tcMar>
                    <w:left w:w="0" w:type="dxa"/>
                    <w:right w:w="0" w:type="dxa"/>
                  </w:tcMar>
                  <w:vAlign w:val="center"/>
                </w:tcPr>
                <w:p w14:paraId="1380B493">
                  <w:pPr>
                    <w:autoSpaceDE w:val="0"/>
                    <w:autoSpaceDN w:val="0"/>
                    <w:adjustRightInd w:val="0"/>
                    <w:snapToGrid w:val="0"/>
                    <w:jc w:val="center"/>
                    <w:rPr>
                      <w:rFonts w:hint="eastAsia" w:ascii="宋体" w:hAnsi="宋体"/>
                      <w:kern w:val="0"/>
                      <w:szCs w:val="21"/>
                    </w:rPr>
                  </w:pPr>
                  <w:r>
                    <w:rPr>
                      <w:rFonts w:hint="eastAsia" w:ascii="宋体" w:hAnsi="宋体"/>
                      <w:szCs w:val="21"/>
                    </w:rPr>
                    <w:t>□</w:t>
                  </w:r>
                  <w:r>
                    <w:rPr>
                      <w:rFonts w:hint="eastAsia" w:ascii="宋体" w:hAnsi="宋体"/>
                      <w:kern w:val="0"/>
                      <w:szCs w:val="21"/>
                    </w:rPr>
                    <w:t>设置专题</w:t>
                  </w:r>
                </w:p>
                <w:p w14:paraId="4B9C2878">
                  <w:pPr>
                    <w:autoSpaceDE w:val="0"/>
                    <w:autoSpaceDN w:val="0"/>
                    <w:adjustRightInd w:val="0"/>
                    <w:snapToGrid w:val="0"/>
                    <w:jc w:val="center"/>
                    <w:rPr>
                      <w:rFonts w:hint="eastAsia" w:ascii="宋体" w:hAnsi="宋体"/>
                      <w:kern w:val="0"/>
                      <w:szCs w:val="21"/>
                    </w:rPr>
                  </w:pPr>
                  <w:r>
                    <w:rPr>
                      <w:rFonts w:hint="eastAsia" w:ascii="宋体" w:hAnsi="宋体"/>
                      <w:szCs w:val="21"/>
                    </w:rPr>
                    <w:t>☑</w:t>
                  </w:r>
                  <w:r>
                    <w:rPr>
                      <w:rFonts w:hint="eastAsia" w:ascii="宋体" w:hAnsi="宋体"/>
                      <w:kern w:val="0"/>
                      <w:szCs w:val="21"/>
                    </w:rPr>
                    <w:t>不设置专题</w:t>
                  </w:r>
                </w:p>
              </w:tc>
            </w:tr>
            <w:tr w14:paraId="62403E4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tcMar>
                    <w:left w:w="0" w:type="dxa"/>
                    <w:right w:w="0" w:type="dxa"/>
                  </w:tcMar>
                  <w:vAlign w:val="center"/>
                </w:tcPr>
                <w:p w14:paraId="0848DA8B">
                  <w:pPr>
                    <w:autoSpaceDE w:val="0"/>
                    <w:autoSpaceDN w:val="0"/>
                    <w:adjustRightInd w:val="0"/>
                    <w:snapToGrid w:val="0"/>
                    <w:jc w:val="center"/>
                    <w:rPr>
                      <w:rFonts w:hint="eastAsia" w:ascii="宋体" w:hAnsi="宋体"/>
                      <w:kern w:val="0"/>
                      <w:szCs w:val="21"/>
                    </w:rPr>
                  </w:pPr>
                  <w:r>
                    <w:rPr>
                      <w:rFonts w:hint="eastAsia" w:ascii="宋体" w:hAnsi="宋体"/>
                      <w:kern w:val="0"/>
                      <w:szCs w:val="21"/>
                    </w:rPr>
                    <w:t>环境风险</w:t>
                  </w:r>
                </w:p>
              </w:tc>
              <w:tc>
                <w:tcPr>
                  <w:tcW w:w="3460" w:type="pct"/>
                  <w:gridSpan w:val="3"/>
                  <w:tcMar>
                    <w:left w:w="0" w:type="dxa"/>
                    <w:right w:w="0" w:type="dxa"/>
                  </w:tcMar>
                  <w:vAlign w:val="center"/>
                </w:tcPr>
                <w:p w14:paraId="6DF4B7F2">
                  <w:pPr>
                    <w:autoSpaceDE w:val="0"/>
                    <w:autoSpaceDN w:val="0"/>
                    <w:adjustRightInd w:val="0"/>
                    <w:snapToGrid w:val="0"/>
                    <w:jc w:val="left"/>
                    <w:rPr>
                      <w:rFonts w:hint="eastAsia" w:ascii="宋体" w:hAnsi="宋体"/>
                      <w:kern w:val="0"/>
                      <w:szCs w:val="21"/>
                    </w:rPr>
                  </w:pPr>
                  <w:r>
                    <w:rPr>
                      <w:rFonts w:hint="eastAsia" w:ascii="宋体" w:hAnsi="宋体"/>
                      <w:szCs w:val="21"/>
                    </w:rPr>
                    <w:t>□不涉及</w:t>
                  </w:r>
                  <w:r>
                    <w:rPr>
                      <w:rFonts w:hint="eastAsia" w:ascii="宋体" w:hAnsi="宋体"/>
                      <w:kern w:val="0"/>
                      <w:szCs w:val="21"/>
                    </w:rPr>
                    <w:t>有毒有害或易燃易爆危险物质</w:t>
                  </w:r>
                </w:p>
                <w:p w14:paraId="6041BA9E">
                  <w:pPr>
                    <w:autoSpaceDE w:val="0"/>
                    <w:autoSpaceDN w:val="0"/>
                    <w:adjustRightInd w:val="0"/>
                    <w:snapToGrid w:val="0"/>
                    <w:jc w:val="left"/>
                    <w:rPr>
                      <w:rFonts w:hint="eastAsia" w:ascii="宋体" w:hAnsi="宋体"/>
                      <w:kern w:val="0"/>
                      <w:szCs w:val="21"/>
                    </w:rPr>
                  </w:pPr>
                  <w:r>
                    <w:rPr>
                      <w:rFonts w:hint="eastAsia" w:ascii="宋体" w:hAnsi="宋体"/>
                      <w:szCs w:val="21"/>
                    </w:rPr>
                    <w:t>☑涉及</w:t>
                  </w:r>
                  <w:r>
                    <w:rPr>
                      <w:rFonts w:hint="eastAsia" w:ascii="宋体" w:hAnsi="宋体"/>
                      <w:kern w:val="0"/>
                      <w:szCs w:val="21"/>
                    </w:rPr>
                    <w:t>有毒有害或易燃易爆危险物质但存储量未超过临界量</w:t>
                  </w:r>
                </w:p>
                <w:p w14:paraId="54A13B67">
                  <w:pPr>
                    <w:autoSpaceDE w:val="0"/>
                    <w:autoSpaceDN w:val="0"/>
                    <w:adjustRightInd w:val="0"/>
                    <w:snapToGrid w:val="0"/>
                    <w:jc w:val="left"/>
                    <w:rPr>
                      <w:rFonts w:hint="eastAsia" w:ascii="宋体" w:hAnsi="宋体"/>
                      <w:kern w:val="0"/>
                      <w:szCs w:val="21"/>
                    </w:rPr>
                  </w:pPr>
                  <w:r>
                    <w:rPr>
                      <w:rFonts w:hint="eastAsia" w:ascii="宋体" w:hAnsi="宋体"/>
                      <w:szCs w:val="21"/>
                    </w:rPr>
                    <w:t>□涉及</w:t>
                  </w:r>
                  <w:r>
                    <w:rPr>
                      <w:rFonts w:hint="eastAsia" w:ascii="宋体" w:hAnsi="宋体"/>
                      <w:kern w:val="0"/>
                      <w:szCs w:val="21"/>
                    </w:rPr>
                    <w:t>有毒有害或易燃易爆危险物质且存储量超过临界量</w:t>
                  </w:r>
                </w:p>
              </w:tc>
              <w:tc>
                <w:tcPr>
                  <w:tcW w:w="1048" w:type="pct"/>
                  <w:tcMar>
                    <w:left w:w="0" w:type="dxa"/>
                    <w:right w:w="0" w:type="dxa"/>
                  </w:tcMar>
                  <w:vAlign w:val="center"/>
                </w:tcPr>
                <w:p w14:paraId="4870CFDC">
                  <w:pPr>
                    <w:autoSpaceDE w:val="0"/>
                    <w:autoSpaceDN w:val="0"/>
                    <w:adjustRightInd w:val="0"/>
                    <w:snapToGrid w:val="0"/>
                    <w:jc w:val="center"/>
                    <w:rPr>
                      <w:rFonts w:hint="eastAsia" w:ascii="宋体" w:hAnsi="宋体"/>
                      <w:kern w:val="0"/>
                      <w:szCs w:val="21"/>
                    </w:rPr>
                  </w:pPr>
                  <w:r>
                    <w:rPr>
                      <w:rFonts w:hint="eastAsia" w:ascii="宋体" w:hAnsi="宋体"/>
                      <w:szCs w:val="21"/>
                    </w:rPr>
                    <w:t>□</w:t>
                  </w:r>
                  <w:r>
                    <w:rPr>
                      <w:rFonts w:hint="eastAsia" w:ascii="宋体" w:hAnsi="宋体"/>
                      <w:kern w:val="0"/>
                      <w:szCs w:val="21"/>
                    </w:rPr>
                    <w:t>设置专题</w:t>
                  </w:r>
                </w:p>
                <w:p w14:paraId="2AE304EA">
                  <w:pPr>
                    <w:autoSpaceDE w:val="0"/>
                    <w:autoSpaceDN w:val="0"/>
                    <w:adjustRightInd w:val="0"/>
                    <w:snapToGrid w:val="0"/>
                    <w:jc w:val="center"/>
                    <w:rPr>
                      <w:rFonts w:hint="eastAsia" w:ascii="宋体" w:hAnsi="宋体"/>
                      <w:kern w:val="0"/>
                      <w:szCs w:val="21"/>
                    </w:rPr>
                  </w:pPr>
                  <w:r>
                    <w:rPr>
                      <w:rFonts w:hint="eastAsia" w:ascii="宋体" w:hAnsi="宋体"/>
                      <w:szCs w:val="21"/>
                    </w:rPr>
                    <w:t>☑</w:t>
                  </w:r>
                  <w:r>
                    <w:rPr>
                      <w:rFonts w:hint="eastAsia" w:ascii="宋体" w:hAnsi="宋体"/>
                      <w:kern w:val="0"/>
                      <w:szCs w:val="21"/>
                    </w:rPr>
                    <w:t>不设置专题</w:t>
                  </w:r>
                </w:p>
              </w:tc>
            </w:tr>
            <w:tr w14:paraId="23556F9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tcMar>
                    <w:left w:w="0" w:type="dxa"/>
                    <w:right w:w="0" w:type="dxa"/>
                  </w:tcMar>
                  <w:vAlign w:val="center"/>
                </w:tcPr>
                <w:p w14:paraId="55A114C2">
                  <w:pPr>
                    <w:autoSpaceDE w:val="0"/>
                    <w:autoSpaceDN w:val="0"/>
                    <w:adjustRightInd w:val="0"/>
                    <w:snapToGrid w:val="0"/>
                    <w:jc w:val="center"/>
                    <w:rPr>
                      <w:rFonts w:hint="eastAsia" w:ascii="宋体" w:hAnsi="宋体"/>
                      <w:kern w:val="0"/>
                      <w:szCs w:val="21"/>
                    </w:rPr>
                  </w:pPr>
                  <w:r>
                    <w:rPr>
                      <w:rFonts w:hint="eastAsia" w:ascii="宋体" w:hAnsi="宋体"/>
                      <w:kern w:val="0"/>
                      <w:szCs w:val="21"/>
                    </w:rPr>
                    <w:t>生态</w:t>
                  </w:r>
                </w:p>
              </w:tc>
              <w:tc>
                <w:tcPr>
                  <w:tcW w:w="3460" w:type="pct"/>
                  <w:gridSpan w:val="3"/>
                  <w:tcMar>
                    <w:left w:w="0" w:type="dxa"/>
                    <w:right w:w="0" w:type="dxa"/>
                  </w:tcMar>
                  <w:vAlign w:val="center"/>
                </w:tcPr>
                <w:p w14:paraId="1FA64BD1">
                  <w:pPr>
                    <w:autoSpaceDE w:val="0"/>
                    <w:autoSpaceDN w:val="0"/>
                    <w:adjustRightInd w:val="0"/>
                    <w:snapToGrid w:val="0"/>
                    <w:jc w:val="left"/>
                    <w:rPr>
                      <w:rFonts w:hint="eastAsia" w:ascii="宋体" w:hAnsi="宋体"/>
                      <w:kern w:val="0"/>
                      <w:szCs w:val="21"/>
                    </w:rPr>
                  </w:pPr>
                  <w:r>
                    <w:rPr>
                      <w:rFonts w:hint="eastAsia"/>
                      <w:szCs w:val="21"/>
                    </w:rPr>
                    <w:t>□取水口下游</w:t>
                  </w:r>
                  <w:r>
                    <w:rPr>
                      <w:szCs w:val="21"/>
                    </w:rPr>
                    <w:t>500米</w:t>
                  </w:r>
                  <w:r>
                    <w:rPr>
                      <w:rFonts w:hint="eastAsia"/>
                      <w:szCs w:val="21"/>
                    </w:rPr>
                    <w:t>范围内有重要水生生物的自然产卵场、索饵场、越冬场和洄游通道的新增河道取水的污染类建设项目</w:t>
                  </w:r>
                </w:p>
              </w:tc>
              <w:tc>
                <w:tcPr>
                  <w:tcW w:w="1048" w:type="pct"/>
                  <w:tcMar>
                    <w:left w:w="0" w:type="dxa"/>
                    <w:right w:w="0" w:type="dxa"/>
                  </w:tcMar>
                  <w:vAlign w:val="center"/>
                </w:tcPr>
                <w:p w14:paraId="49B755A2">
                  <w:pPr>
                    <w:autoSpaceDE w:val="0"/>
                    <w:autoSpaceDN w:val="0"/>
                    <w:adjustRightInd w:val="0"/>
                    <w:snapToGrid w:val="0"/>
                    <w:jc w:val="center"/>
                    <w:rPr>
                      <w:rFonts w:hint="eastAsia" w:ascii="宋体" w:hAnsi="宋体"/>
                      <w:kern w:val="0"/>
                      <w:szCs w:val="21"/>
                    </w:rPr>
                  </w:pPr>
                  <w:r>
                    <w:rPr>
                      <w:rFonts w:hint="eastAsia" w:ascii="宋体" w:hAnsi="宋体"/>
                      <w:szCs w:val="21"/>
                    </w:rPr>
                    <w:t>□</w:t>
                  </w:r>
                  <w:r>
                    <w:rPr>
                      <w:rFonts w:hint="eastAsia" w:ascii="宋体" w:hAnsi="宋体"/>
                      <w:kern w:val="0"/>
                      <w:szCs w:val="21"/>
                    </w:rPr>
                    <w:t>设置专题</w:t>
                  </w:r>
                </w:p>
                <w:p w14:paraId="195D1759">
                  <w:pPr>
                    <w:autoSpaceDE w:val="0"/>
                    <w:autoSpaceDN w:val="0"/>
                    <w:adjustRightInd w:val="0"/>
                    <w:snapToGrid w:val="0"/>
                    <w:jc w:val="center"/>
                    <w:rPr>
                      <w:rFonts w:hint="eastAsia" w:ascii="宋体" w:hAnsi="宋体"/>
                      <w:kern w:val="0"/>
                      <w:szCs w:val="21"/>
                    </w:rPr>
                  </w:pPr>
                  <w:r>
                    <w:rPr>
                      <w:rFonts w:hint="eastAsia" w:ascii="宋体" w:hAnsi="宋体"/>
                      <w:szCs w:val="21"/>
                    </w:rPr>
                    <w:t>☑</w:t>
                  </w:r>
                  <w:r>
                    <w:rPr>
                      <w:rFonts w:hint="eastAsia" w:ascii="宋体" w:hAnsi="宋体"/>
                      <w:kern w:val="0"/>
                      <w:szCs w:val="21"/>
                    </w:rPr>
                    <w:t>不设置专题</w:t>
                  </w:r>
                </w:p>
              </w:tc>
            </w:tr>
            <w:tr w14:paraId="104926D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490" w:type="pct"/>
                  <w:tcMar>
                    <w:left w:w="0" w:type="dxa"/>
                    <w:right w:w="0" w:type="dxa"/>
                  </w:tcMar>
                  <w:vAlign w:val="center"/>
                </w:tcPr>
                <w:p w14:paraId="1FA71840">
                  <w:pPr>
                    <w:autoSpaceDE w:val="0"/>
                    <w:autoSpaceDN w:val="0"/>
                    <w:adjustRightInd w:val="0"/>
                    <w:snapToGrid w:val="0"/>
                    <w:jc w:val="center"/>
                    <w:rPr>
                      <w:rFonts w:hint="eastAsia" w:ascii="宋体" w:hAnsi="宋体"/>
                      <w:kern w:val="0"/>
                      <w:szCs w:val="21"/>
                    </w:rPr>
                  </w:pPr>
                  <w:r>
                    <w:rPr>
                      <w:rFonts w:hint="eastAsia" w:ascii="宋体" w:hAnsi="宋体"/>
                      <w:kern w:val="0"/>
                      <w:szCs w:val="21"/>
                    </w:rPr>
                    <w:t>海洋</w:t>
                  </w:r>
                </w:p>
              </w:tc>
              <w:tc>
                <w:tcPr>
                  <w:tcW w:w="3460" w:type="pct"/>
                  <w:gridSpan w:val="3"/>
                  <w:tcMar>
                    <w:left w:w="0" w:type="dxa"/>
                    <w:right w:w="0" w:type="dxa"/>
                  </w:tcMar>
                  <w:vAlign w:val="center"/>
                </w:tcPr>
                <w:p w14:paraId="685A16A8">
                  <w:pPr>
                    <w:autoSpaceDE w:val="0"/>
                    <w:autoSpaceDN w:val="0"/>
                    <w:adjustRightInd w:val="0"/>
                    <w:snapToGrid w:val="0"/>
                    <w:jc w:val="left"/>
                    <w:rPr>
                      <w:rFonts w:hint="eastAsia" w:ascii="宋体" w:hAnsi="宋体"/>
                      <w:szCs w:val="21"/>
                    </w:rPr>
                  </w:pPr>
                  <w:r>
                    <w:rPr>
                      <w:rFonts w:hint="eastAsia" w:ascii="宋体" w:hAnsi="宋体"/>
                      <w:szCs w:val="21"/>
                    </w:rPr>
                    <w:t>☑非海洋工程建设项目</w:t>
                  </w:r>
                </w:p>
                <w:p w14:paraId="632408D7">
                  <w:pPr>
                    <w:autoSpaceDE w:val="0"/>
                    <w:autoSpaceDN w:val="0"/>
                    <w:adjustRightInd w:val="0"/>
                    <w:snapToGrid w:val="0"/>
                    <w:jc w:val="left"/>
                    <w:rPr>
                      <w:rFonts w:hint="eastAsia" w:ascii="宋体" w:hAnsi="宋体"/>
                      <w:szCs w:val="21"/>
                    </w:rPr>
                  </w:pPr>
                  <w:r>
                    <w:rPr>
                      <w:rFonts w:hint="eastAsia" w:ascii="宋体" w:hAnsi="宋体"/>
                      <w:szCs w:val="21"/>
                    </w:rPr>
                    <w:t>□直接向海排放污染物的海洋工程建设项目</w:t>
                  </w:r>
                </w:p>
              </w:tc>
              <w:tc>
                <w:tcPr>
                  <w:tcW w:w="1048" w:type="pct"/>
                  <w:tcMar>
                    <w:left w:w="0" w:type="dxa"/>
                    <w:right w:w="0" w:type="dxa"/>
                  </w:tcMar>
                  <w:vAlign w:val="center"/>
                </w:tcPr>
                <w:p w14:paraId="787409D3">
                  <w:pPr>
                    <w:autoSpaceDE w:val="0"/>
                    <w:autoSpaceDN w:val="0"/>
                    <w:adjustRightInd w:val="0"/>
                    <w:snapToGrid w:val="0"/>
                    <w:jc w:val="center"/>
                    <w:rPr>
                      <w:rFonts w:hint="eastAsia" w:ascii="宋体" w:hAnsi="宋体"/>
                      <w:kern w:val="0"/>
                      <w:szCs w:val="21"/>
                    </w:rPr>
                  </w:pPr>
                  <w:r>
                    <w:rPr>
                      <w:rFonts w:hint="eastAsia" w:ascii="宋体" w:hAnsi="宋体"/>
                      <w:szCs w:val="21"/>
                    </w:rPr>
                    <w:t>□</w:t>
                  </w:r>
                  <w:r>
                    <w:rPr>
                      <w:rFonts w:hint="eastAsia" w:ascii="宋体" w:hAnsi="宋体"/>
                      <w:kern w:val="0"/>
                      <w:szCs w:val="21"/>
                    </w:rPr>
                    <w:t>设置专题</w:t>
                  </w:r>
                </w:p>
                <w:p w14:paraId="16A9EF2C">
                  <w:pPr>
                    <w:autoSpaceDE w:val="0"/>
                    <w:autoSpaceDN w:val="0"/>
                    <w:adjustRightInd w:val="0"/>
                    <w:snapToGrid w:val="0"/>
                    <w:jc w:val="center"/>
                    <w:rPr>
                      <w:rFonts w:hint="eastAsia" w:ascii="宋体" w:hAnsi="宋体"/>
                      <w:kern w:val="0"/>
                      <w:szCs w:val="21"/>
                    </w:rPr>
                  </w:pPr>
                  <w:r>
                    <w:rPr>
                      <w:rFonts w:hint="eastAsia" w:ascii="宋体" w:hAnsi="宋体"/>
                      <w:szCs w:val="21"/>
                    </w:rPr>
                    <w:t>☑</w:t>
                  </w:r>
                  <w:r>
                    <w:rPr>
                      <w:rFonts w:hint="eastAsia" w:ascii="宋体" w:hAnsi="宋体"/>
                      <w:kern w:val="0"/>
                      <w:szCs w:val="21"/>
                    </w:rPr>
                    <w:t>不设置专题</w:t>
                  </w:r>
                </w:p>
              </w:tc>
            </w:tr>
          </w:tbl>
          <w:p w14:paraId="6164580E">
            <w:pPr>
              <w:autoSpaceDE w:val="0"/>
              <w:autoSpaceDN w:val="0"/>
              <w:rPr>
                <w:color w:val="000000"/>
                <w:kern w:val="0"/>
                <w:sz w:val="24"/>
                <w:szCs w:val="24"/>
              </w:rPr>
            </w:pPr>
          </w:p>
        </w:tc>
      </w:tr>
      <w:tr w14:paraId="7A5D1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89" w:hRule="atLeast"/>
          <w:jc w:val="center"/>
        </w:trPr>
        <w:tc>
          <w:tcPr>
            <w:tcW w:w="1552" w:type="dxa"/>
            <w:tcMar>
              <w:top w:w="0" w:type="dxa"/>
              <w:left w:w="108" w:type="dxa"/>
              <w:bottom w:w="0" w:type="dxa"/>
              <w:right w:w="108" w:type="dxa"/>
            </w:tcMar>
            <w:vAlign w:val="center"/>
          </w:tcPr>
          <w:p w14:paraId="5C0C1A9D">
            <w:pPr>
              <w:autoSpaceDE w:val="0"/>
              <w:autoSpaceDN w:val="0"/>
              <w:jc w:val="center"/>
              <w:rPr>
                <w:color w:val="000000"/>
                <w:kern w:val="0"/>
                <w:sz w:val="24"/>
                <w:szCs w:val="24"/>
              </w:rPr>
            </w:pPr>
            <w:r>
              <w:rPr>
                <w:color w:val="000000"/>
                <w:sz w:val="24"/>
                <w:szCs w:val="24"/>
              </w:rPr>
              <w:t>规划情况</w:t>
            </w:r>
          </w:p>
        </w:tc>
        <w:tc>
          <w:tcPr>
            <w:tcW w:w="7520" w:type="dxa"/>
            <w:gridSpan w:val="3"/>
            <w:tcMar>
              <w:top w:w="0" w:type="dxa"/>
              <w:left w:w="108" w:type="dxa"/>
              <w:bottom w:w="0" w:type="dxa"/>
              <w:right w:w="108" w:type="dxa"/>
            </w:tcMar>
            <w:vAlign w:val="center"/>
          </w:tcPr>
          <w:p w14:paraId="5765E05C">
            <w:pPr>
              <w:autoSpaceDE w:val="0"/>
              <w:autoSpaceDN w:val="0"/>
              <w:jc w:val="center"/>
              <w:rPr>
                <w:kern w:val="0"/>
                <w:sz w:val="24"/>
                <w:szCs w:val="24"/>
              </w:rPr>
            </w:pPr>
            <w:r>
              <w:rPr>
                <w:kern w:val="0"/>
                <w:sz w:val="24"/>
                <w:szCs w:val="24"/>
              </w:rPr>
              <w:t>无</w:t>
            </w:r>
          </w:p>
        </w:tc>
      </w:tr>
      <w:tr w14:paraId="17EA2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1552" w:type="dxa"/>
            <w:tcMar>
              <w:top w:w="0" w:type="dxa"/>
              <w:left w:w="108" w:type="dxa"/>
              <w:bottom w:w="0" w:type="dxa"/>
              <w:right w:w="108" w:type="dxa"/>
            </w:tcMar>
            <w:vAlign w:val="center"/>
          </w:tcPr>
          <w:p w14:paraId="6018F311">
            <w:pPr>
              <w:jc w:val="center"/>
              <w:rPr>
                <w:color w:val="000000"/>
                <w:sz w:val="24"/>
                <w:szCs w:val="24"/>
              </w:rPr>
            </w:pPr>
            <w:r>
              <w:rPr>
                <w:color w:val="000000"/>
                <w:sz w:val="24"/>
                <w:szCs w:val="24"/>
              </w:rPr>
              <w:t>规划环境影响</w:t>
            </w:r>
          </w:p>
          <w:p w14:paraId="3831BE8C">
            <w:pPr>
              <w:jc w:val="center"/>
              <w:rPr>
                <w:color w:val="000000"/>
                <w:kern w:val="0"/>
                <w:sz w:val="24"/>
                <w:szCs w:val="24"/>
              </w:rPr>
            </w:pPr>
            <w:r>
              <w:rPr>
                <w:color w:val="000000"/>
                <w:sz w:val="24"/>
                <w:szCs w:val="24"/>
              </w:rPr>
              <w:t>评价情况</w:t>
            </w:r>
          </w:p>
        </w:tc>
        <w:tc>
          <w:tcPr>
            <w:tcW w:w="7520" w:type="dxa"/>
            <w:gridSpan w:val="3"/>
            <w:tcMar>
              <w:top w:w="0" w:type="dxa"/>
              <w:left w:w="108" w:type="dxa"/>
              <w:bottom w:w="0" w:type="dxa"/>
              <w:right w:w="108" w:type="dxa"/>
            </w:tcMar>
            <w:vAlign w:val="center"/>
          </w:tcPr>
          <w:p w14:paraId="6767E5DC">
            <w:pPr>
              <w:autoSpaceDE w:val="0"/>
              <w:autoSpaceDN w:val="0"/>
              <w:jc w:val="center"/>
              <w:rPr>
                <w:kern w:val="0"/>
                <w:sz w:val="24"/>
                <w:szCs w:val="24"/>
              </w:rPr>
            </w:pPr>
            <w:r>
              <w:rPr>
                <w:kern w:val="0"/>
                <w:sz w:val="24"/>
                <w:szCs w:val="24"/>
              </w:rPr>
              <w:t>无</w:t>
            </w:r>
          </w:p>
        </w:tc>
      </w:tr>
      <w:tr w14:paraId="28993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1552" w:type="dxa"/>
            <w:tcMar>
              <w:top w:w="0" w:type="dxa"/>
              <w:left w:w="108" w:type="dxa"/>
              <w:bottom w:w="0" w:type="dxa"/>
              <w:right w:w="108" w:type="dxa"/>
            </w:tcMar>
            <w:vAlign w:val="center"/>
          </w:tcPr>
          <w:p w14:paraId="0C5E0C21">
            <w:pPr>
              <w:autoSpaceDE w:val="0"/>
              <w:autoSpaceDN w:val="0"/>
              <w:jc w:val="center"/>
              <w:rPr>
                <w:color w:val="000000"/>
                <w:kern w:val="0"/>
                <w:sz w:val="24"/>
                <w:szCs w:val="24"/>
              </w:rPr>
            </w:pPr>
            <w:r>
              <w:rPr>
                <w:color w:val="000000"/>
                <w:kern w:val="0"/>
                <w:sz w:val="24"/>
                <w:szCs w:val="24"/>
              </w:rPr>
              <w:t>规划及规划环境影响评价符合性分析</w:t>
            </w:r>
          </w:p>
        </w:tc>
        <w:tc>
          <w:tcPr>
            <w:tcW w:w="7520" w:type="dxa"/>
            <w:gridSpan w:val="3"/>
            <w:tcMar>
              <w:top w:w="0" w:type="dxa"/>
              <w:left w:w="108" w:type="dxa"/>
              <w:bottom w:w="0" w:type="dxa"/>
              <w:right w:w="108" w:type="dxa"/>
            </w:tcMar>
            <w:vAlign w:val="center"/>
          </w:tcPr>
          <w:p w14:paraId="0F040750">
            <w:pPr>
              <w:spacing w:line="360" w:lineRule="auto"/>
              <w:jc w:val="center"/>
              <w:rPr>
                <w:sz w:val="24"/>
                <w:szCs w:val="24"/>
              </w:rPr>
            </w:pPr>
            <w:r>
              <w:rPr>
                <w:sz w:val="24"/>
                <w:szCs w:val="24"/>
              </w:rPr>
              <w:t>无</w:t>
            </w:r>
          </w:p>
        </w:tc>
      </w:tr>
      <w:tr w14:paraId="74FE0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52" w:type="dxa"/>
            <w:tcMar>
              <w:top w:w="0" w:type="dxa"/>
              <w:left w:w="108" w:type="dxa"/>
              <w:bottom w:w="0" w:type="dxa"/>
              <w:right w:w="108" w:type="dxa"/>
            </w:tcMar>
            <w:vAlign w:val="center"/>
          </w:tcPr>
          <w:p w14:paraId="194BD1C8">
            <w:pPr>
              <w:autoSpaceDE w:val="0"/>
              <w:autoSpaceDN w:val="0"/>
              <w:jc w:val="center"/>
              <w:rPr>
                <w:color w:val="000000"/>
                <w:kern w:val="0"/>
                <w:sz w:val="24"/>
                <w:szCs w:val="24"/>
              </w:rPr>
            </w:pPr>
            <w:r>
              <w:rPr>
                <w:color w:val="000000"/>
                <w:kern w:val="0"/>
                <w:sz w:val="24"/>
                <w:szCs w:val="24"/>
              </w:rPr>
              <w:t>其他符合性</w:t>
            </w:r>
          </w:p>
          <w:p w14:paraId="0CBBAABE">
            <w:pPr>
              <w:autoSpaceDE w:val="0"/>
              <w:autoSpaceDN w:val="0"/>
              <w:jc w:val="center"/>
              <w:rPr>
                <w:color w:val="FF0000"/>
                <w:kern w:val="0"/>
                <w:sz w:val="24"/>
                <w:szCs w:val="24"/>
              </w:rPr>
            </w:pPr>
            <w:r>
              <w:rPr>
                <w:color w:val="000000"/>
                <w:kern w:val="0"/>
                <w:sz w:val="24"/>
                <w:szCs w:val="24"/>
              </w:rPr>
              <w:t>分析</w:t>
            </w:r>
          </w:p>
        </w:tc>
        <w:tc>
          <w:tcPr>
            <w:tcW w:w="7520" w:type="dxa"/>
            <w:gridSpan w:val="3"/>
            <w:tcMar>
              <w:top w:w="0" w:type="dxa"/>
              <w:left w:w="108" w:type="dxa"/>
              <w:bottom w:w="0" w:type="dxa"/>
              <w:right w:w="108" w:type="dxa"/>
            </w:tcMar>
            <w:vAlign w:val="center"/>
          </w:tcPr>
          <w:p w14:paraId="169200A2">
            <w:pPr>
              <w:spacing w:line="360" w:lineRule="auto"/>
              <w:rPr>
                <w:b/>
                <w:bCs/>
                <w:color w:val="000000"/>
                <w:kern w:val="0"/>
                <w:sz w:val="24"/>
                <w:szCs w:val="24"/>
              </w:rPr>
            </w:pPr>
            <w:r>
              <w:rPr>
                <w:b/>
                <w:bCs/>
                <w:color w:val="000000"/>
                <w:kern w:val="0"/>
                <w:sz w:val="24"/>
                <w:szCs w:val="24"/>
              </w:rPr>
              <w:t>1 建设项目与</w:t>
            </w:r>
            <w:r>
              <w:rPr>
                <w:rFonts w:hint="eastAsia"/>
                <w:b/>
                <w:bCs/>
                <w:color w:val="000000"/>
                <w:kern w:val="0"/>
                <w:sz w:val="24"/>
                <w:szCs w:val="24"/>
              </w:rPr>
              <w:t>生态环境分区管控要求</w:t>
            </w:r>
            <w:r>
              <w:rPr>
                <w:rFonts w:ascii="宋体" w:hAnsi="宋体"/>
                <w:b/>
                <w:bCs/>
                <w:color w:val="000000"/>
                <w:kern w:val="0"/>
                <w:sz w:val="24"/>
                <w:szCs w:val="24"/>
              </w:rPr>
              <w:t>的符合</w:t>
            </w:r>
            <w:r>
              <w:rPr>
                <w:b/>
                <w:bCs/>
                <w:color w:val="000000"/>
                <w:kern w:val="0"/>
                <w:sz w:val="24"/>
                <w:szCs w:val="24"/>
              </w:rPr>
              <w:t>性分析</w:t>
            </w:r>
          </w:p>
          <w:p w14:paraId="7A2F16DF">
            <w:pPr>
              <w:spacing w:line="360" w:lineRule="auto"/>
              <w:rPr>
                <w:b/>
                <w:bCs/>
                <w:color w:val="000000"/>
                <w:kern w:val="0"/>
                <w:sz w:val="24"/>
                <w:szCs w:val="24"/>
              </w:rPr>
            </w:pPr>
            <w:r>
              <w:rPr>
                <w:b/>
                <w:bCs/>
                <w:color w:val="000000"/>
                <w:kern w:val="0"/>
                <w:sz w:val="24"/>
                <w:szCs w:val="24"/>
              </w:rPr>
              <w:t>1.1 生态保护红线</w:t>
            </w:r>
          </w:p>
          <w:p w14:paraId="7B8D68E9">
            <w:pPr>
              <w:pStyle w:val="111"/>
              <w:autoSpaceDE/>
              <w:autoSpaceDN/>
              <w:adjustRightInd/>
              <w:spacing w:line="360" w:lineRule="auto"/>
              <w:ind w:firstLine="480" w:firstLineChars="200"/>
              <w:rPr>
                <w:rFonts w:ascii="Times New Roman"/>
                <w:kern w:val="24"/>
              </w:rPr>
            </w:pPr>
            <w:r>
              <w:rPr>
                <w:rFonts w:hint="eastAsia" w:ascii="Times New Roman"/>
                <w:kern w:val="24"/>
              </w:rPr>
              <w:t>本项目位于</w:t>
            </w:r>
            <w:r>
              <w:rPr>
                <w:rFonts w:hint="eastAsia"/>
                <w:color w:val="000000"/>
                <w:spacing w:val="-6"/>
                <w:sz w:val="24"/>
                <w:szCs w:val="24"/>
                <w:lang w:val="en-US" w:eastAsia="zh-CN"/>
              </w:rPr>
              <w:t>安化县东坪镇城南区城南社区连台片</w:t>
            </w:r>
            <w:r>
              <w:rPr>
                <w:rFonts w:hint="eastAsia" w:ascii="Times New Roman"/>
                <w:color w:val="auto"/>
                <w:kern w:val="24"/>
              </w:rPr>
              <w:t>，</w:t>
            </w:r>
            <w:r>
              <w:rPr>
                <w:rFonts w:hint="eastAsia"/>
                <w:color w:val="000000"/>
                <w:spacing w:val="-6"/>
                <w:sz w:val="24"/>
                <w:szCs w:val="24"/>
                <w:lang w:val="en-US" w:eastAsia="zh-CN"/>
              </w:rPr>
              <w:t>安化县东坪镇</w:t>
            </w:r>
            <w:r>
              <w:rPr>
                <w:rFonts w:hint="eastAsia" w:ascii="Times New Roman"/>
                <w:kern w:val="24"/>
              </w:rPr>
              <w:t>规划范围内，根据益阳市生态保护红线区划，本项目不在生态保护红线划定范围内。本项目与生态保护红线相符</w:t>
            </w:r>
            <w:r>
              <w:rPr>
                <w:rFonts w:ascii="Times New Roman"/>
                <w:kern w:val="24"/>
              </w:rPr>
              <w:t>。</w:t>
            </w:r>
          </w:p>
          <w:p w14:paraId="7AFEB53E">
            <w:pPr>
              <w:spacing w:line="360" w:lineRule="auto"/>
              <w:rPr>
                <w:b/>
                <w:bCs/>
                <w:color w:val="000000"/>
                <w:kern w:val="0"/>
                <w:sz w:val="24"/>
                <w:szCs w:val="24"/>
              </w:rPr>
            </w:pPr>
            <w:r>
              <w:rPr>
                <w:b/>
                <w:bCs/>
                <w:color w:val="000000"/>
                <w:kern w:val="0"/>
                <w:sz w:val="24"/>
                <w:szCs w:val="24"/>
              </w:rPr>
              <w:t>1.2 环境质量底线</w:t>
            </w:r>
          </w:p>
          <w:p w14:paraId="187BFC71">
            <w:pPr>
              <w:spacing w:line="360" w:lineRule="auto"/>
              <w:ind w:firstLine="480" w:firstLineChars="200"/>
              <w:rPr>
                <w:kern w:val="0"/>
                <w:sz w:val="24"/>
                <w:szCs w:val="24"/>
              </w:rPr>
            </w:pPr>
            <w:r>
              <w:rPr>
                <w:rFonts w:hint="eastAsia" w:cs="宋体"/>
                <w:kern w:val="0"/>
                <w:sz w:val="24"/>
                <w:szCs w:val="24"/>
                <w:lang w:bidi="ar"/>
              </w:rPr>
              <w:t>“环境质量底线”是国家和地方设置的大气、水和土壤环境质量目标，也是改善环境质量的基准线。有关规划环评应落实区域环境质量目标管理要求，提出区域或者行业污染物排放总量管控建议以及优化区域或行业发展布局、结构和规模的对策措施。</w:t>
            </w:r>
          </w:p>
          <w:p w14:paraId="698746C2">
            <w:pPr>
              <w:spacing w:line="360" w:lineRule="auto"/>
              <w:ind w:firstLine="480" w:firstLineChars="200"/>
              <w:rPr>
                <w:sz w:val="24"/>
                <w:szCs w:val="24"/>
              </w:rPr>
            </w:pPr>
            <w:r>
              <w:rPr>
                <w:rFonts w:hint="eastAsia"/>
                <w:kern w:val="0"/>
                <w:sz w:val="24"/>
                <w:szCs w:val="24"/>
              </w:rPr>
              <w:t>环境空气：</w:t>
            </w:r>
            <w:r>
              <w:rPr>
                <w:rFonts w:hint="eastAsia"/>
                <w:sz w:val="24"/>
                <w:szCs w:val="24"/>
              </w:rPr>
              <w:t>2025年安化县大气环境质量主要指标中SO</w:t>
            </w:r>
            <w:r>
              <w:rPr>
                <w:rFonts w:hint="eastAsia"/>
                <w:sz w:val="24"/>
                <w:szCs w:val="24"/>
                <w:vertAlign w:val="subscript"/>
              </w:rPr>
              <w:t>2</w:t>
            </w:r>
            <w:r>
              <w:rPr>
                <w:rFonts w:hint="eastAsia"/>
                <w:sz w:val="24"/>
                <w:szCs w:val="24"/>
              </w:rPr>
              <w:t>年均浓度、NO</w:t>
            </w:r>
            <w:r>
              <w:rPr>
                <w:rFonts w:hint="eastAsia"/>
                <w:sz w:val="24"/>
                <w:szCs w:val="24"/>
                <w:vertAlign w:val="subscript"/>
              </w:rPr>
              <w:t>2</w:t>
            </w:r>
            <w:r>
              <w:rPr>
                <w:rFonts w:hint="eastAsia"/>
                <w:sz w:val="24"/>
                <w:szCs w:val="24"/>
              </w:rPr>
              <w:t>年均浓度、PM</w:t>
            </w:r>
            <w:r>
              <w:rPr>
                <w:rFonts w:hint="eastAsia"/>
                <w:sz w:val="24"/>
                <w:szCs w:val="24"/>
                <w:vertAlign w:val="subscript"/>
              </w:rPr>
              <w:t>10</w:t>
            </w:r>
            <w:r>
              <w:rPr>
                <w:rFonts w:hint="eastAsia"/>
                <w:sz w:val="24"/>
                <w:szCs w:val="24"/>
              </w:rPr>
              <w:t>、PM</w:t>
            </w:r>
            <w:r>
              <w:rPr>
                <w:rFonts w:hint="eastAsia"/>
                <w:sz w:val="24"/>
                <w:szCs w:val="24"/>
                <w:vertAlign w:val="subscript"/>
              </w:rPr>
              <w:t>2.5</w:t>
            </w:r>
            <w:r>
              <w:rPr>
                <w:rFonts w:hint="eastAsia"/>
                <w:sz w:val="24"/>
                <w:szCs w:val="24"/>
              </w:rPr>
              <w:t>年平均质量浓度、CO24小时平均第95百分位数浓度、O</w:t>
            </w:r>
            <w:r>
              <w:rPr>
                <w:rFonts w:hint="eastAsia"/>
                <w:sz w:val="24"/>
                <w:szCs w:val="24"/>
                <w:vertAlign w:val="subscript"/>
              </w:rPr>
              <w:t>3</w:t>
            </w:r>
            <w:r>
              <w:rPr>
                <w:rFonts w:hint="eastAsia"/>
                <w:sz w:val="24"/>
                <w:szCs w:val="24"/>
              </w:rPr>
              <w:t>8小时平均第90百分位数浓度均能满足《环境空气质量标准》（GB3095-2026）过渡阶段的二级标准，</w:t>
            </w:r>
            <w:r>
              <w:rPr>
                <w:color w:val="auto"/>
                <w:kern w:val="0"/>
                <w:sz w:val="24"/>
                <w:szCs w:val="24"/>
              </w:rPr>
              <w:t>根据《环境影响评价技术导则大气环境》（HJ2.2-2018），判定项目</w:t>
            </w:r>
            <w:r>
              <w:rPr>
                <w:rFonts w:hint="eastAsia"/>
                <w:color w:val="auto"/>
                <w:sz w:val="24"/>
                <w:szCs w:val="24"/>
              </w:rPr>
              <w:t>所</w:t>
            </w:r>
            <w:r>
              <w:rPr>
                <w:rFonts w:hint="eastAsia"/>
                <w:sz w:val="24"/>
                <w:szCs w:val="24"/>
              </w:rPr>
              <w:t>在区域为环境空气质量达标区</w:t>
            </w:r>
            <w:r>
              <w:rPr>
                <w:rFonts w:hint="eastAsia"/>
                <w:sz w:val="24"/>
                <w:szCs w:val="24"/>
                <w:lang w:eastAsia="zh-CN"/>
              </w:rPr>
              <w:t>。</w:t>
            </w:r>
          </w:p>
          <w:p w14:paraId="05B2687B">
            <w:pPr>
              <w:spacing w:line="360" w:lineRule="auto"/>
              <w:ind w:firstLine="480" w:firstLineChars="200"/>
              <w:rPr>
                <w:color w:val="auto"/>
                <w:kern w:val="0"/>
                <w:sz w:val="24"/>
                <w:szCs w:val="24"/>
              </w:rPr>
            </w:pPr>
            <w:r>
              <w:rPr>
                <w:rFonts w:hint="eastAsia"/>
                <w:color w:val="auto"/>
                <w:kern w:val="0"/>
                <w:sz w:val="24"/>
                <w:szCs w:val="24"/>
              </w:rPr>
              <w:t>地表水：达到《地表水环境质量标准》</w:t>
            </w:r>
            <w:r>
              <w:rPr>
                <w:color w:val="auto"/>
                <w:kern w:val="0"/>
                <w:sz w:val="24"/>
                <w:szCs w:val="24"/>
              </w:rPr>
              <w:t>(GB3838-2002)</w:t>
            </w:r>
            <w:r>
              <w:rPr>
                <w:rFonts w:hint="eastAsia"/>
                <w:color w:val="auto"/>
                <w:kern w:val="0"/>
                <w:sz w:val="24"/>
                <w:szCs w:val="24"/>
              </w:rPr>
              <w:t>中</w:t>
            </w:r>
            <w:r>
              <w:rPr>
                <w:color w:val="auto"/>
                <w:sz w:val="24"/>
              </w:rPr>
              <w:t>III</w:t>
            </w:r>
            <w:r>
              <w:rPr>
                <w:rFonts w:hint="eastAsia"/>
                <w:color w:val="auto"/>
                <w:kern w:val="0"/>
                <w:sz w:val="24"/>
                <w:szCs w:val="24"/>
              </w:rPr>
              <w:t>类标准要求。</w:t>
            </w:r>
          </w:p>
          <w:p w14:paraId="285EEEA8">
            <w:pPr>
              <w:spacing w:line="360" w:lineRule="auto"/>
              <w:ind w:firstLine="480" w:firstLineChars="200"/>
              <w:rPr>
                <w:kern w:val="0"/>
                <w:sz w:val="24"/>
                <w:szCs w:val="24"/>
              </w:rPr>
            </w:pPr>
            <w:r>
              <w:rPr>
                <w:rFonts w:hint="eastAsia"/>
                <w:kern w:val="0"/>
                <w:sz w:val="24"/>
                <w:szCs w:val="24"/>
              </w:rPr>
              <w:t>声环境：达到《声环境质量标准》（GB 3096-2008）中2类区标准要求。</w:t>
            </w:r>
          </w:p>
          <w:p w14:paraId="5CF670CE">
            <w:pPr>
              <w:spacing w:line="360" w:lineRule="auto"/>
              <w:ind w:firstLine="480" w:firstLineChars="200"/>
              <w:rPr>
                <w:kern w:val="0"/>
                <w:sz w:val="24"/>
                <w:szCs w:val="24"/>
              </w:rPr>
            </w:pPr>
            <w:r>
              <w:rPr>
                <w:kern w:val="0"/>
                <w:sz w:val="24"/>
                <w:szCs w:val="24"/>
              </w:rPr>
              <w:t>项目建设和运营过程中，在严格落实环评中提出的各项污染治理措施的前提下，废气、噪声等均可达标排放，固体废物能得到有效、安全的处置，项目产生的污染物对周围环境产生的影响在可接受的范围内，不会超过区域环境质量底线。</w:t>
            </w:r>
          </w:p>
          <w:p w14:paraId="75527D81">
            <w:pPr>
              <w:spacing w:line="360" w:lineRule="auto"/>
              <w:rPr>
                <w:b/>
                <w:bCs/>
              </w:rPr>
            </w:pPr>
            <w:r>
              <w:rPr>
                <w:rStyle w:val="142"/>
                <w:rFonts w:hint="default" w:ascii="Times New Roman" w:hAnsi="Times New Roman"/>
                <w:b/>
                <w:bCs/>
                <w:color w:val="auto"/>
              </w:rPr>
              <w:t>1.3 资源利用上线</w:t>
            </w:r>
          </w:p>
          <w:p w14:paraId="78A5A290">
            <w:pPr>
              <w:spacing w:line="360" w:lineRule="auto"/>
              <w:ind w:firstLine="480" w:firstLineChars="200"/>
              <w:rPr>
                <w:color w:val="000000"/>
                <w:spacing w:val="-6"/>
                <w:sz w:val="24"/>
                <w:szCs w:val="24"/>
              </w:rPr>
            </w:pPr>
            <w:r>
              <w:rPr>
                <w:bCs/>
                <w:sz w:val="24"/>
                <w:szCs w:val="24"/>
              </w:rPr>
              <w:t>本项目生活、生产用水来源</w:t>
            </w:r>
            <w:r>
              <w:rPr>
                <w:rFonts w:hint="eastAsia"/>
                <w:bCs/>
                <w:sz w:val="24"/>
                <w:szCs w:val="24"/>
              </w:rPr>
              <w:t>为自来水</w:t>
            </w:r>
            <w:r>
              <w:rPr>
                <w:bCs/>
                <w:sz w:val="24"/>
                <w:szCs w:val="24"/>
              </w:rPr>
              <w:t>；</w:t>
            </w:r>
            <w:r>
              <w:rPr>
                <w:bCs/>
                <w:color w:val="000000"/>
                <w:sz w:val="24"/>
                <w:szCs w:val="24"/>
              </w:rPr>
              <w:t>能源主要依托当地电网供电系统；</w:t>
            </w:r>
            <w:r>
              <w:rPr>
                <w:bCs/>
                <w:color w:val="000000"/>
                <w:sz w:val="24"/>
                <w:szCs w:val="24"/>
                <w:shd w:val="clear" w:color="auto" w:fill="FFFFFF" w:themeFill="background1"/>
              </w:rPr>
              <w:t>本项目位于</w:t>
            </w:r>
            <w:r>
              <w:rPr>
                <w:rFonts w:hint="eastAsia"/>
                <w:color w:val="000000"/>
                <w:spacing w:val="-6"/>
                <w:sz w:val="24"/>
                <w:szCs w:val="24"/>
                <w:lang w:val="en-US" w:eastAsia="zh-CN"/>
              </w:rPr>
              <w:t>安化县东坪镇城南区城南社区连台片</w:t>
            </w:r>
            <w:r>
              <w:rPr>
                <w:bCs/>
                <w:color w:val="000000"/>
                <w:sz w:val="24"/>
                <w:szCs w:val="24"/>
                <w:shd w:val="clear" w:color="auto" w:fill="FFFFFF" w:themeFill="background1"/>
              </w:rPr>
              <w:t>，</w:t>
            </w:r>
            <w:r>
              <w:rPr>
                <w:color w:val="000000"/>
                <w:sz w:val="24"/>
              </w:rPr>
              <w:t>本项目营运过程中消耗一定量的电能、水源的消耗，项目资源消耗量相对区域资源利用总量较少，符合资源利用上线要求</w:t>
            </w:r>
            <w:r>
              <w:rPr>
                <w:color w:val="000000"/>
                <w:spacing w:val="-6"/>
                <w:sz w:val="24"/>
                <w:szCs w:val="24"/>
              </w:rPr>
              <w:t>。</w:t>
            </w:r>
          </w:p>
          <w:p w14:paraId="055A7350">
            <w:pPr>
              <w:spacing w:line="360" w:lineRule="auto"/>
              <w:rPr>
                <w:rStyle w:val="142"/>
                <w:rFonts w:hint="default" w:ascii="Times New Roman" w:hAnsi="Times New Roman"/>
                <w:b/>
                <w:bCs/>
              </w:rPr>
            </w:pPr>
            <w:r>
              <w:rPr>
                <w:b/>
                <w:bCs/>
                <w:color w:val="000000"/>
                <w:sz w:val="24"/>
                <w:szCs w:val="24"/>
              </w:rPr>
              <w:t>1.4 生态环境准入清单</w:t>
            </w:r>
          </w:p>
          <w:p w14:paraId="21183D53">
            <w:pPr>
              <w:spacing w:line="360" w:lineRule="auto"/>
              <w:ind w:firstLine="480" w:firstLineChars="200"/>
              <w:rPr>
                <w:color w:val="000000"/>
                <w:kern w:val="0"/>
                <w:sz w:val="24"/>
                <w:szCs w:val="24"/>
              </w:rPr>
            </w:pPr>
            <w:r>
              <w:rPr>
                <w:rFonts w:hint="eastAsia"/>
                <w:color w:val="000000"/>
                <w:kern w:val="0"/>
                <w:sz w:val="24"/>
                <w:szCs w:val="24"/>
              </w:rPr>
              <w:t>本项目已通过湖南省生态环境分区管控智慧管理平台分析建设项目与生态环境分区管控要求的符合性并获取了项目研判分析结果报告（详见附件</w:t>
            </w:r>
            <w:r>
              <w:rPr>
                <w:rFonts w:hint="eastAsia"/>
                <w:color w:val="000000"/>
                <w:kern w:val="0"/>
                <w:sz w:val="24"/>
                <w:szCs w:val="24"/>
                <w:lang w:val="en-US" w:eastAsia="zh-CN"/>
              </w:rPr>
              <w:t>9</w:t>
            </w:r>
            <w:r>
              <w:rPr>
                <w:rFonts w:hint="eastAsia"/>
                <w:color w:val="000000"/>
                <w:kern w:val="0"/>
                <w:sz w:val="24"/>
                <w:szCs w:val="24"/>
              </w:rPr>
              <w:t>）。</w:t>
            </w:r>
          </w:p>
          <w:p w14:paraId="7A06876B">
            <w:pPr>
              <w:spacing w:line="360" w:lineRule="auto"/>
              <w:ind w:firstLine="480" w:firstLineChars="200"/>
              <w:rPr>
                <w:color w:val="000000"/>
                <w:kern w:val="0"/>
                <w:sz w:val="24"/>
                <w:szCs w:val="24"/>
              </w:rPr>
            </w:pPr>
            <w:r>
              <w:rPr>
                <w:color w:val="000000"/>
                <w:kern w:val="0"/>
                <w:sz w:val="24"/>
                <w:szCs w:val="24"/>
              </w:rPr>
              <w:t>根据益阳</w:t>
            </w:r>
            <w:r>
              <w:rPr>
                <w:rFonts w:ascii="宋体" w:hAnsi="宋体"/>
                <w:color w:val="000000"/>
                <w:kern w:val="0"/>
                <w:sz w:val="24"/>
                <w:szCs w:val="24"/>
              </w:rPr>
              <w:t>市“三线一单”生态环境</w:t>
            </w:r>
            <w:r>
              <w:rPr>
                <w:color w:val="000000"/>
                <w:kern w:val="0"/>
                <w:sz w:val="24"/>
                <w:szCs w:val="24"/>
              </w:rPr>
              <w:t>分区管控（益政发〔2024〕11号）文件，项目位于</w:t>
            </w:r>
            <w:r>
              <w:rPr>
                <w:rFonts w:hint="eastAsia"/>
                <w:color w:val="000000"/>
                <w:spacing w:val="-6"/>
                <w:sz w:val="24"/>
                <w:szCs w:val="24"/>
                <w:lang w:val="en-US" w:eastAsia="zh-CN"/>
              </w:rPr>
              <w:t>安化县东坪镇城南区城南社区连台片</w:t>
            </w:r>
            <w:r>
              <w:rPr>
                <w:color w:val="000000"/>
                <w:kern w:val="0"/>
                <w:sz w:val="24"/>
                <w:szCs w:val="24"/>
              </w:rPr>
              <w:t>，属于</w:t>
            </w:r>
            <w:r>
              <w:rPr>
                <w:rFonts w:hint="eastAsia"/>
                <w:color w:val="000000"/>
                <w:kern w:val="0"/>
                <w:sz w:val="24"/>
                <w:szCs w:val="24"/>
              </w:rPr>
              <w:t>优先管控单元</w:t>
            </w:r>
            <w:r>
              <w:rPr>
                <w:color w:val="000000"/>
                <w:kern w:val="0"/>
                <w:sz w:val="24"/>
                <w:szCs w:val="24"/>
              </w:rPr>
              <w:t>，本项目与生态环境准入清单符合性分析如下。</w:t>
            </w:r>
          </w:p>
          <w:p w14:paraId="67861F63">
            <w:pPr>
              <w:spacing w:line="360" w:lineRule="auto"/>
              <w:jc w:val="center"/>
              <w:rPr>
                <w:b/>
                <w:bCs/>
                <w:color w:val="000000"/>
                <w:kern w:val="0"/>
                <w:sz w:val="24"/>
                <w:szCs w:val="24"/>
              </w:rPr>
            </w:pPr>
            <w:r>
              <w:rPr>
                <w:b/>
                <w:bCs/>
                <w:color w:val="000000"/>
                <w:kern w:val="0"/>
                <w:sz w:val="24"/>
                <w:szCs w:val="24"/>
              </w:rPr>
              <w:t>表1-</w:t>
            </w:r>
            <w:r>
              <w:rPr>
                <w:rFonts w:hint="eastAsia"/>
                <w:b/>
                <w:bCs/>
                <w:color w:val="000000"/>
                <w:kern w:val="0"/>
                <w:sz w:val="24"/>
                <w:szCs w:val="24"/>
              </w:rPr>
              <w:t>2</w:t>
            </w:r>
            <w:r>
              <w:rPr>
                <w:b/>
                <w:bCs/>
                <w:color w:val="000000"/>
                <w:kern w:val="0"/>
                <w:sz w:val="24"/>
                <w:szCs w:val="24"/>
              </w:rPr>
              <w:t xml:space="preserve">  项目与益政发〔2024〕11号相符性一览表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79"/>
              <w:gridCol w:w="739"/>
              <w:gridCol w:w="1714"/>
              <w:gridCol w:w="888"/>
              <w:gridCol w:w="2068"/>
              <w:gridCol w:w="659"/>
            </w:tblGrid>
            <w:tr w14:paraId="6269B5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6" w:type="dxa"/>
                  <w:gridSpan w:val="2"/>
                  <w:vAlign w:val="center"/>
                </w:tcPr>
                <w:p w14:paraId="1F6EFB33">
                  <w:pPr>
                    <w:adjustRightInd w:val="0"/>
                    <w:snapToGrid w:val="0"/>
                    <w:jc w:val="center"/>
                    <w:rPr>
                      <w:b/>
                      <w:szCs w:val="21"/>
                    </w:rPr>
                  </w:pPr>
                  <w:r>
                    <w:rPr>
                      <w:b/>
                      <w:szCs w:val="21"/>
                    </w:rPr>
                    <w:t>环境管控单元编码</w:t>
                  </w:r>
                </w:p>
              </w:tc>
              <w:tc>
                <w:tcPr>
                  <w:tcW w:w="739" w:type="dxa"/>
                  <w:vAlign w:val="center"/>
                </w:tcPr>
                <w:p w14:paraId="7FA78C05">
                  <w:pPr>
                    <w:adjustRightInd w:val="0"/>
                    <w:snapToGrid w:val="0"/>
                    <w:jc w:val="center"/>
                    <w:rPr>
                      <w:b/>
                      <w:szCs w:val="21"/>
                    </w:rPr>
                  </w:pPr>
                  <w:r>
                    <w:rPr>
                      <w:b/>
                      <w:szCs w:val="21"/>
                    </w:rPr>
                    <w:t>单元名称</w:t>
                  </w:r>
                </w:p>
              </w:tc>
              <w:tc>
                <w:tcPr>
                  <w:tcW w:w="1714" w:type="dxa"/>
                  <w:vAlign w:val="center"/>
                </w:tcPr>
                <w:p w14:paraId="59B39A5E">
                  <w:pPr>
                    <w:adjustRightInd w:val="0"/>
                    <w:snapToGrid w:val="0"/>
                    <w:jc w:val="center"/>
                    <w:rPr>
                      <w:b/>
                      <w:szCs w:val="21"/>
                    </w:rPr>
                  </w:pPr>
                  <w:r>
                    <w:rPr>
                      <w:b/>
                      <w:szCs w:val="21"/>
                    </w:rPr>
                    <w:t>涉及乡镇（街道）</w:t>
                  </w:r>
                </w:p>
              </w:tc>
              <w:tc>
                <w:tcPr>
                  <w:tcW w:w="888" w:type="dxa"/>
                  <w:vAlign w:val="center"/>
                </w:tcPr>
                <w:p w14:paraId="5A360068">
                  <w:pPr>
                    <w:adjustRightInd w:val="0"/>
                    <w:snapToGrid w:val="0"/>
                    <w:jc w:val="center"/>
                    <w:rPr>
                      <w:b/>
                      <w:szCs w:val="21"/>
                    </w:rPr>
                  </w:pPr>
                  <w:r>
                    <w:rPr>
                      <w:b/>
                      <w:szCs w:val="21"/>
                    </w:rPr>
                    <w:t>单元面积km</w:t>
                  </w:r>
                  <w:r>
                    <w:rPr>
                      <w:b/>
                      <w:szCs w:val="21"/>
                      <w:vertAlign w:val="superscript"/>
                    </w:rPr>
                    <w:t>2</w:t>
                  </w:r>
                </w:p>
              </w:tc>
              <w:tc>
                <w:tcPr>
                  <w:tcW w:w="2727" w:type="dxa"/>
                  <w:gridSpan w:val="2"/>
                  <w:vAlign w:val="center"/>
                </w:tcPr>
                <w:p w14:paraId="64BA8413">
                  <w:pPr>
                    <w:adjustRightInd w:val="0"/>
                    <w:snapToGrid w:val="0"/>
                    <w:jc w:val="center"/>
                    <w:rPr>
                      <w:b/>
                      <w:szCs w:val="21"/>
                    </w:rPr>
                  </w:pPr>
                  <w:r>
                    <w:rPr>
                      <w:b/>
                      <w:szCs w:val="21"/>
                    </w:rPr>
                    <w:t>经济产业布局</w:t>
                  </w:r>
                </w:p>
              </w:tc>
            </w:tr>
            <w:tr w14:paraId="1C6A1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6" w:type="dxa"/>
                  <w:gridSpan w:val="2"/>
                  <w:vAlign w:val="center"/>
                </w:tcPr>
                <w:p w14:paraId="0C567FDE">
                  <w:pPr>
                    <w:adjustRightInd w:val="0"/>
                    <w:snapToGrid w:val="0"/>
                    <w:jc w:val="center"/>
                    <w:rPr>
                      <w:szCs w:val="21"/>
                    </w:rPr>
                  </w:pPr>
                  <w:r>
                    <w:rPr>
                      <w:rFonts w:hint="eastAsia"/>
                      <w:szCs w:val="21"/>
                    </w:rPr>
                    <w:t>ZH43092310001</w:t>
                  </w:r>
                </w:p>
              </w:tc>
              <w:tc>
                <w:tcPr>
                  <w:tcW w:w="739" w:type="dxa"/>
                  <w:vAlign w:val="center"/>
                </w:tcPr>
                <w:p w14:paraId="6D74290F">
                  <w:pPr>
                    <w:adjustRightInd w:val="0"/>
                    <w:snapToGrid w:val="0"/>
                    <w:jc w:val="center"/>
                    <w:rPr>
                      <w:szCs w:val="21"/>
                    </w:rPr>
                  </w:pPr>
                  <w:r>
                    <w:rPr>
                      <w:rFonts w:hint="eastAsia"/>
                      <w:szCs w:val="21"/>
                      <w:lang w:val="en-US" w:eastAsia="zh-CN"/>
                    </w:rPr>
                    <w:t>优先</w:t>
                  </w:r>
                  <w:r>
                    <w:rPr>
                      <w:rFonts w:hint="eastAsia"/>
                      <w:szCs w:val="21"/>
                    </w:rPr>
                    <w:t>管控</w:t>
                  </w:r>
                  <w:r>
                    <w:rPr>
                      <w:szCs w:val="21"/>
                    </w:rPr>
                    <w:t>单元</w:t>
                  </w:r>
                </w:p>
              </w:tc>
              <w:tc>
                <w:tcPr>
                  <w:tcW w:w="1714" w:type="dxa"/>
                  <w:vAlign w:val="center"/>
                </w:tcPr>
                <w:p w14:paraId="1C58143F">
                  <w:pPr>
                    <w:adjustRightInd w:val="0"/>
                    <w:snapToGrid w:val="0"/>
                    <w:jc w:val="center"/>
                    <w:rPr>
                      <w:szCs w:val="21"/>
                    </w:rPr>
                  </w:pPr>
                  <w:r>
                    <w:rPr>
                      <w:rFonts w:hint="eastAsia"/>
                      <w:szCs w:val="21"/>
                    </w:rPr>
                    <w:t>东坪镇/ 柘溪镇</w:t>
                  </w:r>
                </w:p>
              </w:tc>
              <w:tc>
                <w:tcPr>
                  <w:tcW w:w="888" w:type="dxa"/>
                  <w:vAlign w:val="center"/>
                </w:tcPr>
                <w:p w14:paraId="7A0D68A9">
                  <w:pPr>
                    <w:adjustRightInd w:val="0"/>
                    <w:snapToGrid w:val="0"/>
                    <w:jc w:val="center"/>
                    <w:rPr>
                      <w:rFonts w:hint="default" w:eastAsia="宋体"/>
                      <w:szCs w:val="21"/>
                      <w:lang w:val="en-US" w:eastAsia="zh-CN"/>
                    </w:rPr>
                  </w:pPr>
                  <w:r>
                    <w:rPr>
                      <w:rFonts w:hint="eastAsia"/>
                      <w:szCs w:val="21"/>
                      <w:lang w:val="en-US" w:eastAsia="zh-CN"/>
                    </w:rPr>
                    <w:t>526.30</w:t>
                  </w:r>
                </w:p>
              </w:tc>
              <w:tc>
                <w:tcPr>
                  <w:tcW w:w="2727" w:type="dxa"/>
                  <w:gridSpan w:val="2"/>
                  <w:vAlign w:val="center"/>
                </w:tcPr>
                <w:p w14:paraId="7E713F74">
                  <w:pPr>
                    <w:adjustRightInd w:val="0"/>
                    <w:snapToGrid w:val="0"/>
                    <w:rPr>
                      <w:rFonts w:hint="eastAsia"/>
                      <w:szCs w:val="21"/>
                    </w:rPr>
                  </w:pPr>
                  <w:r>
                    <w:rPr>
                      <w:rFonts w:hint="eastAsia"/>
                      <w:szCs w:val="21"/>
                    </w:rPr>
                    <w:t>东坪镇：商贸、能源、旅游、矿产品加工、农副产品加工、蔬菜生产、生物医药等；</w:t>
                  </w:r>
                </w:p>
                <w:p w14:paraId="328110B0">
                  <w:pPr>
                    <w:adjustRightInd w:val="0"/>
                    <w:snapToGrid w:val="0"/>
                    <w:rPr>
                      <w:szCs w:val="21"/>
                    </w:rPr>
                  </w:pPr>
                  <w:r>
                    <w:rPr>
                      <w:rFonts w:hint="eastAsia"/>
                      <w:szCs w:val="21"/>
                    </w:rPr>
                    <w:t>柘溪镇：能源工业和旅游业为主。</w:t>
                  </w:r>
                </w:p>
              </w:tc>
            </w:tr>
            <w:tr w14:paraId="5839A7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6" w:type="dxa"/>
                  <w:gridSpan w:val="2"/>
                  <w:vAlign w:val="center"/>
                </w:tcPr>
                <w:p w14:paraId="2C16FCAE">
                  <w:pPr>
                    <w:adjustRightInd w:val="0"/>
                    <w:snapToGrid w:val="0"/>
                    <w:jc w:val="center"/>
                    <w:rPr>
                      <w:szCs w:val="21"/>
                    </w:rPr>
                  </w:pPr>
                  <w:r>
                    <w:rPr>
                      <w:szCs w:val="21"/>
                    </w:rPr>
                    <w:t>主要属性</w:t>
                  </w:r>
                </w:p>
              </w:tc>
              <w:tc>
                <w:tcPr>
                  <w:tcW w:w="6068" w:type="dxa"/>
                  <w:gridSpan w:val="5"/>
                  <w:vAlign w:val="center"/>
                </w:tcPr>
                <w:p w14:paraId="30CE483C">
                  <w:pPr>
                    <w:widowControl/>
                    <w:adjustRightInd w:val="0"/>
                    <w:snapToGrid w:val="0"/>
                    <w:rPr>
                      <w:szCs w:val="21"/>
                    </w:rPr>
                  </w:pPr>
                  <w:r>
                    <w:rPr>
                      <w:rFonts w:hint="eastAsia"/>
                      <w:b/>
                      <w:bCs/>
                      <w:szCs w:val="21"/>
                    </w:rPr>
                    <w:t>东坪镇：</w:t>
                  </w:r>
                  <w:r>
                    <w:rPr>
                      <w:rFonts w:hint="eastAsia"/>
                      <w:szCs w:val="21"/>
                    </w:rPr>
                    <w:t>红线/一般生态空间（自然保护区/水源涵养重要区/三区三线生态红线/湿地公园/生物多样性保护功能重要区/水土流失敏感区/原生态红线/水土保持功能重要区）/水环境优先保护区/水环境工业园重点管控区/水环境一般管控区/（水源地（县级及以上）/湿地公园/工业园区、重金属矿）/（益阳市安化县辰溪饮用水水源保护区/湖南雪峰湖国家级湿地公园/益阳市安化县红岩水库饮用水水源保护区/安化经济开发区、安化天地源矿业有限公司大埠锌（铅）矿）/大气环境优先保护区/大气环境高排放重点管控区/大气环境受体敏感重点管控区/（湖南六步溪国家级自然保护区/湖南雪峰湖国家湿地公园/湖南乌云界国家级自然保护区/安化经济开发区/湖南安化经济开发区）/农用地优先保护区/建设用地重点管控区/其他重点管控区/一般管控区/（重金属污染防治重点区域/矿区/中高风险企业用地）/安化经济开发区/城市化地区</w:t>
                  </w:r>
                </w:p>
                <w:p w14:paraId="08E870BD">
                  <w:pPr>
                    <w:widowControl/>
                    <w:adjustRightInd w:val="0"/>
                    <w:snapToGrid w:val="0"/>
                    <w:rPr>
                      <w:szCs w:val="21"/>
                    </w:rPr>
                  </w:pPr>
                  <w:r>
                    <w:rPr>
                      <w:rFonts w:hint="eastAsia"/>
                      <w:szCs w:val="21"/>
                    </w:rPr>
                    <w:t>柘溪镇：红线/一般生态空间（水源涵养重要区/三区三线生态红线/湿地公园/森林公园/生物多样性保护功能重要区/水土流失敏感区/原生态红线/水土保持功能重要区）/水环境优先保护区/水环境一般管控区/（湿地公园/重金属矿）/（湖南雪峰湖国家级湿地公园、湖南安化湘安钨业有限责任公司）/大气环境优先保护区/大气环境受体敏感重点管控区/（湖南九龙池国家森林公园/湖南雪峰湖国家湿地公园）/建设用地重点管控区/其他重点管控区/（矿区/中高风险企业用地/重金属污染防治重点区域）/重点生态功能区</w:t>
                  </w:r>
                </w:p>
              </w:tc>
            </w:tr>
            <w:tr w14:paraId="6F35FB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06" w:type="dxa"/>
                  <w:gridSpan w:val="2"/>
                  <w:vAlign w:val="center"/>
                </w:tcPr>
                <w:p w14:paraId="36E54738">
                  <w:pPr>
                    <w:adjustRightInd w:val="0"/>
                    <w:snapToGrid w:val="0"/>
                    <w:jc w:val="center"/>
                    <w:rPr>
                      <w:szCs w:val="21"/>
                    </w:rPr>
                  </w:pPr>
                  <w:r>
                    <w:rPr>
                      <w:szCs w:val="21"/>
                    </w:rPr>
                    <w:t>市级属性</w:t>
                  </w:r>
                </w:p>
              </w:tc>
              <w:tc>
                <w:tcPr>
                  <w:tcW w:w="6068" w:type="dxa"/>
                  <w:gridSpan w:val="5"/>
                  <w:vAlign w:val="center"/>
                </w:tcPr>
                <w:p w14:paraId="14E9FA5A">
                  <w:pPr>
                    <w:adjustRightInd w:val="0"/>
                    <w:snapToGrid w:val="0"/>
                    <w:rPr>
                      <w:rFonts w:hint="eastAsia" w:ascii="宋体" w:hAnsi="宋体" w:cs="宋体"/>
                      <w:szCs w:val="21"/>
                    </w:rPr>
                  </w:pPr>
                  <w:r>
                    <w:rPr>
                      <w:rFonts w:hint="eastAsia" w:ascii="宋体" w:hAnsi="宋体" w:cs="宋体"/>
                      <w:szCs w:val="21"/>
                    </w:rPr>
                    <w:t>千吨万人（安化县东坪镇横溪饮用水水源地保护区）</w:t>
                  </w:r>
                </w:p>
              </w:tc>
            </w:tr>
            <w:tr w14:paraId="68CECF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59" w:type="dxa"/>
                  <w:gridSpan w:val="4"/>
                  <w:vAlign w:val="center"/>
                </w:tcPr>
                <w:p w14:paraId="04F88F6E">
                  <w:pPr>
                    <w:adjustRightInd w:val="0"/>
                    <w:snapToGrid w:val="0"/>
                    <w:jc w:val="center"/>
                    <w:rPr>
                      <w:szCs w:val="21"/>
                    </w:rPr>
                  </w:pPr>
                  <w:r>
                    <w:rPr>
                      <w:szCs w:val="21"/>
                    </w:rPr>
                    <w:t>管控要求</w:t>
                  </w:r>
                </w:p>
              </w:tc>
              <w:tc>
                <w:tcPr>
                  <w:tcW w:w="2956" w:type="dxa"/>
                  <w:gridSpan w:val="2"/>
                  <w:vAlign w:val="center"/>
                </w:tcPr>
                <w:p w14:paraId="4EA31972">
                  <w:pPr>
                    <w:adjustRightInd w:val="0"/>
                    <w:snapToGrid w:val="0"/>
                    <w:jc w:val="center"/>
                    <w:rPr>
                      <w:szCs w:val="21"/>
                    </w:rPr>
                  </w:pPr>
                  <w:r>
                    <w:rPr>
                      <w:szCs w:val="21"/>
                    </w:rPr>
                    <w:t>本项目建设情况</w:t>
                  </w:r>
                </w:p>
              </w:tc>
              <w:tc>
                <w:tcPr>
                  <w:tcW w:w="659" w:type="dxa"/>
                  <w:vAlign w:val="center"/>
                </w:tcPr>
                <w:p w14:paraId="621403E0">
                  <w:pPr>
                    <w:adjustRightInd w:val="0"/>
                    <w:snapToGrid w:val="0"/>
                    <w:jc w:val="center"/>
                    <w:rPr>
                      <w:szCs w:val="21"/>
                    </w:rPr>
                  </w:pPr>
                  <w:r>
                    <w:rPr>
                      <w:szCs w:val="21"/>
                    </w:rPr>
                    <w:t>是否</w:t>
                  </w:r>
                </w:p>
                <w:p w14:paraId="34E5A3EF">
                  <w:pPr>
                    <w:adjustRightInd w:val="0"/>
                    <w:snapToGrid w:val="0"/>
                    <w:jc w:val="center"/>
                    <w:rPr>
                      <w:szCs w:val="21"/>
                    </w:rPr>
                  </w:pPr>
                  <w:r>
                    <w:rPr>
                      <w:szCs w:val="21"/>
                    </w:rPr>
                    <w:t>符合</w:t>
                  </w:r>
                </w:p>
              </w:tc>
            </w:tr>
            <w:tr w14:paraId="734A5D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7" w:type="dxa"/>
                  <w:vAlign w:val="center"/>
                </w:tcPr>
                <w:p w14:paraId="60F987DB">
                  <w:pPr>
                    <w:adjustRightInd w:val="0"/>
                    <w:snapToGrid w:val="0"/>
                    <w:jc w:val="center"/>
                    <w:rPr>
                      <w:szCs w:val="21"/>
                    </w:rPr>
                  </w:pPr>
                  <w:r>
                    <w:rPr>
                      <w:szCs w:val="21"/>
                    </w:rPr>
                    <w:t>空间布局约束</w:t>
                  </w:r>
                </w:p>
              </w:tc>
              <w:tc>
                <w:tcPr>
                  <w:tcW w:w="2732" w:type="dxa"/>
                  <w:gridSpan w:val="3"/>
                  <w:vAlign w:val="center"/>
                </w:tcPr>
                <w:p w14:paraId="1385A692">
                  <w:pPr>
                    <w:adjustRightInd w:val="0"/>
                    <w:snapToGrid w:val="0"/>
                    <w:rPr>
                      <w:rFonts w:hint="eastAsia"/>
                      <w:szCs w:val="21"/>
                    </w:rPr>
                  </w:pPr>
                  <w:r>
                    <w:rPr>
                      <w:rFonts w:hint="eastAsia"/>
                      <w:szCs w:val="21"/>
                    </w:rPr>
                    <w:t>（1.1）严禁在湖南雪峰湖国家湿地公园、湖南柘溪国家森林公园等自然保护地和生态保护红线内开采固体矿产。禁止矿山无序、零散、</w:t>
                  </w:r>
                  <w:r>
                    <w:rPr>
                      <w:rFonts w:hint="eastAsia"/>
                      <w:szCs w:val="21"/>
                      <w:lang w:val="en-US" w:eastAsia="zh-CN"/>
                    </w:rPr>
                    <w:t>粗矿</w:t>
                  </w:r>
                  <w:r>
                    <w:rPr>
                      <w:rFonts w:hint="eastAsia"/>
                      <w:szCs w:val="21"/>
                    </w:rPr>
                    <w:t>式开采，对污染大、资源浪费严重，安全性差的矿山点应尽早予以关闭取缔。</w:t>
                  </w:r>
                </w:p>
                <w:p w14:paraId="207D744F">
                  <w:pPr>
                    <w:adjustRightInd w:val="0"/>
                    <w:snapToGrid w:val="0"/>
                    <w:rPr>
                      <w:rFonts w:hint="eastAsia"/>
                      <w:szCs w:val="21"/>
                    </w:rPr>
                  </w:pPr>
                  <w:r>
                    <w:rPr>
                      <w:rFonts w:hint="eastAsia"/>
                      <w:szCs w:val="21"/>
                    </w:rPr>
                    <w:t>（1.2）禁止在雪峰湖湿地公园内的草洲、洲滩、岸坡投放固体废弃物，湿地公园范围内全面禁渔，保育区内不建设污染环境，破坏资源或者景观的任何设施。</w:t>
                  </w:r>
                </w:p>
                <w:p w14:paraId="6000CC50">
                  <w:pPr>
                    <w:adjustRightInd w:val="0"/>
                    <w:snapToGrid w:val="0"/>
                    <w:rPr>
                      <w:szCs w:val="21"/>
                    </w:rPr>
                  </w:pPr>
                  <w:r>
                    <w:rPr>
                      <w:rFonts w:hint="eastAsia"/>
                      <w:szCs w:val="21"/>
                    </w:rPr>
                    <w:t>（1.3）严禁在人口聚集区等环境敏感区新建涉重金属产生排放的项目。</w:t>
                  </w:r>
                </w:p>
              </w:tc>
              <w:tc>
                <w:tcPr>
                  <w:tcW w:w="2956" w:type="dxa"/>
                  <w:gridSpan w:val="2"/>
                  <w:vAlign w:val="center"/>
                </w:tcPr>
                <w:p w14:paraId="5DEA05E2">
                  <w:pPr>
                    <w:adjustRightInd w:val="0"/>
                    <w:snapToGrid w:val="0"/>
                    <w:rPr>
                      <w:rFonts w:hint="eastAsia"/>
                      <w:color w:val="auto"/>
                      <w:szCs w:val="21"/>
                      <w:lang w:val="en-US" w:eastAsia="zh-CN"/>
                    </w:rPr>
                  </w:pPr>
                  <w:r>
                    <w:rPr>
                      <w:rFonts w:hint="eastAsia"/>
                      <w:color w:val="auto"/>
                      <w:szCs w:val="21"/>
                    </w:rPr>
                    <w:t>本项目属于医疗及养老建设项目，为民生类项目，</w:t>
                  </w:r>
                  <w:r>
                    <w:rPr>
                      <w:rFonts w:hint="eastAsia"/>
                      <w:color w:val="auto"/>
                      <w:szCs w:val="21"/>
                      <w:lang w:val="en-US" w:eastAsia="zh-CN"/>
                    </w:rPr>
                    <w:t>项目不涉及生态保护红线内的矿产开采；</w:t>
                  </w:r>
                </w:p>
                <w:p w14:paraId="5A8A0693">
                  <w:pPr>
                    <w:adjustRightInd w:val="0"/>
                    <w:snapToGrid w:val="0"/>
                    <w:rPr>
                      <w:rFonts w:hint="default"/>
                      <w:color w:val="auto"/>
                      <w:szCs w:val="21"/>
                      <w:lang w:val="en-US" w:eastAsia="zh-CN"/>
                    </w:rPr>
                  </w:pPr>
                  <w:r>
                    <w:rPr>
                      <w:rFonts w:hint="eastAsia"/>
                      <w:color w:val="auto"/>
                      <w:szCs w:val="21"/>
                      <w:lang w:val="en-US" w:eastAsia="zh-CN"/>
                    </w:rPr>
                    <w:t>项目选址位于安化县东坪镇城南区城南社区连台片，不在雪峰湖湿地公园及保育区范围内；</w:t>
                  </w:r>
                </w:p>
                <w:p w14:paraId="19AB020A">
                  <w:pPr>
                    <w:adjustRightInd w:val="0"/>
                    <w:snapToGrid w:val="0"/>
                    <w:rPr>
                      <w:color w:val="FF0000"/>
                      <w:szCs w:val="21"/>
                    </w:rPr>
                  </w:pPr>
                  <w:r>
                    <w:rPr>
                      <w:rFonts w:hint="eastAsia"/>
                      <w:color w:val="auto"/>
                      <w:szCs w:val="21"/>
                    </w:rPr>
                    <w:t>本项目</w:t>
                  </w:r>
                  <w:r>
                    <w:rPr>
                      <w:rFonts w:hint="eastAsia"/>
                      <w:color w:val="auto"/>
                      <w:szCs w:val="21"/>
                      <w:lang w:val="en-US" w:eastAsia="zh-CN"/>
                    </w:rPr>
                    <w:t>为Q8416疗养院，</w:t>
                  </w:r>
                  <w:r>
                    <w:rPr>
                      <w:rFonts w:hint="eastAsia"/>
                      <w:color w:val="auto"/>
                      <w:szCs w:val="21"/>
                    </w:rPr>
                    <w:t>属于医疗及养老建设项目，为民生类项目，</w:t>
                  </w:r>
                  <w:r>
                    <w:rPr>
                      <w:rFonts w:hint="eastAsia"/>
                      <w:color w:val="auto"/>
                      <w:szCs w:val="21"/>
                      <w:lang w:val="en-US" w:eastAsia="zh-CN"/>
                    </w:rPr>
                    <w:t>不属于涉重金属产生排放的项目</w:t>
                  </w:r>
                  <w:r>
                    <w:rPr>
                      <w:rFonts w:hint="eastAsia"/>
                      <w:color w:val="auto"/>
                      <w:szCs w:val="21"/>
                    </w:rPr>
                    <w:t>。</w:t>
                  </w:r>
                </w:p>
              </w:tc>
              <w:tc>
                <w:tcPr>
                  <w:tcW w:w="659" w:type="dxa"/>
                  <w:vAlign w:val="center"/>
                </w:tcPr>
                <w:p w14:paraId="5079FF77">
                  <w:pPr>
                    <w:adjustRightInd w:val="0"/>
                    <w:snapToGrid w:val="0"/>
                    <w:jc w:val="center"/>
                    <w:rPr>
                      <w:szCs w:val="21"/>
                    </w:rPr>
                  </w:pPr>
                  <w:r>
                    <w:rPr>
                      <w:szCs w:val="21"/>
                    </w:rPr>
                    <w:t>符合</w:t>
                  </w:r>
                </w:p>
              </w:tc>
            </w:tr>
            <w:tr w14:paraId="019AB3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7" w:type="dxa"/>
                  <w:vAlign w:val="center"/>
                </w:tcPr>
                <w:p w14:paraId="06E4BB13">
                  <w:pPr>
                    <w:adjustRightInd w:val="0"/>
                    <w:snapToGrid w:val="0"/>
                    <w:jc w:val="center"/>
                    <w:rPr>
                      <w:szCs w:val="21"/>
                      <w:highlight w:val="yellow"/>
                    </w:rPr>
                  </w:pPr>
                  <w:r>
                    <w:rPr>
                      <w:szCs w:val="21"/>
                    </w:rPr>
                    <w:t>污染物排放管控</w:t>
                  </w:r>
                </w:p>
              </w:tc>
              <w:tc>
                <w:tcPr>
                  <w:tcW w:w="2732" w:type="dxa"/>
                  <w:gridSpan w:val="3"/>
                  <w:vAlign w:val="center"/>
                </w:tcPr>
                <w:p w14:paraId="15A09371">
                  <w:pPr>
                    <w:adjustRightInd w:val="0"/>
                    <w:snapToGrid w:val="0"/>
                    <w:rPr>
                      <w:szCs w:val="21"/>
                      <w:highlight w:val="none"/>
                    </w:rPr>
                  </w:pPr>
                  <w:r>
                    <w:rPr>
                      <w:rFonts w:hint="eastAsia"/>
                      <w:szCs w:val="21"/>
                      <w:highlight w:val="none"/>
                    </w:rPr>
                    <w:t>（2.1）废水：</w:t>
                  </w:r>
                </w:p>
                <w:p w14:paraId="749402C3">
                  <w:pPr>
                    <w:adjustRightInd w:val="0"/>
                    <w:snapToGrid w:val="0"/>
                    <w:rPr>
                      <w:szCs w:val="21"/>
                      <w:highlight w:val="none"/>
                    </w:rPr>
                  </w:pPr>
                  <w:r>
                    <w:rPr>
                      <w:rFonts w:hint="eastAsia"/>
                      <w:szCs w:val="21"/>
                      <w:highlight w:val="none"/>
                    </w:rPr>
                    <w:t>（2.1.1）落实农村生活污水处理全覆盖计划，选择效果稳定、维护管理简便、费用低廉的多元化农村污水处理模式，利用多种设施对生活污水进行处理，减少生活污水排放量。</w:t>
                  </w:r>
                </w:p>
                <w:p w14:paraId="7F56E6E9">
                  <w:pPr>
                    <w:adjustRightInd w:val="0"/>
                    <w:snapToGrid w:val="0"/>
                    <w:rPr>
                      <w:szCs w:val="21"/>
                      <w:highlight w:val="none"/>
                    </w:rPr>
                  </w:pPr>
                  <w:r>
                    <w:rPr>
                      <w:rFonts w:hint="eastAsia"/>
                      <w:szCs w:val="21"/>
                      <w:highlight w:val="none"/>
                    </w:rPr>
                    <w:t>（2.1.2）深入推广节水、节料等清洁养殖工艺和干清粪、雨污分流、固液分离、微生物发酵等技术模式，控制养殖污水产生量，实现源头减量。</w:t>
                  </w:r>
                </w:p>
                <w:p w14:paraId="015E719B">
                  <w:pPr>
                    <w:adjustRightInd w:val="0"/>
                    <w:snapToGrid w:val="0"/>
                    <w:rPr>
                      <w:szCs w:val="21"/>
                      <w:highlight w:val="none"/>
                    </w:rPr>
                  </w:pPr>
                  <w:r>
                    <w:rPr>
                      <w:rFonts w:hint="eastAsia"/>
                      <w:szCs w:val="21"/>
                      <w:highlight w:val="none"/>
                    </w:rPr>
                    <w:t>（2.2）固体废弃物：矿山企业应当采取科学的开采方法和选矿工艺，减少尾矿、矸石、废石等矿业固体废物的产生量和贮存量。尾矿、矸石、废石等矿业固体废物贮存设施停止使用后，矿山企业应当按照国家有关环境保护规定进行封场，加强尾矿库土地复垦和矿山回填。</w:t>
                  </w:r>
                </w:p>
              </w:tc>
              <w:tc>
                <w:tcPr>
                  <w:tcW w:w="2956" w:type="dxa"/>
                  <w:gridSpan w:val="2"/>
                  <w:vAlign w:val="center"/>
                </w:tcPr>
                <w:p w14:paraId="1F38F551">
                  <w:pPr>
                    <w:adjustRightInd w:val="0"/>
                    <w:snapToGrid w:val="0"/>
                    <w:rPr>
                      <w:rFonts w:hint="default"/>
                      <w:color w:val="auto"/>
                      <w:szCs w:val="21"/>
                      <w:lang w:val="en-US" w:eastAsia="zh-CN"/>
                    </w:rPr>
                  </w:pPr>
                  <w:r>
                    <w:rPr>
                      <w:rFonts w:hint="eastAsia"/>
                      <w:color w:val="auto"/>
                      <w:szCs w:val="21"/>
                      <w:lang w:eastAsia="zh-CN"/>
                    </w:rPr>
                    <w:t>（</w:t>
                  </w:r>
                  <w:r>
                    <w:rPr>
                      <w:rFonts w:hint="eastAsia"/>
                      <w:color w:val="auto"/>
                      <w:szCs w:val="21"/>
                      <w:lang w:val="en-US" w:eastAsia="zh-CN"/>
                    </w:rPr>
                    <w:t>2.1.1</w:t>
                  </w:r>
                  <w:r>
                    <w:rPr>
                      <w:rFonts w:hint="eastAsia"/>
                      <w:color w:val="auto"/>
                      <w:szCs w:val="21"/>
                      <w:lang w:eastAsia="zh-CN"/>
                    </w:rPr>
                    <w:t>）</w:t>
                  </w:r>
                  <w:r>
                    <w:rPr>
                      <w:rFonts w:hint="eastAsia"/>
                      <w:color w:val="auto"/>
                      <w:szCs w:val="21"/>
                      <w:lang w:val="en-US" w:eastAsia="zh-CN"/>
                    </w:rPr>
                    <w:t>本项目医疗废水、门诊废水及检验废水经自建污水处理设施处理达《医疗机构水污染物排放标准》(GB18466-2005)(含2026年修改单)表2中预处理标准后排入市政污水管网，经安化县污水处理厂深度处理，达到《城镇污水处理厂污染物排放标准》(GB18918-2002)一级A标准后，排入资江；养老废水、食堂废水及人员办公废水经隔油池、化粪池处理后排入市政污水管网，经安化县污水处理厂深度处理，尾水排入资江。</w:t>
                  </w:r>
                </w:p>
                <w:p w14:paraId="1EA44E6B">
                  <w:pPr>
                    <w:adjustRightInd w:val="0"/>
                    <w:snapToGrid w:val="0"/>
                    <w:rPr>
                      <w:rFonts w:hint="eastAsia"/>
                      <w:color w:val="FF0000"/>
                      <w:szCs w:val="21"/>
                      <w:lang w:val="en-US" w:eastAsia="zh-CN"/>
                    </w:rPr>
                  </w:pPr>
                  <w:r>
                    <w:rPr>
                      <w:rFonts w:hint="eastAsia"/>
                      <w:color w:val="auto"/>
                      <w:szCs w:val="21"/>
                      <w:lang w:eastAsia="zh-CN"/>
                    </w:rPr>
                    <w:t>（</w:t>
                  </w:r>
                  <w:r>
                    <w:rPr>
                      <w:rFonts w:hint="eastAsia"/>
                      <w:color w:val="auto"/>
                      <w:szCs w:val="21"/>
                      <w:lang w:val="en-US" w:eastAsia="zh-CN"/>
                    </w:rPr>
                    <w:t>2.1.2</w:t>
                  </w:r>
                  <w:r>
                    <w:rPr>
                      <w:rFonts w:hint="eastAsia"/>
                      <w:color w:val="auto"/>
                      <w:szCs w:val="21"/>
                      <w:lang w:eastAsia="zh-CN"/>
                    </w:rPr>
                    <w:t>）</w:t>
                  </w:r>
                  <w:r>
                    <w:rPr>
                      <w:rFonts w:hint="eastAsia"/>
                      <w:color w:val="auto"/>
                      <w:szCs w:val="21"/>
                      <w:lang w:val="en-US" w:eastAsia="zh-CN"/>
                    </w:rPr>
                    <w:t>本项目为Q8416疗养院，</w:t>
                  </w:r>
                  <w:r>
                    <w:rPr>
                      <w:rFonts w:hint="eastAsia"/>
                      <w:color w:val="auto"/>
                      <w:szCs w:val="21"/>
                    </w:rPr>
                    <w:t>属于医疗及养老建设项目</w:t>
                  </w:r>
                  <w:r>
                    <w:rPr>
                      <w:rFonts w:hint="eastAsia"/>
                      <w:color w:val="auto"/>
                      <w:szCs w:val="21"/>
                      <w:lang w:val="en-US" w:eastAsia="zh-CN"/>
                    </w:rPr>
                    <w:t>不涉及养殖污水。</w:t>
                  </w:r>
                </w:p>
                <w:p w14:paraId="72AA4EBB">
                  <w:pPr>
                    <w:adjustRightInd w:val="0"/>
                    <w:snapToGrid w:val="0"/>
                    <w:rPr>
                      <w:rFonts w:hint="default"/>
                      <w:color w:val="FF0000"/>
                      <w:szCs w:val="21"/>
                      <w:lang w:val="en-US" w:eastAsia="zh-CN"/>
                    </w:rPr>
                  </w:pPr>
                  <w:r>
                    <w:rPr>
                      <w:rFonts w:hint="eastAsia"/>
                      <w:color w:val="auto"/>
                      <w:szCs w:val="21"/>
                      <w:lang w:val="en-US" w:eastAsia="zh-CN"/>
                    </w:rPr>
                    <w:t>（2.2）医疗废物及污水处理站污泥收集后暂存于医疗废物暂存间，定期交由医疗废物处置中心处置；未被污染输液瓶（袋）收集后由再生资源回收单位回收；废包装物，收集后暂存于一般固废暂存间，可回收的用于回收，不能回收的统一由环卫部门清运处理；厨余垃圾（含隔油池产生的油脂），委托有厨余垃圾资质的单位处理；生活垃圾集中收集后，由环卫部门统一清运。</w:t>
                  </w:r>
                </w:p>
              </w:tc>
              <w:tc>
                <w:tcPr>
                  <w:tcW w:w="659" w:type="dxa"/>
                  <w:vAlign w:val="center"/>
                </w:tcPr>
                <w:p w14:paraId="6727EC22">
                  <w:pPr>
                    <w:adjustRightInd w:val="0"/>
                    <w:snapToGrid w:val="0"/>
                    <w:jc w:val="center"/>
                    <w:rPr>
                      <w:szCs w:val="21"/>
                    </w:rPr>
                  </w:pPr>
                  <w:r>
                    <w:rPr>
                      <w:szCs w:val="21"/>
                    </w:rPr>
                    <w:t>符合</w:t>
                  </w:r>
                </w:p>
              </w:tc>
            </w:tr>
            <w:tr w14:paraId="3F4170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7" w:type="dxa"/>
                  <w:vAlign w:val="center"/>
                </w:tcPr>
                <w:p w14:paraId="26D886D6">
                  <w:pPr>
                    <w:adjustRightInd w:val="0"/>
                    <w:snapToGrid w:val="0"/>
                    <w:jc w:val="center"/>
                    <w:rPr>
                      <w:szCs w:val="21"/>
                    </w:rPr>
                  </w:pPr>
                  <w:r>
                    <w:rPr>
                      <w:szCs w:val="21"/>
                    </w:rPr>
                    <w:t>环境风险防控</w:t>
                  </w:r>
                </w:p>
              </w:tc>
              <w:tc>
                <w:tcPr>
                  <w:tcW w:w="2732" w:type="dxa"/>
                  <w:gridSpan w:val="3"/>
                  <w:vAlign w:val="center"/>
                </w:tcPr>
                <w:p w14:paraId="1569E5AC">
                  <w:pPr>
                    <w:adjustRightInd w:val="0"/>
                    <w:snapToGrid w:val="0"/>
                    <w:rPr>
                      <w:szCs w:val="21"/>
                    </w:rPr>
                  </w:pPr>
                  <w:r>
                    <w:rPr>
                      <w:rFonts w:hint="eastAsia"/>
                      <w:szCs w:val="21"/>
                    </w:rPr>
                    <w:t>（3.1）加</w:t>
                  </w:r>
                  <w:r>
                    <w:rPr>
                      <w:rFonts w:hint="eastAsia"/>
                      <w:szCs w:val="21"/>
                      <w:lang w:eastAsia="zh-CN"/>
                    </w:rPr>
                    <w:t>强和</w:t>
                  </w:r>
                  <w:r>
                    <w:rPr>
                      <w:rFonts w:hint="eastAsia"/>
                      <w:szCs w:val="21"/>
                    </w:rPr>
                    <w:t>完善饮用水水源突发环境事件应急预案及应急技术和设备，做到“一源一案”及时应对和处理饮用水源突发事件。</w:t>
                  </w:r>
                </w:p>
                <w:p w14:paraId="1B2D41C1">
                  <w:pPr>
                    <w:adjustRightInd w:val="0"/>
                    <w:snapToGrid w:val="0"/>
                    <w:rPr>
                      <w:szCs w:val="21"/>
                    </w:rPr>
                  </w:pPr>
                  <w:r>
                    <w:rPr>
                      <w:rFonts w:hint="eastAsia"/>
                      <w:szCs w:val="21"/>
                    </w:rPr>
                    <w:t>（3.2）重点加强已退役工业用地的风险管控，对拟开发利用的关停搬迁企业场地，未按有关规定开展场地环境调查及风险评估的，未明确治理修复责任主体的，禁止进行土地流转；污染场地未经治理修复的，禁止开工建设与治理修复无关的任何项目。</w:t>
                  </w:r>
                </w:p>
              </w:tc>
              <w:tc>
                <w:tcPr>
                  <w:tcW w:w="2956" w:type="dxa"/>
                  <w:gridSpan w:val="2"/>
                  <w:vAlign w:val="center"/>
                </w:tcPr>
                <w:p w14:paraId="32403865">
                  <w:pPr>
                    <w:adjustRightInd w:val="0"/>
                    <w:snapToGrid w:val="0"/>
                    <w:jc w:val="both"/>
                    <w:rPr>
                      <w:rFonts w:hint="default" w:eastAsia="宋体"/>
                      <w:color w:val="FF0000"/>
                      <w:szCs w:val="21"/>
                      <w:lang w:val="en-US" w:eastAsia="zh-CN"/>
                    </w:rPr>
                  </w:pPr>
                  <w:r>
                    <w:rPr>
                      <w:rFonts w:hint="eastAsia"/>
                      <w:color w:val="auto"/>
                      <w:szCs w:val="21"/>
                      <w:lang w:val="en-US" w:eastAsia="zh-CN"/>
                    </w:rPr>
                    <w:t>本项目选址范围内不涉及饮用水源保护地；项目选址不涉及土壤污染修复。</w:t>
                  </w:r>
                </w:p>
              </w:tc>
              <w:tc>
                <w:tcPr>
                  <w:tcW w:w="659" w:type="dxa"/>
                  <w:vAlign w:val="center"/>
                </w:tcPr>
                <w:p w14:paraId="64C045C5">
                  <w:pPr>
                    <w:adjustRightInd w:val="0"/>
                    <w:snapToGrid w:val="0"/>
                    <w:jc w:val="center"/>
                    <w:rPr>
                      <w:szCs w:val="21"/>
                    </w:rPr>
                  </w:pPr>
                  <w:r>
                    <w:rPr>
                      <w:szCs w:val="21"/>
                    </w:rPr>
                    <w:t>符合</w:t>
                  </w:r>
                </w:p>
              </w:tc>
            </w:tr>
            <w:tr w14:paraId="2E1DD7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7" w:type="dxa"/>
                  <w:vAlign w:val="center"/>
                </w:tcPr>
                <w:p w14:paraId="4C87D732">
                  <w:pPr>
                    <w:adjustRightInd w:val="0"/>
                    <w:snapToGrid w:val="0"/>
                    <w:jc w:val="center"/>
                    <w:rPr>
                      <w:szCs w:val="21"/>
                    </w:rPr>
                  </w:pPr>
                  <w:r>
                    <w:rPr>
                      <w:szCs w:val="21"/>
                    </w:rPr>
                    <w:t>资源开发效率要求</w:t>
                  </w:r>
                </w:p>
              </w:tc>
              <w:tc>
                <w:tcPr>
                  <w:tcW w:w="2732" w:type="dxa"/>
                  <w:gridSpan w:val="3"/>
                  <w:vAlign w:val="center"/>
                </w:tcPr>
                <w:p w14:paraId="50A7D463">
                  <w:pPr>
                    <w:adjustRightInd w:val="0"/>
                    <w:snapToGrid w:val="0"/>
                    <w:rPr>
                      <w:szCs w:val="21"/>
                    </w:rPr>
                  </w:pPr>
                  <w:r>
                    <w:rPr>
                      <w:rFonts w:hint="eastAsia"/>
                      <w:szCs w:val="21"/>
                    </w:rPr>
                    <w:t>（4.1）能源：优化能源结构，推广使用清洁能源，鼓励农村大力发展生物质能源和太阳能。</w:t>
                  </w:r>
                </w:p>
                <w:p w14:paraId="11455CDF">
                  <w:pPr>
                    <w:adjustRightInd w:val="0"/>
                    <w:snapToGrid w:val="0"/>
                    <w:rPr>
                      <w:sz w:val="21"/>
                      <w:szCs w:val="21"/>
                    </w:rPr>
                  </w:pPr>
                  <w:r>
                    <w:rPr>
                      <w:rFonts w:hint="eastAsia"/>
                      <w:szCs w:val="21"/>
                    </w:rPr>
                    <w:t>（4.2）</w:t>
                  </w:r>
                  <w:r>
                    <w:rPr>
                      <w:rFonts w:hint="eastAsia"/>
                      <w:sz w:val="21"/>
                      <w:szCs w:val="21"/>
                    </w:rPr>
                    <w:t>水资源：严格用水总量和强度控制，严格执行最严格水资源管理“三条红线”控制指标。大力推进高效节水灌溉，加快推进灌区续建配套和现代化改造，推广喷灌、微灌等技术，发展现代生态节水农业。推动城镇居民家庭节水，普及推广节水型用水器具。</w:t>
                  </w:r>
                </w:p>
                <w:p w14:paraId="273C9A58">
                  <w:pPr>
                    <w:adjustRightInd w:val="0"/>
                    <w:snapToGrid w:val="0"/>
                    <w:rPr>
                      <w:szCs w:val="21"/>
                    </w:rPr>
                  </w:pPr>
                  <w:r>
                    <w:rPr>
                      <w:rFonts w:hint="eastAsia"/>
                      <w:sz w:val="21"/>
                      <w:szCs w:val="21"/>
                    </w:rPr>
                    <w:t>（4.3）土地资源：严守耕地保护红线，严格控制耕地转为林地、草地、园地等其他农用地。严格落实永久基本农田特殊保护制度。引导村民逐步实现集中居住，严格控制村庄建设用地规模零增长，落实“增存挂钩”机制，持续深化城镇存量土地处置。</w:t>
                  </w:r>
                </w:p>
              </w:tc>
              <w:tc>
                <w:tcPr>
                  <w:tcW w:w="2956" w:type="dxa"/>
                  <w:gridSpan w:val="2"/>
                  <w:vAlign w:val="center"/>
                </w:tcPr>
                <w:p w14:paraId="6D7327C2">
                  <w:pPr>
                    <w:adjustRightInd w:val="0"/>
                    <w:snapToGrid w:val="0"/>
                    <w:jc w:val="both"/>
                    <w:rPr>
                      <w:rFonts w:hint="eastAsia"/>
                      <w:color w:val="auto"/>
                      <w:szCs w:val="21"/>
                    </w:rPr>
                  </w:pPr>
                  <w:r>
                    <w:rPr>
                      <w:rFonts w:hint="eastAsia"/>
                      <w:color w:val="auto"/>
                      <w:szCs w:val="21"/>
                    </w:rPr>
                    <w:t>本项目主要使用的能源为电能和水资源</w:t>
                  </w:r>
                  <w:r>
                    <w:rPr>
                      <w:rFonts w:hint="eastAsia"/>
                      <w:color w:val="auto"/>
                      <w:szCs w:val="21"/>
                      <w:lang w:eastAsia="zh-CN"/>
                    </w:rPr>
                    <w:t>；</w:t>
                  </w:r>
                  <w:r>
                    <w:rPr>
                      <w:rFonts w:hint="eastAsia"/>
                      <w:color w:val="auto"/>
                      <w:szCs w:val="21"/>
                      <w:lang w:val="en-US" w:eastAsia="zh-CN"/>
                    </w:rPr>
                    <w:t>均不属于高污染能源</w:t>
                  </w:r>
                  <w:r>
                    <w:rPr>
                      <w:rFonts w:hint="eastAsia"/>
                      <w:color w:val="auto"/>
                      <w:szCs w:val="21"/>
                    </w:rPr>
                    <w:t>。</w:t>
                  </w:r>
                </w:p>
                <w:p w14:paraId="5AF9EB19">
                  <w:pPr>
                    <w:adjustRightInd w:val="0"/>
                    <w:snapToGrid w:val="0"/>
                    <w:jc w:val="both"/>
                    <w:rPr>
                      <w:color w:val="auto"/>
                      <w:szCs w:val="21"/>
                    </w:rPr>
                  </w:pPr>
                  <w:r>
                    <w:rPr>
                      <w:color w:val="auto"/>
                    </w:rPr>
                    <w:t>项目</w:t>
                  </w:r>
                  <w:r>
                    <w:rPr>
                      <w:rFonts w:hint="eastAsia"/>
                      <w:color w:val="auto"/>
                      <w:lang w:val="en-US" w:eastAsia="zh-CN"/>
                    </w:rPr>
                    <w:t>所在地为建设用地，符合土地利用规划</w:t>
                  </w:r>
                  <w:r>
                    <w:rPr>
                      <w:rFonts w:hint="eastAsia"/>
                      <w:color w:val="auto"/>
                    </w:rPr>
                    <w:t>。</w:t>
                  </w:r>
                </w:p>
              </w:tc>
              <w:tc>
                <w:tcPr>
                  <w:tcW w:w="659" w:type="dxa"/>
                  <w:vAlign w:val="center"/>
                </w:tcPr>
                <w:p w14:paraId="40BD02B6">
                  <w:pPr>
                    <w:adjustRightInd w:val="0"/>
                    <w:snapToGrid w:val="0"/>
                    <w:jc w:val="center"/>
                    <w:rPr>
                      <w:szCs w:val="21"/>
                    </w:rPr>
                  </w:pPr>
                  <w:r>
                    <w:rPr>
                      <w:szCs w:val="21"/>
                    </w:rPr>
                    <w:t>符合</w:t>
                  </w:r>
                </w:p>
              </w:tc>
            </w:tr>
          </w:tbl>
          <w:p w14:paraId="49EC016D">
            <w:pPr>
              <w:adjustRightInd w:val="0"/>
              <w:snapToGrid w:val="0"/>
              <w:spacing w:line="360" w:lineRule="auto"/>
              <w:ind w:firstLine="480" w:firstLineChars="200"/>
              <w:rPr>
                <w:b/>
                <w:bCs/>
                <w:color w:val="000000"/>
                <w:kern w:val="0"/>
                <w:sz w:val="24"/>
                <w:szCs w:val="24"/>
              </w:rPr>
            </w:pPr>
            <w:r>
              <w:rPr>
                <w:color w:val="000000"/>
                <w:kern w:val="0"/>
                <w:sz w:val="24"/>
                <w:szCs w:val="24"/>
              </w:rPr>
              <w:t>根据上表分析，本项目</w:t>
            </w:r>
            <w:r>
              <w:rPr>
                <w:rFonts w:hint="eastAsia" w:ascii="宋体" w:hAnsi="宋体" w:cs="宋体"/>
                <w:color w:val="000000"/>
                <w:kern w:val="0"/>
                <w:sz w:val="24"/>
                <w:szCs w:val="24"/>
              </w:rPr>
              <w:t>符合所在地“三线一单”生态环</w:t>
            </w:r>
            <w:r>
              <w:rPr>
                <w:color w:val="000000"/>
                <w:kern w:val="0"/>
                <w:sz w:val="24"/>
                <w:szCs w:val="24"/>
              </w:rPr>
              <w:t>境分区管控（益政发〔2024〕11号）文件要求。</w:t>
            </w:r>
          </w:p>
          <w:p w14:paraId="7DFF9068">
            <w:pPr>
              <w:adjustRightInd w:val="0"/>
              <w:snapToGrid w:val="0"/>
              <w:spacing w:line="360" w:lineRule="auto"/>
              <w:rPr>
                <w:b/>
                <w:bCs/>
                <w:color w:val="000000"/>
                <w:kern w:val="0"/>
                <w:sz w:val="24"/>
                <w:szCs w:val="24"/>
              </w:rPr>
            </w:pPr>
            <w:r>
              <w:rPr>
                <w:b/>
                <w:bCs/>
                <w:color w:val="000000"/>
                <w:kern w:val="0"/>
                <w:sz w:val="24"/>
                <w:szCs w:val="24"/>
              </w:rPr>
              <w:t>2 建设项目与产业政策符合性分析</w:t>
            </w:r>
          </w:p>
          <w:p w14:paraId="5053CF81">
            <w:pPr>
              <w:pStyle w:val="21"/>
              <w:adjustRightInd w:val="0"/>
              <w:snapToGrid w:val="0"/>
              <w:spacing w:line="360" w:lineRule="auto"/>
              <w:ind w:firstLine="480" w:firstLineChars="200"/>
              <w:jc w:val="both"/>
              <w:rPr>
                <w:color w:val="FF0000"/>
                <w:sz w:val="24"/>
              </w:rPr>
            </w:pPr>
            <w:r>
              <w:rPr>
                <w:rFonts w:hint="eastAsia" w:ascii="宋体" w:hAnsi="宋体" w:cs="宋体"/>
                <w:sz w:val="24"/>
                <w:szCs w:val="24"/>
              </w:rPr>
              <w:t>本项目为</w:t>
            </w:r>
            <w:r>
              <w:rPr>
                <w:rFonts w:hint="default" w:ascii="Times New Roman" w:hAnsi="Times New Roman" w:cs="Times New Roman"/>
                <w:sz w:val="24"/>
                <w:szCs w:val="24"/>
              </w:rPr>
              <w:t>Q8416疗养院</w:t>
            </w:r>
            <w:r>
              <w:rPr>
                <w:rFonts w:hint="eastAsia" w:ascii="宋体" w:hAnsi="宋体" w:cs="宋体"/>
                <w:sz w:val="24"/>
                <w:szCs w:val="24"/>
              </w:rPr>
              <w:t>，根据《产业结构调整指导目录（</w:t>
            </w:r>
            <w:r>
              <w:rPr>
                <w:rFonts w:hint="default" w:ascii="Times New Roman" w:hAnsi="Times New Roman" w:cs="Times New Roman"/>
                <w:sz w:val="24"/>
                <w:szCs w:val="24"/>
              </w:rPr>
              <w:t>2024</w:t>
            </w:r>
            <w:r>
              <w:rPr>
                <w:rFonts w:hint="eastAsia" w:ascii="宋体" w:hAnsi="宋体" w:cs="宋体"/>
                <w:sz w:val="24"/>
                <w:szCs w:val="24"/>
              </w:rPr>
              <w:t>年本）》，本项目属于鼓励类中“三十七、卫生健康-1.医疗服务设施建设：医养结合设施与服务”</w:t>
            </w:r>
            <w:r>
              <w:rPr>
                <w:rFonts w:ascii="宋体" w:hAnsi="宋体" w:cs="宋体"/>
                <w:sz w:val="24"/>
                <w:szCs w:val="24"/>
              </w:rPr>
              <w:t>。</w:t>
            </w:r>
          </w:p>
          <w:p w14:paraId="3A4C6D18">
            <w:pPr>
              <w:spacing w:line="360" w:lineRule="auto"/>
              <w:ind w:firstLine="480" w:firstLineChars="200"/>
              <w:rPr>
                <w:color w:val="000000"/>
                <w:kern w:val="0"/>
                <w:sz w:val="24"/>
                <w:szCs w:val="24"/>
              </w:rPr>
            </w:pPr>
            <w:r>
              <w:rPr>
                <w:color w:val="000000"/>
                <w:kern w:val="0"/>
                <w:sz w:val="24"/>
                <w:szCs w:val="24"/>
              </w:rPr>
              <w:t>综上所述，本项目的建设符合国家和地方产业政策要求。</w:t>
            </w:r>
          </w:p>
          <w:p w14:paraId="68CC84C1">
            <w:pPr>
              <w:spacing w:line="360" w:lineRule="auto"/>
              <w:rPr>
                <w:rFonts w:hint="eastAsia"/>
                <w:b/>
                <w:bCs/>
                <w:color w:val="000000"/>
                <w:kern w:val="0"/>
                <w:sz w:val="24"/>
                <w:szCs w:val="24"/>
                <w:lang w:val="en-US" w:eastAsia="zh-CN"/>
              </w:rPr>
            </w:pPr>
            <w:r>
              <w:rPr>
                <w:rFonts w:hint="eastAsia"/>
                <w:b/>
                <w:bCs/>
                <w:color w:val="000000"/>
                <w:kern w:val="0"/>
                <w:sz w:val="24"/>
                <w:szCs w:val="24"/>
              </w:rPr>
              <w:t>3</w:t>
            </w:r>
            <w:r>
              <w:rPr>
                <w:rFonts w:hint="eastAsia"/>
                <w:b/>
                <w:bCs/>
                <w:color w:val="000000"/>
                <w:kern w:val="0"/>
                <w:sz w:val="24"/>
                <w:szCs w:val="24"/>
                <w:lang w:val="en-US" w:eastAsia="zh-CN"/>
              </w:rPr>
              <w:t xml:space="preserve"> 选址合理性分析</w:t>
            </w:r>
          </w:p>
          <w:p w14:paraId="1D081E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hint="eastAsia"/>
                <w:b w:val="0"/>
                <w:bCs w:val="0"/>
                <w:color w:val="000000"/>
                <w:kern w:val="0"/>
                <w:sz w:val="24"/>
                <w:szCs w:val="24"/>
                <w:lang w:val="en-US" w:eastAsia="zh-CN"/>
              </w:rPr>
              <w:t>本项目位于</w:t>
            </w:r>
            <w:r>
              <w:rPr>
                <w:rFonts w:hint="eastAsia"/>
                <w:color w:val="000000"/>
                <w:spacing w:val="-6"/>
                <w:sz w:val="24"/>
                <w:szCs w:val="24"/>
                <w:lang w:val="en-US" w:eastAsia="zh-CN"/>
              </w:rPr>
              <w:t>安化县东坪镇城南区城南社区连台片</w:t>
            </w:r>
            <w:r>
              <w:rPr>
                <w:color w:val="000000"/>
                <w:kern w:val="0"/>
                <w:sz w:val="24"/>
                <w:szCs w:val="24"/>
              </w:rPr>
              <w:t>，</w:t>
            </w:r>
            <w:r>
              <w:rPr>
                <w:rFonts w:hint="eastAsia"/>
                <w:color w:val="000000"/>
                <w:kern w:val="0"/>
                <w:sz w:val="24"/>
                <w:szCs w:val="24"/>
                <w:lang w:val="en-US" w:eastAsia="zh-CN"/>
              </w:rPr>
              <w:t>项目已取得了湖南省人民政府批准的农用地转用、土地征收审批单（（2023）政国土字第1096号），用地面积为1.5309公顷，项目用地符合要求，详见附件；另0.9632公顷，已取得益阳市人民政府批准的乡（镇）村农用地转用、使用土地审批单（（2025）政国土转字第1075号），详见附件；</w:t>
            </w:r>
            <w:r>
              <w:rPr>
                <w:rFonts w:ascii="宋体" w:hAnsi="宋体" w:eastAsia="宋体" w:cs="宋体"/>
                <w:sz w:val="24"/>
                <w:szCs w:val="24"/>
              </w:rPr>
              <w:t>项目选址不在安化生态保护红线范围内，不属于自然保护区、风景名胜区、森林公园、饮用水水源保护区、重要湖泊周边、文物古迹所在地地质遗迹保护区，周边无古树名木、珍稀濒危物种和国家保护植物。</w:t>
            </w:r>
          </w:p>
          <w:p w14:paraId="634863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b w:val="0"/>
                <w:bCs w:val="0"/>
                <w:color w:val="000000"/>
                <w:kern w:val="0"/>
                <w:sz w:val="24"/>
                <w:szCs w:val="24"/>
                <w:lang w:val="en-US" w:eastAsia="zh-CN"/>
              </w:rPr>
            </w:pPr>
            <w:r>
              <w:rPr>
                <w:rFonts w:ascii="宋体" w:hAnsi="宋体" w:eastAsia="宋体" w:cs="宋体"/>
                <w:sz w:val="24"/>
                <w:szCs w:val="24"/>
              </w:rPr>
              <w:t>根据现场踏勘，不存在与本项目有关的明显制约因素。</w:t>
            </w:r>
            <w:r>
              <w:rPr>
                <w:rFonts w:hint="eastAsia" w:ascii="宋体" w:hAnsi="宋体" w:eastAsia="宋体" w:cs="宋体"/>
                <w:sz w:val="24"/>
                <w:szCs w:val="24"/>
                <w:lang w:val="en-US" w:eastAsia="zh-CN"/>
              </w:rPr>
              <w:t>本项目的选址符合相关规划要求，选址合理。</w:t>
            </w:r>
          </w:p>
          <w:p w14:paraId="1E49FF3D">
            <w:pPr>
              <w:spacing w:line="360" w:lineRule="auto"/>
              <w:rPr>
                <w:b/>
                <w:bCs/>
                <w:kern w:val="0"/>
                <w:sz w:val="24"/>
                <w:szCs w:val="24"/>
                <w:lang w:bidi="ar"/>
              </w:rPr>
            </w:pPr>
            <w:r>
              <w:rPr>
                <w:rFonts w:hint="eastAsia"/>
                <w:b/>
                <w:bCs/>
                <w:color w:val="000000"/>
                <w:kern w:val="0"/>
                <w:sz w:val="24"/>
                <w:szCs w:val="24"/>
                <w:lang w:val="en-US" w:eastAsia="zh-CN"/>
              </w:rPr>
              <w:t xml:space="preserve">4 </w:t>
            </w:r>
            <w:r>
              <w:rPr>
                <w:rFonts w:hint="eastAsia"/>
                <w:b/>
                <w:bCs/>
                <w:kern w:val="0"/>
                <w:sz w:val="24"/>
                <w:szCs w:val="24"/>
                <w:lang w:bidi="ar"/>
              </w:rPr>
              <w:t>与《益阳市“十四五”卫生健康规划》符合性分析</w:t>
            </w:r>
          </w:p>
          <w:p w14:paraId="22414B9C">
            <w:pPr>
              <w:widowControl/>
              <w:adjustRightInd w:val="0"/>
              <w:snapToGrid w:val="0"/>
              <w:spacing w:line="360" w:lineRule="auto"/>
              <w:ind w:firstLine="480" w:firstLineChars="200"/>
              <w:rPr>
                <w:rFonts w:hint="eastAsia" w:ascii="宋体" w:hAnsi="宋体" w:cs="宋体"/>
                <w:sz w:val="24"/>
                <w:szCs w:val="24"/>
              </w:rPr>
            </w:pPr>
            <w:r>
              <w:rPr>
                <w:rFonts w:ascii="宋体" w:hAnsi="宋体" w:cs="宋体"/>
                <w:sz w:val="24"/>
                <w:szCs w:val="24"/>
              </w:rPr>
              <w:t>根据《益阳市“十四五”卫生健康规划》：一是全面推进健康益阳建设，二是建设强大公共卫生服务体系，三是构建优质高效医疗卫生服务体系，四是构建全生命周期健康管理体系，五是推动中医药事业传承创新发展，六是推动健康产业优质发展，七是健全药品供应保障机制，八是夯实卫生健康发展基础。</w:t>
            </w:r>
          </w:p>
          <w:p w14:paraId="12AB62F0">
            <w:pPr>
              <w:widowControl/>
              <w:adjustRightInd w:val="0"/>
              <w:snapToGrid w:val="0"/>
              <w:spacing w:line="360" w:lineRule="auto"/>
              <w:ind w:firstLine="480" w:firstLineChars="200"/>
              <w:rPr>
                <w:kern w:val="0"/>
                <w:sz w:val="24"/>
                <w:szCs w:val="24"/>
              </w:rPr>
            </w:pPr>
            <w:r>
              <w:rPr>
                <w:rFonts w:ascii="宋体" w:hAnsi="宋体" w:cs="宋体"/>
                <w:color w:val="auto"/>
                <w:sz w:val="24"/>
                <w:szCs w:val="24"/>
              </w:rPr>
              <w:t>本项目</w:t>
            </w:r>
            <w:r>
              <w:rPr>
                <w:rFonts w:hint="eastAsia" w:ascii="宋体" w:hAnsi="宋体" w:cs="宋体"/>
                <w:color w:val="auto"/>
                <w:sz w:val="24"/>
                <w:szCs w:val="24"/>
              </w:rPr>
              <w:t>属于医疗及养老建设项目，为民生类项目</w:t>
            </w:r>
            <w:r>
              <w:rPr>
                <w:rFonts w:ascii="宋体" w:hAnsi="宋体" w:cs="宋体"/>
                <w:color w:val="auto"/>
                <w:sz w:val="24"/>
                <w:szCs w:val="24"/>
              </w:rPr>
              <w:t>，</w:t>
            </w:r>
            <w:r>
              <w:rPr>
                <w:rFonts w:ascii="宋体" w:hAnsi="宋体" w:cs="宋体"/>
                <w:sz w:val="24"/>
                <w:szCs w:val="24"/>
              </w:rPr>
              <w:t>符合发展规划</w:t>
            </w:r>
            <w:r>
              <w:rPr>
                <w:kern w:val="0"/>
                <w:sz w:val="24"/>
                <w:szCs w:val="24"/>
              </w:rPr>
              <w:t>。</w:t>
            </w:r>
          </w:p>
          <w:p w14:paraId="73A9697B">
            <w:pPr>
              <w:spacing w:line="360" w:lineRule="auto"/>
              <w:rPr>
                <w:b/>
                <w:bCs/>
                <w:kern w:val="0"/>
                <w:sz w:val="24"/>
                <w:szCs w:val="24"/>
                <w:lang w:bidi="ar"/>
              </w:rPr>
            </w:pPr>
            <w:r>
              <w:rPr>
                <w:rFonts w:hint="eastAsia"/>
                <w:b/>
                <w:bCs/>
                <w:kern w:val="0"/>
                <w:sz w:val="24"/>
                <w:szCs w:val="24"/>
                <w:lang w:val="en-US" w:eastAsia="zh-CN" w:bidi="ar"/>
              </w:rPr>
              <w:t>5</w:t>
            </w:r>
            <w:r>
              <w:rPr>
                <w:rFonts w:hint="eastAsia"/>
                <w:b/>
                <w:bCs/>
                <w:kern w:val="0"/>
                <w:sz w:val="24"/>
                <w:szCs w:val="24"/>
                <w:lang w:bidi="ar"/>
              </w:rPr>
              <w:t xml:space="preserve"> 与《医疗机构废弃物综合治理工作方案》（国卫医发〔2020〕3号）符合性分析 </w:t>
            </w:r>
          </w:p>
          <w:p w14:paraId="454087E6">
            <w:pPr>
              <w:widowControl/>
              <w:adjustRightInd w:val="0"/>
              <w:snapToGrid w:val="0"/>
              <w:spacing w:line="360" w:lineRule="auto"/>
              <w:ind w:firstLine="480" w:firstLineChars="200"/>
              <w:rPr>
                <w:rFonts w:hint="eastAsia" w:ascii="宋体" w:hAnsi="宋体" w:cs="宋体"/>
                <w:sz w:val="24"/>
                <w:szCs w:val="24"/>
              </w:rPr>
            </w:pPr>
            <w:r>
              <w:rPr>
                <w:rFonts w:ascii="宋体" w:hAnsi="宋体" w:cs="宋体"/>
                <w:sz w:val="24"/>
                <w:szCs w:val="24"/>
              </w:rPr>
              <w:t>根据《医疗机构废弃物综合治理工作方案》（国卫医发</w:t>
            </w:r>
            <w:r>
              <w:rPr>
                <w:sz w:val="24"/>
                <w:szCs w:val="24"/>
              </w:rPr>
              <w:t>〔2020〕3</w:t>
            </w:r>
            <w:r>
              <w:rPr>
                <w:rFonts w:ascii="宋体" w:hAnsi="宋体" w:cs="宋体"/>
                <w:sz w:val="24"/>
                <w:szCs w:val="24"/>
              </w:rPr>
              <w:t>号）中有关要求，本项目符合性分析见下表</w:t>
            </w:r>
          </w:p>
          <w:p w14:paraId="57AA51E7">
            <w:pPr>
              <w:widowControl/>
              <w:adjustRightInd w:val="0"/>
              <w:snapToGrid w:val="0"/>
              <w:spacing w:line="360" w:lineRule="auto"/>
              <w:jc w:val="center"/>
              <w:rPr>
                <w:rFonts w:hint="eastAsia" w:ascii="宋体" w:hAnsi="宋体" w:cs="宋体"/>
                <w:sz w:val="24"/>
                <w:szCs w:val="24"/>
              </w:rPr>
            </w:pPr>
            <w:r>
              <w:rPr>
                <w:b/>
                <w:bCs/>
                <w:sz w:val="24"/>
                <w:szCs w:val="24"/>
              </w:rPr>
              <w:t xml:space="preserve">表1-3  </w:t>
            </w:r>
            <w:r>
              <w:rPr>
                <w:rFonts w:hint="eastAsia"/>
                <w:b/>
                <w:bCs/>
                <w:kern w:val="0"/>
                <w:sz w:val="24"/>
                <w:szCs w:val="24"/>
                <w:lang w:bidi="ar"/>
              </w:rPr>
              <w:t>与《医疗机构废弃物综合治理工作方案》符合性一览表</w:t>
            </w:r>
          </w:p>
          <w:tbl>
            <w:tblPr>
              <w:tblStyle w:val="48"/>
              <w:tblW w:w="73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18"/>
              <w:gridCol w:w="865"/>
              <w:gridCol w:w="2999"/>
              <w:gridCol w:w="2228"/>
              <w:gridCol w:w="694"/>
            </w:tblGrid>
            <w:tr w14:paraId="7BA713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8" w:type="dxa"/>
                  <w:vAlign w:val="center"/>
                </w:tcPr>
                <w:p w14:paraId="3C14F278">
                  <w:pPr>
                    <w:widowControl/>
                    <w:adjustRightInd w:val="0"/>
                    <w:snapToGrid w:val="0"/>
                    <w:jc w:val="center"/>
                    <w:rPr>
                      <w:b/>
                      <w:bCs/>
                      <w:szCs w:val="21"/>
                    </w:rPr>
                  </w:pPr>
                  <w:r>
                    <w:rPr>
                      <w:rFonts w:hint="eastAsia"/>
                      <w:b/>
                      <w:bCs/>
                      <w:szCs w:val="21"/>
                    </w:rPr>
                    <w:t>序号</w:t>
                  </w:r>
                </w:p>
              </w:tc>
              <w:tc>
                <w:tcPr>
                  <w:tcW w:w="3864" w:type="dxa"/>
                  <w:gridSpan w:val="2"/>
                  <w:vAlign w:val="center"/>
                </w:tcPr>
                <w:p w14:paraId="0AA6C07C">
                  <w:pPr>
                    <w:widowControl/>
                    <w:adjustRightInd w:val="0"/>
                    <w:snapToGrid w:val="0"/>
                    <w:jc w:val="center"/>
                    <w:rPr>
                      <w:b/>
                      <w:bCs/>
                      <w:szCs w:val="21"/>
                    </w:rPr>
                  </w:pPr>
                  <w:r>
                    <w:rPr>
                      <w:b/>
                      <w:bCs/>
                      <w:szCs w:val="21"/>
                    </w:rPr>
                    <w:t>《医疗机构废弃物综合治理工作方案》相关要求</w:t>
                  </w:r>
                </w:p>
              </w:tc>
              <w:tc>
                <w:tcPr>
                  <w:tcW w:w="2228" w:type="dxa"/>
                  <w:vAlign w:val="center"/>
                </w:tcPr>
                <w:p w14:paraId="3A331530">
                  <w:pPr>
                    <w:widowControl/>
                    <w:adjustRightInd w:val="0"/>
                    <w:snapToGrid w:val="0"/>
                    <w:jc w:val="center"/>
                    <w:rPr>
                      <w:b/>
                      <w:bCs/>
                      <w:szCs w:val="21"/>
                    </w:rPr>
                  </w:pPr>
                  <w:r>
                    <w:rPr>
                      <w:b/>
                      <w:bCs/>
                      <w:szCs w:val="21"/>
                    </w:rPr>
                    <w:t>本项目情况</w:t>
                  </w:r>
                </w:p>
              </w:tc>
              <w:tc>
                <w:tcPr>
                  <w:tcW w:w="694" w:type="dxa"/>
                  <w:vAlign w:val="center"/>
                </w:tcPr>
                <w:p w14:paraId="54C0987F">
                  <w:pPr>
                    <w:widowControl/>
                    <w:adjustRightInd w:val="0"/>
                    <w:snapToGrid w:val="0"/>
                    <w:jc w:val="center"/>
                    <w:rPr>
                      <w:b/>
                      <w:bCs/>
                      <w:szCs w:val="21"/>
                    </w:rPr>
                  </w:pPr>
                  <w:r>
                    <w:rPr>
                      <w:rFonts w:hint="eastAsia"/>
                      <w:b/>
                      <w:bCs/>
                      <w:szCs w:val="21"/>
                    </w:rPr>
                    <w:t>是否符合</w:t>
                  </w:r>
                </w:p>
              </w:tc>
            </w:tr>
            <w:tr w14:paraId="63DEB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8" w:type="dxa"/>
                  <w:vAlign w:val="center"/>
                </w:tcPr>
                <w:p w14:paraId="53A8087C">
                  <w:pPr>
                    <w:widowControl/>
                    <w:adjustRightInd w:val="0"/>
                    <w:snapToGrid w:val="0"/>
                    <w:jc w:val="center"/>
                    <w:rPr>
                      <w:szCs w:val="21"/>
                    </w:rPr>
                  </w:pPr>
                  <w:r>
                    <w:rPr>
                      <w:rFonts w:hint="eastAsia"/>
                      <w:szCs w:val="21"/>
                    </w:rPr>
                    <w:t>1</w:t>
                  </w:r>
                </w:p>
              </w:tc>
              <w:tc>
                <w:tcPr>
                  <w:tcW w:w="865" w:type="dxa"/>
                  <w:vAlign w:val="center"/>
                </w:tcPr>
                <w:p w14:paraId="705A5B87">
                  <w:pPr>
                    <w:widowControl/>
                    <w:adjustRightInd w:val="0"/>
                    <w:snapToGrid w:val="0"/>
                    <w:jc w:val="center"/>
                    <w:rPr>
                      <w:szCs w:val="21"/>
                    </w:rPr>
                  </w:pPr>
                  <w:r>
                    <w:rPr>
                      <w:szCs w:val="21"/>
                    </w:rPr>
                    <w:t>做好医疗机构内部废弃物分类和管理</w:t>
                  </w:r>
                </w:p>
              </w:tc>
              <w:tc>
                <w:tcPr>
                  <w:tcW w:w="2999" w:type="dxa"/>
                  <w:vAlign w:val="center"/>
                </w:tcPr>
                <w:p w14:paraId="55764C1E">
                  <w:pPr>
                    <w:widowControl/>
                    <w:adjustRightInd w:val="0"/>
                    <w:snapToGrid w:val="0"/>
                    <w:rPr>
                      <w:szCs w:val="21"/>
                    </w:rPr>
                  </w:pPr>
                  <w:r>
                    <w:rPr>
                      <w:szCs w:val="21"/>
                    </w:rPr>
                    <w:t>通过规范分类和清晰流程，各医疗机构内形成分类投放、分类收集、分类贮存、分类交接、分类转运的废弃物管理系统。充分利用电子标签、二维码等信息化技术手段，对药品和医用耗材购入、使用和处置等环节进行精细化全程跟踪管理，鼓励医疗机构使用具有追溯功能的医疗用品、具有计数功能的可复用容器，确保医疗机构废弃物应分尽分和可追溯。</w:t>
                  </w:r>
                </w:p>
              </w:tc>
              <w:tc>
                <w:tcPr>
                  <w:tcW w:w="2228" w:type="dxa"/>
                  <w:vAlign w:val="center"/>
                </w:tcPr>
                <w:p w14:paraId="36530154">
                  <w:pPr>
                    <w:widowControl/>
                    <w:adjustRightInd w:val="0"/>
                    <w:snapToGrid w:val="0"/>
                    <w:rPr>
                      <w:szCs w:val="21"/>
                    </w:rPr>
                  </w:pPr>
                  <w:r>
                    <w:rPr>
                      <w:rFonts w:hint="eastAsia"/>
                      <w:szCs w:val="21"/>
                    </w:rPr>
                    <w:t>本</w:t>
                  </w:r>
                  <w:r>
                    <w:rPr>
                      <w:szCs w:val="21"/>
                    </w:rPr>
                    <w:t>项目医疗废物、生活垃圾等实现分类投放、分类收集、分类贮存、分类交接、分类处置。充分利用电子标签、二维码等信息化技术手段，对药品和医用耗材购入、使用和处置等环节进行精细化全程跟踪管理。</w:t>
                  </w:r>
                </w:p>
              </w:tc>
              <w:tc>
                <w:tcPr>
                  <w:tcW w:w="694" w:type="dxa"/>
                  <w:vAlign w:val="center"/>
                </w:tcPr>
                <w:p w14:paraId="2966B29B">
                  <w:pPr>
                    <w:widowControl/>
                    <w:adjustRightInd w:val="0"/>
                    <w:snapToGrid w:val="0"/>
                    <w:jc w:val="center"/>
                    <w:rPr>
                      <w:szCs w:val="21"/>
                    </w:rPr>
                  </w:pPr>
                  <w:r>
                    <w:rPr>
                      <w:rFonts w:hint="eastAsia"/>
                      <w:szCs w:val="21"/>
                    </w:rPr>
                    <w:t>符合</w:t>
                  </w:r>
                </w:p>
              </w:tc>
            </w:tr>
            <w:tr w14:paraId="0FB405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8" w:type="dxa"/>
                  <w:vAlign w:val="center"/>
                </w:tcPr>
                <w:p w14:paraId="72DB4D5B">
                  <w:pPr>
                    <w:widowControl/>
                    <w:adjustRightInd w:val="0"/>
                    <w:snapToGrid w:val="0"/>
                    <w:jc w:val="center"/>
                    <w:rPr>
                      <w:szCs w:val="21"/>
                    </w:rPr>
                  </w:pPr>
                  <w:r>
                    <w:rPr>
                      <w:rFonts w:hint="eastAsia"/>
                      <w:szCs w:val="21"/>
                    </w:rPr>
                    <w:t>2</w:t>
                  </w:r>
                </w:p>
              </w:tc>
              <w:tc>
                <w:tcPr>
                  <w:tcW w:w="865" w:type="dxa"/>
                  <w:vAlign w:val="center"/>
                </w:tcPr>
                <w:p w14:paraId="62337DFD">
                  <w:pPr>
                    <w:widowControl/>
                    <w:adjustRightInd w:val="0"/>
                    <w:snapToGrid w:val="0"/>
                    <w:jc w:val="center"/>
                    <w:rPr>
                      <w:szCs w:val="21"/>
                    </w:rPr>
                  </w:pPr>
                  <w:r>
                    <w:rPr>
                      <w:szCs w:val="21"/>
                    </w:rPr>
                    <w:t>做好医疗废物处置</w:t>
                  </w:r>
                </w:p>
              </w:tc>
              <w:tc>
                <w:tcPr>
                  <w:tcW w:w="2999" w:type="dxa"/>
                  <w:vAlign w:val="center"/>
                </w:tcPr>
                <w:p w14:paraId="6C753C55">
                  <w:pPr>
                    <w:widowControl/>
                    <w:adjustRightInd w:val="0"/>
                    <w:snapToGrid w:val="0"/>
                    <w:rPr>
                      <w:szCs w:val="21"/>
                    </w:rPr>
                  </w:pPr>
                  <w:r>
                    <w:rPr>
                      <w:szCs w:val="21"/>
                    </w:rPr>
                    <w:t>医疗机构按照《医疗废物分类目录》等要求制定具体的分类收集清单。严格落实危险废物申报登记和管理计划备案要求，依法向生态环境部门申报医疗废物的种类、产生量、流向、贮存和处置等情况。严禁混合医疗废物、生活垃圾和输液瓶（袋），严禁混放各类医疗废物。规范医疗废物贮存场所（设施）管理，不得露天存放。及时告知并将医疗废物交由持有危险废物经营许可证的集中处置单位，执行转移联单并做好交接登记，资料保存不少于3年。</w:t>
                  </w:r>
                </w:p>
              </w:tc>
              <w:tc>
                <w:tcPr>
                  <w:tcW w:w="2228" w:type="dxa"/>
                  <w:vAlign w:val="center"/>
                </w:tcPr>
                <w:p w14:paraId="68987885">
                  <w:pPr>
                    <w:widowControl/>
                    <w:adjustRightInd w:val="0"/>
                    <w:snapToGrid w:val="0"/>
                    <w:rPr>
                      <w:szCs w:val="21"/>
                    </w:rPr>
                  </w:pPr>
                  <w:r>
                    <w:rPr>
                      <w:szCs w:val="21"/>
                    </w:rPr>
                    <w:t>项目运营期按照《医疗废物分类目录》的要求制定具体的分类收集清单，严格落实危险废物申报登记和管理计划备案要求。项目医疗废物、生活垃圾单独处理。项目严格按规范建设医疗废物暂存间，医疗废物交由具资质单位清运处置，并做好台账。</w:t>
                  </w:r>
                </w:p>
              </w:tc>
              <w:tc>
                <w:tcPr>
                  <w:tcW w:w="694" w:type="dxa"/>
                  <w:vAlign w:val="center"/>
                </w:tcPr>
                <w:p w14:paraId="3C547908">
                  <w:pPr>
                    <w:widowControl/>
                    <w:adjustRightInd w:val="0"/>
                    <w:snapToGrid w:val="0"/>
                    <w:jc w:val="center"/>
                    <w:rPr>
                      <w:szCs w:val="21"/>
                    </w:rPr>
                  </w:pPr>
                  <w:r>
                    <w:rPr>
                      <w:rFonts w:hint="eastAsia"/>
                      <w:szCs w:val="21"/>
                    </w:rPr>
                    <w:t>符合</w:t>
                  </w:r>
                </w:p>
              </w:tc>
            </w:tr>
            <w:tr w14:paraId="2ADCAB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8" w:type="dxa"/>
                  <w:vAlign w:val="center"/>
                </w:tcPr>
                <w:p w14:paraId="083AE7FC">
                  <w:pPr>
                    <w:widowControl/>
                    <w:adjustRightInd w:val="0"/>
                    <w:snapToGrid w:val="0"/>
                    <w:jc w:val="center"/>
                    <w:rPr>
                      <w:szCs w:val="21"/>
                    </w:rPr>
                  </w:pPr>
                  <w:r>
                    <w:rPr>
                      <w:rFonts w:hint="eastAsia"/>
                      <w:szCs w:val="21"/>
                    </w:rPr>
                    <w:t>3</w:t>
                  </w:r>
                </w:p>
              </w:tc>
              <w:tc>
                <w:tcPr>
                  <w:tcW w:w="865" w:type="dxa"/>
                  <w:vAlign w:val="center"/>
                </w:tcPr>
                <w:p w14:paraId="56E25FB3">
                  <w:pPr>
                    <w:widowControl/>
                    <w:adjustRightInd w:val="0"/>
                    <w:snapToGrid w:val="0"/>
                    <w:jc w:val="center"/>
                    <w:rPr>
                      <w:szCs w:val="21"/>
                    </w:rPr>
                  </w:pPr>
                  <w:r>
                    <w:rPr>
                      <w:szCs w:val="21"/>
                    </w:rPr>
                    <w:t>做好生活垃圾管理</w:t>
                  </w:r>
                </w:p>
              </w:tc>
              <w:tc>
                <w:tcPr>
                  <w:tcW w:w="2999" w:type="dxa"/>
                  <w:vAlign w:val="center"/>
                </w:tcPr>
                <w:p w14:paraId="457E35DC">
                  <w:pPr>
                    <w:widowControl/>
                    <w:adjustRightInd w:val="0"/>
                    <w:snapToGrid w:val="0"/>
                    <w:rPr>
                      <w:szCs w:val="21"/>
                    </w:rPr>
                  </w:pPr>
                  <w:r>
                    <w:rPr>
                      <w:szCs w:val="21"/>
                    </w:rPr>
                    <w:t>医疗机构要严格落实生活垃圾分类管理有关政策，将非传染病患者或家属在就诊过程中产生的生活垃圾，以及医疗机构职工非医疗活动产生的生活垃圾，与医疗活动中产生的医疗废物、输液瓶（袋）等区别管理。</w:t>
                  </w:r>
                </w:p>
              </w:tc>
              <w:tc>
                <w:tcPr>
                  <w:tcW w:w="2228" w:type="dxa"/>
                  <w:vAlign w:val="center"/>
                </w:tcPr>
                <w:p w14:paraId="15E51EFA">
                  <w:pPr>
                    <w:widowControl/>
                    <w:adjustRightInd w:val="0"/>
                    <w:snapToGrid w:val="0"/>
                    <w:rPr>
                      <w:szCs w:val="21"/>
                    </w:rPr>
                  </w:pPr>
                  <w:r>
                    <w:rPr>
                      <w:szCs w:val="21"/>
                    </w:rPr>
                    <w:t>项目严格实现生活垃圾分类管理，生活垃圾与医疗活动中产生的医疗废物、输液瓶（袋）等区别管理，生活垃圾交环卫部门统一清运。</w:t>
                  </w:r>
                </w:p>
              </w:tc>
              <w:tc>
                <w:tcPr>
                  <w:tcW w:w="694" w:type="dxa"/>
                  <w:vAlign w:val="center"/>
                </w:tcPr>
                <w:p w14:paraId="11E21F6F">
                  <w:pPr>
                    <w:widowControl/>
                    <w:adjustRightInd w:val="0"/>
                    <w:snapToGrid w:val="0"/>
                    <w:jc w:val="center"/>
                    <w:rPr>
                      <w:szCs w:val="21"/>
                    </w:rPr>
                  </w:pPr>
                  <w:r>
                    <w:rPr>
                      <w:rFonts w:hint="eastAsia"/>
                      <w:szCs w:val="21"/>
                    </w:rPr>
                    <w:t>符合</w:t>
                  </w:r>
                </w:p>
              </w:tc>
            </w:tr>
            <w:tr w14:paraId="277A0A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8" w:type="dxa"/>
                  <w:vAlign w:val="center"/>
                </w:tcPr>
                <w:p w14:paraId="6E9F0275">
                  <w:pPr>
                    <w:widowControl/>
                    <w:adjustRightInd w:val="0"/>
                    <w:snapToGrid w:val="0"/>
                    <w:jc w:val="center"/>
                    <w:rPr>
                      <w:szCs w:val="21"/>
                    </w:rPr>
                  </w:pPr>
                  <w:r>
                    <w:rPr>
                      <w:rFonts w:hint="eastAsia"/>
                      <w:szCs w:val="21"/>
                    </w:rPr>
                    <w:t>4</w:t>
                  </w:r>
                </w:p>
              </w:tc>
              <w:tc>
                <w:tcPr>
                  <w:tcW w:w="865" w:type="dxa"/>
                  <w:vAlign w:val="center"/>
                </w:tcPr>
                <w:p w14:paraId="652E360B">
                  <w:pPr>
                    <w:widowControl/>
                    <w:adjustRightInd w:val="0"/>
                    <w:snapToGrid w:val="0"/>
                    <w:jc w:val="center"/>
                    <w:rPr>
                      <w:rFonts w:hint="eastAsia" w:ascii="宋体" w:hAnsi="宋体" w:cs="宋体"/>
                      <w:szCs w:val="21"/>
                    </w:rPr>
                  </w:pPr>
                  <w:r>
                    <w:rPr>
                      <w:rFonts w:hint="eastAsia" w:ascii="宋体" w:hAnsi="宋体" w:cs="宋体"/>
                      <w:szCs w:val="21"/>
                    </w:rPr>
                    <w:t>做好输液瓶(袋)回收利用</w:t>
                  </w:r>
                </w:p>
              </w:tc>
              <w:tc>
                <w:tcPr>
                  <w:tcW w:w="2999" w:type="dxa"/>
                  <w:vAlign w:val="center"/>
                </w:tcPr>
                <w:p w14:paraId="38DC216F">
                  <w:pPr>
                    <w:widowControl/>
                    <w:adjustRightInd w:val="0"/>
                    <w:snapToGrid w:val="0"/>
                    <w:rPr>
                      <w:rFonts w:hint="eastAsia" w:ascii="宋体" w:hAnsi="宋体" w:cs="宋体"/>
                      <w:szCs w:val="21"/>
                    </w:rPr>
                  </w:pPr>
                  <w:r>
                    <w:rPr>
                      <w:rFonts w:hint="eastAsia" w:ascii="宋体" w:hAnsi="宋体" w:cs="宋体"/>
                      <w:szCs w:val="21"/>
                    </w:rPr>
                    <w:t>在产生环节，医疗机构要按照标准做好输液瓶(袋)的收集，并集中移交回收企业。</w:t>
                  </w:r>
                </w:p>
              </w:tc>
              <w:tc>
                <w:tcPr>
                  <w:tcW w:w="2228" w:type="dxa"/>
                  <w:vAlign w:val="center"/>
                </w:tcPr>
                <w:p w14:paraId="6FFB6634">
                  <w:pPr>
                    <w:widowControl/>
                    <w:adjustRightInd w:val="0"/>
                    <w:snapToGrid w:val="0"/>
                    <w:rPr>
                      <w:rFonts w:hint="eastAsia" w:ascii="宋体" w:hAnsi="宋体" w:cs="宋体"/>
                      <w:szCs w:val="21"/>
                    </w:rPr>
                  </w:pPr>
                  <w:r>
                    <w:rPr>
                      <w:rFonts w:hint="eastAsia" w:ascii="宋体" w:hAnsi="宋体" w:cs="宋体"/>
                      <w:szCs w:val="21"/>
                    </w:rPr>
                    <w:t>项目产生的未被患者血液、体液和排泄物等污染的输液瓶（袋）收集于一般固废暂存间后定期交相关单位回收处置。</w:t>
                  </w:r>
                </w:p>
              </w:tc>
              <w:tc>
                <w:tcPr>
                  <w:tcW w:w="694" w:type="dxa"/>
                  <w:vAlign w:val="center"/>
                </w:tcPr>
                <w:p w14:paraId="1A8CD2A7">
                  <w:pPr>
                    <w:widowControl/>
                    <w:adjustRightInd w:val="0"/>
                    <w:snapToGrid w:val="0"/>
                    <w:jc w:val="center"/>
                    <w:rPr>
                      <w:szCs w:val="21"/>
                    </w:rPr>
                  </w:pPr>
                  <w:r>
                    <w:rPr>
                      <w:rFonts w:hint="eastAsia"/>
                      <w:szCs w:val="21"/>
                    </w:rPr>
                    <w:t>符合</w:t>
                  </w:r>
                </w:p>
              </w:tc>
            </w:tr>
          </w:tbl>
          <w:p w14:paraId="0FF505FF">
            <w:pPr>
              <w:widowControl/>
              <w:adjustRightInd w:val="0"/>
              <w:snapToGrid w:val="0"/>
              <w:spacing w:line="360" w:lineRule="auto"/>
              <w:ind w:firstLine="480" w:firstLineChars="200"/>
              <w:rPr>
                <w:rFonts w:hint="eastAsia" w:ascii="宋体" w:hAnsi="宋体" w:cs="宋体"/>
                <w:sz w:val="24"/>
                <w:szCs w:val="24"/>
              </w:rPr>
            </w:pPr>
            <w:r>
              <w:rPr>
                <w:rFonts w:ascii="宋体" w:hAnsi="宋体" w:cs="宋体"/>
                <w:sz w:val="24"/>
                <w:szCs w:val="24"/>
              </w:rPr>
              <w:t>根据上表分析，本项目的实施符合《医疗机构废弃物综合治理工作方案》（国卫医发</w:t>
            </w:r>
            <w:r>
              <w:rPr>
                <w:sz w:val="24"/>
                <w:szCs w:val="24"/>
              </w:rPr>
              <w:t>〔2020〕3</w:t>
            </w:r>
            <w:r>
              <w:rPr>
                <w:rFonts w:ascii="宋体" w:hAnsi="宋体" w:cs="宋体"/>
                <w:sz w:val="24"/>
                <w:szCs w:val="24"/>
              </w:rPr>
              <w:t>号）的相关要求。</w:t>
            </w:r>
          </w:p>
          <w:p w14:paraId="5F174CDE">
            <w:pPr>
              <w:pStyle w:val="16"/>
              <w:jc w:val="both"/>
              <w:rPr>
                <w:rFonts w:hint="eastAsia" w:eastAsia="宋体"/>
                <w:b/>
                <w:bCs w:val="0"/>
                <w:szCs w:val="24"/>
              </w:rPr>
            </w:pPr>
            <w:r>
              <w:rPr>
                <w:rFonts w:hint="eastAsia" w:eastAsia="宋体"/>
                <w:b/>
                <w:bCs w:val="0"/>
                <w:szCs w:val="24"/>
                <w:lang w:val="en-US" w:eastAsia="zh-CN"/>
              </w:rPr>
              <w:t xml:space="preserve">6 </w:t>
            </w:r>
            <w:r>
              <w:rPr>
                <w:rFonts w:hint="eastAsia" w:eastAsia="宋体"/>
                <w:b/>
                <w:bCs w:val="0"/>
                <w:szCs w:val="24"/>
              </w:rPr>
              <w:t>项目与《湖南省“两高”项目管理目录》的符合性分析</w:t>
            </w:r>
          </w:p>
          <w:p w14:paraId="30EE29C3">
            <w:pPr>
              <w:pStyle w:val="16"/>
              <w:ind w:firstLine="482"/>
              <w:jc w:val="both"/>
              <w:rPr>
                <w:rFonts w:eastAsia="宋体"/>
                <w:bCs/>
                <w:szCs w:val="24"/>
              </w:rPr>
            </w:pPr>
            <w:r>
              <w:rPr>
                <w:rFonts w:hint="eastAsia" w:eastAsia="宋体"/>
                <w:bCs/>
                <w:szCs w:val="24"/>
              </w:rPr>
              <w:t>根据湖南省发展和改革委员会印发的《湖南省“两高”项目管理目录》，对照目录中的行业和涉及主要产品及工序，本项目为医疗及养老建设项目，属于民生类建设项目，不属于“两高”项目</w:t>
            </w:r>
          </w:p>
          <w:p w14:paraId="06EFCDC2">
            <w:pPr>
              <w:pStyle w:val="16"/>
              <w:jc w:val="both"/>
              <w:rPr>
                <w:rFonts w:hint="eastAsia" w:eastAsia="宋体"/>
                <w:b/>
                <w:bCs w:val="0"/>
                <w:szCs w:val="24"/>
              </w:rPr>
            </w:pPr>
            <w:r>
              <w:rPr>
                <w:rFonts w:hint="eastAsia" w:eastAsia="宋体"/>
                <w:b/>
                <w:bCs w:val="0"/>
                <w:szCs w:val="24"/>
                <w:lang w:val="en-US" w:eastAsia="zh-CN"/>
              </w:rPr>
              <w:t xml:space="preserve">7 </w:t>
            </w:r>
            <w:r>
              <w:rPr>
                <w:rFonts w:hint="eastAsia" w:eastAsia="宋体"/>
                <w:b/>
                <w:bCs w:val="0"/>
                <w:szCs w:val="24"/>
              </w:rPr>
              <w:t>项目与《国务院关于印发“十四五”国家老龄事业发展和养老服务体系规划的通知》</w:t>
            </w:r>
            <w:r>
              <w:rPr>
                <w:rFonts w:hint="eastAsia" w:ascii="宋体" w:hAnsi="宋体" w:eastAsia="宋体" w:cs="宋体"/>
                <w:b/>
                <w:bCs w:val="0"/>
                <w:szCs w:val="24"/>
              </w:rPr>
              <w:t>(国发</w:t>
            </w:r>
            <w:r>
              <w:rPr>
                <w:rFonts w:hint="eastAsia" w:ascii="宋体" w:hAnsi="宋体" w:eastAsia="宋体" w:cs="宋体"/>
                <w:b/>
                <w:bCs w:val="0"/>
                <w:szCs w:val="24"/>
                <w:lang w:eastAsia="zh-CN"/>
              </w:rPr>
              <w:t>〔2021〕35号</w:t>
            </w:r>
            <w:r>
              <w:rPr>
                <w:rFonts w:hint="eastAsia" w:ascii="宋体" w:hAnsi="宋体" w:eastAsia="宋体" w:cs="宋体"/>
                <w:b/>
                <w:bCs w:val="0"/>
                <w:szCs w:val="24"/>
              </w:rPr>
              <w:t>)</w:t>
            </w:r>
            <w:r>
              <w:rPr>
                <w:rFonts w:hint="eastAsia" w:eastAsia="宋体"/>
                <w:b/>
                <w:bCs w:val="0"/>
                <w:szCs w:val="24"/>
              </w:rPr>
              <w:t>相符性分析</w:t>
            </w:r>
          </w:p>
          <w:p w14:paraId="3B4ACBB4">
            <w:pPr>
              <w:pStyle w:val="16"/>
              <w:ind w:firstLine="482"/>
              <w:jc w:val="both"/>
              <w:rPr>
                <w:rFonts w:hint="eastAsia" w:eastAsia="宋体"/>
                <w:bCs/>
                <w:szCs w:val="24"/>
              </w:rPr>
            </w:pPr>
            <w:r>
              <w:rPr>
                <w:rFonts w:hint="eastAsia" w:eastAsia="宋体"/>
                <w:bCs/>
                <w:szCs w:val="24"/>
              </w:rPr>
              <w:t>支持社会力量建设专业化、规模化、医养结合能力突出的养老机构，推动其在长期照护服务标准规范完善、专业人才培养储备、信息化智能化管理服务、康复辅助器具推广应用等方面发挥示范引领作用。支持养老机构针对失智老年人的特殊需求，提供专业照护服务。引导养老机构立足自身定位，合理延伸服务范围，依法依规开展医疗卫生服务，为老年人提供一体化的健康和养老服务。中央预算内投资重点支持新建护理型养老服务设施和照护服务能力改造提升项目。引导地方对普通型床位和护理型床位实行差异化补助，到2025年，全国养老机构护理型床位占比提高到55%。完善对护理型床位的认定办法，尽快建立长期照护服务的项目、标准、质量评价等规范。</w:t>
            </w:r>
          </w:p>
          <w:p w14:paraId="3482DFD5">
            <w:pPr>
              <w:pStyle w:val="16"/>
              <w:ind w:firstLine="482"/>
              <w:jc w:val="both"/>
              <w:rPr>
                <w:rFonts w:hint="eastAsia" w:eastAsia="宋体"/>
                <w:bCs/>
                <w:szCs w:val="24"/>
              </w:rPr>
            </w:pPr>
            <w:r>
              <w:rPr>
                <w:rFonts w:hint="eastAsia" w:eastAsia="宋体"/>
                <w:bCs/>
                <w:szCs w:val="24"/>
              </w:rPr>
              <w:t>符合性分析：本项目为医疗及养老建设项目，建设单位共设置</w:t>
            </w:r>
            <w:r>
              <w:rPr>
                <w:rFonts w:hint="eastAsia" w:eastAsia="宋体"/>
                <w:bCs/>
                <w:szCs w:val="24"/>
                <w:lang w:val="en-US" w:eastAsia="zh-CN"/>
              </w:rPr>
              <w:t>500</w:t>
            </w:r>
            <w:r>
              <w:rPr>
                <w:rFonts w:hint="eastAsia" w:eastAsia="宋体"/>
                <w:bCs/>
                <w:szCs w:val="24"/>
              </w:rPr>
              <w:t>张床位，其中：</w:t>
            </w:r>
            <w:r>
              <w:rPr>
                <w:rFonts w:hint="eastAsia" w:eastAsia="宋体"/>
                <w:bCs/>
                <w:szCs w:val="24"/>
                <w:lang w:val="en-US" w:eastAsia="zh-CN"/>
              </w:rPr>
              <w:t>100</w:t>
            </w:r>
            <w:r>
              <w:rPr>
                <w:rFonts w:hint="eastAsia" w:eastAsia="宋体"/>
                <w:bCs/>
                <w:szCs w:val="24"/>
              </w:rPr>
              <w:t>张医疗床位，</w:t>
            </w:r>
            <w:r>
              <w:rPr>
                <w:rFonts w:hint="eastAsia" w:eastAsia="宋体"/>
                <w:bCs/>
                <w:szCs w:val="24"/>
                <w:lang w:val="en-US" w:eastAsia="zh-CN"/>
              </w:rPr>
              <w:t>400</w:t>
            </w:r>
            <w:r>
              <w:rPr>
                <w:rFonts w:hint="eastAsia" w:eastAsia="宋体"/>
                <w:bCs/>
                <w:szCs w:val="24"/>
              </w:rPr>
              <w:t>张养老床位，可为老年人提供医疗诊治、专业护理、康复管理等方面的服务，与国发</w:t>
            </w:r>
            <w:r>
              <w:rPr>
                <w:rFonts w:hint="eastAsia" w:eastAsia="宋体"/>
                <w:bCs/>
                <w:szCs w:val="24"/>
                <w:lang w:eastAsia="zh-CN"/>
              </w:rPr>
              <w:t>〔2021〕35号</w:t>
            </w:r>
            <w:r>
              <w:rPr>
                <w:rFonts w:hint="eastAsia" w:eastAsia="宋体"/>
                <w:bCs/>
                <w:szCs w:val="24"/>
              </w:rPr>
              <w:t>文件相符合。</w:t>
            </w:r>
          </w:p>
          <w:p w14:paraId="1DA660F0">
            <w:pPr>
              <w:pStyle w:val="16"/>
              <w:ind w:firstLine="482"/>
              <w:jc w:val="both"/>
              <w:rPr>
                <w:rFonts w:hint="eastAsia" w:eastAsia="宋体"/>
                <w:bCs/>
                <w:szCs w:val="24"/>
              </w:rPr>
            </w:pPr>
          </w:p>
          <w:p w14:paraId="2E389191">
            <w:pPr>
              <w:pStyle w:val="16"/>
              <w:ind w:firstLine="482"/>
              <w:jc w:val="both"/>
              <w:rPr>
                <w:rFonts w:hint="eastAsia" w:eastAsia="宋体"/>
                <w:bCs/>
                <w:szCs w:val="24"/>
              </w:rPr>
            </w:pPr>
          </w:p>
          <w:p w14:paraId="7AECE86A">
            <w:pPr>
              <w:pStyle w:val="16"/>
              <w:ind w:firstLine="482"/>
              <w:jc w:val="both"/>
              <w:rPr>
                <w:rFonts w:hint="eastAsia" w:eastAsia="宋体"/>
                <w:bCs/>
                <w:szCs w:val="24"/>
              </w:rPr>
            </w:pPr>
          </w:p>
          <w:p w14:paraId="48090192">
            <w:pPr>
              <w:pStyle w:val="16"/>
              <w:ind w:firstLine="482"/>
              <w:jc w:val="both"/>
              <w:rPr>
                <w:rFonts w:hint="eastAsia" w:eastAsia="宋体"/>
                <w:bCs/>
                <w:szCs w:val="24"/>
              </w:rPr>
            </w:pPr>
          </w:p>
          <w:p w14:paraId="7F0EEA6F">
            <w:pPr>
              <w:pStyle w:val="16"/>
              <w:ind w:firstLine="482"/>
              <w:jc w:val="both"/>
              <w:rPr>
                <w:rFonts w:hint="eastAsia" w:eastAsia="宋体"/>
                <w:bCs/>
                <w:szCs w:val="24"/>
              </w:rPr>
            </w:pPr>
          </w:p>
          <w:p w14:paraId="434F030E">
            <w:pPr>
              <w:pStyle w:val="16"/>
              <w:ind w:firstLine="482"/>
              <w:jc w:val="both"/>
              <w:rPr>
                <w:rFonts w:hint="eastAsia" w:eastAsia="宋体"/>
                <w:bCs/>
                <w:szCs w:val="24"/>
              </w:rPr>
            </w:pPr>
          </w:p>
          <w:p w14:paraId="5B94E228">
            <w:pPr>
              <w:pStyle w:val="16"/>
              <w:ind w:firstLine="482"/>
              <w:jc w:val="both"/>
              <w:rPr>
                <w:rFonts w:hint="eastAsia" w:eastAsia="宋体"/>
                <w:bCs/>
                <w:szCs w:val="24"/>
              </w:rPr>
            </w:pPr>
          </w:p>
          <w:p w14:paraId="61114EE8">
            <w:pPr>
              <w:pStyle w:val="16"/>
              <w:ind w:firstLine="482"/>
              <w:jc w:val="both"/>
              <w:rPr>
                <w:rFonts w:hint="eastAsia" w:eastAsia="宋体"/>
                <w:bCs/>
                <w:szCs w:val="24"/>
              </w:rPr>
            </w:pPr>
          </w:p>
          <w:p w14:paraId="53461382">
            <w:pPr>
              <w:pStyle w:val="16"/>
              <w:ind w:firstLine="482"/>
              <w:jc w:val="both"/>
              <w:rPr>
                <w:rFonts w:hint="eastAsia" w:eastAsia="宋体"/>
                <w:bCs/>
                <w:szCs w:val="24"/>
              </w:rPr>
            </w:pPr>
          </w:p>
          <w:p w14:paraId="62E5F540">
            <w:pPr>
              <w:pStyle w:val="16"/>
              <w:ind w:firstLine="482"/>
              <w:jc w:val="both"/>
              <w:rPr>
                <w:rFonts w:hint="eastAsia" w:eastAsia="宋体"/>
                <w:bCs/>
                <w:szCs w:val="24"/>
              </w:rPr>
            </w:pPr>
          </w:p>
          <w:p w14:paraId="53FF9E63">
            <w:pPr>
              <w:pStyle w:val="16"/>
              <w:ind w:firstLine="482"/>
              <w:jc w:val="both"/>
              <w:rPr>
                <w:rFonts w:hint="eastAsia" w:eastAsia="宋体"/>
                <w:bCs/>
                <w:szCs w:val="24"/>
              </w:rPr>
            </w:pPr>
          </w:p>
          <w:p w14:paraId="5D6BDEFB">
            <w:pPr>
              <w:pStyle w:val="16"/>
              <w:ind w:firstLine="482"/>
              <w:jc w:val="both"/>
              <w:rPr>
                <w:rFonts w:hint="eastAsia" w:eastAsia="宋体"/>
                <w:bCs/>
                <w:szCs w:val="24"/>
              </w:rPr>
            </w:pPr>
          </w:p>
          <w:p w14:paraId="5353AD10">
            <w:pPr>
              <w:pStyle w:val="16"/>
              <w:ind w:firstLine="482"/>
              <w:jc w:val="both"/>
              <w:rPr>
                <w:rFonts w:hint="eastAsia" w:eastAsia="宋体"/>
                <w:bCs/>
                <w:szCs w:val="24"/>
              </w:rPr>
            </w:pPr>
          </w:p>
          <w:p w14:paraId="3E0C6F5A">
            <w:pPr>
              <w:pStyle w:val="16"/>
              <w:ind w:firstLine="482"/>
              <w:jc w:val="both"/>
              <w:rPr>
                <w:rFonts w:hint="eastAsia" w:eastAsia="宋体"/>
                <w:bCs/>
                <w:szCs w:val="24"/>
              </w:rPr>
            </w:pPr>
          </w:p>
          <w:p w14:paraId="0B2571A8">
            <w:pPr>
              <w:pStyle w:val="16"/>
              <w:ind w:firstLine="482"/>
              <w:jc w:val="both"/>
              <w:rPr>
                <w:rFonts w:hint="eastAsia" w:eastAsia="宋体"/>
                <w:bCs/>
                <w:szCs w:val="24"/>
              </w:rPr>
            </w:pPr>
          </w:p>
          <w:p w14:paraId="7B2339B6">
            <w:pPr>
              <w:pStyle w:val="16"/>
              <w:ind w:firstLine="482"/>
              <w:jc w:val="both"/>
              <w:rPr>
                <w:rFonts w:hint="eastAsia" w:eastAsia="宋体"/>
                <w:bCs/>
                <w:szCs w:val="24"/>
              </w:rPr>
            </w:pPr>
          </w:p>
          <w:p w14:paraId="4ACFC03C">
            <w:pPr>
              <w:pStyle w:val="16"/>
              <w:ind w:firstLine="482"/>
              <w:jc w:val="both"/>
              <w:rPr>
                <w:rFonts w:hint="eastAsia" w:eastAsia="宋体"/>
                <w:bCs/>
                <w:szCs w:val="24"/>
              </w:rPr>
            </w:pPr>
          </w:p>
          <w:p w14:paraId="68BD1A56">
            <w:pPr>
              <w:pStyle w:val="16"/>
              <w:ind w:firstLine="482"/>
              <w:jc w:val="both"/>
              <w:rPr>
                <w:rFonts w:hint="eastAsia" w:eastAsia="宋体"/>
                <w:bCs/>
                <w:szCs w:val="24"/>
              </w:rPr>
            </w:pPr>
          </w:p>
          <w:p w14:paraId="13E603D1">
            <w:pPr>
              <w:pStyle w:val="16"/>
              <w:ind w:firstLine="482"/>
              <w:jc w:val="both"/>
              <w:rPr>
                <w:rFonts w:hint="eastAsia" w:eastAsia="宋体"/>
                <w:bCs/>
                <w:szCs w:val="24"/>
              </w:rPr>
            </w:pPr>
          </w:p>
          <w:p w14:paraId="199BA6BB">
            <w:pPr>
              <w:pStyle w:val="16"/>
              <w:ind w:firstLine="482"/>
              <w:jc w:val="both"/>
              <w:rPr>
                <w:rFonts w:hint="eastAsia" w:eastAsia="宋体"/>
                <w:bCs/>
                <w:szCs w:val="24"/>
              </w:rPr>
            </w:pPr>
          </w:p>
          <w:p w14:paraId="02D65A88">
            <w:pPr>
              <w:pStyle w:val="16"/>
              <w:ind w:firstLine="482"/>
              <w:jc w:val="both"/>
              <w:rPr>
                <w:rFonts w:hint="eastAsia" w:eastAsia="宋体"/>
                <w:bCs/>
                <w:szCs w:val="24"/>
              </w:rPr>
            </w:pPr>
          </w:p>
          <w:p w14:paraId="0B6B8FAC">
            <w:pPr>
              <w:pStyle w:val="16"/>
              <w:ind w:firstLine="482"/>
              <w:jc w:val="both"/>
              <w:rPr>
                <w:rFonts w:hint="eastAsia" w:eastAsia="宋体"/>
                <w:bCs/>
                <w:szCs w:val="24"/>
              </w:rPr>
            </w:pPr>
          </w:p>
          <w:p w14:paraId="6E001518">
            <w:pPr>
              <w:pStyle w:val="16"/>
              <w:ind w:firstLine="482"/>
              <w:jc w:val="both"/>
              <w:rPr>
                <w:rFonts w:hint="eastAsia" w:eastAsia="宋体"/>
                <w:bCs/>
                <w:szCs w:val="24"/>
              </w:rPr>
            </w:pPr>
          </w:p>
          <w:p w14:paraId="499C2136">
            <w:pPr>
              <w:pStyle w:val="16"/>
              <w:ind w:firstLine="482"/>
              <w:jc w:val="both"/>
              <w:rPr>
                <w:rFonts w:hint="eastAsia" w:eastAsia="宋体"/>
                <w:bCs/>
                <w:szCs w:val="24"/>
              </w:rPr>
            </w:pPr>
          </w:p>
        </w:tc>
      </w:tr>
    </w:tbl>
    <w:p w14:paraId="5058CA4E">
      <w:pPr>
        <w:widowControl/>
        <w:spacing w:line="360" w:lineRule="auto"/>
        <w:jc w:val="left"/>
        <w:rPr>
          <w:color w:val="FF0000"/>
          <w:sz w:val="24"/>
          <w:szCs w:val="24"/>
        </w:rPr>
        <w:sectPr>
          <w:footerReference r:id="rId4" w:type="default"/>
          <w:pgSz w:w="11906" w:h="16838"/>
          <w:pgMar w:top="1701" w:right="1440" w:bottom="1701" w:left="1440" w:header="851" w:footer="1077" w:gutter="0"/>
          <w:pgNumType w:start="1"/>
          <w:cols w:space="720" w:num="1"/>
        </w:sectPr>
      </w:pPr>
    </w:p>
    <w:p w14:paraId="795603B3">
      <w:pPr>
        <w:pStyle w:val="44"/>
        <w:spacing w:before="120" w:beforeLines="50" w:beforeAutospacing="0" w:after="120" w:afterLines="50" w:afterAutospacing="0"/>
        <w:jc w:val="center"/>
        <w:outlineLvl w:val="0"/>
        <w:rPr>
          <w:rFonts w:hint="eastAsia"/>
          <w:b/>
          <w:bCs/>
          <w:snapToGrid w:val="0"/>
          <w:color w:val="000000"/>
          <w:sz w:val="30"/>
          <w:szCs w:val="30"/>
        </w:rPr>
      </w:pPr>
      <w:bookmarkStart w:id="5" w:name="_Toc163829134"/>
      <w:bookmarkStart w:id="6" w:name="_Toc163829135"/>
      <w:r>
        <w:rPr>
          <w:rFonts w:hint="eastAsia"/>
          <w:b/>
          <w:bCs/>
          <w:snapToGrid w:val="0"/>
          <w:color w:val="000000"/>
          <w:sz w:val="30"/>
          <w:szCs w:val="30"/>
        </w:rPr>
        <w:t>二、</w:t>
      </w:r>
      <w:r>
        <w:rPr>
          <w:b/>
          <w:bCs/>
          <w:snapToGrid w:val="0"/>
          <w:color w:val="000000"/>
          <w:sz w:val="30"/>
          <w:szCs w:val="30"/>
        </w:rPr>
        <w:t>建设项目工程分析</w:t>
      </w:r>
      <w:bookmarkEnd w:id="5"/>
    </w:p>
    <w:tbl>
      <w:tblPr>
        <w:tblStyle w:val="47"/>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55"/>
        <w:gridCol w:w="8558"/>
      </w:tblGrid>
      <w:tr w14:paraId="72381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3" w:type="dxa"/>
            <w:vAlign w:val="center"/>
          </w:tcPr>
          <w:p w14:paraId="73D8E369">
            <w:pPr>
              <w:pStyle w:val="44"/>
              <w:adjustRightInd w:val="0"/>
              <w:snapToGrid w:val="0"/>
              <w:spacing w:before="0" w:beforeAutospacing="0" w:after="0" w:afterAutospacing="0" w:line="360" w:lineRule="auto"/>
              <w:jc w:val="center"/>
              <w:rPr>
                <w:rFonts w:ascii="Times New Roman" w:hAnsi="Times New Roman"/>
                <w:color w:val="000000"/>
                <w:szCs w:val="24"/>
              </w:rPr>
            </w:pPr>
            <w:r>
              <w:rPr>
                <w:rFonts w:ascii="Times New Roman" w:hAnsi="Times New Roman"/>
                <w:color w:val="000000"/>
                <w:szCs w:val="24"/>
              </w:rPr>
              <w:t>建设内容</w:t>
            </w:r>
          </w:p>
        </w:tc>
        <w:tc>
          <w:tcPr>
            <w:tcW w:w="8514" w:type="dxa"/>
            <w:vAlign w:val="center"/>
          </w:tcPr>
          <w:p w14:paraId="629916DF">
            <w:pPr>
              <w:adjustRightInd w:val="0"/>
              <w:snapToGrid w:val="0"/>
              <w:spacing w:line="360" w:lineRule="auto"/>
              <w:rPr>
                <w:color w:val="000000"/>
                <w:spacing w:val="-6"/>
                <w:sz w:val="24"/>
                <w:szCs w:val="24"/>
              </w:rPr>
            </w:pPr>
            <w:bookmarkStart w:id="7" w:name="_Hlk135043980"/>
            <w:r>
              <w:rPr>
                <w:b/>
                <w:color w:val="000000"/>
                <w:sz w:val="24"/>
                <w:szCs w:val="24"/>
              </w:rPr>
              <w:t>1项目由来</w:t>
            </w:r>
          </w:p>
          <w:bookmarkEnd w:id="7"/>
          <w:p w14:paraId="3B2F421A">
            <w:pPr>
              <w:pStyle w:val="18"/>
              <w:snapToGrid/>
              <w:spacing w:before="0" w:after="0" w:line="360" w:lineRule="auto"/>
              <w:ind w:right="0" w:firstLine="480" w:firstLineChars="200"/>
              <w:rPr>
                <w:rFonts w:hint="eastAsia"/>
                <w:sz w:val="24"/>
                <w:szCs w:val="24"/>
                <w:lang w:eastAsia="zh-CN"/>
              </w:rPr>
            </w:pPr>
            <w:r>
              <w:rPr>
                <w:rFonts w:hint="eastAsia"/>
                <w:sz w:val="24"/>
                <w:szCs w:val="24"/>
              </w:rPr>
              <w:t>康复养老中心是一种医养和老年护理结合的养老模式，满足了老年人对居住的特殊需求，解决了传统养老模式的不足，是一条老年公益性事业市场化的新路子，是解决老龄化问题的有效对策之一</w:t>
            </w:r>
            <w:r>
              <w:rPr>
                <w:rFonts w:hint="eastAsia"/>
                <w:sz w:val="24"/>
                <w:szCs w:val="24"/>
                <w:lang w:eastAsia="zh-CN"/>
              </w:rPr>
              <w:t>。</w:t>
            </w:r>
            <w:r>
              <w:rPr>
                <w:rFonts w:hint="eastAsia"/>
                <w:sz w:val="24"/>
                <w:szCs w:val="24"/>
                <w:lang w:val="en-US" w:eastAsia="zh-CN"/>
              </w:rPr>
              <w:t>根据</w:t>
            </w:r>
            <w:r>
              <w:rPr>
                <w:rFonts w:hint="eastAsia"/>
                <w:sz w:val="24"/>
                <w:szCs w:val="24"/>
                <w:lang w:eastAsia="zh-CN"/>
              </w:rPr>
              <w:t>国务院印发《“十四五”国家老龄事业发展和养老服务体系规划》的通知（国发〔2021〕35号））《规划》提出，到2025年，养老服务床位要达到900万张以上，新建城区、新建居住区配套建设养老服务设施达标率要达到100%，养老机构护理型床位占比达到55%。要求到2025年，养老机构普遍具备医养结合能力。同时为政策落实提供财政和金融保障，民政部本级和地方各级政府用于社会福利事业的彩票公益金要加大倾斜力度，自2022年起将不低于55%的资金用于支持发展养老服务。鼓励地方在养老服务设施建设中同步考虑运营问题，确保后续发展可持续。本项目建设属于民生保障工程，符合国家、地方老龄事业发展政策精神，符合湖南省民政事业和卫生事业“十四五”规划，符合当地社会经济发展需要，可使全社会都关注、关爱、关心失能老年人，使老年人老有所养、老有所为、老有所医、老有所乐。项目建成后，可为老人解决医、养、住等方面的问题，为国家和社会减轻一定压力。同时，可显著改善</w:t>
            </w:r>
            <w:r>
              <w:rPr>
                <w:rFonts w:hint="eastAsia"/>
                <w:sz w:val="24"/>
                <w:szCs w:val="24"/>
                <w:lang w:val="en-US" w:eastAsia="zh-CN"/>
              </w:rPr>
              <w:t>安化县</w:t>
            </w:r>
            <w:r>
              <w:rPr>
                <w:rFonts w:hint="eastAsia"/>
                <w:sz w:val="24"/>
                <w:szCs w:val="24"/>
                <w:lang w:eastAsia="zh-CN"/>
              </w:rPr>
              <w:t>医疗和养老服务的手段和条件，促进</w:t>
            </w:r>
            <w:r>
              <w:rPr>
                <w:rFonts w:hint="eastAsia"/>
                <w:sz w:val="24"/>
                <w:szCs w:val="24"/>
                <w:lang w:val="en-US" w:eastAsia="zh-CN"/>
              </w:rPr>
              <w:t>安化县</w:t>
            </w:r>
            <w:r>
              <w:rPr>
                <w:rFonts w:hint="eastAsia"/>
                <w:sz w:val="24"/>
                <w:szCs w:val="24"/>
                <w:lang w:eastAsia="zh-CN"/>
              </w:rPr>
              <w:t>健康产业发展，增强区域健康产业服务功能。</w:t>
            </w:r>
          </w:p>
          <w:p w14:paraId="7777B575">
            <w:pPr>
              <w:pStyle w:val="18"/>
              <w:snapToGrid/>
              <w:spacing w:before="0" w:after="0" w:line="360" w:lineRule="auto"/>
              <w:ind w:right="0" w:firstLine="480" w:firstLineChars="200"/>
              <w:rPr>
                <w:rFonts w:hint="default" w:ascii="Times New Roman" w:hAnsi="Times New Roman" w:eastAsia="宋体" w:cs="Times New Roman"/>
                <w:sz w:val="24"/>
                <w:szCs w:val="24"/>
                <w:lang w:val="en-US" w:eastAsia="zh-CN"/>
              </w:rPr>
            </w:pPr>
            <w:r>
              <w:rPr>
                <w:rFonts w:hint="eastAsia" w:ascii="Times New Roman Regular" w:hAnsi="Times New Roman Regular" w:cs="Times New Roman Regular"/>
                <w:sz w:val="24"/>
                <w:szCs w:val="24"/>
                <w:u w:val="none"/>
                <w:lang w:bidi="ar"/>
              </w:rPr>
              <w:t>而单一养老机构缺乏医疗保障，必将随着养老需求变化而做出调整，否则将难以适应市场发展。为改善居民的老年生活品质与养老品质，提升老年人的幸福指数，真正做到让老年人“老有所养、老有所医”，安化县莲花台幸福驿站项目管理有限公司拟投资</w:t>
            </w:r>
            <w:r>
              <w:rPr>
                <w:rFonts w:hint="eastAsia" w:ascii="Times New Roman Regular" w:hAnsi="Times New Roman Regular" w:cs="Times New Roman Regular"/>
                <w:sz w:val="24"/>
                <w:szCs w:val="24"/>
                <w:u w:val="none"/>
                <w:lang w:val="en-US" w:eastAsia="zh-CN" w:bidi="ar"/>
              </w:rPr>
              <w:t>16000</w:t>
            </w:r>
            <w:r>
              <w:rPr>
                <w:rFonts w:hint="eastAsia" w:ascii="Times New Roman Regular" w:hAnsi="Times New Roman Regular" w:cs="Times New Roman Regular"/>
                <w:sz w:val="24"/>
                <w:szCs w:val="24"/>
                <w:u w:val="none"/>
                <w:lang w:bidi="ar"/>
              </w:rPr>
              <w:t>万元，建设《安化县莲台山幸福驿站建设项目》。</w:t>
            </w:r>
            <w:r>
              <w:rPr>
                <w:rFonts w:hint="eastAsia" w:ascii="Times New Roman Regular" w:hAnsi="Times New Roman Regular" w:cs="Times New Roman Regular"/>
                <w:sz w:val="24"/>
                <w:szCs w:val="24"/>
                <w:u w:val="none"/>
                <w:lang w:val="en-US" w:eastAsia="zh-CN" w:bidi="ar"/>
              </w:rPr>
              <w:t>项目建成后能够为老人提供500张床位，</w:t>
            </w:r>
            <w:r>
              <w:rPr>
                <w:rFonts w:hint="eastAsia" w:ascii="Times New Roman" w:hAnsi="Times New Roman" w:eastAsia="宋体" w:cs="Times New Roman"/>
                <w:sz w:val="24"/>
                <w:szCs w:val="24"/>
                <w:lang w:eastAsia="zh-CN"/>
              </w:rPr>
              <w:t>可满足老年人的康复养老需求，</w:t>
            </w:r>
            <w:r>
              <w:rPr>
                <w:rFonts w:hint="eastAsia" w:ascii="Times New Roman" w:hAnsi="Times New Roman" w:eastAsia="宋体" w:cs="Times New Roman"/>
                <w:sz w:val="24"/>
                <w:szCs w:val="24"/>
                <w:lang w:val="en-US" w:eastAsia="zh-CN"/>
              </w:rPr>
              <w:t>初步规划按养老床位400张，医疗床位100张。项目养老床位400张</w:t>
            </w:r>
            <w:r>
              <w:rPr>
                <w:rFonts w:hint="eastAsia" w:cs="Times New Roman"/>
                <w:sz w:val="24"/>
                <w:szCs w:val="24"/>
                <w:lang w:val="en-US" w:eastAsia="zh-CN"/>
              </w:rPr>
              <w:t>，</w:t>
            </w:r>
            <w:r>
              <w:rPr>
                <w:rFonts w:hint="eastAsia" w:ascii="Times New Roman" w:hAnsi="Times New Roman" w:eastAsia="宋体" w:cs="Times New Roman"/>
                <w:sz w:val="24"/>
                <w:szCs w:val="24"/>
                <w:lang w:val="en-US" w:eastAsia="zh-CN"/>
              </w:rPr>
              <w:t>涉及社会养老服务，但不属于新建涉及环境敏感区，属于管理名录中“五十、社会事业与服务业—110.学校、福利院、养老院（建筑面积5000平方米及以上的）”无需编制报告表；对照建设内容，项目</w:t>
            </w:r>
            <w:r>
              <w:rPr>
                <w:rFonts w:hint="eastAsia" w:cs="Times New Roman"/>
                <w:sz w:val="24"/>
                <w:szCs w:val="24"/>
                <w:lang w:val="en-US" w:eastAsia="zh-CN"/>
              </w:rPr>
              <w:t>拟建</w:t>
            </w:r>
            <w:r>
              <w:rPr>
                <w:rFonts w:hint="eastAsia" w:ascii="Times New Roman" w:hAnsi="Times New Roman" w:eastAsia="宋体" w:cs="Times New Roman"/>
                <w:sz w:val="24"/>
                <w:szCs w:val="24"/>
                <w:lang w:val="en-US" w:eastAsia="zh-CN"/>
              </w:rPr>
              <w:t>医疗床位100张</w:t>
            </w:r>
            <w:r>
              <w:rPr>
                <w:rFonts w:hint="eastAsia"/>
                <w:lang w:eastAsia="zh-CN"/>
              </w:rPr>
              <w:t>，</w:t>
            </w:r>
            <w:r>
              <w:rPr>
                <w:rFonts w:hint="eastAsia" w:ascii="Times New Roman" w:hAnsi="Times New Roman" w:eastAsia="宋体" w:cs="Times New Roman"/>
                <w:sz w:val="24"/>
                <w:szCs w:val="24"/>
                <w:lang w:val="en-US" w:eastAsia="zh-CN"/>
              </w:rPr>
              <w:t>属于管理名录中“四十九、卫生 84-108.医院—其他（住院床位 20 张以下的除外）”应编制报告表</w:t>
            </w:r>
            <w:r>
              <w:rPr>
                <w:rFonts w:hint="eastAsia" w:cs="Times New Roman"/>
                <w:sz w:val="24"/>
                <w:szCs w:val="24"/>
                <w:lang w:val="en-US" w:eastAsia="zh-CN"/>
              </w:rPr>
              <w:t>。</w:t>
            </w:r>
            <w:r>
              <w:rPr>
                <w:rFonts w:hint="eastAsia" w:cs="Times New Roman"/>
                <w:sz w:val="24"/>
                <w:szCs w:val="24"/>
                <w:u w:val="single"/>
                <w:lang w:val="en-US" w:eastAsia="zh-CN"/>
              </w:rPr>
              <w:t>本项目不包括辐射和放射性环境影响评价，项目涉及的有关辐射和放射性设备、放射性污染物及处理方式等内容，均需按照国家规定，另行履行环境影响评价手续</w:t>
            </w:r>
            <w:r>
              <w:rPr>
                <w:rFonts w:hint="eastAsia" w:ascii="Times New Roman" w:hAnsi="Times New Roman" w:eastAsia="宋体" w:cs="Times New Roman"/>
                <w:sz w:val="24"/>
                <w:szCs w:val="24"/>
                <w:u w:val="single"/>
                <w:lang w:val="en-US" w:eastAsia="zh-CN"/>
              </w:rPr>
              <w:t>。</w:t>
            </w:r>
          </w:p>
          <w:p w14:paraId="2EC74481">
            <w:pPr>
              <w:adjustRightInd w:val="0"/>
              <w:snapToGrid w:val="0"/>
              <w:spacing w:line="360" w:lineRule="auto"/>
              <w:ind w:firstLine="480" w:firstLineChars="200"/>
              <w:rPr>
                <w:rFonts w:hint="default" w:ascii="Times New Roman Regular" w:hAnsi="Times New Roman Regular" w:eastAsia="宋体" w:cs="Times New Roman Regular"/>
                <w:sz w:val="24"/>
                <w:szCs w:val="24"/>
                <w:u w:val="none"/>
                <w:lang w:val="en-US" w:eastAsia="zh-CN" w:bidi="ar"/>
              </w:rPr>
            </w:pPr>
            <w:r>
              <w:rPr>
                <w:rFonts w:ascii="Times New Roman"/>
                <w:sz w:val="24"/>
              </w:rPr>
              <w:t>根据《中华人民共和国环境保护法》（</w:t>
            </w:r>
            <w:r>
              <w:rPr>
                <w:rFonts w:ascii="Times New Roman" w:hAnsi="Times New Roman"/>
                <w:sz w:val="24"/>
              </w:rPr>
              <w:t>2014</w:t>
            </w:r>
            <w:r>
              <w:rPr>
                <w:rFonts w:ascii="Times New Roman"/>
                <w:sz w:val="24"/>
              </w:rPr>
              <w:t>年</w:t>
            </w:r>
            <w:r>
              <w:rPr>
                <w:rFonts w:ascii="Times New Roman" w:hAnsi="Times New Roman"/>
                <w:sz w:val="24"/>
              </w:rPr>
              <w:t>4</w:t>
            </w:r>
            <w:r>
              <w:rPr>
                <w:rFonts w:ascii="Times New Roman"/>
                <w:sz w:val="24"/>
              </w:rPr>
              <w:t>月</w:t>
            </w:r>
            <w:r>
              <w:rPr>
                <w:rFonts w:ascii="Times New Roman" w:hAnsi="Times New Roman"/>
                <w:sz w:val="24"/>
              </w:rPr>
              <w:t>24</w:t>
            </w:r>
            <w:r>
              <w:rPr>
                <w:rFonts w:ascii="Times New Roman"/>
                <w:sz w:val="24"/>
              </w:rPr>
              <w:t>日修订）、《中华人民共和国环境影响评价法》（</w:t>
            </w:r>
            <w:r>
              <w:rPr>
                <w:rFonts w:ascii="Times New Roman" w:hAnsi="Times New Roman"/>
                <w:sz w:val="24"/>
              </w:rPr>
              <w:t>2018.12.29</w:t>
            </w:r>
            <w:r>
              <w:rPr>
                <w:rFonts w:ascii="Times New Roman"/>
                <w:sz w:val="24"/>
              </w:rPr>
              <w:t>修订并施行）、《建设项目环境保护管理条例》（国务院第</w:t>
            </w:r>
            <w:r>
              <w:rPr>
                <w:rFonts w:ascii="Times New Roman" w:hAnsi="Times New Roman"/>
                <w:sz w:val="24"/>
              </w:rPr>
              <w:t>682</w:t>
            </w:r>
            <w:r>
              <w:rPr>
                <w:rFonts w:ascii="Times New Roman"/>
                <w:sz w:val="24"/>
              </w:rPr>
              <w:t>号令）</w:t>
            </w:r>
            <w:r>
              <w:rPr>
                <w:rFonts w:hint="eastAsia" w:ascii="Times New Roman"/>
                <w:sz w:val="24"/>
                <w:lang w:eastAsia="zh-CN"/>
              </w:rPr>
              <w:t>、</w:t>
            </w:r>
            <w:r>
              <w:rPr>
                <w:rFonts w:ascii="Times New Roman"/>
                <w:sz w:val="24"/>
              </w:rPr>
              <w:t>《建设项目环境影响评价分类管理名录》（环保部令第</w:t>
            </w:r>
            <w:r>
              <w:rPr>
                <w:rFonts w:ascii="Times New Roman" w:hAnsi="Times New Roman"/>
                <w:sz w:val="24"/>
              </w:rPr>
              <w:t>16</w:t>
            </w:r>
            <w:r>
              <w:rPr>
                <w:rFonts w:ascii="Times New Roman"/>
                <w:sz w:val="24"/>
              </w:rPr>
              <w:t>号）等有关文件的规定，本项目属于</w:t>
            </w:r>
            <w:r>
              <w:rPr>
                <w:rFonts w:hint="eastAsia" w:ascii="Times New Roman"/>
                <w:sz w:val="24"/>
                <w:lang w:val="en-US" w:eastAsia="zh-CN"/>
              </w:rPr>
              <w:t>“四十九、卫生”中的“其他”</w:t>
            </w:r>
            <w:r>
              <w:rPr>
                <w:rFonts w:ascii="Times New Roman"/>
                <w:sz w:val="24"/>
              </w:rPr>
              <w:t>，应编制环境影响报</w:t>
            </w:r>
            <w:r>
              <w:rPr>
                <w:sz w:val="24"/>
              </w:rPr>
              <w:t>告表。</w:t>
            </w:r>
          </w:p>
          <w:p w14:paraId="5F3CA957">
            <w:pPr>
              <w:adjustRightInd w:val="0"/>
              <w:snapToGrid w:val="0"/>
              <w:spacing w:line="360" w:lineRule="auto"/>
              <w:rPr>
                <w:b/>
                <w:color w:val="000000"/>
                <w:sz w:val="24"/>
                <w:szCs w:val="24"/>
              </w:rPr>
            </w:pPr>
            <w:r>
              <w:rPr>
                <w:rFonts w:hint="eastAsia"/>
                <w:b/>
                <w:color w:val="000000"/>
                <w:sz w:val="24"/>
                <w:szCs w:val="24"/>
              </w:rPr>
              <w:t>2工程组成</w:t>
            </w:r>
          </w:p>
          <w:p w14:paraId="35396152">
            <w:pPr>
              <w:adjustRightInd w:val="0"/>
              <w:snapToGrid w:val="0"/>
              <w:spacing w:line="360" w:lineRule="auto"/>
              <w:ind w:firstLine="480" w:firstLineChars="200"/>
              <w:rPr>
                <w:bCs/>
                <w:color w:val="000000"/>
                <w:sz w:val="24"/>
                <w:szCs w:val="24"/>
              </w:rPr>
            </w:pPr>
            <w:r>
              <w:rPr>
                <w:bCs/>
                <w:color w:val="000000"/>
                <w:sz w:val="24"/>
                <w:szCs w:val="24"/>
              </w:rPr>
              <w:t>工程组成详见下表。</w:t>
            </w:r>
          </w:p>
          <w:p w14:paraId="75576426">
            <w:pPr>
              <w:spacing w:line="360" w:lineRule="auto"/>
              <w:jc w:val="center"/>
              <w:rPr>
                <w:b/>
                <w:bCs/>
                <w:color w:val="000000"/>
                <w:kern w:val="0"/>
                <w:sz w:val="24"/>
                <w:szCs w:val="24"/>
              </w:rPr>
            </w:pPr>
            <w:bookmarkStart w:id="8" w:name="_Hlk135043901"/>
            <w:r>
              <w:rPr>
                <w:b/>
                <w:bCs/>
                <w:color w:val="000000"/>
                <w:kern w:val="0"/>
                <w:sz w:val="24"/>
                <w:szCs w:val="24"/>
              </w:rPr>
              <w:t>表2-</w:t>
            </w:r>
            <w:r>
              <w:rPr>
                <w:rFonts w:hint="eastAsia"/>
                <w:b/>
                <w:bCs/>
                <w:color w:val="000000"/>
                <w:kern w:val="0"/>
                <w:sz w:val="24"/>
                <w:szCs w:val="24"/>
              </w:rPr>
              <w:t>1</w:t>
            </w:r>
            <w:r>
              <w:rPr>
                <w:b/>
                <w:bCs/>
                <w:color w:val="000000"/>
                <w:kern w:val="0"/>
                <w:sz w:val="24"/>
                <w:szCs w:val="24"/>
              </w:rPr>
              <w:t xml:space="preserve">  主要建设内容情况一览表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1193"/>
              <w:gridCol w:w="5140"/>
              <w:gridCol w:w="928"/>
            </w:tblGrid>
            <w:tr w14:paraId="36F8ED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4" w:type="dxa"/>
                  <w:gridSpan w:val="2"/>
                  <w:vAlign w:val="center"/>
                </w:tcPr>
                <w:p w14:paraId="34A9EC15">
                  <w:pPr>
                    <w:spacing w:line="0" w:lineRule="atLeast"/>
                    <w:jc w:val="center"/>
                    <w:rPr>
                      <w:b/>
                      <w:bCs/>
                      <w:color w:val="auto"/>
                      <w:kern w:val="0"/>
                      <w:sz w:val="21"/>
                      <w:szCs w:val="21"/>
                      <w:u w:val="single"/>
                    </w:rPr>
                  </w:pPr>
                  <w:r>
                    <w:rPr>
                      <w:rFonts w:ascii="宋体" w:hAnsi="宋体" w:cs="宋体"/>
                      <w:b/>
                      <w:bCs/>
                      <w:color w:val="auto"/>
                      <w:sz w:val="21"/>
                      <w:szCs w:val="21"/>
                      <w:u w:val="single"/>
                    </w:rPr>
                    <w:t>项目组成</w:t>
                  </w:r>
                </w:p>
              </w:tc>
              <w:tc>
                <w:tcPr>
                  <w:tcW w:w="5140" w:type="dxa"/>
                  <w:vAlign w:val="center"/>
                </w:tcPr>
                <w:p w14:paraId="75D2B938">
                  <w:pPr>
                    <w:spacing w:line="0" w:lineRule="atLeast"/>
                    <w:jc w:val="center"/>
                    <w:rPr>
                      <w:b/>
                      <w:bCs/>
                      <w:color w:val="auto"/>
                      <w:kern w:val="0"/>
                      <w:sz w:val="21"/>
                      <w:szCs w:val="21"/>
                      <w:u w:val="single"/>
                    </w:rPr>
                  </w:pPr>
                  <w:r>
                    <w:rPr>
                      <w:b/>
                      <w:bCs/>
                      <w:color w:val="auto"/>
                      <w:kern w:val="0"/>
                      <w:sz w:val="21"/>
                      <w:szCs w:val="21"/>
                      <w:u w:val="single"/>
                    </w:rPr>
                    <w:t>工程建设内容</w:t>
                  </w:r>
                </w:p>
              </w:tc>
              <w:tc>
                <w:tcPr>
                  <w:tcW w:w="928" w:type="dxa"/>
                  <w:vAlign w:val="center"/>
                </w:tcPr>
                <w:p w14:paraId="30188026">
                  <w:pPr>
                    <w:spacing w:line="0" w:lineRule="atLeast"/>
                    <w:jc w:val="center"/>
                    <w:rPr>
                      <w:rFonts w:hint="eastAsia" w:eastAsia="宋体"/>
                      <w:b/>
                      <w:bCs/>
                      <w:color w:val="auto"/>
                      <w:kern w:val="0"/>
                      <w:sz w:val="21"/>
                      <w:szCs w:val="21"/>
                      <w:u w:val="single"/>
                      <w:lang w:eastAsia="zh-CN"/>
                    </w:rPr>
                  </w:pPr>
                  <w:r>
                    <w:rPr>
                      <w:rFonts w:hint="eastAsia"/>
                      <w:b/>
                      <w:bCs/>
                      <w:color w:val="auto"/>
                      <w:kern w:val="0"/>
                      <w:sz w:val="21"/>
                      <w:szCs w:val="21"/>
                      <w:u w:val="single"/>
                      <w:lang w:val="en-US" w:eastAsia="zh-CN"/>
                    </w:rPr>
                    <w:t>备注</w:t>
                  </w:r>
                </w:p>
              </w:tc>
            </w:tr>
            <w:tr w14:paraId="39EC1B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restart"/>
                  <w:vAlign w:val="center"/>
                </w:tcPr>
                <w:p w14:paraId="2F94FD1C">
                  <w:pPr>
                    <w:spacing w:line="0" w:lineRule="atLeast"/>
                    <w:jc w:val="center"/>
                    <w:rPr>
                      <w:color w:val="auto"/>
                      <w:kern w:val="0"/>
                      <w:sz w:val="21"/>
                      <w:szCs w:val="21"/>
                      <w:u w:val="single"/>
                    </w:rPr>
                  </w:pPr>
                  <w:r>
                    <w:rPr>
                      <w:rFonts w:hint="eastAsia"/>
                      <w:color w:val="auto"/>
                      <w:kern w:val="0"/>
                      <w:sz w:val="21"/>
                      <w:szCs w:val="21"/>
                      <w:u w:val="single"/>
                    </w:rPr>
                    <w:t>主体工程</w:t>
                  </w:r>
                </w:p>
              </w:tc>
              <w:tc>
                <w:tcPr>
                  <w:tcW w:w="1193" w:type="dxa"/>
                  <w:vAlign w:val="center"/>
                </w:tcPr>
                <w:p w14:paraId="01BEE7C1">
                  <w:pPr>
                    <w:spacing w:line="0" w:lineRule="atLeast"/>
                    <w:jc w:val="center"/>
                    <w:rPr>
                      <w:rFonts w:hint="eastAsia"/>
                      <w:color w:val="auto"/>
                      <w:kern w:val="0"/>
                      <w:sz w:val="21"/>
                      <w:szCs w:val="21"/>
                      <w:u w:val="single"/>
                      <w:lang w:val="en-US" w:eastAsia="zh-CN"/>
                    </w:rPr>
                  </w:pPr>
                  <w:r>
                    <w:rPr>
                      <w:rFonts w:hint="eastAsia"/>
                      <w:color w:val="auto"/>
                      <w:kern w:val="0"/>
                      <w:sz w:val="21"/>
                      <w:szCs w:val="21"/>
                      <w:u w:val="single"/>
                      <w:lang w:val="en-US" w:eastAsia="zh-CN"/>
                    </w:rPr>
                    <w:t>宗地六</w:t>
                  </w:r>
                </w:p>
                <w:p w14:paraId="21EE1C88">
                  <w:pPr>
                    <w:pStyle w:val="2"/>
                    <w:rPr>
                      <w:rFonts w:hint="default"/>
                      <w:color w:val="auto"/>
                      <w:u w:val="single"/>
                      <w:lang w:val="en-US" w:eastAsia="zh-CN"/>
                    </w:rPr>
                  </w:pPr>
                  <w:r>
                    <w:rPr>
                      <w:rFonts w:hint="eastAsia"/>
                      <w:color w:val="auto"/>
                      <w:kern w:val="0"/>
                      <w:sz w:val="21"/>
                      <w:szCs w:val="21"/>
                      <w:u w:val="single"/>
                      <w:lang w:val="en-US" w:eastAsia="zh-CN"/>
                    </w:rPr>
                    <w:t>用地</w:t>
                  </w:r>
                  <w:r>
                    <w:rPr>
                      <w:rFonts w:hint="eastAsia"/>
                      <w:color w:val="auto"/>
                      <w:sz w:val="21"/>
                      <w:szCs w:val="21"/>
                      <w:u w:val="single"/>
                      <w:lang w:val="en-US" w:eastAsia="zh-CN"/>
                    </w:rPr>
                    <w:t>面积约9632m</w:t>
                  </w:r>
                  <w:r>
                    <w:rPr>
                      <w:rFonts w:hint="eastAsia"/>
                      <w:color w:val="auto"/>
                      <w:sz w:val="21"/>
                      <w:szCs w:val="21"/>
                      <w:u w:val="single"/>
                      <w:vertAlign w:val="superscript"/>
                      <w:lang w:val="en-US" w:eastAsia="zh-CN"/>
                    </w:rPr>
                    <w:t>2</w:t>
                  </w:r>
                </w:p>
              </w:tc>
              <w:tc>
                <w:tcPr>
                  <w:tcW w:w="5140" w:type="dxa"/>
                  <w:vAlign w:val="center"/>
                </w:tcPr>
                <w:p w14:paraId="668C61CC">
                  <w:pPr>
                    <w:spacing w:line="0" w:lineRule="atLeast"/>
                    <w:rPr>
                      <w:rFonts w:hint="eastAsia"/>
                      <w:color w:val="auto"/>
                      <w:kern w:val="0"/>
                      <w:sz w:val="21"/>
                      <w:szCs w:val="21"/>
                      <w:u w:val="single"/>
                      <w:lang w:val="en-US" w:eastAsia="zh-CN"/>
                    </w:rPr>
                  </w:pPr>
                  <w:r>
                    <w:rPr>
                      <w:rFonts w:hint="eastAsia"/>
                      <w:color w:val="auto"/>
                      <w:kern w:val="0"/>
                      <w:sz w:val="21"/>
                      <w:szCs w:val="21"/>
                      <w:u w:val="single"/>
                      <w:lang w:val="en-US" w:eastAsia="zh-CN"/>
                    </w:rPr>
                    <w:t>设置有医疗综合楼及食堂；医疗综合楼：6F，23.8m高，</w:t>
                  </w:r>
                  <w:r>
                    <w:rPr>
                      <w:rFonts w:hint="eastAsia"/>
                      <w:color w:val="auto"/>
                      <w:sz w:val="21"/>
                      <w:szCs w:val="21"/>
                      <w:u w:val="single"/>
                      <w:lang w:val="en-US" w:eastAsia="zh-CN"/>
                    </w:rPr>
                    <w:t>建筑面积约</w:t>
                  </w:r>
                  <w:r>
                    <w:rPr>
                      <w:rFonts w:hint="eastAsia"/>
                      <w:color w:val="auto"/>
                      <w:sz w:val="21"/>
                      <w:szCs w:val="21"/>
                      <w:u w:val="single"/>
                      <w:shd w:val="clear"/>
                      <w:lang w:val="en-US" w:eastAsia="zh-CN"/>
                    </w:rPr>
                    <w:t>8623.44m</w:t>
                  </w:r>
                  <w:r>
                    <w:rPr>
                      <w:rFonts w:hint="eastAsia"/>
                      <w:color w:val="auto"/>
                      <w:sz w:val="21"/>
                      <w:szCs w:val="21"/>
                      <w:u w:val="single"/>
                      <w:shd w:val="clear"/>
                      <w:vertAlign w:val="superscript"/>
                      <w:lang w:val="en-US" w:eastAsia="zh-CN"/>
                    </w:rPr>
                    <w:t>2</w:t>
                  </w:r>
                  <w:r>
                    <w:rPr>
                      <w:rFonts w:hint="eastAsia"/>
                      <w:color w:val="auto"/>
                      <w:sz w:val="21"/>
                      <w:szCs w:val="21"/>
                      <w:u w:val="single"/>
                      <w:lang w:val="en-US" w:eastAsia="zh-CN"/>
                    </w:rPr>
                    <w:t>，1F设置有接待大厅、药房、值班室等；2F设置有医疗诊疗区（内科诊室、换药处置室、观察室、消毒间）；3F布置100张医养护理床位（失能、半失能老人，设置护理站）；4F行政办公区（财务室、会议室、档案资料室、职工办公室）；5F为康复理疗中心（康复训练大厅、物理治疗室、推拿室、心理疏导室等）。</w:t>
                  </w:r>
                </w:p>
                <w:p w14:paraId="13CD7CA8">
                  <w:pPr>
                    <w:spacing w:line="0" w:lineRule="atLeast"/>
                    <w:rPr>
                      <w:rFonts w:hint="default" w:eastAsia="宋体"/>
                      <w:color w:val="auto"/>
                      <w:kern w:val="0"/>
                      <w:sz w:val="21"/>
                      <w:szCs w:val="21"/>
                      <w:u w:val="single"/>
                      <w:lang w:val="en-US" w:eastAsia="zh-CN"/>
                    </w:rPr>
                  </w:pPr>
                  <w:r>
                    <w:rPr>
                      <w:rFonts w:hint="eastAsia"/>
                      <w:color w:val="auto"/>
                      <w:kern w:val="0"/>
                      <w:sz w:val="21"/>
                      <w:szCs w:val="21"/>
                      <w:u w:val="single"/>
                      <w:lang w:val="en-US" w:eastAsia="zh-CN"/>
                    </w:rPr>
                    <w:t>食堂：6F，18m高，建筑</w:t>
                  </w:r>
                  <w:r>
                    <w:rPr>
                      <w:rFonts w:hint="eastAsia"/>
                      <w:color w:val="auto"/>
                      <w:sz w:val="21"/>
                      <w:szCs w:val="21"/>
                      <w:u w:val="single"/>
                      <w:lang w:val="en-US" w:eastAsia="zh-CN"/>
                    </w:rPr>
                    <w:t>面积约8592m</w:t>
                  </w:r>
                  <w:r>
                    <w:rPr>
                      <w:rFonts w:hint="eastAsia"/>
                      <w:color w:val="auto"/>
                      <w:sz w:val="21"/>
                      <w:szCs w:val="21"/>
                      <w:u w:val="single"/>
                      <w:vertAlign w:val="superscript"/>
                      <w:lang w:val="en-US" w:eastAsia="zh-CN"/>
                    </w:rPr>
                    <w:t>2</w:t>
                  </w:r>
                  <w:r>
                    <w:rPr>
                      <w:rFonts w:hint="eastAsia"/>
                      <w:color w:val="auto"/>
                      <w:sz w:val="21"/>
                      <w:szCs w:val="21"/>
                      <w:u w:val="single"/>
                      <w:lang w:val="en-US" w:eastAsia="zh-CN"/>
                    </w:rPr>
                    <w:t>，设置有就餐区、食材仓库等；主要用于养老、医养及职员用餐。</w:t>
                  </w:r>
                </w:p>
              </w:tc>
              <w:tc>
                <w:tcPr>
                  <w:tcW w:w="928" w:type="dxa"/>
                  <w:vAlign w:val="center"/>
                </w:tcPr>
                <w:p w14:paraId="5C07FFC5">
                  <w:pPr>
                    <w:spacing w:line="0" w:lineRule="atLeast"/>
                    <w:jc w:val="center"/>
                    <w:rPr>
                      <w:rFonts w:hint="eastAsia" w:eastAsia="宋体"/>
                      <w:color w:val="auto"/>
                      <w:kern w:val="0"/>
                      <w:sz w:val="21"/>
                      <w:szCs w:val="21"/>
                      <w:u w:val="single"/>
                      <w:lang w:val="en-US" w:eastAsia="zh-CN"/>
                    </w:rPr>
                  </w:pPr>
                  <w:r>
                    <w:rPr>
                      <w:rFonts w:hint="eastAsia"/>
                      <w:color w:val="auto"/>
                      <w:kern w:val="0"/>
                      <w:sz w:val="21"/>
                      <w:szCs w:val="21"/>
                      <w:u w:val="single"/>
                      <w:lang w:val="en-US" w:eastAsia="zh-CN"/>
                    </w:rPr>
                    <w:t>新建</w:t>
                  </w:r>
                </w:p>
              </w:tc>
            </w:tr>
            <w:tr w14:paraId="15A1E1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78A2AFE0">
                  <w:pPr>
                    <w:spacing w:line="0" w:lineRule="atLeast"/>
                    <w:jc w:val="center"/>
                    <w:rPr>
                      <w:rFonts w:hint="eastAsia"/>
                      <w:color w:val="auto"/>
                      <w:kern w:val="0"/>
                      <w:sz w:val="21"/>
                      <w:szCs w:val="21"/>
                      <w:u w:val="single"/>
                    </w:rPr>
                  </w:pPr>
                </w:p>
              </w:tc>
              <w:tc>
                <w:tcPr>
                  <w:tcW w:w="1193" w:type="dxa"/>
                  <w:vAlign w:val="center"/>
                </w:tcPr>
                <w:p w14:paraId="49F6191D">
                  <w:pPr>
                    <w:spacing w:line="0" w:lineRule="atLeast"/>
                    <w:jc w:val="center"/>
                    <w:rPr>
                      <w:rFonts w:hint="eastAsia"/>
                      <w:color w:val="auto"/>
                      <w:kern w:val="0"/>
                      <w:sz w:val="21"/>
                      <w:szCs w:val="21"/>
                      <w:u w:val="single"/>
                      <w:lang w:val="en-US" w:eastAsia="zh-CN"/>
                    </w:rPr>
                  </w:pPr>
                  <w:r>
                    <w:rPr>
                      <w:rFonts w:hint="eastAsia"/>
                      <w:color w:val="auto"/>
                      <w:kern w:val="0"/>
                      <w:sz w:val="21"/>
                      <w:szCs w:val="21"/>
                      <w:u w:val="single"/>
                      <w:lang w:val="en-US" w:eastAsia="zh-CN"/>
                    </w:rPr>
                    <w:t>宗地二</w:t>
                  </w:r>
                </w:p>
                <w:p w14:paraId="2E478DA5">
                  <w:pPr>
                    <w:pStyle w:val="2"/>
                    <w:rPr>
                      <w:rFonts w:hint="eastAsia"/>
                      <w:color w:val="auto"/>
                      <w:u w:val="single"/>
                      <w:lang w:val="en-US" w:eastAsia="zh-CN"/>
                    </w:rPr>
                  </w:pPr>
                  <w:r>
                    <w:rPr>
                      <w:rFonts w:hint="eastAsia"/>
                      <w:color w:val="auto"/>
                      <w:sz w:val="21"/>
                      <w:szCs w:val="21"/>
                      <w:u w:val="single"/>
                      <w:lang w:val="en-US" w:eastAsia="zh-CN"/>
                    </w:rPr>
                    <w:t>用地面积约</w:t>
                  </w:r>
                  <w:r>
                    <w:rPr>
                      <w:rFonts w:hint="eastAsia"/>
                      <w:color w:val="auto"/>
                      <w:sz w:val="21"/>
                      <w:szCs w:val="21"/>
                      <w:u w:val="single"/>
                      <w:shd w:val="clear"/>
                      <w:lang w:val="en-US" w:eastAsia="zh-CN"/>
                    </w:rPr>
                    <w:t>1032m</w:t>
                  </w:r>
                  <w:r>
                    <w:rPr>
                      <w:rFonts w:hint="eastAsia"/>
                      <w:color w:val="auto"/>
                      <w:sz w:val="21"/>
                      <w:szCs w:val="21"/>
                      <w:u w:val="single"/>
                      <w:shd w:val="clear"/>
                      <w:vertAlign w:val="superscript"/>
                      <w:lang w:val="en-US" w:eastAsia="zh-CN"/>
                    </w:rPr>
                    <w:t>2</w:t>
                  </w:r>
                </w:p>
              </w:tc>
              <w:tc>
                <w:tcPr>
                  <w:tcW w:w="5140" w:type="dxa"/>
                  <w:vAlign w:val="center"/>
                </w:tcPr>
                <w:p w14:paraId="16830637">
                  <w:pPr>
                    <w:spacing w:line="0" w:lineRule="atLeast"/>
                    <w:rPr>
                      <w:rFonts w:hint="default"/>
                      <w:color w:val="auto"/>
                      <w:kern w:val="0"/>
                      <w:sz w:val="21"/>
                      <w:szCs w:val="21"/>
                      <w:u w:val="single"/>
                      <w:lang w:val="en-US" w:eastAsia="zh-CN"/>
                    </w:rPr>
                  </w:pPr>
                  <w:r>
                    <w:rPr>
                      <w:rFonts w:hint="eastAsia"/>
                      <w:color w:val="auto"/>
                      <w:kern w:val="0"/>
                      <w:sz w:val="21"/>
                      <w:szCs w:val="21"/>
                      <w:u w:val="single"/>
                      <w:lang w:val="en-US" w:eastAsia="zh-CN"/>
                    </w:rPr>
                    <w:t>综合楼：5F，18m高，</w:t>
                  </w:r>
                  <w:r>
                    <w:rPr>
                      <w:rFonts w:hint="eastAsia"/>
                      <w:color w:val="auto"/>
                      <w:sz w:val="21"/>
                      <w:szCs w:val="21"/>
                      <w:u w:val="single"/>
                      <w:lang w:val="en-US" w:eastAsia="zh-CN"/>
                    </w:rPr>
                    <w:t>建筑面积约</w:t>
                  </w:r>
                  <w:r>
                    <w:rPr>
                      <w:rFonts w:hint="eastAsia"/>
                      <w:color w:val="auto"/>
                      <w:sz w:val="21"/>
                      <w:szCs w:val="21"/>
                      <w:u w:val="single"/>
                      <w:shd w:val="clear"/>
                      <w:lang w:val="en-US" w:eastAsia="zh-CN"/>
                    </w:rPr>
                    <w:t>1960m</w:t>
                  </w:r>
                  <w:r>
                    <w:rPr>
                      <w:rFonts w:hint="eastAsia"/>
                      <w:color w:val="auto"/>
                      <w:sz w:val="21"/>
                      <w:szCs w:val="21"/>
                      <w:u w:val="single"/>
                      <w:shd w:val="clear"/>
                      <w:vertAlign w:val="superscript"/>
                      <w:lang w:val="en-US" w:eastAsia="zh-CN"/>
                    </w:rPr>
                    <w:t>2</w:t>
                  </w:r>
                  <w:r>
                    <w:rPr>
                      <w:rFonts w:hint="eastAsia"/>
                      <w:color w:val="auto"/>
                      <w:sz w:val="21"/>
                      <w:szCs w:val="21"/>
                      <w:u w:val="single"/>
                      <w:lang w:val="en-US" w:eastAsia="zh-CN"/>
                    </w:rPr>
                    <w:t>，</w:t>
                  </w:r>
                  <w:r>
                    <w:rPr>
                      <w:rFonts w:hint="default"/>
                      <w:color w:val="auto"/>
                      <w:kern w:val="0"/>
                      <w:sz w:val="21"/>
                      <w:szCs w:val="21"/>
                      <w:u w:val="single"/>
                      <w:lang w:val="en-US" w:eastAsia="zh-CN"/>
                    </w:rPr>
                    <w:t>布设养老康复活动用房、公共活动室、办公后勤配套用房，为老年人提供长期托养、生活照料、文化休闲</w:t>
                  </w:r>
                  <w:r>
                    <w:rPr>
                      <w:rFonts w:hint="eastAsia"/>
                      <w:color w:val="auto"/>
                      <w:kern w:val="0"/>
                      <w:sz w:val="21"/>
                      <w:szCs w:val="21"/>
                      <w:u w:val="single"/>
                      <w:lang w:val="en-US" w:eastAsia="zh-CN"/>
                    </w:rPr>
                    <w:t>。</w:t>
                  </w:r>
                </w:p>
              </w:tc>
              <w:tc>
                <w:tcPr>
                  <w:tcW w:w="928" w:type="dxa"/>
                  <w:vAlign w:val="center"/>
                </w:tcPr>
                <w:p w14:paraId="28D7BF32">
                  <w:pPr>
                    <w:spacing w:line="0" w:lineRule="atLeast"/>
                    <w:jc w:val="center"/>
                    <w:rPr>
                      <w:color w:val="auto"/>
                      <w:kern w:val="0"/>
                      <w:sz w:val="21"/>
                      <w:szCs w:val="21"/>
                      <w:u w:val="single"/>
                    </w:rPr>
                  </w:pPr>
                  <w:r>
                    <w:rPr>
                      <w:rFonts w:hint="eastAsia"/>
                      <w:color w:val="auto"/>
                      <w:kern w:val="0"/>
                      <w:sz w:val="21"/>
                      <w:szCs w:val="21"/>
                      <w:u w:val="single"/>
                      <w:lang w:val="en-US" w:eastAsia="zh-CN"/>
                    </w:rPr>
                    <w:t>新建</w:t>
                  </w:r>
                </w:p>
              </w:tc>
            </w:tr>
            <w:tr w14:paraId="5E9E57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51615225">
                  <w:pPr>
                    <w:pStyle w:val="445"/>
                    <w:adjustRightInd/>
                    <w:snapToGrid/>
                    <w:spacing w:line="0" w:lineRule="atLeast"/>
                    <w:ind w:firstLine="0" w:firstLineChars="0"/>
                    <w:jc w:val="center"/>
                    <w:rPr>
                      <w:color w:val="auto"/>
                      <w:kern w:val="0"/>
                      <w:sz w:val="21"/>
                      <w:szCs w:val="21"/>
                      <w:u w:val="single"/>
                    </w:rPr>
                  </w:pPr>
                </w:p>
              </w:tc>
              <w:tc>
                <w:tcPr>
                  <w:tcW w:w="1193" w:type="dxa"/>
                  <w:vAlign w:val="center"/>
                </w:tcPr>
                <w:p w14:paraId="0845B874">
                  <w:pPr>
                    <w:spacing w:line="0" w:lineRule="atLeast"/>
                    <w:jc w:val="center"/>
                    <w:rPr>
                      <w:rFonts w:hint="eastAsia"/>
                      <w:color w:val="auto"/>
                      <w:kern w:val="0"/>
                      <w:sz w:val="21"/>
                      <w:szCs w:val="21"/>
                      <w:u w:val="single"/>
                      <w:lang w:val="en-US" w:eastAsia="zh-CN"/>
                    </w:rPr>
                  </w:pPr>
                  <w:r>
                    <w:rPr>
                      <w:rFonts w:hint="eastAsia"/>
                      <w:color w:val="auto"/>
                      <w:kern w:val="0"/>
                      <w:sz w:val="21"/>
                      <w:szCs w:val="21"/>
                      <w:u w:val="single"/>
                      <w:lang w:val="en-US" w:eastAsia="zh-CN"/>
                    </w:rPr>
                    <w:t>宗地一</w:t>
                  </w:r>
                </w:p>
                <w:p w14:paraId="2F0944B9">
                  <w:pPr>
                    <w:pStyle w:val="2"/>
                    <w:rPr>
                      <w:rFonts w:hint="default"/>
                      <w:color w:val="auto"/>
                      <w:u w:val="single"/>
                      <w:lang w:val="en-US" w:eastAsia="zh-CN"/>
                    </w:rPr>
                  </w:pPr>
                  <w:r>
                    <w:rPr>
                      <w:rFonts w:hint="eastAsia"/>
                      <w:color w:val="auto"/>
                      <w:sz w:val="21"/>
                      <w:szCs w:val="21"/>
                      <w:u w:val="single"/>
                      <w:lang w:val="en-US" w:eastAsia="zh-CN"/>
                    </w:rPr>
                    <w:t>用地面积约</w:t>
                  </w:r>
                  <w:r>
                    <w:rPr>
                      <w:rFonts w:hint="eastAsia"/>
                      <w:color w:val="auto"/>
                      <w:sz w:val="21"/>
                      <w:szCs w:val="21"/>
                      <w:u w:val="single"/>
                      <w:shd w:val="clear"/>
                      <w:lang w:val="en-US" w:eastAsia="zh-CN"/>
                    </w:rPr>
                    <w:t>6289m</w:t>
                  </w:r>
                  <w:r>
                    <w:rPr>
                      <w:rFonts w:hint="eastAsia"/>
                      <w:color w:val="auto"/>
                      <w:sz w:val="21"/>
                      <w:szCs w:val="21"/>
                      <w:u w:val="single"/>
                      <w:shd w:val="clear"/>
                      <w:vertAlign w:val="superscript"/>
                      <w:lang w:val="en-US" w:eastAsia="zh-CN"/>
                    </w:rPr>
                    <w:t>2</w:t>
                  </w:r>
                </w:p>
              </w:tc>
              <w:tc>
                <w:tcPr>
                  <w:tcW w:w="5140" w:type="dxa"/>
                  <w:vAlign w:val="center"/>
                </w:tcPr>
                <w:p w14:paraId="75C1EA8B">
                  <w:pPr>
                    <w:pStyle w:val="445"/>
                    <w:spacing w:line="0" w:lineRule="atLeast"/>
                    <w:ind w:firstLine="0" w:firstLineChars="0"/>
                    <w:rPr>
                      <w:color w:val="auto"/>
                      <w:kern w:val="0"/>
                      <w:sz w:val="21"/>
                      <w:szCs w:val="21"/>
                      <w:u w:val="single"/>
                    </w:rPr>
                  </w:pPr>
                  <w:r>
                    <w:rPr>
                      <w:rFonts w:hint="eastAsia"/>
                      <w:color w:val="auto"/>
                      <w:kern w:val="0"/>
                      <w:sz w:val="21"/>
                      <w:szCs w:val="21"/>
                      <w:u w:val="single"/>
                      <w:lang w:val="en-US" w:eastAsia="zh-CN"/>
                    </w:rPr>
                    <w:t>健康养老服务中心：</w:t>
                  </w:r>
                  <w:r>
                    <w:rPr>
                      <w:rFonts w:hint="eastAsia"/>
                      <w:color w:val="auto"/>
                      <w:sz w:val="21"/>
                      <w:szCs w:val="21"/>
                      <w:u w:val="single"/>
                      <w:lang w:val="en-US" w:eastAsia="zh-CN"/>
                    </w:rPr>
                    <w:t>3F，12m高，计容建筑面积约</w:t>
                  </w:r>
                  <w:r>
                    <w:rPr>
                      <w:rFonts w:hint="eastAsia"/>
                      <w:color w:val="auto"/>
                      <w:sz w:val="21"/>
                      <w:szCs w:val="21"/>
                      <w:u w:val="single"/>
                      <w:shd w:val="clear"/>
                      <w:lang w:val="en-US" w:eastAsia="zh-CN"/>
                    </w:rPr>
                    <w:t>4971m</w:t>
                  </w:r>
                  <w:r>
                    <w:rPr>
                      <w:rFonts w:hint="eastAsia"/>
                      <w:color w:val="auto"/>
                      <w:sz w:val="21"/>
                      <w:szCs w:val="21"/>
                      <w:u w:val="single"/>
                      <w:shd w:val="clear"/>
                      <w:vertAlign w:val="superscript"/>
                      <w:lang w:val="en-US" w:eastAsia="zh-CN"/>
                    </w:rPr>
                    <w:t>2</w:t>
                  </w:r>
                  <w:r>
                    <w:rPr>
                      <w:rFonts w:hint="eastAsia"/>
                      <w:color w:val="auto"/>
                      <w:sz w:val="21"/>
                      <w:szCs w:val="21"/>
                      <w:u w:val="single"/>
                      <w:lang w:val="en-US" w:eastAsia="zh-CN"/>
                    </w:rPr>
                    <w:t>；服务对象：养老公寓长期入住老人，无住宿床位、无诊疗功能；1F：休闲大厅、健康自助检测区、老年茶室、公共卫生间；2F：阅览书画室、棋牌活动室、多媒体影音室；3F：多功能教室、社工工作室、谈心疏导室、物资储藏间。</w:t>
                  </w:r>
                </w:p>
              </w:tc>
              <w:tc>
                <w:tcPr>
                  <w:tcW w:w="928" w:type="dxa"/>
                  <w:vAlign w:val="center"/>
                </w:tcPr>
                <w:p w14:paraId="2D20CE7D">
                  <w:pPr>
                    <w:pStyle w:val="445"/>
                    <w:spacing w:line="0" w:lineRule="atLeast"/>
                    <w:ind w:firstLine="0" w:firstLineChars="0"/>
                    <w:jc w:val="center"/>
                    <w:rPr>
                      <w:color w:val="auto"/>
                      <w:kern w:val="0"/>
                      <w:sz w:val="21"/>
                      <w:szCs w:val="21"/>
                      <w:u w:val="single"/>
                    </w:rPr>
                  </w:pPr>
                  <w:r>
                    <w:rPr>
                      <w:rFonts w:hint="eastAsia"/>
                      <w:color w:val="auto"/>
                      <w:kern w:val="0"/>
                      <w:sz w:val="21"/>
                      <w:szCs w:val="21"/>
                      <w:u w:val="single"/>
                      <w:lang w:val="en-US" w:eastAsia="zh-CN"/>
                    </w:rPr>
                    <w:t>新建</w:t>
                  </w:r>
                </w:p>
              </w:tc>
            </w:tr>
            <w:tr w14:paraId="00A3B8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7B85CA73">
                  <w:pPr>
                    <w:pStyle w:val="445"/>
                    <w:adjustRightInd/>
                    <w:snapToGrid/>
                    <w:spacing w:line="0" w:lineRule="atLeast"/>
                    <w:ind w:firstLine="0" w:firstLineChars="0"/>
                    <w:jc w:val="center"/>
                    <w:rPr>
                      <w:color w:val="auto"/>
                      <w:kern w:val="0"/>
                      <w:sz w:val="21"/>
                      <w:szCs w:val="21"/>
                      <w:u w:val="single"/>
                    </w:rPr>
                  </w:pPr>
                </w:p>
              </w:tc>
              <w:tc>
                <w:tcPr>
                  <w:tcW w:w="1193" w:type="dxa"/>
                  <w:vAlign w:val="center"/>
                </w:tcPr>
                <w:p w14:paraId="56B49151">
                  <w:pPr>
                    <w:pStyle w:val="445"/>
                    <w:adjustRightInd/>
                    <w:snapToGrid/>
                    <w:spacing w:line="0" w:lineRule="atLeast"/>
                    <w:ind w:firstLine="0" w:firstLineChars="0"/>
                    <w:jc w:val="center"/>
                    <w:rPr>
                      <w:rFonts w:hint="eastAsia"/>
                      <w:color w:val="auto"/>
                      <w:kern w:val="0"/>
                      <w:sz w:val="21"/>
                      <w:szCs w:val="21"/>
                      <w:u w:val="single"/>
                      <w:lang w:val="en-US" w:eastAsia="zh-CN"/>
                    </w:rPr>
                  </w:pPr>
                  <w:r>
                    <w:rPr>
                      <w:rFonts w:hint="eastAsia"/>
                      <w:color w:val="auto"/>
                      <w:kern w:val="0"/>
                      <w:sz w:val="21"/>
                      <w:szCs w:val="21"/>
                      <w:u w:val="single"/>
                      <w:lang w:val="en-US" w:eastAsia="zh-CN"/>
                    </w:rPr>
                    <w:t>宗地三</w:t>
                  </w:r>
                </w:p>
                <w:p w14:paraId="7E95EA95">
                  <w:pPr>
                    <w:rPr>
                      <w:color w:val="auto"/>
                      <w:u w:val="single"/>
                    </w:rPr>
                  </w:pPr>
                  <w:r>
                    <w:rPr>
                      <w:rFonts w:hint="eastAsia"/>
                      <w:color w:val="auto"/>
                      <w:sz w:val="21"/>
                      <w:szCs w:val="21"/>
                      <w:u w:val="single"/>
                      <w:lang w:val="en-US" w:eastAsia="zh-CN"/>
                    </w:rPr>
                    <w:t>用地面积约</w:t>
                  </w:r>
                  <w:r>
                    <w:rPr>
                      <w:rFonts w:hint="eastAsia"/>
                      <w:color w:val="auto"/>
                      <w:sz w:val="21"/>
                      <w:szCs w:val="21"/>
                      <w:u w:val="single"/>
                      <w:shd w:val="clear"/>
                      <w:lang w:val="en-US" w:eastAsia="zh-CN"/>
                    </w:rPr>
                    <w:t>2228m</w:t>
                  </w:r>
                  <w:r>
                    <w:rPr>
                      <w:rFonts w:hint="eastAsia"/>
                      <w:color w:val="auto"/>
                      <w:sz w:val="21"/>
                      <w:szCs w:val="21"/>
                      <w:u w:val="single"/>
                      <w:shd w:val="clear"/>
                      <w:vertAlign w:val="superscript"/>
                      <w:lang w:val="en-US" w:eastAsia="zh-CN"/>
                    </w:rPr>
                    <w:t>2</w:t>
                  </w:r>
                </w:p>
              </w:tc>
              <w:tc>
                <w:tcPr>
                  <w:tcW w:w="5140" w:type="dxa"/>
                  <w:vAlign w:val="center"/>
                </w:tcPr>
                <w:p w14:paraId="6837ADDC">
                  <w:pPr>
                    <w:pStyle w:val="445"/>
                    <w:spacing w:line="0" w:lineRule="atLeast"/>
                    <w:ind w:firstLine="0" w:firstLineChars="0"/>
                    <w:rPr>
                      <w:rFonts w:hint="default"/>
                      <w:color w:val="auto"/>
                      <w:kern w:val="0"/>
                      <w:sz w:val="21"/>
                      <w:szCs w:val="21"/>
                      <w:u w:val="single"/>
                      <w:lang w:val="en-US"/>
                    </w:rPr>
                  </w:pPr>
                  <w:r>
                    <w:rPr>
                      <w:rFonts w:hint="eastAsia"/>
                      <w:color w:val="auto"/>
                      <w:kern w:val="0"/>
                      <w:sz w:val="21"/>
                      <w:szCs w:val="21"/>
                      <w:u w:val="single"/>
                      <w:lang w:val="en-US" w:eastAsia="zh-CN"/>
                    </w:rPr>
                    <w:t>日间照料中心：</w:t>
                  </w:r>
                  <w:r>
                    <w:rPr>
                      <w:rFonts w:hint="eastAsia"/>
                      <w:color w:val="auto"/>
                      <w:sz w:val="21"/>
                      <w:szCs w:val="21"/>
                      <w:u w:val="single"/>
                      <w:lang w:val="en-US" w:eastAsia="zh-CN"/>
                    </w:rPr>
                    <w:t>3F，12m高，计容建筑面积约</w:t>
                  </w:r>
                  <w:r>
                    <w:rPr>
                      <w:rFonts w:hint="eastAsia"/>
                      <w:color w:val="auto"/>
                      <w:sz w:val="21"/>
                      <w:szCs w:val="21"/>
                      <w:u w:val="single"/>
                      <w:shd w:val="clear"/>
                      <w:lang w:val="en-US" w:eastAsia="zh-CN"/>
                    </w:rPr>
                    <w:t>2088m</w:t>
                  </w:r>
                  <w:r>
                    <w:rPr>
                      <w:rFonts w:hint="eastAsia"/>
                      <w:color w:val="auto"/>
                      <w:sz w:val="21"/>
                      <w:szCs w:val="21"/>
                      <w:u w:val="single"/>
                      <w:shd w:val="clear"/>
                      <w:vertAlign w:val="superscript"/>
                      <w:lang w:val="en-US" w:eastAsia="zh-CN"/>
                    </w:rPr>
                    <w:t>2</w:t>
                  </w:r>
                  <w:r>
                    <w:rPr>
                      <w:rFonts w:hint="eastAsia"/>
                      <w:color w:val="auto"/>
                      <w:sz w:val="21"/>
                      <w:szCs w:val="21"/>
                      <w:u w:val="single"/>
                      <w:lang w:val="en-US" w:eastAsia="zh-CN"/>
                    </w:rPr>
                    <w:t>，建筑功能定位为市场化高端养老照料服务。</w:t>
                  </w:r>
                </w:p>
              </w:tc>
              <w:tc>
                <w:tcPr>
                  <w:tcW w:w="928" w:type="dxa"/>
                  <w:vAlign w:val="center"/>
                </w:tcPr>
                <w:p w14:paraId="4C2D4B04">
                  <w:pPr>
                    <w:pStyle w:val="445"/>
                    <w:spacing w:line="0" w:lineRule="atLeast"/>
                    <w:ind w:firstLine="0" w:firstLineChars="0"/>
                    <w:jc w:val="center"/>
                    <w:rPr>
                      <w:color w:val="auto"/>
                      <w:kern w:val="0"/>
                      <w:sz w:val="21"/>
                      <w:szCs w:val="21"/>
                      <w:u w:val="single"/>
                    </w:rPr>
                  </w:pPr>
                  <w:r>
                    <w:rPr>
                      <w:rFonts w:hint="eastAsia"/>
                      <w:color w:val="auto"/>
                      <w:kern w:val="0"/>
                      <w:sz w:val="21"/>
                      <w:szCs w:val="21"/>
                      <w:u w:val="single"/>
                      <w:lang w:val="en-US" w:eastAsia="zh-CN"/>
                    </w:rPr>
                    <w:t>新建</w:t>
                  </w:r>
                </w:p>
              </w:tc>
            </w:tr>
            <w:tr w14:paraId="3B2EA8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23F00DED">
                  <w:pPr>
                    <w:pStyle w:val="445"/>
                    <w:adjustRightInd/>
                    <w:snapToGrid/>
                    <w:spacing w:line="0" w:lineRule="atLeast"/>
                    <w:ind w:firstLine="0" w:firstLineChars="0"/>
                    <w:jc w:val="center"/>
                    <w:rPr>
                      <w:color w:val="auto"/>
                      <w:kern w:val="0"/>
                      <w:sz w:val="21"/>
                      <w:szCs w:val="21"/>
                      <w:u w:val="single"/>
                    </w:rPr>
                  </w:pPr>
                </w:p>
              </w:tc>
              <w:tc>
                <w:tcPr>
                  <w:tcW w:w="1193" w:type="dxa"/>
                  <w:vMerge w:val="restart"/>
                  <w:vAlign w:val="center"/>
                </w:tcPr>
                <w:p w14:paraId="4AF91877">
                  <w:pPr>
                    <w:spacing w:line="0" w:lineRule="atLeast"/>
                    <w:jc w:val="center"/>
                    <w:rPr>
                      <w:rFonts w:hint="eastAsia"/>
                      <w:color w:val="auto"/>
                      <w:sz w:val="21"/>
                      <w:szCs w:val="21"/>
                      <w:u w:val="single"/>
                      <w:lang w:val="en-US" w:eastAsia="zh-CN"/>
                    </w:rPr>
                  </w:pPr>
                  <w:r>
                    <w:rPr>
                      <w:rFonts w:hint="eastAsia"/>
                      <w:color w:val="auto"/>
                      <w:sz w:val="21"/>
                      <w:szCs w:val="21"/>
                      <w:u w:val="single"/>
                      <w:lang w:val="en-US" w:eastAsia="zh-CN"/>
                    </w:rPr>
                    <w:t>宗地四</w:t>
                  </w:r>
                </w:p>
                <w:p w14:paraId="40712CEA">
                  <w:pPr>
                    <w:spacing w:line="0" w:lineRule="atLeast"/>
                    <w:jc w:val="center"/>
                    <w:rPr>
                      <w:rFonts w:hint="default" w:eastAsia="宋体"/>
                      <w:color w:val="auto"/>
                      <w:sz w:val="21"/>
                      <w:szCs w:val="21"/>
                      <w:u w:val="single"/>
                      <w:lang w:val="en-US" w:eastAsia="zh-CN"/>
                    </w:rPr>
                  </w:pPr>
                  <w:r>
                    <w:rPr>
                      <w:rFonts w:hint="eastAsia"/>
                      <w:color w:val="auto"/>
                      <w:sz w:val="21"/>
                      <w:szCs w:val="21"/>
                      <w:u w:val="single"/>
                      <w:lang w:val="en-US" w:eastAsia="zh-CN"/>
                    </w:rPr>
                    <w:t>用地面积约</w:t>
                  </w:r>
                  <w:r>
                    <w:rPr>
                      <w:rFonts w:hint="eastAsia"/>
                      <w:color w:val="auto"/>
                      <w:sz w:val="21"/>
                      <w:szCs w:val="21"/>
                      <w:u w:val="single"/>
                      <w:shd w:val="clear"/>
                      <w:lang w:val="en-US" w:eastAsia="zh-CN"/>
                    </w:rPr>
                    <w:t>2068m</w:t>
                  </w:r>
                  <w:r>
                    <w:rPr>
                      <w:rFonts w:hint="eastAsia"/>
                      <w:color w:val="auto"/>
                      <w:sz w:val="21"/>
                      <w:szCs w:val="21"/>
                      <w:u w:val="single"/>
                      <w:shd w:val="clear"/>
                      <w:vertAlign w:val="superscript"/>
                      <w:lang w:val="en-US" w:eastAsia="zh-CN"/>
                    </w:rPr>
                    <w:t>2</w:t>
                  </w:r>
                </w:p>
              </w:tc>
              <w:tc>
                <w:tcPr>
                  <w:tcW w:w="5140" w:type="dxa"/>
                  <w:vAlign w:val="center"/>
                </w:tcPr>
                <w:p w14:paraId="4CD1FBCD">
                  <w:pPr>
                    <w:spacing w:line="0" w:lineRule="atLeast"/>
                    <w:jc w:val="both"/>
                    <w:rPr>
                      <w:rFonts w:hint="default" w:eastAsia="宋体"/>
                      <w:color w:val="auto"/>
                      <w:sz w:val="21"/>
                      <w:szCs w:val="21"/>
                      <w:u w:val="single"/>
                      <w:lang w:val="en-US" w:eastAsia="zh-CN"/>
                    </w:rPr>
                  </w:pPr>
                  <w:r>
                    <w:rPr>
                      <w:rFonts w:hint="eastAsia"/>
                      <w:color w:val="auto"/>
                      <w:sz w:val="21"/>
                      <w:szCs w:val="21"/>
                      <w:u w:val="single"/>
                      <w:lang w:val="en-US" w:eastAsia="zh-CN"/>
                    </w:rPr>
                    <w:t>养老公寓（一）：4F，15m高，建筑面积约2880m</w:t>
                  </w:r>
                  <w:r>
                    <w:rPr>
                      <w:rFonts w:hint="eastAsia"/>
                      <w:color w:val="auto"/>
                      <w:sz w:val="21"/>
                      <w:szCs w:val="21"/>
                      <w:u w:val="single"/>
                      <w:vertAlign w:val="superscript"/>
                      <w:lang w:val="en-US" w:eastAsia="zh-CN"/>
                    </w:rPr>
                    <w:t>2</w:t>
                  </w:r>
                  <w:r>
                    <w:rPr>
                      <w:rFonts w:hint="eastAsia"/>
                      <w:color w:val="auto"/>
                      <w:sz w:val="21"/>
                      <w:szCs w:val="21"/>
                      <w:u w:val="single"/>
                      <w:lang w:val="en-US" w:eastAsia="zh-CN"/>
                    </w:rPr>
                    <w:t>，1F：楼栋门厅、无障碍通道、小型公共会客区、楼栋公共卫生间、储物间；2-4F为普通养老居室，套内设有卫生间。</w:t>
                  </w:r>
                </w:p>
              </w:tc>
              <w:tc>
                <w:tcPr>
                  <w:tcW w:w="928" w:type="dxa"/>
                  <w:vAlign w:val="center"/>
                </w:tcPr>
                <w:p w14:paraId="70EC7AC4">
                  <w:pPr>
                    <w:spacing w:line="0" w:lineRule="atLeast"/>
                    <w:jc w:val="center"/>
                    <w:rPr>
                      <w:color w:val="auto"/>
                      <w:sz w:val="21"/>
                      <w:szCs w:val="21"/>
                      <w:u w:val="single"/>
                    </w:rPr>
                  </w:pPr>
                  <w:r>
                    <w:rPr>
                      <w:rFonts w:hint="eastAsia"/>
                      <w:color w:val="auto"/>
                      <w:kern w:val="0"/>
                      <w:sz w:val="21"/>
                      <w:szCs w:val="21"/>
                      <w:u w:val="single"/>
                      <w:lang w:val="en-US" w:eastAsia="zh-CN"/>
                    </w:rPr>
                    <w:t>新建</w:t>
                  </w:r>
                </w:p>
              </w:tc>
            </w:tr>
            <w:tr w14:paraId="0F174B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07FA044F">
                  <w:pPr>
                    <w:pStyle w:val="445"/>
                    <w:adjustRightInd/>
                    <w:snapToGrid/>
                    <w:spacing w:line="0" w:lineRule="atLeast"/>
                    <w:ind w:firstLine="0" w:firstLineChars="0"/>
                    <w:jc w:val="center"/>
                    <w:rPr>
                      <w:color w:val="auto"/>
                      <w:kern w:val="0"/>
                      <w:sz w:val="21"/>
                      <w:szCs w:val="21"/>
                      <w:u w:val="single"/>
                    </w:rPr>
                  </w:pPr>
                </w:p>
              </w:tc>
              <w:tc>
                <w:tcPr>
                  <w:tcW w:w="1193" w:type="dxa"/>
                  <w:vMerge w:val="continue"/>
                  <w:vAlign w:val="center"/>
                </w:tcPr>
                <w:p w14:paraId="1D8408BE">
                  <w:pPr>
                    <w:spacing w:line="0" w:lineRule="atLeast"/>
                    <w:jc w:val="center"/>
                    <w:rPr>
                      <w:rFonts w:hint="eastAsia" w:eastAsia="宋体"/>
                      <w:color w:val="auto"/>
                      <w:sz w:val="21"/>
                      <w:szCs w:val="21"/>
                      <w:u w:val="single"/>
                      <w:lang w:val="en-US" w:eastAsia="zh-CN"/>
                    </w:rPr>
                  </w:pPr>
                </w:p>
              </w:tc>
              <w:tc>
                <w:tcPr>
                  <w:tcW w:w="5140" w:type="dxa"/>
                  <w:vAlign w:val="center"/>
                </w:tcPr>
                <w:p w14:paraId="6D5023C8">
                  <w:pPr>
                    <w:spacing w:line="0" w:lineRule="atLeast"/>
                    <w:jc w:val="both"/>
                    <w:rPr>
                      <w:rFonts w:hint="default" w:eastAsia="宋体"/>
                      <w:color w:val="auto"/>
                      <w:sz w:val="21"/>
                      <w:szCs w:val="21"/>
                      <w:u w:val="single"/>
                      <w:lang w:val="en-US" w:eastAsia="zh-CN"/>
                    </w:rPr>
                  </w:pPr>
                  <w:r>
                    <w:rPr>
                      <w:rFonts w:hint="eastAsia"/>
                      <w:color w:val="auto"/>
                      <w:sz w:val="21"/>
                      <w:szCs w:val="21"/>
                      <w:u w:val="single"/>
                      <w:lang w:val="en-US" w:eastAsia="zh-CN"/>
                    </w:rPr>
                    <w:t>养老公寓（二）：4F，15m高，建筑面积约2880m</w:t>
                  </w:r>
                  <w:r>
                    <w:rPr>
                      <w:rFonts w:hint="eastAsia"/>
                      <w:color w:val="auto"/>
                      <w:sz w:val="21"/>
                      <w:szCs w:val="21"/>
                      <w:u w:val="single"/>
                      <w:vertAlign w:val="superscript"/>
                      <w:lang w:val="en-US" w:eastAsia="zh-CN"/>
                    </w:rPr>
                    <w:t>2</w:t>
                  </w:r>
                  <w:r>
                    <w:rPr>
                      <w:rFonts w:hint="eastAsia"/>
                      <w:color w:val="auto"/>
                      <w:sz w:val="21"/>
                      <w:szCs w:val="21"/>
                      <w:u w:val="single"/>
                      <w:lang w:val="en-US" w:eastAsia="zh-CN"/>
                    </w:rPr>
                    <w:t>，1F：楼栋门厅、无障碍通道、小型公共会客区、楼栋公共卫生间、储物间；2-4F为普通养老居室，套内设有卫生间。</w:t>
                  </w:r>
                </w:p>
              </w:tc>
              <w:tc>
                <w:tcPr>
                  <w:tcW w:w="928" w:type="dxa"/>
                  <w:vAlign w:val="center"/>
                </w:tcPr>
                <w:p w14:paraId="74738737">
                  <w:pPr>
                    <w:spacing w:line="0" w:lineRule="atLeast"/>
                    <w:jc w:val="center"/>
                    <w:rPr>
                      <w:color w:val="auto"/>
                      <w:sz w:val="21"/>
                      <w:szCs w:val="21"/>
                      <w:u w:val="single"/>
                    </w:rPr>
                  </w:pPr>
                  <w:r>
                    <w:rPr>
                      <w:rFonts w:hint="eastAsia"/>
                      <w:color w:val="auto"/>
                      <w:kern w:val="0"/>
                      <w:sz w:val="21"/>
                      <w:szCs w:val="21"/>
                      <w:u w:val="single"/>
                      <w:lang w:val="en-US" w:eastAsia="zh-CN"/>
                    </w:rPr>
                    <w:t>新建</w:t>
                  </w:r>
                </w:p>
              </w:tc>
            </w:tr>
            <w:tr w14:paraId="04844D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3140CE81">
                  <w:pPr>
                    <w:pStyle w:val="445"/>
                    <w:adjustRightInd/>
                    <w:snapToGrid/>
                    <w:spacing w:line="0" w:lineRule="atLeast"/>
                    <w:ind w:firstLine="0" w:firstLineChars="0"/>
                    <w:jc w:val="center"/>
                    <w:rPr>
                      <w:color w:val="auto"/>
                      <w:kern w:val="0"/>
                      <w:sz w:val="21"/>
                      <w:szCs w:val="21"/>
                      <w:u w:val="single"/>
                    </w:rPr>
                  </w:pPr>
                </w:p>
              </w:tc>
              <w:tc>
                <w:tcPr>
                  <w:tcW w:w="1193" w:type="dxa"/>
                  <w:vMerge w:val="restart"/>
                  <w:vAlign w:val="center"/>
                </w:tcPr>
                <w:p w14:paraId="15D16CFD">
                  <w:pPr>
                    <w:spacing w:line="0" w:lineRule="atLeast"/>
                    <w:jc w:val="center"/>
                    <w:rPr>
                      <w:rFonts w:hint="eastAsia"/>
                      <w:color w:val="auto"/>
                      <w:sz w:val="21"/>
                      <w:szCs w:val="21"/>
                      <w:u w:val="single"/>
                      <w:lang w:val="en-US" w:eastAsia="zh-CN"/>
                    </w:rPr>
                  </w:pPr>
                  <w:r>
                    <w:rPr>
                      <w:rFonts w:hint="eastAsia"/>
                      <w:color w:val="auto"/>
                      <w:sz w:val="21"/>
                      <w:szCs w:val="21"/>
                      <w:u w:val="single"/>
                      <w:lang w:val="en-US" w:eastAsia="zh-CN"/>
                    </w:rPr>
                    <w:t>宗地五</w:t>
                  </w:r>
                </w:p>
                <w:p w14:paraId="1734E750">
                  <w:pPr>
                    <w:pStyle w:val="2"/>
                    <w:rPr>
                      <w:rFonts w:hint="default"/>
                      <w:color w:val="auto"/>
                      <w:u w:val="single"/>
                      <w:lang w:val="en-US" w:eastAsia="zh-CN"/>
                    </w:rPr>
                  </w:pPr>
                  <w:r>
                    <w:rPr>
                      <w:rFonts w:hint="eastAsia"/>
                      <w:color w:val="auto"/>
                      <w:sz w:val="21"/>
                      <w:szCs w:val="21"/>
                      <w:u w:val="single"/>
                      <w:lang w:val="en-US" w:eastAsia="zh-CN"/>
                    </w:rPr>
                    <w:t>用地面积约</w:t>
                  </w:r>
                  <w:r>
                    <w:rPr>
                      <w:rFonts w:hint="eastAsia"/>
                      <w:color w:val="auto"/>
                      <w:sz w:val="21"/>
                      <w:szCs w:val="21"/>
                      <w:u w:val="single"/>
                      <w:shd w:val="clear"/>
                      <w:lang w:val="en-US" w:eastAsia="zh-CN"/>
                    </w:rPr>
                    <w:t>2892m</w:t>
                  </w:r>
                  <w:r>
                    <w:rPr>
                      <w:rFonts w:hint="eastAsia"/>
                      <w:color w:val="auto"/>
                      <w:sz w:val="21"/>
                      <w:szCs w:val="21"/>
                      <w:u w:val="single"/>
                      <w:shd w:val="clear"/>
                      <w:vertAlign w:val="superscript"/>
                      <w:lang w:val="en-US" w:eastAsia="zh-CN"/>
                    </w:rPr>
                    <w:t>2</w:t>
                  </w:r>
                </w:p>
              </w:tc>
              <w:tc>
                <w:tcPr>
                  <w:tcW w:w="5140" w:type="dxa"/>
                  <w:vAlign w:val="center"/>
                </w:tcPr>
                <w:p w14:paraId="0E2C2404">
                  <w:pPr>
                    <w:spacing w:line="0" w:lineRule="atLeast"/>
                    <w:jc w:val="both"/>
                    <w:rPr>
                      <w:rFonts w:hint="default" w:eastAsia="宋体"/>
                      <w:color w:val="auto"/>
                      <w:sz w:val="21"/>
                      <w:szCs w:val="21"/>
                      <w:u w:val="single"/>
                      <w:lang w:val="en-US" w:eastAsia="zh-CN"/>
                    </w:rPr>
                  </w:pPr>
                  <w:r>
                    <w:rPr>
                      <w:rFonts w:hint="eastAsia"/>
                      <w:color w:val="auto"/>
                      <w:sz w:val="21"/>
                      <w:szCs w:val="21"/>
                      <w:u w:val="single"/>
                      <w:lang w:val="en-US" w:eastAsia="zh-CN"/>
                    </w:rPr>
                    <w:t>养老公寓（三）：4F，15m高，建筑面积约2112m</w:t>
                  </w:r>
                  <w:r>
                    <w:rPr>
                      <w:rFonts w:hint="eastAsia"/>
                      <w:color w:val="auto"/>
                      <w:sz w:val="21"/>
                      <w:szCs w:val="21"/>
                      <w:u w:val="single"/>
                      <w:vertAlign w:val="superscript"/>
                      <w:lang w:val="en-US" w:eastAsia="zh-CN"/>
                    </w:rPr>
                    <w:t>2</w:t>
                  </w:r>
                  <w:r>
                    <w:rPr>
                      <w:rFonts w:hint="eastAsia"/>
                      <w:color w:val="auto"/>
                      <w:sz w:val="21"/>
                      <w:szCs w:val="21"/>
                      <w:u w:val="single"/>
                      <w:lang w:val="en-US" w:eastAsia="zh-CN"/>
                    </w:rPr>
                    <w:t>，1F：楼栋门厅、无障碍通道、小型公共会客区、楼栋公共卫生间、储物间；2-4F为普通养老居室，套内设有卫生间。</w:t>
                  </w:r>
                </w:p>
              </w:tc>
              <w:tc>
                <w:tcPr>
                  <w:tcW w:w="928" w:type="dxa"/>
                  <w:vAlign w:val="center"/>
                </w:tcPr>
                <w:p w14:paraId="56FC292B">
                  <w:pPr>
                    <w:spacing w:line="0" w:lineRule="atLeast"/>
                    <w:jc w:val="center"/>
                    <w:rPr>
                      <w:rFonts w:hint="eastAsia"/>
                      <w:color w:val="auto"/>
                      <w:sz w:val="21"/>
                      <w:szCs w:val="21"/>
                      <w:u w:val="single"/>
                    </w:rPr>
                  </w:pPr>
                  <w:r>
                    <w:rPr>
                      <w:rFonts w:hint="eastAsia"/>
                      <w:color w:val="auto"/>
                      <w:kern w:val="0"/>
                      <w:sz w:val="21"/>
                      <w:szCs w:val="21"/>
                      <w:u w:val="single"/>
                      <w:lang w:val="en-US" w:eastAsia="zh-CN"/>
                    </w:rPr>
                    <w:t>新建</w:t>
                  </w:r>
                </w:p>
              </w:tc>
            </w:tr>
            <w:tr w14:paraId="40B529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36CC3626">
                  <w:pPr>
                    <w:pStyle w:val="445"/>
                    <w:adjustRightInd/>
                    <w:snapToGrid/>
                    <w:spacing w:line="0" w:lineRule="atLeast"/>
                    <w:ind w:firstLine="0" w:firstLineChars="0"/>
                    <w:jc w:val="center"/>
                    <w:rPr>
                      <w:color w:val="auto"/>
                      <w:kern w:val="0"/>
                      <w:sz w:val="21"/>
                      <w:szCs w:val="21"/>
                      <w:u w:val="single"/>
                    </w:rPr>
                  </w:pPr>
                </w:p>
              </w:tc>
              <w:tc>
                <w:tcPr>
                  <w:tcW w:w="1193" w:type="dxa"/>
                  <w:vMerge w:val="continue"/>
                  <w:vAlign w:val="center"/>
                </w:tcPr>
                <w:p w14:paraId="14E391F7">
                  <w:pPr>
                    <w:spacing w:line="0" w:lineRule="atLeast"/>
                    <w:jc w:val="center"/>
                    <w:rPr>
                      <w:rFonts w:hint="eastAsia" w:eastAsia="宋体"/>
                      <w:color w:val="auto"/>
                      <w:sz w:val="21"/>
                      <w:szCs w:val="21"/>
                      <w:u w:val="single"/>
                      <w:lang w:val="en-US" w:eastAsia="zh-CN"/>
                    </w:rPr>
                  </w:pPr>
                </w:p>
              </w:tc>
              <w:tc>
                <w:tcPr>
                  <w:tcW w:w="5140" w:type="dxa"/>
                  <w:vAlign w:val="center"/>
                </w:tcPr>
                <w:p w14:paraId="58DABF3C">
                  <w:pPr>
                    <w:spacing w:line="0" w:lineRule="atLeast"/>
                    <w:jc w:val="both"/>
                    <w:rPr>
                      <w:rFonts w:hint="eastAsia"/>
                      <w:color w:val="auto"/>
                      <w:sz w:val="21"/>
                      <w:szCs w:val="21"/>
                      <w:u w:val="single"/>
                    </w:rPr>
                  </w:pPr>
                  <w:r>
                    <w:rPr>
                      <w:rFonts w:hint="eastAsia"/>
                      <w:color w:val="auto"/>
                      <w:sz w:val="21"/>
                      <w:szCs w:val="21"/>
                      <w:u w:val="single"/>
                      <w:lang w:val="en-US" w:eastAsia="zh-CN"/>
                    </w:rPr>
                    <w:t>养老公寓（四）：4F，15m高，建筑面积约2736m</w:t>
                  </w:r>
                  <w:r>
                    <w:rPr>
                      <w:rFonts w:hint="eastAsia"/>
                      <w:color w:val="auto"/>
                      <w:sz w:val="21"/>
                      <w:szCs w:val="21"/>
                      <w:u w:val="single"/>
                      <w:vertAlign w:val="superscript"/>
                      <w:lang w:val="en-US" w:eastAsia="zh-CN"/>
                    </w:rPr>
                    <w:t>2</w:t>
                  </w:r>
                  <w:r>
                    <w:rPr>
                      <w:rFonts w:hint="eastAsia"/>
                      <w:color w:val="auto"/>
                      <w:sz w:val="21"/>
                      <w:szCs w:val="21"/>
                      <w:u w:val="single"/>
                      <w:lang w:val="en-US" w:eastAsia="zh-CN"/>
                    </w:rPr>
                    <w:t>，1F：楼栋门厅、无障碍通道、小型公共会客区、楼栋公共卫生间、储物间；2-4F为普通养老居室，套内设有卫生间。</w:t>
                  </w:r>
                </w:p>
              </w:tc>
              <w:tc>
                <w:tcPr>
                  <w:tcW w:w="928" w:type="dxa"/>
                  <w:vAlign w:val="center"/>
                </w:tcPr>
                <w:p w14:paraId="2946CF8E">
                  <w:pPr>
                    <w:spacing w:line="0" w:lineRule="atLeast"/>
                    <w:jc w:val="center"/>
                    <w:rPr>
                      <w:rFonts w:hint="eastAsia"/>
                      <w:color w:val="auto"/>
                      <w:sz w:val="21"/>
                      <w:szCs w:val="21"/>
                      <w:u w:val="single"/>
                    </w:rPr>
                  </w:pPr>
                  <w:r>
                    <w:rPr>
                      <w:rFonts w:hint="eastAsia"/>
                      <w:color w:val="auto"/>
                      <w:kern w:val="0"/>
                      <w:sz w:val="21"/>
                      <w:szCs w:val="21"/>
                      <w:u w:val="single"/>
                      <w:lang w:val="en-US" w:eastAsia="zh-CN"/>
                    </w:rPr>
                    <w:t>新建</w:t>
                  </w:r>
                </w:p>
              </w:tc>
            </w:tr>
            <w:tr w14:paraId="15F727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Align w:val="center"/>
                </w:tcPr>
                <w:p w14:paraId="0BACFE68">
                  <w:pPr>
                    <w:spacing w:line="0" w:lineRule="atLeast"/>
                    <w:jc w:val="center"/>
                    <w:rPr>
                      <w:color w:val="auto"/>
                      <w:kern w:val="0"/>
                      <w:sz w:val="21"/>
                      <w:szCs w:val="21"/>
                      <w:u w:val="single"/>
                    </w:rPr>
                  </w:pPr>
                  <w:r>
                    <w:rPr>
                      <w:rFonts w:hint="eastAsia"/>
                      <w:color w:val="auto"/>
                      <w:kern w:val="0"/>
                      <w:sz w:val="21"/>
                      <w:szCs w:val="21"/>
                      <w:u w:val="single"/>
                    </w:rPr>
                    <w:t>辅助工程</w:t>
                  </w:r>
                </w:p>
              </w:tc>
              <w:tc>
                <w:tcPr>
                  <w:tcW w:w="1193" w:type="dxa"/>
                  <w:vAlign w:val="center"/>
                </w:tcPr>
                <w:p w14:paraId="06A8A092">
                  <w:pPr>
                    <w:spacing w:line="0" w:lineRule="atLeast"/>
                    <w:jc w:val="center"/>
                    <w:rPr>
                      <w:rFonts w:hint="default" w:eastAsia="宋体"/>
                      <w:color w:val="auto"/>
                      <w:kern w:val="0"/>
                      <w:sz w:val="21"/>
                      <w:szCs w:val="21"/>
                      <w:u w:val="single"/>
                      <w:lang w:val="en-US" w:eastAsia="zh-CN"/>
                    </w:rPr>
                  </w:pPr>
                  <w:r>
                    <w:rPr>
                      <w:rFonts w:hint="eastAsia"/>
                      <w:color w:val="auto"/>
                      <w:kern w:val="0"/>
                      <w:sz w:val="21"/>
                      <w:szCs w:val="21"/>
                      <w:u w:val="single"/>
                      <w:lang w:val="en-US" w:eastAsia="zh-CN"/>
                    </w:rPr>
                    <w:t>停车位</w:t>
                  </w:r>
                </w:p>
              </w:tc>
              <w:tc>
                <w:tcPr>
                  <w:tcW w:w="5140" w:type="dxa"/>
                  <w:vAlign w:val="center"/>
                </w:tcPr>
                <w:p w14:paraId="0E24AAC7">
                  <w:pPr>
                    <w:spacing w:line="0" w:lineRule="atLeast"/>
                    <w:rPr>
                      <w:color w:val="auto"/>
                      <w:kern w:val="0"/>
                      <w:sz w:val="21"/>
                      <w:szCs w:val="21"/>
                      <w:u w:val="single"/>
                    </w:rPr>
                  </w:pPr>
                  <w:r>
                    <w:rPr>
                      <w:rFonts w:hint="eastAsia"/>
                      <w:color w:val="auto"/>
                      <w:kern w:val="0"/>
                      <w:sz w:val="21"/>
                      <w:szCs w:val="21"/>
                      <w:u w:val="single"/>
                      <w:lang w:val="en-US" w:eastAsia="zh-CN"/>
                    </w:rPr>
                    <w:t>项目在主体建筑周边设置露天停车位，约200个</w:t>
                  </w:r>
                  <w:r>
                    <w:rPr>
                      <w:rFonts w:hint="eastAsia"/>
                      <w:color w:val="auto"/>
                      <w:kern w:val="0"/>
                      <w:sz w:val="21"/>
                      <w:szCs w:val="21"/>
                      <w:u w:val="single"/>
                    </w:rPr>
                    <w:t>。</w:t>
                  </w:r>
                </w:p>
              </w:tc>
              <w:tc>
                <w:tcPr>
                  <w:tcW w:w="928" w:type="dxa"/>
                  <w:vAlign w:val="center"/>
                </w:tcPr>
                <w:p w14:paraId="4CA5F6BA">
                  <w:pPr>
                    <w:spacing w:line="0" w:lineRule="atLeast"/>
                    <w:jc w:val="center"/>
                    <w:rPr>
                      <w:rFonts w:hint="eastAsia" w:eastAsia="宋体"/>
                      <w:color w:val="auto"/>
                      <w:kern w:val="0"/>
                      <w:sz w:val="21"/>
                      <w:szCs w:val="21"/>
                      <w:u w:val="single"/>
                      <w:lang w:val="en-US" w:eastAsia="zh-CN"/>
                    </w:rPr>
                  </w:pPr>
                  <w:r>
                    <w:rPr>
                      <w:rFonts w:hint="eastAsia"/>
                      <w:color w:val="auto"/>
                      <w:kern w:val="0"/>
                      <w:sz w:val="21"/>
                      <w:szCs w:val="21"/>
                      <w:u w:val="single"/>
                      <w:lang w:val="en-US" w:eastAsia="zh-CN"/>
                    </w:rPr>
                    <w:t>新建</w:t>
                  </w:r>
                </w:p>
              </w:tc>
            </w:tr>
            <w:tr w14:paraId="5FB3B1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restart"/>
                  <w:vAlign w:val="center"/>
                </w:tcPr>
                <w:p w14:paraId="23576E2E">
                  <w:pPr>
                    <w:spacing w:line="0" w:lineRule="atLeast"/>
                    <w:jc w:val="center"/>
                    <w:rPr>
                      <w:color w:val="auto"/>
                      <w:kern w:val="0"/>
                      <w:sz w:val="21"/>
                      <w:szCs w:val="21"/>
                      <w:u w:val="single"/>
                    </w:rPr>
                  </w:pPr>
                  <w:r>
                    <w:rPr>
                      <w:rFonts w:hint="eastAsia"/>
                      <w:color w:val="auto"/>
                      <w:kern w:val="0"/>
                      <w:sz w:val="21"/>
                      <w:szCs w:val="21"/>
                      <w:u w:val="single"/>
                    </w:rPr>
                    <w:t>公用工程</w:t>
                  </w:r>
                </w:p>
              </w:tc>
              <w:tc>
                <w:tcPr>
                  <w:tcW w:w="1193" w:type="dxa"/>
                  <w:vAlign w:val="center"/>
                </w:tcPr>
                <w:p w14:paraId="6C2AAB2E">
                  <w:pPr>
                    <w:spacing w:line="0" w:lineRule="atLeast"/>
                    <w:jc w:val="center"/>
                    <w:rPr>
                      <w:color w:val="auto"/>
                      <w:kern w:val="0"/>
                      <w:sz w:val="21"/>
                      <w:szCs w:val="21"/>
                      <w:u w:val="single"/>
                    </w:rPr>
                  </w:pPr>
                  <w:r>
                    <w:rPr>
                      <w:rFonts w:hint="eastAsia"/>
                      <w:color w:val="auto"/>
                      <w:kern w:val="0"/>
                      <w:sz w:val="21"/>
                      <w:szCs w:val="21"/>
                      <w:u w:val="single"/>
                    </w:rPr>
                    <w:t>供电</w:t>
                  </w:r>
                </w:p>
              </w:tc>
              <w:tc>
                <w:tcPr>
                  <w:tcW w:w="5140" w:type="dxa"/>
                  <w:vAlign w:val="center"/>
                </w:tcPr>
                <w:p w14:paraId="3BF60710">
                  <w:pPr>
                    <w:spacing w:line="0" w:lineRule="atLeast"/>
                    <w:jc w:val="center"/>
                    <w:rPr>
                      <w:color w:val="auto"/>
                      <w:kern w:val="0"/>
                      <w:sz w:val="21"/>
                      <w:szCs w:val="21"/>
                      <w:u w:val="single"/>
                    </w:rPr>
                  </w:pPr>
                  <w:r>
                    <w:rPr>
                      <w:rFonts w:hint="eastAsia"/>
                      <w:color w:val="auto"/>
                      <w:kern w:val="0"/>
                      <w:sz w:val="21"/>
                      <w:szCs w:val="21"/>
                      <w:u w:val="single"/>
                    </w:rPr>
                    <w:t>由</w:t>
                  </w:r>
                  <w:r>
                    <w:rPr>
                      <w:rFonts w:hint="eastAsia"/>
                      <w:color w:val="auto"/>
                      <w:kern w:val="0"/>
                      <w:sz w:val="21"/>
                      <w:szCs w:val="21"/>
                      <w:u w:val="single"/>
                      <w:lang w:val="en-US" w:eastAsia="zh-CN"/>
                    </w:rPr>
                    <w:t>东坪镇</w:t>
                  </w:r>
                  <w:r>
                    <w:rPr>
                      <w:rFonts w:hint="eastAsia"/>
                      <w:color w:val="auto"/>
                      <w:kern w:val="0"/>
                      <w:sz w:val="21"/>
                      <w:szCs w:val="21"/>
                      <w:u w:val="single"/>
                    </w:rPr>
                    <w:t>供电系统供电</w:t>
                  </w:r>
                </w:p>
              </w:tc>
              <w:tc>
                <w:tcPr>
                  <w:tcW w:w="928" w:type="dxa"/>
                  <w:vAlign w:val="center"/>
                </w:tcPr>
                <w:p w14:paraId="2007A0E2">
                  <w:pPr>
                    <w:spacing w:line="0" w:lineRule="atLeast"/>
                    <w:jc w:val="center"/>
                    <w:rPr>
                      <w:color w:val="auto"/>
                      <w:kern w:val="0"/>
                      <w:sz w:val="21"/>
                      <w:szCs w:val="21"/>
                      <w:u w:val="single"/>
                    </w:rPr>
                  </w:pPr>
                  <w:r>
                    <w:rPr>
                      <w:rFonts w:hint="eastAsia"/>
                      <w:color w:val="auto"/>
                      <w:kern w:val="0"/>
                      <w:sz w:val="21"/>
                      <w:szCs w:val="21"/>
                      <w:u w:val="single"/>
                      <w:lang w:val="en-US" w:eastAsia="zh-CN"/>
                    </w:rPr>
                    <w:t>新建</w:t>
                  </w:r>
                </w:p>
              </w:tc>
            </w:tr>
            <w:tr w14:paraId="368B9F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0BB04C71">
                  <w:pPr>
                    <w:pStyle w:val="445"/>
                    <w:adjustRightInd/>
                    <w:snapToGrid/>
                    <w:spacing w:line="0" w:lineRule="atLeast"/>
                    <w:ind w:firstLine="0" w:firstLineChars="0"/>
                    <w:jc w:val="center"/>
                    <w:rPr>
                      <w:color w:val="auto"/>
                      <w:kern w:val="0"/>
                      <w:sz w:val="21"/>
                      <w:szCs w:val="21"/>
                      <w:u w:val="single"/>
                    </w:rPr>
                  </w:pPr>
                </w:p>
              </w:tc>
              <w:tc>
                <w:tcPr>
                  <w:tcW w:w="1193" w:type="dxa"/>
                  <w:vAlign w:val="center"/>
                </w:tcPr>
                <w:p w14:paraId="05713E15">
                  <w:pPr>
                    <w:pStyle w:val="445"/>
                    <w:adjustRightInd/>
                    <w:snapToGrid/>
                    <w:spacing w:line="0" w:lineRule="atLeast"/>
                    <w:ind w:firstLine="0" w:firstLineChars="0"/>
                    <w:jc w:val="center"/>
                    <w:rPr>
                      <w:color w:val="auto"/>
                      <w:kern w:val="0"/>
                      <w:sz w:val="21"/>
                      <w:szCs w:val="21"/>
                      <w:u w:val="single"/>
                    </w:rPr>
                  </w:pPr>
                  <w:r>
                    <w:rPr>
                      <w:rFonts w:hint="eastAsia"/>
                      <w:color w:val="auto"/>
                      <w:kern w:val="0"/>
                      <w:sz w:val="21"/>
                      <w:szCs w:val="21"/>
                      <w:u w:val="single"/>
                    </w:rPr>
                    <w:t>供水</w:t>
                  </w:r>
                </w:p>
              </w:tc>
              <w:tc>
                <w:tcPr>
                  <w:tcW w:w="5140" w:type="dxa"/>
                  <w:vAlign w:val="center"/>
                </w:tcPr>
                <w:p w14:paraId="6467537D">
                  <w:pPr>
                    <w:pStyle w:val="445"/>
                    <w:spacing w:line="0" w:lineRule="atLeast"/>
                    <w:ind w:firstLine="0" w:firstLineChars="0"/>
                    <w:jc w:val="center"/>
                    <w:rPr>
                      <w:color w:val="auto"/>
                      <w:kern w:val="0"/>
                      <w:sz w:val="21"/>
                      <w:szCs w:val="21"/>
                      <w:u w:val="single"/>
                    </w:rPr>
                  </w:pPr>
                  <w:r>
                    <w:rPr>
                      <w:rFonts w:hint="eastAsia"/>
                      <w:color w:val="auto"/>
                      <w:kern w:val="0"/>
                      <w:sz w:val="21"/>
                      <w:szCs w:val="21"/>
                      <w:u w:val="single"/>
                    </w:rPr>
                    <w:t>由自来水系统供水</w:t>
                  </w:r>
                </w:p>
              </w:tc>
              <w:tc>
                <w:tcPr>
                  <w:tcW w:w="928" w:type="dxa"/>
                  <w:vAlign w:val="center"/>
                </w:tcPr>
                <w:p w14:paraId="33B80B05">
                  <w:pPr>
                    <w:pStyle w:val="445"/>
                    <w:spacing w:line="0" w:lineRule="atLeast"/>
                    <w:ind w:firstLine="0" w:firstLineChars="0"/>
                    <w:jc w:val="center"/>
                    <w:rPr>
                      <w:color w:val="auto"/>
                      <w:kern w:val="0"/>
                      <w:sz w:val="21"/>
                      <w:szCs w:val="21"/>
                      <w:u w:val="single"/>
                    </w:rPr>
                  </w:pPr>
                  <w:r>
                    <w:rPr>
                      <w:rFonts w:hint="eastAsia"/>
                      <w:color w:val="auto"/>
                      <w:kern w:val="0"/>
                      <w:sz w:val="21"/>
                      <w:szCs w:val="21"/>
                      <w:u w:val="single"/>
                      <w:lang w:val="en-US" w:eastAsia="zh-CN"/>
                    </w:rPr>
                    <w:t>新建</w:t>
                  </w:r>
                </w:p>
              </w:tc>
            </w:tr>
            <w:tr w14:paraId="428D7F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25802A4A">
                  <w:pPr>
                    <w:pStyle w:val="445"/>
                    <w:adjustRightInd/>
                    <w:snapToGrid/>
                    <w:spacing w:line="0" w:lineRule="atLeast"/>
                    <w:ind w:firstLine="0" w:firstLineChars="0"/>
                    <w:jc w:val="center"/>
                    <w:rPr>
                      <w:color w:val="auto"/>
                      <w:kern w:val="0"/>
                      <w:sz w:val="21"/>
                      <w:szCs w:val="21"/>
                      <w:u w:val="single"/>
                    </w:rPr>
                  </w:pPr>
                </w:p>
              </w:tc>
              <w:tc>
                <w:tcPr>
                  <w:tcW w:w="1193" w:type="dxa"/>
                  <w:vAlign w:val="center"/>
                </w:tcPr>
                <w:p w14:paraId="40E32649">
                  <w:pPr>
                    <w:pStyle w:val="445"/>
                    <w:adjustRightInd/>
                    <w:snapToGrid/>
                    <w:spacing w:line="0" w:lineRule="atLeast"/>
                    <w:ind w:firstLine="0" w:firstLineChars="0"/>
                    <w:jc w:val="center"/>
                    <w:rPr>
                      <w:color w:val="auto"/>
                      <w:kern w:val="0"/>
                      <w:sz w:val="21"/>
                      <w:szCs w:val="21"/>
                      <w:u w:val="single"/>
                    </w:rPr>
                  </w:pPr>
                  <w:r>
                    <w:rPr>
                      <w:rFonts w:hint="eastAsia"/>
                      <w:color w:val="auto"/>
                      <w:kern w:val="0"/>
                      <w:sz w:val="21"/>
                      <w:szCs w:val="21"/>
                      <w:u w:val="single"/>
                    </w:rPr>
                    <w:t>排水</w:t>
                  </w:r>
                </w:p>
              </w:tc>
              <w:tc>
                <w:tcPr>
                  <w:tcW w:w="5140" w:type="dxa"/>
                  <w:vAlign w:val="center"/>
                </w:tcPr>
                <w:p w14:paraId="65408A58">
                  <w:pPr>
                    <w:pStyle w:val="445"/>
                    <w:spacing w:line="0" w:lineRule="atLeast"/>
                    <w:ind w:firstLine="0" w:firstLineChars="0"/>
                    <w:rPr>
                      <w:color w:val="auto"/>
                      <w:kern w:val="0"/>
                      <w:sz w:val="21"/>
                      <w:szCs w:val="21"/>
                      <w:u w:val="single"/>
                    </w:rPr>
                  </w:pPr>
                  <w:r>
                    <w:rPr>
                      <w:rFonts w:hint="eastAsia"/>
                      <w:color w:val="auto"/>
                      <w:kern w:val="0"/>
                      <w:sz w:val="21"/>
                      <w:szCs w:val="21"/>
                      <w:u w:val="single"/>
                    </w:rPr>
                    <w:t>排水为雨污分流制，雨水排入市政雨水管网</w:t>
                  </w:r>
                  <w:r>
                    <w:rPr>
                      <w:rFonts w:hint="eastAsia"/>
                      <w:color w:val="auto"/>
                      <w:sz w:val="21"/>
                      <w:szCs w:val="21"/>
                      <w:u w:val="single"/>
                    </w:rPr>
                    <w:t>；</w:t>
                  </w:r>
                  <w:r>
                    <w:rPr>
                      <w:rFonts w:hint="eastAsia"/>
                      <w:color w:val="auto"/>
                      <w:sz w:val="21"/>
                      <w:szCs w:val="21"/>
                      <w:u w:val="single"/>
                      <w:lang w:val="en-US" w:eastAsia="zh-CN"/>
                    </w:rPr>
                    <w:t>养老废水、食堂废水及人员办公废水经隔油池+化粪池处理后排入市政污水管网，最后进入安化县污水处理厂进行深度处理；</w:t>
                  </w:r>
                  <w:r>
                    <w:rPr>
                      <w:rFonts w:hint="eastAsia"/>
                      <w:color w:val="auto"/>
                      <w:kern w:val="0"/>
                      <w:sz w:val="21"/>
                      <w:szCs w:val="21"/>
                      <w:u w:val="single"/>
                      <w:lang w:val="en-US" w:eastAsia="zh-CN"/>
                    </w:rPr>
                    <w:t>医疗废水</w:t>
                  </w:r>
                  <w:r>
                    <w:rPr>
                      <w:rFonts w:hint="eastAsia"/>
                      <w:color w:val="auto"/>
                      <w:kern w:val="0"/>
                      <w:sz w:val="21"/>
                      <w:szCs w:val="21"/>
                      <w:u w:val="single"/>
                      <w:lang w:eastAsia="zh-CN"/>
                    </w:rPr>
                    <w:t>、</w:t>
                  </w:r>
                  <w:r>
                    <w:rPr>
                      <w:rFonts w:hint="eastAsia"/>
                      <w:color w:val="auto"/>
                      <w:kern w:val="0"/>
                      <w:sz w:val="21"/>
                      <w:szCs w:val="21"/>
                      <w:u w:val="single"/>
                      <w:lang w:val="en-US" w:eastAsia="zh-CN"/>
                    </w:rPr>
                    <w:t>门诊废水、检验废水</w:t>
                  </w:r>
                  <w:r>
                    <w:rPr>
                      <w:rFonts w:hint="eastAsia"/>
                      <w:color w:val="auto"/>
                      <w:kern w:val="0"/>
                      <w:sz w:val="21"/>
                      <w:szCs w:val="21"/>
                      <w:u w:val="single"/>
                    </w:rPr>
                    <w:t>经预处理后经院内污水处理站收集处理达标后进入</w:t>
                  </w:r>
                  <w:r>
                    <w:rPr>
                      <w:rFonts w:hint="eastAsia"/>
                      <w:color w:val="auto"/>
                      <w:kern w:val="0"/>
                      <w:sz w:val="21"/>
                      <w:szCs w:val="21"/>
                      <w:u w:val="single"/>
                      <w:lang w:val="en-US" w:eastAsia="zh-CN"/>
                    </w:rPr>
                    <w:t>安化县</w:t>
                  </w:r>
                  <w:r>
                    <w:rPr>
                      <w:rFonts w:hint="eastAsia"/>
                      <w:color w:val="auto"/>
                      <w:kern w:val="0"/>
                      <w:sz w:val="21"/>
                      <w:szCs w:val="21"/>
                      <w:u w:val="single"/>
                    </w:rPr>
                    <w:t>污水处理厂进行深度处理，最终排入资江。</w:t>
                  </w:r>
                </w:p>
              </w:tc>
              <w:tc>
                <w:tcPr>
                  <w:tcW w:w="928" w:type="dxa"/>
                  <w:vAlign w:val="center"/>
                </w:tcPr>
                <w:p w14:paraId="713CBF8D">
                  <w:pPr>
                    <w:pStyle w:val="445"/>
                    <w:spacing w:line="0" w:lineRule="atLeast"/>
                    <w:ind w:firstLine="0" w:firstLineChars="0"/>
                    <w:jc w:val="center"/>
                    <w:rPr>
                      <w:color w:val="auto"/>
                      <w:kern w:val="0"/>
                      <w:sz w:val="21"/>
                      <w:szCs w:val="21"/>
                      <w:u w:val="single"/>
                    </w:rPr>
                  </w:pPr>
                  <w:r>
                    <w:rPr>
                      <w:rFonts w:hint="eastAsia"/>
                      <w:color w:val="auto"/>
                      <w:kern w:val="0"/>
                      <w:sz w:val="21"/>
                      <w:szCs w:val="21"/>
                      <w:u w:val="single"/>
                      <w:lang w:val="en-US" w:eastAsia="zh-CN"/>
                    </w:rPr>
                    <w:t>新建</w:t>
                  </w:r>
                </w:p>
              </w:tc>
            </w:tr>
            <w:tr w14:paraId="415B29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4966239F">
                  <w:pPr>
                    <w:pStyle w:val="445"/>
                    <w:adjustRightInd/>
                    <w:snapToGrid/>
                    <w:spacing w:line="0" w:lineRule="atLeast"/>
                    <w:ind w:firstLine="0" w:firstLineChars="0"/>
                    <w:jc w:val="center"/>
                    <w:rPr>
                      <w:color w:val="auto"/>
                      <w:kern w:val="0"/>
                      <w:sz w:val="21"/>
                      <w:szCs w:val="21"/>
                      <w:u w:val="single"/>
                    </w:rPr>
                  </w:pPr>
                </w:p>
              </w:tc>
              <w:tc>
                <w:tcPr>
                  <w:tcW w:w="1193" w:type="dxa"/>
                  <w:vAlign w:val="center"/>
                </w:tcPr>
                <w:p w14:paraId="6E716652">
                  <w:pPr>
                    <w:pStyle w:val="445"/>
                    <w:adjustRightInd/>
                    <w:snapToGrid/>
                    <w:spacing w:line="0" w:lineRule="atLeast"/>
                    <w:ind w:firstLine="0" w:firstLineChars="0"/>
                    <w:jc w:val="center"/>
                    <w:rPr>
                      <w:color w:val="auto"/>
                      <w:kern w:val="0"/>
                      <w:sz w:val="21"/>
                      <w:szCs w:val="21"/>
                      <w:highlight w:val="none"/>
                      <w:u w:val="single"/>
                    </w:rPr>
                  </w:pPr>
                  <w:r>
                    <w:rPr>
                      <w:rFonts w:hint="eastAsia"/>
                      <w:color w:val="auto"/>
                      <w:kern w:val="0"/>
                      <w:sz w:val="21"/>
                      <w:szCs w:val="21"/>
                      <w:highlight w:val="none"/>
                      <w:u w:val="single"/>
                    </w:rPr>
                    <w:t>供能</w:t>
                  </w:r>
                </w:p>
              </w:tc>
              <w:tc>
                <w:tcPr>
                  <w:tcW w:w="5140" w:type="dxa"/>
                  <w:vAlign w:val="center"/>
                </w:tcPr>
                <w:p w14:paraId="0F6F56A5">
                  <w:pPr>
                    <w:pStyle w:val="445"/>
                    <w:spacing w:line="0" w:lineRule="atLeast"/>
                    <w:ind w:firstLine="0" w:firstLineChars="0"/>
                    <w:jc w:val="center"/>
                    <w:rPr>
                      <w:color w:val="auto"/>
                      <w:kern w:val="0"/>
                      <w:sz w:val="21"/>
                      <w:szCs w:val="21"/>
                      <w:highlight w:val="none"/>
                      <w:u w:val="single"/>
                    </w:rPr>
                  </w:pPr>
                  <w:r>
                    <w:rPr>
                      <w:rFonts w:hint="eastAsia"/>
                      <w:color w:val="auto"/>
                      <w:kern w:val="0"/>
                      <w:sz w:val="21"/>
                      <w:szCs w:val="21"/>
                      <w:highlight w:val="none"/>
                      <w:u w:val="single"/>
                    </w:rPr>
                    <w:t>供暖制冷采用分体式空调</w:t>
                  </w:r>
                </w:p>
              </w:tc>
              <w:tc>
                <w:tcPr>
                  <w:tcW w:w="928" w:type="dxa"/>
                  <w:vAlign w:val="center"/>
                </w:tcPr>
                <w:p w14:paraId="03C89725">
                  <w:pPr>
                    <w:spacing w:line="0" w:lineRule="atLeast"/>
                    <w:ind w:firstLine="0" w:firstLineChars="0"/>
                    <w:jc w:val="center"/>
                    <w:rPr>
                      <w:color w:val="auto"/>
                      <w:kern w:val="0"/>
                      <w:sz w:val="21"/>
                      <w:szCs w:val="21"/>
                      <w:u w:val="single"/>
                    </w:rPr>
                  </w:pPr>
                  <w:r>
                    <w:rPr>
                      <w:rFonts w:hint="eastAsia"/>
                      <w:color w:val="auto"/>
                      <w:kern w:val="0"/>
                      <w:sz w:val="21"/>
                      <w:szCs w:val="21"/>
                      <w:u w:val="single"/>
                      <w:lang w:val="en-US" w:eastAsia="zh-CN"/>
                    </w:rPr>
                    <w:t>新建</w:t>
                  </w:r>
                </w:p>
              </w:tc>
            </w:tr>
            <w:tr w14:paraId="3B0DA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restart"/>
                  <w:vAlign w:val="center"/>
                </w:tcPr>
                <w:p w14:paraId="615F82A0">
                  <w:pPr>
                    <w:spacing w:line="0" w:lineRule="atLeast"/>
                    <w:jc w:val="center"/>
                    <w:rPr>
                      <w:color w:val="auto"/>
                      <w:kern w:val="0"/>
                      <w:sz w:val="21"/>
                      <w:szCs w:val="21"/>
                      <w:u w:val="single"/>
                    </w:rPr>
                  </w:pPr>
                  <w:r>
                    <w:rPr>
                      <w:rFonts w:hint="eastAsia"/>
                      <w:color w:val="auto"/>
                      <w:kern w:val="0"/>
                      <w:sz w:val="21"/>
                      <w:szCs w:val="21"/>
                      <w:u w:val="single"/>
                    </w:rPr>
                    <w:t>环保工程</w:t>
                  </w:r>
                </w:p>
              </w:tc>
              <w:tc>
                <w:tcPr>
                  <w:tcW w:w="1193" w:type="dxa"/>
                  <w:vAlign w:val="center"/>
                </w:tcPr>
                <w:p w14:paraId="28231635">
                  <w:pPr>
                    <w:spacing w:line="0" w:lineRule="atLeast"/>
                    <w:jc w:val="center"/>
                    <w:rPr>
                      <w:color w:val="auto"/>
                      <w:kern w:val="0"/>
                      <w:sz w:val="21"/>
                      <w:szCs w:val="21"/>
                      <w:u w:val="single"/>
                    </w:rPr>
                  </w:pPr>
                  <w:r>
                    <w:rPr>
                      <w:rFonts w:hint="eastAsia"/>
                      <w:color w:val="auto"/>
                      <w:kern w:val="0"/>
                      <w:sz w:val="21"/>
                      <w:szCs w:val="21"/>
                      <w:u w:val="single"/>
                    </w:rPr>
                    <w:t>废气</w:t>
                  </w:r>
                </w:p>
              </w:tc>
              <w:tc>
                <w:tcPr>
                  <w:tcW w:w="5140" w:type="dxa"/>
                  <w:vAlign w:val="center"/>
                </w:tcPr>
                <w:p w14:paraId="6EA97AEF">
                  <w:pPr>
                    <w:spacing w:line="0" w:lineRule="atLeast"/>
                    <w:rPr>
                      <w:rFonts w:hint="eastAsia"/>
                      <w:color w:val="auto"/>
                      <w:kern w:val="0"/>
                      <w:sz w:val="21"/>
                      <w:szCs w:val="21"/>
                      <w:u w:val="single"/>
                      <w:lang w:eastAsia="zh-CN"/>
                    </w:rPr>
                  </w:pPr>
                  <w:r>
                    <w:rPr>
                      <w:rFonts w:hint="eastAsia"/>
                      <w:color w:val="auto"/>
                      <w:kern w:val="0"/>
                      <w:sz w:val="21"/>
                      <w:szCs w:val="21"/>
                      <w:u w:val="single"/>
                      <w:lang w:eastAsia="zh-CN"/>
                    </w:rPr>
                    <w:t>医疗废物暂存间废气：采取定期清运、消毒、医疗垃圾采取密闭存储等措施；医疗废气通过加强通风无组织排放；</w:t>
                  </w:r>
                </w:p>
                <w:p w14:paraId="1FAE2951">
                  <w:pPr>
                    <w:spacing w:line="0" w:lineRule="atLeast"/>
                    <w:rPr>
                      <w:rFonts w:hint="default"/>
                      <w:color w:val="auto"/>
                      <w:kern w:val="0"/>
                      <w:sz w:val="21"/>
                      <w:szCs w:val="21"/>
                      <w:u w:val="single"/>
                      <w:lang w:val="en-US" w:eastAsia="zh-CN"/>
                    </w:rPr>
                  </w:pPr>
                  <w:r>
                    <w:rPr>
                      <w:rFonts w:hint="eastAsia"/>
                      <w:color w:val="auto"/>
                      <w:kern w:val="0"/>
                      <w:sz w:val="21"/>
                      <w:szCs w:val="21"/>
                      <w:u w:val="single"/>
                      <w:lang w:val="en-US" w:eastAsia="zh-CN"/>
                    </w:rPr>
                    <w:t>一般固废暂存废气：生活垃圾“日产日清”，定期杀灭蚊蝇，喷洒生物除臭剂等措施，无组织排放；</w:t>
                  </w:r>
                </w:p>
                <w:p w14:paraId="0E34AB37">
                  <w:pPr>
                    <w:spacing w:line="0" w:lineRule="atLeast"/>
                    <w:rPr>
                      <w:rFonts w:hint="eastAsia"/>
                      <w:color w:val="auto"/>
                      <w:kern w:val="0"/>
                      <w:sz w:val="21"/>
                      <w:szCs w:val="21"/>
                      <w:u w:val="single"/>
                      <w:lang w:eastAsia="zh-CN"/>
                    </w:rPr>
                  </w:pPr>
                  <w:r>
                    <w:rPr>
                      <w:rFonts w:hint="eastAsia"/>
                      <w:color w:val="auto"/>
                      <w:kern w:val="0"/>
                      <w:sz w:val="21"/>
                      <w:szCs w:val="21"/>
                      <w:u w:val="single"/>
                    </w:rPr>
                    <w:t>污水处理站废气</w:t>
                  </w:r>
                  <w:r>
                    <w:rPr>
                      <w:rFonts w:hint="eastAsia"/>
                      <w:color w:val="auto"/>
                      <w:kern w:val="0"/>
                      <w:sz w:val="21"/>
                      <w:szCs w:val="21"/>
                      <w:u w:val="single"/>
                      <w:lang w:eastAsia="zh-CN"/>
                    </w:rPr>
                    <w:t>：污水处理站设计为地埋式，定期喷洒除臭剂</w:t>
                  </w:r>
                  <w:r>
                    <w:rPr>
                      <w:rFonts w:hint="eastAsia" w:ascii="Times New Roman" w:hAnsi="Times New Roman" w:eastAsia="宋体" w:cs="Times New Roman"/>
                      <w:color w:val="auto"/>
                      <w:kern w:val="2"/>
                      <w:sz w:val="21"/>
                      <w:szCs w:val="21"/>
                      <w:highlight w:val="none"/>
                      <w:u w:val="single"/>
                      <w:lang w:val="en-US" w:eastAsia="zh-CN" w:bidi="ar-SA"/>
                    </w:rPr>
                    <w:t>等措施，减小恶臭气体对周边环境的影响</w:t>
                  </w:r>
                  <w:r>
                    <w:rPr>
                      <w:rFonts w:hint="eastAsia" w:cs="Times New Roman"/>
                      <w:color w:val="auto"/>
                      <w:kern w:val="2"/>
                      <w:sz w:val="21"/>
                      <w:szCs w:val="21"/>
                      <w:highlight w:val="none"/>
                      <w:u w:val="single"/>
                      <w:lang w:val="en-US" w:eastAsia="zh-CN" w:bidi="ar-SA"/>
                    </w:rPr>
                    <w:t>；</w:t>
                  </w:r>
                </w:p>
                <w:p w14:paraId="2F98E9B1">
                  <w:pPr>
                    <w:spacing w:line="0" w:lineRule="atLeast"/>
                    <w:rPr>
                      <w:rFonts w:hint="default"/>
                      <w:color w:val="auto"/>
                      <w:kern w:val="0"/>
                      <w:sz w:val="21"/>
                      <w:szCs w:val="21"/>
                      <w:u w:val="single"/>
                      <w:lang w:val="en-US" w:eastAsia="zh-CN"/>
                    </w:rPr>
                  </w:pPr>
                  <w:r>
                    <w:rPr>
                      <w:rFonts w:hint="eastAsia"/>
                      <w:color w:val="auto"/>
                      <w:kern w:val="0"/>
                      <w:sz w:val="21"/>
                      <w:szCs w:val="21"/>
                      <w:u w:val="single"/>
                      <w:lang w:val="en-US" w:eastAsia="zh-CN"/>
                    </w:rPr>
                    <w:t>消毒水异味：加强室内通排风后无组织排放；</w:t>
                  </w:r>
                </w:p>
                <w:p w14:paraId="1AB3FC25">
                  <w:pPr>
                    <w:spacing w:line="0" w:lineRule="atLeast"/>
                    <w:rPr>
                      <w:rFonts w:hint="eastAsia"/>
                      <w:color w:val="auto"/>
                      <w:kern w:val="0"/>
                      <w:sz w:val="21"/>
                      <w:szCs w:val="21"/>
                      <w:u w:val="single"/>
                      <w:lang w:eastAsia="zh-CN"/>
                    </w:rPr>
                  </w:pPr>
                  <w:r>
                    <w:rPr>
                      <w:rFonts w:hint="eastAsia"/>
                      <w:color w:val="auto"/>
                      <w:kern w:val="0"/>
                      <w:sz w:val="21"/>
                      <w:szCs w:val="21"/>
                      <w:u w:val="single"/>
                      <w:lang w:eastAsia="zh-CN"/>
                    </w:rPr>
                    <w:t>汽车尾气 ：加强通风、绿化</w:t>
                  </w:r>
                  <w:r>
                    <w:rPr>
                      <w:rFonts w:hint="eastAsia"/>
                      <w:color w:val="auto"/>
                      <w:kern w:val="0"/>
                      <w:sz w:val="21"/>
                      <w:szCs w:val="21"/>
                      <w:u w:val="single"/>
                      <w:lang w:val="en-US" w:eastAsia="zh-CN"/>
                    </w:rPr>
                    <w:t>等措施无组织排放；</w:t>
                  </w:r>
                </w:p>
                <w:p w14:paraId="286B2061">
                  <w:pPr>
                    <w:spacing w:line="0" w:lineRule="atLeast"/>
                    <w:rPr>
                      <w:rFonts w:hint="eastAsia"/>
                      <w:color w:val="auto"/>
                      <w:kern w:val="0"/>
                      <w:sz w:val="21"/>
                      <w:szCs w:val="21"/>
                      <w:u w:val="single"/>
                      <w:lang w:eastAsia="zh-CN"/>
                    </w:rPr>
                  </w:pPr>
                  <w:r>
                    <w:rPr>
                      <w:rFonts w:hint="eastAsia"/>
                      <w:color w:val="auto"/>
                      <w:kern w:val="0"/>
                      <w:sz w:val="21"/>
                      <w:szCs w:val="21"/>
                      <w:u w:val="single"/>
                      <w:lang w:eastAsia="zh-CN"/>
                    </w:rPr>
                    <w:t>食堂油烟：油烟净化器+专用排烟道后引至楼顶排放；</w:t>
                  </w:r>
                </w:p>
              </w:tc>
              <w:tc>
                <w:tcPr>
                  <w:tcW w:w="928" w:type="dxa"/>
                  <w:vAlign w:val="center"/>
                </w:tcPr>
                <w:p w14:paraId="0324EFBC">
                  <w:pPr>
                    <w:spacing w:line="0" w:lineRule="atLeast"/>
                    <w:jc w:val="center"/>
                    <w:rPr>
                      <w:color w:val="auto"/>
                      <w:kern w:val="0"/>
                      <w:sz w:val="21"/>
                      <w:szCs w:val="21"/>
                      <w:u w:val="single"/>
                    </w:rPr>
                  </w:pPr>
                  <w:r>
                    <w:rPr>
                      <w:rFonts w:hint="eastAsia"/>
                      <w:color w:val="auto"/>
                      <w:kern w:val="0"/>
                      <w:sz w:val="21"/>
                      <w:szCs w:val="21"/>
                      <w:u w:val="single"/>
                      <w:lang w:val="en-US" w:eastAsia="zh-CN"/>
                    </w:rPr>
                    <w:t>新建</w:t>
                  </w:r>
                </w:p>
              </w:tc>
            </w:tr>
            <w:tr w14:paraId="3FDFFF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14E40663">
                  <w:pPr>
                    <w:pStyle w:val="445"/>
                    <w:adjustRightInd/>
                    <w:snapToGrid/>
                    <w:spacing w:line="0" w:lineRule="atLeast"/>
                    <w:ind w:firstLine="0" w:firstLineChars="0"/>
                    <w:jc w:val="center"/>
                    <w:rPr>
                      <w:color w:val="auto"/>
                      <w:kern w:val="0"/>
                      <w:sz w:val="21"/>
                      <w:szCs w:val="21"/>
                      <w:u w:val="single"/>
                    </w:rPr>
                  </w:pPr>
                </w:p>
              </w:tc>
              <w:tc>
                <w:tcPr>
                  <w:tcW w:w="1193" w:type="dxa"/>
                  <w:vAlign w:val="center"/>
                </w:tcPr>
                <w:p w14:paraId="0AD5BD5D">
                  <w:pPr>
                    <w:pStyle w:val="445"/>
                    <w:adjustRightInd/>
                    <w:snapToGrid/>
                    <w:spacing w:line="0" w:lineRule="atLeast"/>
                    <w:ind w:firstLine="0" w:firstLineChars="0"/>
                    <w:jc w:val="center"/>
                    <w:rPr>
                      <w:color w:val="auto"/>
                      <w:kern w:val="0"/>
                      <w:sz w:val="21"/>
                      <w:szCs w:val="21"/>
                      <w:u w:val="single"/>
                    </w:rPr>
                  </w:pPr>
                  <w:r>
                    <w:rPr>
                      <w:rFonts w:hint="eastAsia"/>
                      <w:color w:val="auto"/>
                      <w:kern w:val="0"/>
                      <w:sz w:val="21"/>
                      <w:szCs w:val="21"/>
                      <w:u w:val="single"/>
                      <w:lang w:val="en-US" w:eastAsia="zh-CN"/>
                    </w:rPr>
                    <w:t>医疗</w:t>
                  </w:r>
                  <w:r>
                    <w:rPr>
                      <w:rFonts w:hint="eastAsia"/>
                      <w:color w:val="auto"/>
                      <w:kern w:val="0"/>
                      <w:sz w:val="21"/>
                      <w:szCs w:val="21"/>
                      <w:u w:val="single"/>
                    </w:rPr>
                    <w:t>废水</w:t>
                  </w:r>
                </w:p>
              </w:tc>
              <w:tc>
                <w:tcPr>
                  <w:tcW w:w="5140" w:type="dxa"/>
                  <w:vAlign w:val="center"/>
                </w:tcPr>
                <w:p w14:paraId="44CE5182">
                  <w:pPr>
                    <w:pStyle w:val="445"/>
                    <w:spacing w:line="0" w:lineRule="atLeast"/>
                    <w:ind w:firstLine="0" w:firstLineChars="0"/>
                    <w:rPr>
                      <w:color w:val="auto"/>
                      <w:kern w:val="0"/>
                      <w:sz w:val="21"/>
                      <w:szCs w:val="21"/>
                      <w:u w:val="single"/>
                    </w:rPr>
                  </w:pPr>
                  <w:r>
                    <w:rPr>
                      <w:rFonts w:hint="eastAsia"/>
                      <w:color w:val="auto"/>
                      <w:kern w:val="0"/>
                      <w:sz w:val="21"/>
                      <w:szCs w:val="21"/>
                      <w:u w:val="single"/>
                    </w:rPr>
                    <w:t>项目</w:t>
                  </w:r>
                  <w:r>
                    <w:rPr>
                      <w:rFonts w:hint="eastAsia"/>
                      <w:color w:val="auto"/>
                      <w:kern w:val="0"/>
                      <w:sz w:val="21"/>
                      <w:szCs w:val="21"/>
                      <w:u w:val="single"/>
                      <w:lang w:val="en-US" w:eastAsia="zh-CN"/>
                    </w:rPr>
                    <w:t>医疗</w:t>
                  </w:r>
                  <w:r>
                    <w:rPr>
                      <w:rFonts w:hint="eastAsia"/>
                      <w:color w:val="auto"/>
                      <w:kern w:val="0"/>
                      <w:sz w:val="21"/>
                      <w:szCs w:val="21"/>
                      <w:u w:val="single"/>
                    </w:rPr>
                    <w:t>废水</w:t>
                  </w:r>
                  <w:r>
                    <w:rPr>
                      <w:rFonts w:hint="eastAsia"/>
                      <w:color w:val="auto"/>
                      <w:kern w:val="0"/>
                      <w:sz w:val="21"/>
                      <w:szCs w:val="21"/>
                      <w:u w:val="single"/>
                      <w:lang w:eastAsia="zh-CN"/>
                    </w:rPr>
                    <w:t>、</w:t>
                  </w:r>
                  <w:r>
                    <w:rPr>
                      <w:rFonts w:hint="eastAsia"/>
                      <w:color w:val="auto"/>
                      <w:kern w:val="0"/>
                      <w:sz w:val="21"/>
                      <w:szCs w:val="21"/>
                      <w:u w:val="single"/>
                      <w:lang w:val="en-US" w:eastAsia="zh-CN"/>
                    </w:rPr>
                    <w:t>门诊废水及</w:t>
                  </w:r>
                  <w:r>
                    <w:rPr>
                      <w:rFonts w:hint="eastAsia"/>
                      <w:color w:val="auto"/>
                      <w:kern w:val="0"/>
                      <w:sz w:val="21"/>
                      <w:szCs w:val="21"/>
                      <w:u w:val="single"/>
                    </w:rPr>
                    <w:t>检验废水经</w:t>
                  </w:r>
                  <w:r>
                    <w:rPr>
                      <w:rFonts w:hint="eastAsia"/>
                      <w:color w:val="auto"/>
                      <w:kern w:val="0"/>
                      <w:sz w:val="21"/>
                      <w:szCs w:val="21"/>
                      <w:u w:val="single"/>
                      <w:lang w:val="en-US" w:eastAsia="zh-CN"/>
                    </w:rPr>
                    <w:t>项目自建</w:t>
                  </w:r>
                  <w:r>
                    <w:rPr>
                      <w:rFonts w:hint="eastAsia"/>
                      <w:color w:val="auto"/>
                      <w:kern w:val="0"/>
                      <w:sz w:val="21"/>
                      <w:szCs w:val="21"/>
                      <w:u w:val="single"/>
                    </w:rPr>
                    <w:t>污水处理</w:t>
                  </w:r>
                  <w:r>
                    <w:rPr>
                      <w:rFonts w:hint="eastAsia"/>
                      <w:color w:val="auto"/>
                      <w:kern w:val="0"/>
                      <w:sz w:val="21"/>
                      <w:szCs w:val="21"/>
                      <w:u w:val="single"/>
                      <w:lang w:val="en-US" w:eastAsia="zh-CN"/>
                    </w:rPr>
                    <w:t>设施</w:t>
                  </w:r>
                  <w:r>
                    <w:rPr>
                      <w:rFonts w:hint="eastAsia"/>
                      <w:color w:val="auto"/>
                      <w:kern w:val="0"/>
                      <w:sz w:val="21"/>
                      <w:szCs w:val="21"/>
                      <w:u w:val="single"/>
                    </w:rPr>
                    <w:t>收集处理达标后进入</w:t>
                  </w:r>
                  <w:r>
                    <w:rPr>
                      <w:rFonts w:hint="eastAsia"/>
                      <w:color w:val="auto"/>
                      <w:kern w:val="0"/>
                      <w:sz w:val="21"/>
                      <w:szCs w:val="21"/>
                      <w:u w:val="single"/>
                      <w:lang w:val="en-US" w:eastAsia="zh-CN"/>
                    </w:rPr>
                    <w:t>安化县</w:t>
                  </w:r>
                  <w:r>
                    <w:rPr>
                      <w:rFonts w:hint="eastAsia"/>
                      <w:color w:val="auto"/>
                      <w:kern w:val="0"/>
                      <w:sz w:val="21"/>
                      <w:szCs w:val="21"/>
                      <w:u w:val="single"/>
                    </w:rPr>
                    <w:t>污水处理厂进行深度处理，最终排入资江。</w:t>
                  </w:r>
                </w:p>
              </w:tc>
              <w:tc>
                <w:tcPr>
                  <w:tcW w:w="928" w:type="dxa"/>
                  <w:vAlign w:val="center"/>
                </w:tcPr>
                <w:p w14:paraId="0659D8D4">
                  <w:pPr>
                    <w:jc w:val="center"/>
                    <w:rPr>
                      <w:color w:val="auto"/>
                      <w:kern w:val="0"/>
                      <w:sz w:val="21"/>
                      <w:szCs w:val="21"/>
                      <w:u w:val="single"/>
                    </w:rPr>
                  </w:pPr>
                  <w:r>
                    <w:rPr>
                      <w:rFonts w:hint="eastAsia"/>
                      <w:color w:val="auto"/>
                      <w:kern w:val="0"/>
                      <w:sz w:val="21"/>
                      <w:szCs w:val="21"/>
                      <w:u w:val="single"/>
                      <w:lang w:val="en-US" w:eastAsia="zh-CN"/>
                    </w:rPr>
                    <w:t>新建</w:t>
                  </w:r>
                </w:p>
              </w:tc>
            </w:tr>
            <w:tr w14:paraId="3A6ED2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622E7C10">
                  <w:pPr>
                    <w:pStyle w:val="445"/>
                    <w:adjustRightInd/>
                    <w:snapToGrid/>
                    <w:spacing w:line="0" w:lineRule="atLeast"/>
                    <w:ind w:firstLine="0" w:firstLineChars="0"/>
                    <w:jc w:val="center"/>
                    <w:rPr>
                      <w:color w:val="auto"/>
                      <w:kern w:val="0"/>
                      <w:sz w:val="21"/>
                      <w:szCs w:val="21"/>
                      <w:u w:val="single"/>
                    </w:rPr>
                  </w:pPr>
                </w:p>
              </w:tc>
              <w:tc>
                <w:tcPr>
                  <w:tcW w:w="1193" w:type="dxa"/>
                  <w:vAlign w:val="center"/>
                </w:tcPr>
                <w:p w14:paraId="41585FED">
                  <w:pPr>
                    <w:pStyle w:val="445"/>
                    <w:adjustRightInd/>
                    <w:snapToGrid/>
                    <w:spacing w:line="0" w:lineRule="atLeast"/>
                    <w:ind w:firstLine="0" w:firstLineChars="0"/>
                    <w:jc w:val="center"/>
                    <w:rPr>
                      <w:rFonts w:hint="eastAsia"/>
                      <w:color w:val="auto"/>
                      <w:kern w:val="0"/>
                      <w:sz w:val="21"/>
                      <w:szCs w:val="21"/>
                      <w:u w:val="single"/>
                    </w:rPr>
                  </w:pPr>
                  <w:r>
                    <w:rPr>
                      <w:rFonts w:hint="eastAsia"/>
                      <w:color w:val="auto"/>
                      <w:kern w:val="0"/>
                      <w:sz w:val="21"/>
                      <w:szCs w:val="21"/>
                      <w:u w:val="single"/>
                    </w:rPr>
                    <w:t>生活污水</w:t>
                  </w:r>
                </w:p>
              </w:tc>
              <w:tc>
                <w:tcPr>
                  <w:tcW w:w="5140" w:type="dxa"/>
                  <w:vAlign w:val="center"/>
                </w:tcPr>
                <w:p w14:paraId="14884412">
                  <w:pPr>
                    <w:pStyle w:val="445"/>
                    <w:spacing w:line="0" w:lineRule="atLeast"/>
                    <w:ind w:firstLine="0" w:firstLineChars="0"/>
                    <w:rPr>
                      <w:rFonts w:hint="eastAsia"/>
                      <w:color w:val="auto"/>
                      <w:kern w:val="0"/>
                      <w:sz w:val="21"/>
                      <w:szCs w:val="21"/>
                      <w:u w:val="single"/>
                    </w:rPr>
                  </w:pPr>
                  <w:r>
                    <w:rPr>
                      <w:rFonts w:hint="eastAsia"/>
                      <w:color w:val="auto"/>
                      <w:kern w:val="0"/>
                      <w:sz w:val="21"/>
                      <w:szCs w:val="21"/>
                      <w:u w:val="single"/>
                    </w:rPr>
                    <w:t>生活污水</w:t>
                  </w:r>
                  <w:r>
                    <w:rPr>
                      <w:rFonts w:hint="eastAsia"/>
                      <w:color w:val="auto"/>
                      <w:kern w:val="0"/>
                      <w:sz w:val="21"/>
                      <w:szCs w:val="21"/>
                      <w:u w:val="single"/>
                      <w:lang w:eastAsia="zh-CN"/>
                    </w:rPr>
                    <w:t>来自</w:t>
                  </w:r>
                  <w:r>
                    <w:rPr>
                      <w:rFonts w:hint="eastAsia"/>
                      <w:color w:val="auto"/>
                      <w:kern w:val="0"/>
                      <w:sz w:val="21"/>
                      <w:szCs w:val="21"/>
                      <w:u w:val="single"/>
                      <w:lang w:val="en-US" w:eastAsia="zh-CN"/>
                    </w:rPr>
                    <w:t>食堂废水、</w:t>
                  </w:r>
                  <w:r>
                    <w:rPr>
                      <w:rFonts w:hint="eastAsia"/>
                      <w:color w:val="auto"/>
                      <w:kern w:val="0"/>
                      <w:sz w:val="21"/>
                      <w:szCs w:val="21"/>
                      <w:u w:val="single"/>
                    </w:rPr>
                    <w:t>职工生活及康养老人的生活废水；水经</w:t>
                  </w:r>
                  <w:r>
                    <w:rPr>
                      <w:rFonts w:hint="eastAsia"/>
                      <w:color w:val="auto"/>
                      <w:kern w:val="0"/>
                      <w:sz w:val="21"/>
                      <w:szCs w:val="21"/>
                      <w:u w:val="single"/>
                      <w:lang w:val="en-US" w:eastAsia="zh-CN"/>
                    </w:rPr>
                    <w:t>隔油池、</w:t>
                  </w:r>
                  <w:r>
                    <w:rPr>
                      <w:rFonts w:hint="eastAsia"/>
                      <w:color w:val="auto"/>
                      <w:kern w:val="0"/>
                      <w:sz w:val="21"/>
                      <w:szCs w:val="21"/>
                      <w:u w:val="single"/>
                    </w:rPr>
                    <w:t>化粪池处理后，经市政污水管网排入</w:t>
                  </w:r>
                  <w:r>
                    <w:rPr>
                      <w:rFonts w:hint="eastAsia"/>
                      <w:color w:val="auto"/>
                      <w:kern w:val="0"/>
                      <w:sz w:val="21"/>
                      <w:szCs w:val="21"/>
                      <w:u w:val="single"/>
                      <w:lang w:val="en-US" w:eastAsia="zh-CN"/>
                    </w:rPr>
                    <w:t>安化县</w:t>
                  </w:r>
                  <w:r>
                    <w:rPr>
                      <w:rFonts w:hint="eastAsia"/>
                      <w:color w:val="auto"/>
                      <w:kern w:val="0"/>
                      <w:sz w:val="21"/>
                      <w:szCs w:val="21"/>
                      <w:u w:val="single"/>
                    </w:rPr>
                    <w:t>污水处理厂</w:t>
                  </w:r>
                </w:p>
              </w:tc>
              <w:tc>
                <w:tcPr>
                  <w:tcW w:w="928" w:type="dxa"/>
                  <w:vAlign w:val="center"/>
                </w:tcPr>
                <w:p w14:paraId="3CA17A8E">
                  <w:pPr>
                    <w:jc w:val="center"/>
                    <w:rPr>
                      <w:color w:val="auto"/>
                      <w:kern w:val="0"/>
                      <w:sz w:val="21"/>
                      <w:szCs w:val="21"/>
                      <w:u w:val="single"/>
                    </w:rPr>
                  </w:pPr>
                  <w:r>
                    <w:rPr>
                      <w:rFonts w:hint="eastAsia"/>
                      <w:color w:val="auto"/>
                      <w:kern w:val="0"/>
                      <w:sz w:val="21"/>
                      <w:szCs w:val="21"/>
                      <w:u w:val="single"/>
                      <w:lang w:val="en-US" w:eastAsia="zh-CN"/>
                    </w:rPr>
                    <w:t>新建</w:t>
                  </w:r>
                </w:p>
              </w:tc>
            </w:tr>
            <w:tr w14:paraId="0A0B5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679B32C6">
                  <w:pPr>
                    <w:pStyle w:val="445"/>
                    <w:adjustRightInd/>
                    <w:snapToGrid/>
                    <w:spacing w:line="0" w:lineRule="atLeast"/>
                    <w:ind w:firstLine="0" w:firstLineChars="0"/>
                    <w:jc w:val="center"/>
                    <w:rPr>
                      <w:color w:val="auto"/>
                      <w:kern w:val="0"/>
                      <w:sz w:val="21"/>
                      <w:szCs w:val="21"/>
                      <w:u w:val="single"/>
                    </w:rPr>
                  </w:pPr>
                </w:p>
              </w:tc>
              <w:tc>
                <w:tcPr>
                  <w:tcW w:w="1193" w:type="dxa"/>
                  <w:vAlign w:val="center"/>
                </w:tcPr>
                <w:p w14:paraId="47F7BEC1">
                  <w:pPr>
                    <w:pStyle w:val="445"/>
                    <w:adjustRightInd/>
                    <w:snapToGrid/>
                    <w:spacing w:line="0" w:lineRule="atLeast"/>
                    <w:ind w:firstLine="0" w:firstLineChars="0"/>
                    <w:jc w:val="center"/>
                    <w:rPr>
                      <w:color w:val="auto"/>
                      <w:kern w:val="0"/>
                      <w:sz w:val="21"/>
                      <w:szCs w:val="21"/>
                      <w:u w:val="single"/>
                    </w:rPr>
                  </w:pPr>
                  <w:r>
                    <w:rPr>
                      <w:rFonts w:hint="eastAsia"/>
                      <w:color w:val="auto"/>
                      <w:kern w:val="0"/>
                      <w:sz w:val="21"/>
                      <w:szCs w:val="21"/>
                      <w:u w:val="single"/>
                    </w:rPr>
                    <w:t>噪声</w:t>
                  </w:r>
                </w:p>
              </w:tc>
              <w:tc>
                <w:tcPr>
                  <w:tcW w:w="5140" w:type="dxa"/>
                  <w:vAlign w:val="center"/>
                </w:tcPr>
                <w:p w14:paraId="065DD060">
                  <w:pPr>
                    <w:pStyle w:val="445"/>
                    <w:spacing w:line="0" w:lineRule="atLeast"/>
                    <w:ind w:firstLine="0" w:firstLineChars="0"/>
                    <w:rPr>
                      <w:color w:val="auto"/>
                      <w:kern w:val="0"/>
                      <w:sz w:val="21"/>
                      <w:szCs w:val="21"/>
                      <w:u w:val="single"/>
                    </w:rPr>
                  </w:pPr>
                  <w:r>
                    <w:rPr>
                      <w:rFonts w:hint="eastAsia"/>
                      <w:color w:val="auto"/>
                      <w:kern w:val="0"/>
                      <w:sz w:val="21"/>
                      <w:szCs w:val="21"/>
                      <w:u w:val="single"/>
                    </w:rPr>
                    <w:t>选用低噪声设备，并采取减振、隔声等降噪措施</w:t>
                  </w:r>
                </w:p>
              </w:tc>
              <w:tc>
                <w:tcPr>
                  <w:tcW w:w="928" w:type="dxa"/>
                  <w:vAlign w:val="center"/>
                </w:tcPr>
                <w:p w14:paraId="6E533B00">
                  <w:pPr>
                    <w:spacing w:line="0" w:lineRule="atLeast"/>
                    <w:ind w:firstLine="0" w:firstLineChars="0"/>
                    <w:jc w:val="center"/>
                    <w:rPr>
                      <w:color w:val="auto"/>
                      <w:kern w:val="0"/>
                      <w:sz w:val="21"/>
                      <w:szCs w:val="21"/>
                      <w:u w:val="single"/>
                    </w:rPr>
                  </w:pPr>
                  <w:r>
                    <w:rPr>
                      <w:rFonts w:hint="eastAsia"/>
                      <w:color w:val="auto"/>
                      <w:kern w:val="0"/>
                      <w:sz w:val="21"/>
                      <w:szCs w:val="21"/>
                      <w:u w:val="single"/>
                      <w:lang w:val="en-US" w:eastAsia="zh-CN"/>
                    </w:rPr>
                    <w:t>新建</w:t>
                  </w:r>
                </w:p>
              </w:tc>
            </w:tr>
            <w:tr w14:paraId="1C26C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Merge w:val="continue"/>
                  <w:vAlign w:val="center"/>
                </w:tcPr>
                <w:p w14:paraId="6F889FBE">
                  <w:pPr>
                    <w:pStyle w:val="445"/>
                    <w:adjustRightInd/>
                    <w:snapToGrid/>
                    <w:spacing w:line="0" w:lineRule="atLeast"/>
                    <w:ind w:firstLine="0" w:firstLineChars="0"/>
                    <w:jc w:val="center"/>
                    <w:rPr>
                      <w:color w:val="auto"/>
                      <w:kern w:val="0"/>
                      <w:sz w:val="21"/>
                      <w:szCs w:val="21"/>
                      <w:u w:val="single"/>
                    </w:rPr>
                  </w:pPr>
                </w:p>
              </w:tc>
              <w:tc>
                <w:tcPr>
                  <w:tcW w:w="1193" w:type="dxa"/>
                  <w:vAlign w:val="center"/>
                </w:tcPr>
                <w:p w14:paraId="6765413E">
                  <w:pPr>
                    <w:pStyle w:val="445"/>
                    <w:adjustRightInd/>
                    <w:snapToGrid/>
                    <w:spacing w:line="0" w:lineRule="atLeast"/>
                    <w:ind w:firstLine="0" w:firstLineChars="0"/>
                    <w:jc w:val="center"/>
                    <w:rPr>
                      <w:color w:val="auto"/>
                      <w:kern w:val="0"/>
                      <w:sz w:val="21"/>
                      <w:szCs w:val="21"/>
                      <w:u w:val="single"/>
                    </w:rPr>
                  </w:pPr>
                  <w:r>
                    <w:rPr>
                      <w:rFonts w:hint="eastAsia"/>
                      <w:color w:val="auto"/>
                      <w:kern w:val="0"/>
                      <w:sz w:val="21"/>
                      <w:szCs w:val="21"/>
                      <w:u w:val="single"/>
                    </w:rPr>
                    <w:t>固废</w:t>
                  </w:r>
                </w:p>
              </w:tc>
              <w:tc>
                <w:tcPr>
                  <w:tcW w:w="5140" w:type="dxa"/>
                  <w:vAlign w:val="center"/>
                </w:tcPr>
                <w:p w14:paraId="34D8A00B">
                  <w:pPr>
                    <w:snapToGrid w:val="0"/>
                    <w:rPr>
                      <w:rFonts w:hint="eastAsia"/>
                      <w:color w:val="auto"/>
                      <w:sz w:val="21"/>
                      <w:szCs w:val="21"/>
                      <w:u w:val="single"/>
                    </w:rPr>
                  </w:pPr>
                  <w:r>
                    <w:rPr>
                      <w:rFonts w:hint="eastAsia"/>
                      <w:color w:val="auto"/>
                      <w:sz w:val="21"/>
                      <w:szCs w:val="21"/>
                      <w:u w:val="single"/>
                    </w:rPr>
                    <w:t>医疗废物及</w:t>
                  </w:r>
                  <w:r>
                    <w:rPr>
                      <w:rFonts w:hint="eastAsia"/>
                      <w:color w:val="auto"/>
                      <w:sz w:val="21"/>
                      <w:szCs w:val="21"/>
                      <w:u w:val="single"/>
                      <w:lang w:val="en-US" w:eastAsia="zh-CN"/>
                    </w:rPr>
                    <w:t>污水处理站</w:t>
                  </w:r>
                  <w:r>
                    <w:rPr>
                      <w:rFonts w:hint="eastAsia"/>
                      <w:color w:val="auto"/>
                      <w:sz w:val="21"/>
                      <w:szCs w:val="21"/>
                      <w:u w:val="single"/>
                    </w:rPr>
                    <w:t>污泥收集后暂存于医疗废物暂存间</w:t>
                  </w:r>
                  <w:r>
                    <w:rPr>
                      <w:rFonts w:hint="eastAsia"/>
                      <w:color w:val="auto"/>
                      <w:sz w:val="21"/>
                      <w:szCs w:val="21"/>
                      <w:u w:val="single"/>
                      <w:lang w:eastAsia="zh-CN"/>
                    </w:rPr>
                    <w:t>（</w:t>
                  </w:r>
                  <w:r>
                    <w:rPr>
                      <w:rFonts w:hint="eastAsia"/>
                      <w:color w:val="auto"/>
                      <w:sz w:val="21"/>
                      <w:szCs w:val="21"/>
                      <w:u w:val="single"/>
                      <w:lang w:val="en-US" w:eastAsia="zh-CN"/>
                    </w:rPr>
                    <w:t>30m</w:t>
                  </w:r>
                  <w:r>
                    <w:rPr>
                      <w:rFonts w:hint="eastAsia"/>
                      <w:color w:val="auto"/>
                      <w:sz w:val="21"/>
                      <w:szCs w:val="21"/>
                      <w:u w:val="single"/>
                      <w:shd w:val="clear"/>
                      <w:vertAlign w:val="superscript"/>
                      <w:lang w:val="en-US" w:eastAsia="zh-CN"/>
                    </w:rPr>
                    <w:t>2</w:t>
                  </w:r>
                  <w:r>
                    <w:rPr>
                      <w:rFonts w:hint="eastAsia"/>
                      <w:color w:val="auto"/>
                      <w:sz w:val="21"/>
                      <w:szCs w:val="21"/>
                      <w:u w:val="single"/>
                      <w:lang w:eastAsia="zh-CN"/>
                    </w:rPr>
                    <w:t>）</w:t>
                  </w:r>
                  <w:r>
                    <w:rPr>
                      <w:rFonts w:hint="eastAsia"/>
                      <w:color w:val="auto"/>
                      <w:sz w:val="21"/>
                      <w:szCs w:val="21"/>
                      <w:u w:val="single"/>
                    </w:rPr>
                    <w:t>，定期交由医疗废物处置中心处置；</w:t>
                  </w:r>
                </w:p>
                <w:p w14:paraId="07DFA6FB">
                  <w:pPr>
                    <w:snapToGrid w:val="0"/>
                    <w:rPr>
                      <w:rFonts w:hint="eastAsia"/>
                      <w:color w:val="auto"/>
                      <w:sz w:val="21"/>
                      <w:szCs w:val="21"/>
                      <w:u w:val="single"/>
                    </w:rPr>
                  </w:pPr>
                  <w:r>
                    <w:rPr>
                      <w:rFonts w:hint="eastAsia"/>
                      <w:color w:val="auto"/>
                      <w:sz w:val="21"/>
                      <w:szCs w:val="21"/>
                      <w:u w:val="single"/>
                    </w:rPr>
                    <w:t>未被污染输液瓶（袋）</w:t>
                  </w:r>
                  <w:r>
                    <w:rPr>
                      <w:rFonts w:hint="eastAsia"/>
                      <w:color w:val="auto"/>
                      <w:sz w:val="21"/>
                      <w:szCs w:val="21"/>
                      <w:u w:val="single"/>
                      <w:lang w:val="en-US" w:eastAsia="zh-CN"/>
                    </w:rPr>
                    <w:t>收集后由再生资源回收单位回收；</w:t>
                  </w:r>
                </w:p>
                <w:p w14:paraId="52756A31">
                  <w:pPr>
                    <w:snapToGrid w:val="0"/>
                    <w:rPr>
                      <w:rFonts w:hint="eastAsia" w:eastAsia="宋体"/>
                      <w:color w:val="auto"/>
                      <w:sz w:val="21"/>
                      <w:szCs w:val="21"/>
                      <w:u w:val="single"/>
                      <w:lang w:eastAsia="zh-CN"/>
                    </w:rPr>
                  </w:pPr>
                  <w:r>
                    <w:rPr>
                      <w:rFonts w:hint="eastAsia"/>
                      <w:color w:val="auto"/>
                      <w:sz w:val="21"/>
                      <w:szCs w:val="21"/>
                      <w:u w:val="single"/>
                    </w:rPr>
                    <w:t>废包装物，收集后暂存于一般固废暂存间，可回收的用于回收，不能回收的统一由环卫部门清运处理</w:t>
                  </w:r>
                  <w:r>
                    <w:rPr>
                      <w:rFonts w:hint="eastAsia"/>
                      <w:color w:val="auto"/>
                      <w:sz w:val="21"/>
                      <w:szCs w:val="21"/>
                      <w:u w:val="single"/>
                      <w:lang w:eastAsia="zh-CN"/>
                    </w:rPr>
                    <w:t>；</w:t>
                  </w:r>
                </w:p>
                <w:p w14:paraId="5A33D297">
                  <w:pPr>
                    <w:snapToGrid w:val="0"/>
                    <w:rPr>
                      <w:rFonts w:hint="eastAsia"/>
                      <w:color w:val="auto"/>
                      <w:sz w:val="21"/>
                      <w:szCs w:val="21"/>
                      <w:u w:val="single"/>
                    </w:rPr>
                  </w:pPr>
                  <w:r>
                    <w:rPr>
                      <w:rFonts w:hint="eastAsia"/>
                      <w:color w:val="auto"/>
                      <w:sz w:val="21"/>
                      <w:szCs w:val="21"/>
                      <w:u w:val="single"/>
                      <w:lang w:val="en-US" w:eastAsia="zh-CN"/>
                    </w:rPr>
                    <w:t>厨余垃圾（含隔油池产生的油脂），</w:t>
                  </w:r>
                  <w:r>
                    <w:rPr>
                      <w:rFonts w:hint="eastAsia"/>
                      <w:color w:val="auto"/>
                      <w:sz w:val="21"/>
                      <w:szCs w:val="21"/>
                      <w:u w:val="single"/>
                    </w:rPr>
                    <w:t>委托有厨余垃圾资质的单位处理</w:t>
                  </w:r>
                  <w:r>
                    <w:rPr>
                      <w:rFonts w:hint="eastAsia"/>
                      <w:color w:val="auto"/>
                      <w:sz w:val="21"/>
                      <w:szCs w:val="21"/>
                      <w:u w:val="single"/>
                      <w:lang w:eastAsia="zh-CN"/>
                    </w:rPr>
                    <w:t>；</w:t>
                  </w:r>
                </w:p>
                <w:p w14:paraId="64B99C5F">
                  <w:pPr>
                    <w:pStyle w:val="445"/>
                    <w:spacing w:line="0" w:lineRule="atLeast"/>
                    <w:ind w:firstLine="0" w:firstLineChars="0"/>
                    <w:rPr>
                      <w:color w:val="auto"/>
                      <w:kern w:val="0"/>
                      <w:sz w:val="21"/>
                      <w:szCs w:val="21"/>
                      <w:u w:val="single"/>
                    </w:rPr>
                  </w:pPr>
                  <w:r>
                    <w:rPr>
                      <w:rFonts w:hint="eastAsia"/>
                      <w:color w:val="auto"/>
                      <w:sz w:val="21"/>
                      <w:szCs w:val="21"/>
                      <w:u w:val="single"/>
                    </w:rPr>
                    <w:t>生活垃圾集中收集后，由环卫部门统一清运。</w:t>
                  </w:r>
                </w:p>
              </w:tc>
              <w:tc>
                <w:tcPr>
                  <w:tcW w:w="928" w:type="dxa"/>
                  <w:vAlign w:val="center"/>
                </w:tcPr>
                <w:p w14:paraId="07888A1A">
                  <w:pPr>
                    <w:spacing w:line="0" w:lineRule="atLeast"/>
                    <w:ind w:firstLine="0" w:firstLineChars="0"/>
                    <w:jc w:val="center"/>
                    <w:rPr>
                      <w:color w:val="auto"/>
                      <w:kern w:val="0"/>
                      <w:sz w:val="21"/>
                      <w:szCs w:val="21"/>
                      <w:u w:val="single"/>
                    </w:rPr>
                  </w:pPr>
                  <w:r>
                    <w:rPr>
                      <w:rFonts w:hint="eastAsia"/>
                      <w:color w:val="auto"/>
                      <w:kern w:val="0"/>
                      <w:sz w:val="21"/>
                      <w:szCs w:val="21"/>
                      <w:u w:val="single"/>
                      <w:lang w:val="en-US" w:eastAsia="zh-CN"/>
                    </w:rPr>
                    <w:t>/</w:t>
                  </w:r>
                </w:p>
              </w:tc>
            </w:tr>
            <w:tr w14:paraId="45F0F5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 w:type="dxa"/>
                  <w:vAlign w:val="center"/>
                </w:tcPr>
                <w:p w14:paraId="66740E27">
                  <w:pPr>
                    <w:spacing w:line="0" w:lineRule="atLeast"/>
                    <w:jc w:val="center"/>
                    <w:rPr>
                      <w:color w:val="auto"/>
                      <w:kern w:val="0"/>
                      <w:sz w:val="21"/>
                      <w:szCs w:val="21"/>
                      <w:u w:val="single"/>
                    </w:rPr>
                  </w:pPr>
                  <w:r>
                    <w:rPr>
                      <w:rFonts w:hint="eastAsia"/>
                      <w:color w:val="auto"/>
                      <w:kern w:val="0"/>
                      <w:sz w:val="21"/>
                      <w:szCs w:val="21"/>
                      <w:u w:val="single"/>
                    </w:rPr>
                    <w:t>依托工程</w:t>
                  </w:r>
                </w:p>
              </w:tc>
              <w:tc>
                <w:tcPr>
                  <w:tcW w:w="1193" w:type="dxa"/>
                  <w:vAlign w:val="center"/>
                </w:tcPr>
                <w:p w14:paraId="0D4FD38D">
                  <w:pPr>
                    <w:spacing w:line="0" w:lineRule="atLeast"/>
                    <w:jc w:val="center"/>
                    <w:rPr>
                      <w:color w:val="auto"/>
                      <w:kern w:val="0"/>
                      <w:sz w:val="21"/>
                      <w:szCs w:val="21"/>
                      <w:u w:val="single"/>
                    </w:rPr>
                  </w:pPr>
                  <w:r>
                    <w:rPr>
                      <w:color w:val="auto"/>
                      <w:kern w:val="0"/>
                      <w:sz w:val="21"/>
                      <w:szCs w:val="21"/>
                      <w:u w:val="single"/>
                    </w:rPr>
                    <w:t>安化县污水处理厂</w:t>
                  </w:r>
                </w:p>
              </w:tc>
              <w:tc>
                <w:tcPr>
                  <w:tcW w:w="5140" w:type="dxa"/>
                  <w:vAlign w:val="center"/>
                </w:tcPr>
                <w:p w14:paraId="4A73727B">
                  <w:pPr>
                    <w:spacing w:line="0" w:lineRule="atLeast"/>
                    <w:rPr>
                      <w:color w:val="auto"/>
                      <w:kern w:val="0"/>
                      <w:sz w:val="21"/>
                      <w:szCs w:val="21"/>
                      <w:u w:val="single"/>
                    </w:rPr>
                  </w:pPr>
                  <w:r>
                    <w:rPr>
                      <w:color w:val="auto"/>
                      <w:sz w:val="21"/>
                      <w:szCs w:val="21"/>
                      <w:u w:val="single"/>
                      <w:lang w:bidi="ar"/>
                    </w:rPr>
                    <w:t>位于安化县田庄乡茶家村，一期2万吨已建成投入运行，二期（2025年）2万吨，共4万吨，配套污水收集管网45.7km及尾水排放口。服务范围为安化县城内的生活污水和工业废水；出水水质该达到《城镇污水处理厂污染物排放标准（GB18918-2002）》一级A标准后排放至资江。</w:t>
                  </w:r>
                </w:p>
              </w:tc>
              <w:tc>
                <w:tcPr>
                  <w:tcW w:w="928" w:type="dxa"/>
                  <w:vAlign w:val="center"/>
                </w:tcPr>
                <w:p w14:paraId="5A8BF2DD">
                  <w:pPr>
                    <w:spacing w:line="0" w:lineRule="atLeast"/>
                    <w:jc w:val="center"/>
                    <w:rPr>
                      <w:rFonts w:hint="eastAsia" w:eastAsia="宋体"/>
                      <w:color w:val="auto"/>
                      <w:kern w:val="0"/>
                      <w:sz w:val="21"/>
                      <w:szCs w:val="21"/>
                      <w:u w:val="single"/>
                      <w:lang w:val="en-US" w:eastAsia="zh-CN"/>
                    </w:rPr>
                  </w:pPr>
                  <w:r>
                    <w:rPr>
                      <w:rFonts w:hint="eastAsia"/>
                      <w:color w:val="auto"/>
                      <w:kern w:val="0"/>
                      <w:sz w:val="21"/>
                      <w:szCs w:val="21"/>
                      <w:u w:val="single"/>
                      <w:lang w:val="en-US" w:eastAsia="zh-CN"/>
                    </w:rPr>
                    <w:t>/</w:t>
                  </w:r>
                </w:p>
              </w:tc>
            </w:tr>
            <w:bookmarkEnd w:id="8"/>
          </w:tbl>
          <w:p w14:paraId="6815FAF6">
            <w:pPr>
              <w:adjustRightInd w:val="0"/>
              <w:snapToGrid w:val="0"/>
              <w:spacing w:line="360" w:lineRule="auto"/>
              <w:rPr>
                <w:b/>
                <w:bCs/>
                <w:color w:val="000000"/>
                <w:sz w:val="24"/>
                <w:szCs w:val="24"/>
              </w:rPr>
            </w:pPr>
            <w:bookmarkStart w:id="9" w:name="_Hlk135043924"/>
            <w:r>
              <w:rPr>
                <w:b/>
                <w:bCs/>
                <w:color w:val="000000"/>
                <w:sz w:val="24"/>
                <w:szCs w:val="24"/>
              </w:rPr>
              <w:t>2</w:t>
            </w:r>
            <w:r>
              <w:rPr>
                <w:rFonts w:hint="eastAsia"/>
                <w:b/>
                <w:bCs/>
                <w:color w:val="000000"/>
                <w:sz w:val="24"/>
                <w:szCs w:val="24"/>
              </w:rPr>
              <w:t>主要医疗设备</w:t>
            </w:r>
          </w:p>
          <w:p w14:paraId="2E4991E6">
            <w:pPr>
              <w:adjustRightInd w:val="0"/>
              <w:snapToGrid w:val="0"/>
              <w:spacing w:line="360" w:lineRule="auto"/>
              <w:jc w:val="center"/>
              <w:rPr>
                <w:b/>
                <w:bCs/>
                <w:color w:val="000000"/>
                <w:kern w:val="0"/>
                <w:sz w:val="24"/>
                <w:szCs w:val="24"/>
              </w:rPr>
            </w:pPr>
            <w:r>
              <w:rPr>
                <w:b/>
                <w:bCs/>
                <w:color w:val="000000"/>
                <w:kern w:val="0"/>
                <w:sz w:val="24"/>
                <w:szCs w:val="24"/>
              </w:rPr>
              <w:t>表2-</w:t>
            </w:r>
            <w:r>
              <w:rPr>
                <w:rFonts w:hint="eastAsia"/>
                <w:b/>
                <w:bCs/>
                <w:color w:val="000000"/>
                <w:kern w:val="0"/>
                <w:sz w:val="24"/>
                <w:szCs w:val="24"/>
              </w:rPr>
              <w:t>2</w:t>
            </w:r>
            <w:r>
              <w:rPr>
                <w:b/>
                <w:bCs/>
                <w:color w:val="000000"/>
                <w:kern w:val="0"/>
                <w:sz w:val="24"/>
                <w:szCs w:val="24"/>
              </w:rPr>
              <w:t xml:space="preserve">  </w:t>
            </w:r>
            <w:r>
              <w:rPr>
                <w:rFonts w:hint="eastAsia"/>
                <w:b/>
                <w:bCs/>
                <w:color w:val="000000"/>
                <w:kern w:val="0"/>
                <w:sz w:val="24"/>
                <w:szCs w:val="24"/>
              </w:rPr>
              <w:t>主要设备一览</w:t>
            </w:r>
            <w:r>
              <w:rPr>
                <w:b/>
                <w:bCs/>
                <w:color w:val="000000"/>
                <w:kern w:val="0"/>
                <w:sz w:val="24"/>
                <w:szCs w:val="24"/>
              </w:rPr>
              <w:t>表</w:t>
            </w:r>
          </w:p>
          <w:tbl>
            <w:tblPr>
              <w:tblStyle w:val="4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453"/>
              <w:gridCol w:w="1360"/>
              <w:gridCol w:w="1693"/>
              <w:gridCol w:w="1278"/>
              <w:gridCol w:w="1799"/>
            </w:tblGrid>
            <w:tr w14:paraId="02500F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330FE0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bCs/>
                      <w:color w:val="000000"/>
                      <w:kern w:val="0"/>
                      <w:sz w:val="21"/>
                      <w:szCs w:val="21"/>
                      <w:u w:val="single"/>
                      <w:vertAlign w:val="baseline"/>
                      <w:lang w:val="en-US" w:eastAsia="zh-CN"/>
                    </w:rPr>
                  </w:pPr>
                  <w:r>
                    <w:rPr>
                      <w:rFonts w:hint="eastAsia"/>
                      <w:b/>
                      <w:bCs/>
                      <w:color w:val="000000"/>
                      <w:kern w:val="0"/>
                      <w:sz w:val="21"/>
                      <w:szCs w:val="21"/>
                      <w:u w:val="single"/>
                      <w:vertAlign w:val="baseline"/>
                      <w:lang w:val="en-US" w:eastAsia="zh-CN"/>
                    </w:rPr>
                    <w:t>序号</w:t>
                  </w:r>
                </w:p>
              </w:tc>
              <w:tc>
                <w:tcPr>
                  <w:tcW w:w="1453" w:type="dxa"/>
                  <w:noWrap w:val="0"/>
                  <w:vAlign w:val="center"/>
                </w:tcPr>
                <w:p w14:paraId="5959E9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bCs/>
                      <w:color w:val="000000"/>
                      <w:kern w:val="0"/>
                      <w:sz w:val="21"/>
                      <w:szCs w:val="21"/>
                      <w:u w:val="single"/>
                      <w:vertAlign w:val="baseline"/>
                      <w:lang w:val="en-US" w:eastAsia="zh-CN"/>
                    </w:rPr>
                  </w:pPr>
                  <w:r>
                    <w:rPr>
                      <w:rFonts w:hint="eastAsia"/>
                      <w:b/>
                      <w:bCs/>
                      <w:color w:val="000000"/>
                      <w:kern w:val="0"/>
                      <w:sz w:val="21"/>
                      <w:szCs w:val="21"/>
                      <w:u w:val="single"/>
                      <w:vertAlign w:val="baseline"/>
                      <w:lang w:val="en-US" w:eastAsia="zh-CN"/>
                    </w:rPr>
                    <w:t>设备名称</w:t>
                  </w:r>
                </w:p>
              </w:tc>
              <w:tc>
                <w:tcPr>
                  <w:tcW w:w="1360" w:type="dxa"/>
                  <w:noWrap w:val="0"/>
                  <w:vAlign w:val="center"/>
                </w:tcPr>
                <w:p w14:paraId="598931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bCs/>
                      <w:color w:val="000000"/>
                      <w:kern w:val="0"/>
                      <w:sz w:val="21"/>
                      <w:szCs w:val="21"/>
                      <w:u w:val="single"/>
                      <w:vertAlign w:val="baseline"/>
                      <w:lang w:val="en-US" w:eastAsia="zh-CN"/>
                    </w:rPr>
                  </w:pPr>
                  <w:r>
                    <w:rPr>
                      <w:rFonts w:hint="eastAsia"/>
                      <w:b/>
                      <w:bCs/>
                      <w:color w:val="000000"/>
                      <w:kern w:val="0"/>
                      <w:sz w:val="21"/>
                      <w:szCs w:val="21"/>
                      <w:u w:val="single"/>
                      <w:vertAlign w:val="baseline"/>
                      <w:lang w:val="en-US" w:eastAsia="zh-CN"/>
                    </w:rPr>
                    <w:t>工序及说明</w:t>
                  </w:r>
                </w:p>
              </w:tc>
              <w:tc>
                <w:tcPr>
                  <w:tcW w:w="1693" w:type="dxa"/>
                  <w:noWrap w:val="0"/>
                  <w:vAlign w:val="center"/>
                </w:tcPr>
                <w:p w14:paraId="35FD16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bCs/>
                      <w:color w:val="000000"/>
                      <w:kern w:val="0"/>
                      <w:sz w:val="21"/>
                      <w:szCs w:val="21"/>
                      <w:u w:val="single"/>
                      <w:vertAlign w:val="baseline"/>
                      <w:lang w:val="en-US" w:eastAsia="zh-CN"/>
                    </w:rPr>
                  </w:pPr>
                  <w:r>
                    <w:rPr>
                      <w:rFonts w:hint="eastAsia"/>
                      <w:b/>
                      <w:bCs/>
                      <w:color w:val="000000"/>
                      <w:kern w:val="0"/>
                      <w:sz w:val="21"/>
                      <w:szCs w:val="21"/>
                      <w:u w:val="single"/>
                      <w:vertAlign w:val="baseline"/>
                      <w:lang w:val="en-US" w:eastAsia="zh-CN"/>
                    </w:rPr>
                    <w:t>型号</w:t>
                  </w:r>
                </w:p>
              </w:tc>
              <w:tc>
                <w:tcPr>
                  <w:tcW w:w="1278" w:type="dxa"/>
                  <w:noWrap w:val="0"/>
                  <w:vAlign w:val="center"/>
                </w:tcPr>
                <w:p w14:paraId="498056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b/>
                      <w:bCs/>
                      <w:color w:val="000000"/>
                      <w:kern w:val="0"/>
                      <w:sz w:val="21"/>
                      <w:szCs w:val="21"/>
                      <w:u w:val="single"/>
                      <w:vertAlign w:val="baseline"/>
                      <w:lang w:val="en-US" w:eastAsia="zh-CN"/>
                    </w:rPr>
                  </w:pPr>
                  <w:r>
                    <w:rPr>
                      <w:rFonts w:hint="eastAsia"/>
                      <w:b/>
                      <w:bCs/>
                      <w:color w:val="000000"/>
                      <w:kern w:val="0"/>
                      <w:sz w:val="21"/>
                      <w:szCs w:val="21"/>
                      <w:u w:val="single"/>
                      <w:vertAlign w:val="baseline"/>
                      <w:lang w:val="en-US" w:eastAsia="zh-CN"/>
                    </w:rPr>
                    <w:t>数量</w:t>
                  </w:r>
                </w:p>
              </w:tc>
              <w:tc>
                <w:tcPr>
                  <w:tcW w:w="1799" w:type="dxa"/>
                  <w:noWrap w:val="0"/>
                  <w:vAlign w:val="center"/>
                </w:tcPr>
                <w:p w14:paraId="114A07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b/>
                      <w:bCs/>
                      <w:color w:val="000000"/>
                      <w:kern w:val="0"/>
                      <w:sz w:val="21"/>
                      <w:szCs w:val="21"/>
                      <w:u w:val="single"/>
                      <w:vertAlign w:val="baseline"/>
                      <w:lang w:val="en-US" w:eastAsia="zh-CN"/>
                    </w:rPr>
                  </w:pPr>
                  <w:r>
                    <w:rPr>
                      <w:rFonts w:hint="eastAsia"/>
                      <w:b/>
                      <w:bCs/>
                      <w:color w:val="000000"/>
                      <w:kern w:val="0"/>
                      <w:sz w:val="21"/>
                      <w:szCs w:val="21"/>
                      <w:u w:val="single"/>
                      <w:vertAlign w:val="baseline"/>
                      <w:lang w:val="en-US" w:eastAsia="zh-CN"/>
                    </w:rPr>
                    <w:t>单位</w:t>
                  </w:r>
                </w:p>
              </w:tc>
            </w:tr>
            <w:tr w14:paraId="15C876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7C3A74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453" w:type="dxa"/>
                  <w:noWrap w:val="0"/>
                  <w:vAlign w:val="center"/>
                </w:tcPr>
                <w:p w14:paraId="7FEBD7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default" w:eastAsia="宋体"/>
                      <w:b w:val="0"/>
                      <w:bCs w:val="0"/>
                      <w:color w:val="000000"/>
                      <w:kern w:val="0"/>
                      <w:sz w:val="21"/>
                      <w:szCs w:val="21"/>
                      <w:u w:val="single"/>
                      <w:vertAlign w:val="baseline"/>
                      <w:lang w:val="en-US" w:eastAsia="zh-CN"/>
                    </w:rPr>
                    <w:t>DR</w:t>
                  </w:r>
                </w:p>
              </w:tc>
              <w:tc>
                <w:tcPr>
                  <w:tcW w:w="1360" w:type="dxa"/>
                  <w:vMerge w:val="restart"/>
                  <w:noWrap w:val="0"/>
                  <w:vAlign w:val="center"/>
                </w:tcPr>
                <w:p w14:paraId="1EAC19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影像设备</w:t>
                  </w:r>
                </w:p>
              </w:tc>
              <w:tc>
                <w:tcPr>
                  <w:tcW w:w="1693" w:type="dxa"/>
                  <w:noWrap w:val="0"/>
                  <w:vAlign w:val="center"/>
                </w:tcPr>
                <w:p w14:paraId="00EBC9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DP580</w:t>
                  </w:r>
                </w:p>
              </w:tc>
              <w:tc>
                <w:tcPr>
                  <w:tcW w:w="1278" w:type="dxa"/>
                  <w:noWrap w:val="0"/>
                  <w:vAlign w:val="center"/>
                </w:tcPr>
                <w:p w14:paraId="03C49B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79BC37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655559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090AFF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w:t>
                  </w:r>
                </w:p>
              </w:tc>
              <w:tc>
                <w:tcPr>
                  <w:tcW w:w="1453" w:type="dxa"/>
                  <w:noWrap w:val="0"/>
                  <w:vAlign w:val="center"/>
                </w:tcPr>
                <w:p w14:paraId="06D937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心电图机</w:t>
                  </w:r>
                </w:p>
              </w:tc>
              <w:tc>
                <w:tcPr>
                  <w:tcW w:w="1360" w:type="dxa"/>
                  <w:vMerge w:val="continue"/>
                  <w:noWrap w:val="0"/>
                  <w:vAlign w:val="center"/>
                </w:tcPr>
                <w:p w14:paraId="1E6D31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p>
              </w:tc>
              <w:tc>
                <w:tcPr>
                  <w:tcW w:w="1693" w:type="dxa"/>
                  <w:noWrap w:val="0"/>
                  <w:vAlign w:val="center"/>
                </w:tcPr>
                <w:p w14:paraId="6CC8F2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ECG-2350</w:t>
                  </w:r>
                </w:p>
              </w:tc>
              <w:tc>
                <w:tcPr>
                  <w:tcW w:w="1278" w:type="dxa"/>
                  <w:noWrap w:val="0"/>
                  <w:vAlign w:val="center"/>
                </w:tcPr>
                <w:p w14:paraId="7BB37B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083A0E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0715B8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6C406F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w:t>
                  </w:r>
                </w:p>
              </w:tc>
              <w:tc>
                <w:tcPr>
                  <w:tcW w:w="1453" w:type="dxa"/>
                  <w:noWrap w:val="0"/>
                  <w:vAlign w:val="center"/>
                </w:tcPr>
                <w:p w14:paraId="61593A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心超</w:t>
                  </w:r>
                </w:p>
              </w:tc>
              <w:tc>
                <w:tcPr>
                  <w:tcW w:w="1360" w:type="dxa"/>
                  <w:vMerge w:val="continue"/>
                  <w:noWrap w:val="0"/>
                  <w:vAlign w:val="center"/>
                </w:tcPr>
                <w:p w14:paraId="6224E6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p>
              </w:tc>
              <w:tc>
                <w:tcPr>
                  <w:tcW w:w="1693" w:type="dxa"/>
                  <w:noWrap w:val="0"/>
                  <w:vAlign w:val="center"/>
                </w:tcPr>
                <w:p w14:paraId="39A356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68D1A5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7C96BE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33870C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2467C4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w:t>
                  </w:r>
                </w:p>
              </w:tc>
              <w:tc>
                <w:tcPr>
                  <w:tcW w:w="1453" w:type="dxa"/>
                  <w:noWrap w:val="0"/>
                  <w:vAlign w:val="center"/>
                </w:tcPr>
                <w:p w14:paraId="061F5E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B 超</w:t>
                  </w:r>
                </w:p>
              </w:tc>
              <w:tc>
                <w:tcPr>
                  <w:tcW w:w="1360" w:type="dxa"/>
                  <w:vMerge w:val="continue"/>
                  <w:noWrap w:val="0"/>
                  <w:vAlign w:val="center"/>
                </w:tcPr>
                <w:p w14:paraId="1EAD68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p>
              </w:tc>
              <w:tc>
                <w:tcPr>
                  <w:tcW w:w="1693" w:type="dxa"/>
                  <w:noWrap w:val="0"/>
                  <w:vAlign w:val="center"/>
                </w:tcPr>
                <w:p w14:paraId="3E19E3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14W</w:t>
                  </w:r>
                </w:p>
              </w:tc>
              <w:tc>
                <w:tcPr>
                  <w:tcW w:w="1278" w:type="dxa"/>
                  <w:noWrap w:val="0"/>
                  <w:vAlign w:val="center"/>
                </w:tcPr>
                <w:p w14:paraId="4BAE9A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0BC7E2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31A835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71307E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453" w:type="dxa"/>
                  <w:noWrap w:val="0"/>
                  <w:vAlign w:val="center"/>
                </w:tcPr>
                <w:p w14:paraId="108FEB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 xml:space="preserve">CT </w:t>
                  </w:r>
                </w:p>
              </w:tc>
              <w:tc>
                <w:tcPr>
                  <w:tcW w:w="1360" w:type="dxa"/>
                  <w:vMerge w:val="continue"/>
                  <w:noWrap w:val="0"/>
                  <w:vAlign w:val="center"/>
                </w:tcPr>
                <w:p w14:paraId="57746A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p>
              </w:tc>
              <w:tc>
                <w:tcPr>
                  <w:tcW w:w="1693" w:type="dxa"/>
                  <w:noWrap w:val="0"/>
                  <w:vAlign w:val="center"/>
                </w:tcPr>
                <w:p w14:paraId="32EB31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511C4E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42C336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套</w:t>
                  </w:r>
                </w:p>
              </w:tc>
            </w:tr>
            <w:tr w14:paraId="7C4145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320AF6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6</w:t>
                  </w:r>
                </w:p>
              </w:tc>
              <w:tc>
                <w:tcPr>
                  <w:tcW w:w="1453" w:type="dxa"/>
                  <w:noWrap w:val="0"/>
                  <w:vAlign w:val="center"/>
                </w:tcPr>
                <w:p w14:paraId="46FB5F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default" w:eastAsia="宋体"/>
                      <w:b w:val="0"/>
                      <w:bCs w:val="0"/>
                      <w:color w:val="000000"/>
                      <w:kern w:val="0"/>
                      <w:sz w:val="21"/>
                      <w:szCs w:val="21"/>
                      <w:u w:val="single"/>
                      <w:vertAlign w:val="baseline"/>
                      <w:lang w:val="en-US" w:eastAsia="zh-CN"/>
                    </w:rPr>
                    <w:t>全自动生化分析仪</w:t>
                  </w:r>
                </w:p>
              </w:tc>
              <w:tc>
                <w:tcPr>
                  <w:tcW w:w="1360" w:type="dxa"/>
                  <w:vMerge w:val="restart"/>
                  <w:noWrap w:val="0"/>
                  <w:vAlign w:val="center"/>
                </w:tcPr>
                <w:p w14:paraId="4184A7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检验设备</w:t>
                  </w:r>
                </w:p>
              </w:tc>
              <w:tc>
                <w:tcPr>
                  <w:tcW w:w="1693" w:type="dxa"/>
                  <w:noWrap w:val="0"/>
                  <w:vAlign w:val="center"/>
                </w:tcPr>
                <w:p w14:paraId="28CF1A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BS-2200</w:t>
                  </w:r>
                </w:p>
              </w:tc>
              <w:tc>
                <w:tcPr>
                  <w:tcW w:w="1278" w:type="dxa"/>
                  <w:noWrap w:val="0"/>
                  <w:vAlign w:val="center"/>
                </w:tcPr>
                <w:p w14:paraId="43CE5C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10DE38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eastAsia="宋体"/>
                      <w:b w:val="0"/>
                      <w:bCs w:val="0"/>
                      <w:color w:val="000000"/>
                      <w:kern w:val="0"/>
                      <w:sz w:val="21"/>
                      <w:szCs w:val="21"/>
                      <w:u w:val="single"/>
                      <w:vertAlign w:val="baseline"/>
                      <w:lang w:val="en-US" w:eastAsia="zh-CN"/>
                    </w:rPr>
                    <w:t>台</w:t>
                  </w:r>
                </w:p>
              </w:tc>
            </w:tr>
            <w:tr w14:paraId="20A2C6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4F7632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7</w:t>
                  </w:r>
                </w:p>
              </w:tc>
              <w:tc>
                <w:tcPr>
                  <w:tcW w:w="1453" w:type="dxa"/>
                  <w:noWrap w:val="0"/>
                  <w:vAlign w:val="center"/>
                </w:tcPr>
                <w:p w14:paraId="4B7294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default" w:eastAsia="宋体"/>
                      <w:b w:val="0"/>
                      <w:bCs w:val="0"/>
                      <w:color w:val="000000"/>
                      <w:kern w:val="0"/>
                      <w:sz w:val="21"/>
                      <w:szCs w:val="21"/>
                      <w:u w:val="single"/>
                      <w:vertAlign w:val="baseline"/>
                      <w:lang w:val="en-US" w:eastAsia="zh-CN"/>
                    </w:rPr>
                    <w:t>全自动血球分析仪</w:t>
                  </w:r>
                </w:p>
              </w:tc>
              <w:tc>
                <w:tcPr>
                  <w:tcW w:w="1360" w:type="dxa"/>
                  <w:vMerge w:val="continue"/>
                  <w:noWrap w:val="0"/>
                  <w:vAlign w:val="center"/>
                </w:tcPr>
                <w:p w14:paraId="24A5BB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p>
              </w:tc>
              <w:tc>
                <w:tcPr>
                  <w:tcW w:w="1693" w:type="dxa"/>
                  <w:noWrap w:val="0"/>
                  <w:vAlign w:val="center"/>
                </w:tcPr>
                <w:p w14:paraId="0EB227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D2-CRP</w:t>
                  </w:r>
                </w:p>
              </w:tc>
              <w:tc>
                <w:tcPr>
                  <w:tcW w:w="1278" w:type="dxa"/>
                  <w:noWrap w:val="0"/>
                  <w:vAlign w:val="center"/>
                </w:tcPr>
                <w:p w14:paraId="1C14B7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2A3664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21A799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1C6000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8</w:t>
                  </w:r>
                </w:p>
              </w:tc>
              <w:tc>
                <w:tcPr>
                  <w:tcW w:w="1453" w:type="dxa"/>
                  <w:noWrap w:val="0"/>
                  <w:vAlign w:val="center"/>
                </w:tcPr>
                <w:p w14:paraId="4C3207C6">
                  <w:pPr>
                    <w:jc w:val="center"/>
                    <w:rPr>
                      <w:rFonts w:hint="default" w:eastAsia="宋体"/>
                      <w:b w:val="0"/>
                      <w:bCs w:val="0"/>
                      <w:color w:val="000000"/>
                      <w:kern w:val="0"/>
                      <w:sz w:val="21"/>
                      <w:szCs w:val="21"/>
                      <w:u w:val="single"/>
                      <w:vertAlign w:val="baseline"/>
                      <w:lang w:val="en-US" w:eastAsia="zh-CN"/>
                    </w:rPr>
                  </w:pPr>
                  <w:r>
                    <w:rPr>
                      <w:rFonts w:hint="eastAsia" w:ascii="Times New Roman" w:hAnsi="Times New Roman" w:eastAsia="宋体" w:cs="Times New Roman"/>
                      <w:szCs w:val="21"/>
                      <w:u w:val="single"/>
                      <w:lang w:val="en-US" w:eastAsia="zh-CN"/>
                    </w:rPr>
                    <w:t>全自动血凝仪</w:t>
                  </w:r>
                </w:p>
              </w:tc>
              <w:tc>
                <w:tcPr>
                  <w:tcW w:w="1360" w:type="dxa"/>
                  <w:vMerge w:val="continue"/>
                  <w:noWrap w:val="0"/>
                  <w:vAlign w:val="center"/>
                </w:tcPr>
                <w:p w14:paraId="5CBE16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p>
              </w:tc>
              <w:tc>
                <w:tcPr>
                  <w:tcW w:w="1693" w:type="dxa"/>
                  <w:noWrap w:val="0"/>
                  <w:vAlign w:val="center"/>
                </w:tcPr>
                <w:p w14:paraId="2D094E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72E2DB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29CED4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1C84FE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6D481A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9</w:t>
                  </w:r>
                </w:p>
              </w:tc>
              <w:tc>
                <w:tcPr>
                  <w:tcW w:w="1453" w:type="dxa"/>
                  <w:noWrap w:val="0"/>
                  <w:vAlign w:val="center"/>
                </w:tcPr>
                <w:p w14:paraId="30E94DEA">
                  <w:pPr>
                    <w:jc w:val="center"/>
                    <w:rPr>
                      <w:rFonts w:hint="default" w:eastAsia="宋体"/>
                      <w:b w:val="0"/>
                      <w:bCs w:val="0"/>
                      <w:color w:val="000000"/>
                      <w:kern w:val="0"/>
                      <w:sz w:val="21"/>
                      <w:szCs w:val="21"/>
                      <w:u w:val="single"/>
                      <w:vertAlign w:val="baseline"/>
                      <w:lang w:val="en-US" w:eastAsia="zh-CN"/>
                    </w:rPr>
                  </w:pPr>
                  <w:r>
                    <w:rPr>
                      <w:rFonts w:hint="eastAsia" w:ascii="Times New Roman" w:hAnsi="Times New Roman" w:eastAsia="宋体" w:cs="Times New Roman"/>
                      <w:szCs w:val="21"/>
                      <w:u w:val="single"/>
                      <w:lang w:val="en-US" w:eastAsia="zh-CN"/>
                    </w:rPr>
                    <w:t>全自动尿液分析仪</w:t>
                  </w:r>
                </w:p>
              </w:tc>
              <w:tc>
                <w:tcPr>
                  <w:tcW w:w="1360" w:type="dxa"/>
                  <w:vMerge w:val="continue"/>
                  <w:noWrap w:val="0"/>
                  <w:vAlign w:val="center"/>
                </w:tcPr>
                <w:p w14:paraId="26EFB0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p>
              </w:tc>
              <w:tc>
                <w:tcPr>
                  <w:tcW w:w="1693" w:type="dxa"/>
                  <w:noWrap w:val="0"/>
                  <w:vAlign w:val="center"/>
                </w:tcPr>
                <w:p w14:paraId="25D74A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URIT-500B</w:t>
                  </w:r>
                </w:p>
              </w:tc>
              <w:tc>
                <w:tcPr>
                  <w:tcW w:w="1278" w:type="dxa"/>
                  <w:noWrap w:val="0"/>
                  <w:vAlign w:val="center"/>
                </w:tcPr>
                <w:p w14:paraId="5F968A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7F02C9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14E069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13FB7E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w:t>
                  </w:r>
                </w:p>
              </w:tc>
              <w:tc>
                <w:tcPr>
                  <w:tcW w:w="1453" w:type="dxa"/>
                  <w:noWrap w:val="0"/>
                  <w:vAlign w:val="center"/>
                </w:tcPr>
                <w:p w14:paraId="4DAA6059">
                  <w:pPr>
                    <w:jc w:val="center"/>
                    <w:rPr>
                      <w:rFonts w:hint="eastAsia" w:ascii="Times New Roman" w:hAnsi="Times New Roman" w:eastAsia="宋体" w:cs="Times New Roman"/>
                      <w:szCs w:val="21"/>
                      <w:u w:val="single"/>
                      <w:lang w:val="en-US" w:eastAsia="zh-CN"/>
                    </w:rPr>
                  </w:pPr>
                  <w:r>
                    <w:rPr>
                      <w:rFonts w:hint="eastAsia" w:ascii="Times New Roman" w:hAnsi="Times New Roman" w:eastAsia="宋体" w:cs="Times New Roman"/>
                      <w:szCs w:val="21"/>
                      <w:u w:val="single"/>
                      <w:lang w:val="en-US" w:eastAsia="zh-CN"/>
                    </w:rPr>
                    <w:t>电解质分析仪</w:t>
                  </w:r>
                </w:p>
              </w:tc>
              <w:tc>
                <w:tcPr>
                  <w:tcW w:w="1360" w:type="dxa"/>
                  <w:vMerge w:val="continue"/>
                  <w:noWrap w:val="0"/>
                  <w:vAlign w:val="center"/>
                </w:tcPr>
                <w:p w14:paraId="5386BC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p>
              </w:tc>
              <w:tc>
                <w:tcPr>
                  <w:tcW w:w="1693" w:type="dxa"/>
                  <w:noWrap w:val="0"/>
                  <w:vAlign w:val="center"/>
                </w:tcPr>
                <w:p w14:paraId="6620BD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3BE27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6FC8B9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5F8E18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7F82B1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11</w:t>
                  </w:r>
                </w:p>
              </w:tc>
              <w:tc>
                <w:tcPr>
                  <w:tcW w:w="1453" w:type="dxa"/>
                  <w:noWrap w:val="0"/>
                  <w:vAlign w:val="center"/>
                </w:tcPr>
                <w:p w14:paraId="58CBB384">
                  <w:pPr>
                    <w:jc w:val="center"/>
                    <w:rPr>
                      <w:rFonts w:hint="default" w:ascii="Times New Roman" w:hAnsi="Times New Roman" w:eastAsia="宋体" w:cs="Times New Roman"/>
                      <w:szCs w:val="21"/>
                      <w:u w:val="single"/>
                      <w:lang w:val="en-US" w:eastAsia="zh-CN"/>
                    </w:rPr>
                  </w:pPr>
                  <w:r>
                    <w:rPr>
                      <w:rFonts w:hint="eastAsia" w:ascii="Times New Roman" w:hAnsi="Times New Roman" w:eastAsia="宋体" w:cs="Times New Roman"/>
                      <w:szCs w:val="21"/>
                      <w:u w:val="single"/>
                      <w:lang w:val="en-US" w:eastAsia="zh-CN"/>
                    </w:rPr>
                    <w:t>离心机</w:t>
                  </w:r>
                </w:p>
              </w:tc>
              <w:tc>
                <w:tcPr>
                  <w:tcW w:w="1360" w:type="dxa"/>
                  <w:vMerge w:val="continue"/>
                  <w:noWrap w:val="0"/>
                  <w:vAlign w:val="center"/>
                </w:tcPr>
                <w:p w14:paraId="5AB1F2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p>
              </w:tc>
              <w:tc>
                <w:tcPr>
                  <w:tcW w:w="1693" w:type="dxa"/>
                  <w:noWrap w:val="0"/>
                  <w:vAlign w:val="center"/>
                </w:tcPr>
                <w:p w14:paraId="77D247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20A7D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3EFAA6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339875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17440F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12</w:t>
                  </w:r>
                </w:p>
              </w:tc>
              <w:tc>
                <w:tcPr>
                  <w:tcW w:w="1453" w:type="dxa"/>
                  <w:noWrap w:val="0"/>
                  <w:vAlign w:val="center"/>
                </w:tcPr>
                <w:p w14:paraId="7151AF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检验台</w:t>
                  </w:r>
                </w:p>
              </w:tc>
              <w:tc>
                <w:tcPr>
                  <w:tcW w:w="1360" w:type="dxa"/>
                  <w:vMerge w:val="continue"/>
                  <w:noWrap w:val="0"/>
                  <w:vAlign w:val="center"/>
                </w:tcPr>
                <w:p w14:paraId="7589DE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p>
              </w:tc>
              <w:tc>
                <w:tcPr>
                  <w:tcW w:w="1693" w:type="dxa"/>
                  <w:noWrap w:val="0"/>
                  <w:vAlign w:val="center"/>
                </w:tcPr>
                <w:p w14:paraId="1E523F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57A08E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4FFAB1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452123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1DCEBA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13</w:t>
                  </w:r>
                </w:p>
              </w:tc>
              <w:tc>
                <w:tcPr>
                  <w:tcW w:w="1453" w:type="dxa"/>
                  <w:noWrap w:val="0"/>
                  <w:vAlign w:val="center"/>
                </w:tcPr>
                <w:p w14:paraId="266C3D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default" w:eastAsia="宋体"/>
                      <w:b w:val="0"/>
                      <w:bCs w:val="0"/>
                      <w:color w:val="000000"/>
                      <w:kern w:val="0"/>
                      <w:sz w:val="21"/>
                      <w:szCs w:val="21"/>
                      <w:u w:val="single"/>
                      <w:vertAlign w:val="baseline"/>
                      <w:lang w:val="en-US" w:eastAsia="zh-CN"/>
                    </w:rPr>
                    <w:t>呼吸器</w:t>
                  </w:r>
                </w:p>
              </w:tc>
              <w:tc>
                <w:tcPr>
                  <w:tcW w:w="1360" w:type="dxa"/>
                  <w:vMerge w:val="restart"/>
                  <w:noWrap w:val="0"/>
                  <w:vAlign w:val="center"/>
                </w:tcPr>
                <w:p w14:paraId="1CD994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急救设备</w:t>
                  </w:r>
                </w:p>
              </w:tc>
              <w:tc>
                <w:tcPr>
                  <w:tcW w:w="1693" w:type="dxa"/>
                  <w:noWrap w:val="0"/>
                  <w:vAlign w:val="center"/>
                </w:tcPr>
                <w:p w14:paraId="5DC630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55F1B3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2</w:t>
                  </w:r>
                </w:p>
              </w:tc>
              <w:tc>
                <w:tcPr>
                  <w:tcW w:w="1799" w:type="dxa"/>
                  <w:noWrap w:val="0"/>
                  <w:vAlign w:val="center"/>
                </w:tcPr>
                <w:p w14:paraId="19C47A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部</w:t>
                  </w:r>
                </w:p>
              </w:tc>
            </w:tr>
            <w:tr w14:paraId="7B94D5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17FA22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14</w:t>
                  </w:r>
                </w:p>
              </w:tc>
              <w:tc>
                <w:tcPr>
                  <w:tcW w:w="1453" w:type="dxa"/>
                  <w:noWrap w:val="0"/>
                  <w:vAlign w:val="center"/>
                </w:tcPr>
                <w:p w14:paraId="274C19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心肺复苏仪</w:t>
                  </w:r>
                </w:p>
              </w:tc>
              <w:tc>
                <w:tcPr>
                  <w:tcW w:w="1360" w:type="dxa"/>
                  <w:vMerge w:val="continue"/>
                  <w:noWrap w:val="0"/>
                  <w:vAlign w:val="center"/>
                </w:tcPr>
                <w:p w14:paraId="622932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p>
              </w:tc>
              <w:tc>
                <w:tcPr>
                  <w:tcW w:w="1693" w:type="dxa"/>
                  <w:noWrap w:val="0"/>
                  <w:vAlign w:val="center"/>
                </w:tcPr>
                <w:p w14:paraId="1AD627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1F71DD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2</w:t>
                  </w:r>
                </w:p>
              </w:tc>
              <w:tc>
                <w:tcPr>
                  <w:tcW w:w="1799" w:type="dxa"/>
                  <w:noWrap w:val="0"/>
                  <w:vAlign w:val="center"/>
                </w:tcPr>
                <w:p w14:paraId="47DABF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4EC1D2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2F3EE8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15</w:t>
                  </w:r>
                </w:p>
              </w:tc>
              <w:tc>
                <w:tcPr>
                  <w:tcW w:w="1453" w:type="dxa"/>
                  <w:noWrap w:val="0"/>
                  <w:vAlign w:val="center"/>
                </w:tcPr>
                <w:p w14:paraId="206E1A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default" w:eastAsia="宋体"/>
                      <w:b w:val="0"/>
                      <w:bCs w:val="0"/>
                      <w:color w:val="000000"/>
                      <w:kern w:val="0"/>
                      <w:sz w:val="21"/>
                      <w:szCs w:val="21"/>
                      <w:u w:val="single"/>
                      <w:vertAlign w:val="baseline"/>
                      <w:lang w:val="en-US" w:eastAsia="zh-CN"/>
                    </w:rPr>
                    <w:t>心电监护仪</w:t>
                  </w:r>
                </w:p>
              </w:tc>
              <w:tc>
                <w:tcPr>
                  <w:tcW w:w="1360" w:type="dxa"/>
                  <w:vMerge w:val="continue"/>
                  <w:noWrap w:val="0"/>
                  <w:vAlign w:val="center"/>
                </w:tcPr>
                <w:p w14:paraId="7CF8D4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p>
              </w:tc>
              <w:tc>
                <w:tcPr>
                  <w:tcW w:w="1693" w:type="dxa"/>
                  <w:noWrap w:val="0"/>
                  <w:vAlign w:val="center"/>
                </w:tcPr>
                <w:p w14:paraId="3642FD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753E02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30175E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43DEBE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2F3B45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16</w:t>
                  </w:r>
                </w:p>
              </w:tc>
              <w:tc>
                <w:tcPr>
                  <w:tcW w:w="1453" w:type="dxa"/>
                  <w:noWrap w:val="0"/>
                  <w:vAlign w:val="center"/>
                </w:tcPr>
                <w:p w14:paraId="111A54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供氧装置</w:t>
                  </w:r>
                </w:p>
              </w:tc>
              <w:tc>
                <w:tcPr>
                  <w:tcW w:w="1360" w:type="dxa"/>
                  <w:vMerge w:val="continue"/>
                  <w:noWrap w:val="0"/>
                  <w:vAlign w:val="center"/>
                </w:tcPr>
                <w:p w14:paraId="0E7B1B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p>
              </w:tc>
              <w:tc>
                <w:tcPr>
                  <w:tcW w:w="1693" w:type="dxa"/>
                  <w:noWrap w:val="0"/>
                  <w:vAlign w:val="center"/>
                </w:tcPr>
                <w:p w14:paraId="2DAE94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9CEDB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2</w:t>
                  </w:r>
                </w:p>
              </w:tc>
              <w:tc>
                <w:tcPr>
                  <w:tcW w:w="1799" w:type="dxa"/>
                  <w:noWrap w:val="0"/>
                  <w:vAlign w:val="center"/>
                </w:tcPr>
                <w:p w14:paraId="36AB87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43CF92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42A611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17</w:t>
                  </w:r>
                </w:p>
              </w:tc>
              <w:tc>
                <w:tcPr>
                  <w:tcW w:w="1453" w:type="dxa"/>
                  <w:noWrap w:val="0"/>
                  <w:vAlign w:val="center"/>
                </w:tcPr>
                <w:p w14:paraId="297597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心脏除颤仪</w:t>
                  </w:r>
                </w:p>
              </w:tc>
              <w:tc>
                <w:tcPr>
                  <w:tcW w:w="1360" w:type="dxa"/>
                  <w:vMerge w:val="continue"/>
                  <w:noWrap w:val="0"/>
                  <w:vAlign w:val="center"/>
                </w:tcPr>
                <w:p w14:paraId="44F181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p>
              </w:tc>
              <w:tc>
                <w:tcPr>
                  <w:tcW w:w="1693" w:type="dxa"/>
                  <w:noWrap w:val="0"/>
                  <w:vAlign w:val="center"/>
                </w:tcPr>
                <w:p w14:paraId="0EBA04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11C551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1</w:t>
                  </w:r>
                </w:p>
              </w:tc>
              <w:tc>
                <w:tcPr>
                  <w:tcW w:w="1799" w:type="dxa"/>
                  <w:noWrap w:val="0"/>
                  <w:vAlign w:val="center"/>
                </w:tcPr>
                <w:p w14:paraId="3D722D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eastAsia="宋体"/>
                      <w:b w:val="0"/>
                      <w:bCs w:val="0"/>
                      <w:color w:val="000000"/>
                      <w:kern w:val="0"/>
                      <w:sz w:val="21"/>
                      <w:szCs w:val="21"/>
                      <w:u w:val="single"/>
                      <w:vertAlign w:val="baseline"/>
                      <w:lang w:val="en-US" w:eastAsia="zh-CN"/>
                    </w:rPr>
                    <w:t>台</w:t>
                  </w:r>
                </w:p>
              </w:tc>
            </w:tr>
            <w:tr w14:paraId="599D1F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101AA6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18</w:t>
                  </w:r>
                </w:p>
              </w:tc>
              <w:tc>
                <w:tcPr>
                  <w:tcW w:w="1453" w:type="dxa"/>
                  <w:noWrap w:val="0"/>
                  <w:vAlign w:val="center"/>
                </w:tcPr>
                <w:p w14:paraId="6EB2BF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脉冲磁治疗仪</w:t>
                  </w:r>
                </w:p>
              </w:tc>
              <w:tc>
                <w:tcPr>
                  <w:tcW w:w="1360" w:type="dxa"/>
                  <w:vMerge w:val="restart"/>
                  <w:noWrap w:val="0"/>
                  <w:vAlign w:val="center"/>
                </w:tcPr>
                <w:p w14:paraId="1F05E7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康复设备</w:t>
                  </w:r>
                </w:p>
              </w:tc>
              <w:tc>
                <w:tcPr>
                  <w:tcW w:w="1693" w:type="dxa"/>
                  <w:noWrap w:val="0"/>
                  <w:vAlign w:val="center"/>
                </w:tcPr>
                <w:p w14:paraId="6538C6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5DDD6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6523C0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eastAsia="宋体"/>
                      <w:b w:val="0"/>
                      <w:bCs w:val="0"/>
                      <w:color w:val="000000"/>
                      <w:kern w:val="0"/>
                      <w:sz w:val="21"/>
                      <w:szCs w:val="21"/>
                      <w:u w:val="single"/>
                      <w:vertAlign w:val="baseline"/>
                      <w:lang w:val="en-US" w:eastAsia="zh-CN"/>
                    </w:rPr>
                    <w:t>台</w:t>
                  </w:r>
                </w:p>
              </w:tc>
            </w:tr>
            <w:tr w14:paraId="32F868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69B55B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19</w:t>
                  </w:r>
                </w:p>
              </w:tc>
              <w:tc>
                <w:tcPr>
                  <w:tcW w:w="1453" w:type="dxa"/>
                  <w:noWrap w:val="0"/>
                  <w:vAlign w:val="center"/>
                </w:tcPr>
                <w:p w14:paraId="7B89B9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超短波治疗仪</w:t>
                  </w:r>
                </w:p>
              </w:tc>
              <w:tc>
                <w:tcPr>
                  <w:tcW w:w="1360" w:type="dxa"/>
                  <w:vMerge w:val="continue"/>
                  <w:noWrap w:val="0"/>
                  <w:vAlign w:val="center"/>
                </w:tcPr>
                <w:p w14:paraId="3D7DB1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1AE663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default"/>
                      <w:b w:val="0"/>
                      <w:bCs w:val="0"/>
                      <w:color w:val="000000"/>
                      <w:kern w:val="0"/>
                      <w:sz w:val="21"/>
                      <w:szCs w:val="21"/>
                      <w:u w:val="single"/>
                      <w:vertAlign w:val="baseline"/>
                      <w:lang w:val="en-US" w:eastAsia="zh-CN"/>
                    </w:rPr>
                    <w:t>SONOSALL2</w:t>
                  </w:r>
                </w:p>
              </w:tc>
              <w:tc>
                <w:tcPr>
                  <w:tcW w:w="1278" w:type="dxa"/>
                  <w:noWrap w:val="0"/>
                  <w:vAlign w:val="center"/>
                </w:tcPr>
                <w:p w14:paraId="795BD4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585A32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eastAsia="宋体"/>
                      <w:b w:val="0"/>
                      <w:bCs w:val="0"/>
                      <w:color w:val="000000"/>
                      <w:kern w:val="0"/>
                      <w:sz w:val="21"/>
                      <w:szCs w:val="21"/>
                      <w:u w:val="single"/>
                      <w:vertAlign w:val="baseline"/>
                      <w:lang w:val="en-US" w:eastAsia="zh-CN"/>
                    </w:rPr>
                    <w:t>台</w:t>
                  </w:r>
                </w:p>
              </w:tc>
            </w:tr>
            <w:tr w14:paraId="38D012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78BCF7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w:t>
                  </w:r>
                </w:p>
              </w:tc>
              <w:tc>
                <w:tcPr>
                  <w:tcW w:w="1453" w:type="dxa"/>
                  <w:noWrap w:val="0"/>
                  <w:vAlign w:val="center"/>
                </w:tcPr>
                <w:p w14:paraId="64F137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rPr>
                    <w:t>经皮神经电刺激治疗仪</w:t>
                  </w:r>
                </w:p>
              </w:tc>
              <w:tc>
                <w:tcPr>
                  <w:tcW w:w="1360" w:type="dxa"/>
                  <w:vMerge w:val="continue"/>
                  <w:noWrap w:val="0"/>
                  <w:vAlign w:val="center"/>
                </w:tcPr>
                <w:p w14:paraId="21428D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5669A7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72A752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74DEDB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eastAsia="宋体"/>
                      <w:b w:val="0"/>
                      <w:bCs w:val="0"/>
                      <w:color w:val="000000"/>
                      <w:kern w:val="0"/>
                      <w:sz w:val="21"/>
                      <w:szCs w:val="21"/>
                      <w:u w:val="single"/>
                      <w:vertAlign w:val="baseline"/>
                      <w:lang w:val="en-US" w:eastAsia="zh-CN"/>
                    </w:rPr>
                    <w:t>台</w:t>
                  </w:r>
                </w:p>
              </w:tc>
            </w:tr>
            <w:tr w14:paraId="21F67A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0A499D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21</w:t>
                  </w:r>
                </w:p>
              </w:tc>
              <w:tc>
                <w:tcPr>
                  <w:tcW w:w="1453" w:type="dxa"/>
                  <w:noWrap w:val="0"/>
                  <w:vAlign w:val="center"/>
                </w:tcPr>
                <w:p w14:paraId="34B4A9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特定电磁治疗仪</w:t>
                  </w:r>
                </w:p>
              </w:tc>
              <w:tc>
                <w:tcPr>
                  <w:tcW w:w="1360" w:type="dxa"/>
                  <w:vMerge w:val="continue"/>
                  <w:noWrap w:val="0"/>
                  <w:vAlign w:val="center"/>
                </w:tcPr>
                <w:p w14:paraId="0E5E49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6F077D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5A51D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65D926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eastAsia="宋体"/>
                      <w:b w:val="0"/>
                      <w:bCs w:val="0"/>
                      <w:color w:val="000000"/>
                      <w:kern w:val="0"/>
                      <w:sz w:val="21"/>
                      <w:szCs w:val="21"/>
                      <w:u w:val="single"/>
                      <w:vertAlign w:val="baseline"/>
                      <w:lang w:val="en-US" w:eastAsia="zh-CN"/>
                    </w:rPr>
                    <w:t>台</w:t>
                  </w:r>
                </w:p>
              </w:tc>
            </w:tr>
            <w:tr w14:paraId="7709B5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072B40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22</w:t>
                  </w:r>
                </w:p>
              </w:tc>
              <w:tc>
                <w:tcPr>
                  <w:tcW w:w="1453" w:type="dxa"/>
                  <w:noWrap w:val="0"/>
                  <w:vAlign w:val="center"/>
                </w:tcPr>
                <w:p w14:paraId="6A50A3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紫外线治疗仪</w:t>
                  </w:r>
                </w:p>
              </w:tc>
              <w:tc>
                <w:tcPr>
                  <w:tcW w:w="1360" w:type="dxa"/>
                  <w:vMerge w:val="continue"/>
                  <w:noWrap w:val="0"/>
                  <w:vAlign w:val="center"/>
                </w:tcPr>
                <w:p w14:paraId="38CB52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1E1C89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87726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4D8BE7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eastAsia="宋体"/>
                      <w:b w:val="0"/>
                      <w:bCs w:val="0"/>
                      <w:color w:val="000000"/>
                      <w:kern w:val="0"/>
                      <w:sz w:val="21"/>
                      <w:szCs w:val="21"/>
                      <w:u w:val="single"/>
                      <w:vertAlign w:val="baseline"/>
                      <w:lang w:val="en-US" w:eastAsia="zh-CN"/>
                    </w:rPr>
                    <w:t>台</w:t>
                  </w:r>
                </w:p>
              </w:tc>
            </w:tr>
            <w:tr w14:paraId="09ABB4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22EF63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23</w:t>
                  </w:r>
                </w:p>
              </w:tc>
              <w:tc>
                <w:tcPr>
                  <w:tcW w:w="1453" w:type="dxa"/>
                  <w:noWrap w:val="0"/>
                  <w:vAlign w:val="center"/>
                </w:tcPr>
                <w:p w14:paraId="2B8AB6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磁振热治疗仪</w:t>
                  </w:r>
                </w:p>
              </w:tc>
              <w:tc>
                <w:tcPr>
                  <w:tcW w:w="1360" w:type="dxa"/>
                  <w:vMerge w:val="continue"/>
                  <w:noWrap w:val="0"/>
                  <w:vAlign w:val="center"/>
                </w:tcPr>
                <w:p w14:paraId="7F338E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61E8BB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default"/>
                      <w:b w:val="0"/>
                      <w:bCs w:val="0"/>
                      <w:color w:val="000000"/>
                      <w:kern w:val="0"/>
                      <w:sz w:val="21"/>
                      <w:szCs w:val="21"/>
                      <w:u w:val="single"/>
                      <w:vertAlign w:val="baseline"/>
                      <w:lang w:val="en-US" w:eastAsia="zh-CN"/>
                    </w:rPr>
                    <w:t>LGT-2600A</w:t>
                  </w:r>
                </w:p>
              </w:tc>
              <w:tc>
                <w:tcPr>
                  <w:tcW w:w="1278" w:type="dxa"/>
                  <w:noWrap w:val="0"/>
                  <w:vAlign w:val="center"/>
                </w:tcPr>
                <w:p w14:paraId="627886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316AD3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eastAsia="宋体"/>
                      <w:b w:val="0"/>
                      <w:bCs w:val="0"/>
                      <w:color w:val="000000"/>
                      <w:kern w:val="0"/>
                      <w:sz w:val="21"/>
                      <w:szCs w:val="21"/>
                      <w:u w:val="single"/>
                      <w:vertAlign w:val="baseline"/>
                      <w:lang w:val="en-US" w:eastAsia="zh-CN"/>
                    </w:rPr>
                    <w:t>台</w:t>
                  </w:r>
                </w:p>
              </w:tc>
            </w:tr>
            <w:tr w14:paraId="4D2F74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511104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24</w:t>
                  </w:r>
                </w:p>
              </w:tc>
              <w:tc>
                <w:tcPr>
                  <w:tcW w:w="1453" w:type="dxa"/>
                  <w:noWrap w:val="0"/>
                  <w:vAlign w:val="center"/>
                </w:tcPr>
                <w:p w14:paraId="3E8609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训练扶梯</w:t>
                  </w:r>
                </w:p>
              </w:tc>
              <w:tc>
                <w:tcPr>
                  <w:tcW w:w="1360" w:type="dxa"/>
                  <w:vMerge w:val="continue"/>
                  <w:noWrap w:val="0"/>
                  <w:vAlign w:val="center"/>
                </w:tcPr>
                <w:p w14:paraId="1578B6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36FDE9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default"/>
                      <w:b w:val="0"/>
                      <w:bCs w:val="0"/>
                      <w:color w:val="000000"/>
                      <w:kern w:val="0"/>
                      <w:sz w:val="21"/>
                      <w:szCs w:val="21"/>
                      <w:u w:val="single"/>
                      <w:vertAlign w:val="baseline"/>
                      <w:lang w:val="en-US" w:eastAsia="zh-CN"/>
                    </w:rPr>
                    <w:t>YY-SXJT-01</w:t>
                  </w:r>
                </w:p>
              </w:tc>
              <w:tc>
                <w:tcPr>
                  <w:tcW w:w="1278" w:type="dxa"/>
                  <w:noWrap w:val="0"/>
                  <w:vAlign w:val="center"/>
                </w:tcPr>
                <w:p w14:paraId="222CCA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2ED1B3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只</w:t>
                  </w:r>
                </w:p>
              </w:tc>
            </w:tr>
            <w:tr w14:paraId="670CC6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52BF5B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25</w:t>
                  </w:r>
                </w:p>
              </w:tc>
              <w:tc>
                <w:tcPr>
                  <w:tcW w:w="1453" w:type="dxa"/>
                  <w:noWrap w:val="0"/>
                  <w:vAlign w:val="center"/>
                </w:tcPr>
                <w:p w14:paraId="3ECCA0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rPr>
                    <w:t>训练用垫</w:t>
                  </w:r>
                </w:p>
              </w:tc>
              <w:tc>
                <w:tcPr>
                  <w:tcW w:w="1360" w:type="dxa"/>
                  <w:vMerge w:val="continue"/>
                  <w:noWrap w:val="0"/>
                  <w:vAlign w:val="center"/>
                </w:tcPr>
                <w:p w14:paraId="6EDBEF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311925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7D323E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045816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张</w:t>
                  </w:r>
                </w:p>
              </w:tc>
            </w:tr>
            <w:tr w14:paraId="1D4C3D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0C9398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26</w:t>
                  </w:r>
                </w:p>
              </w:tc>
              <w:tc>
                <w:tcPr>
                  <w:tcW w:w="1453" w:type="dxa"/>
                  <w:noWrap w:val="0"/>
                  <w:vAlign w:val="center"/>
                </w:tcPr>
                <w:p w14:paraId="6ADABA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rPr>
                    <w:t>PT床/PT凳</w:t>
                  </w:r>
                </w:p>
              </w:tc>
              <w:tc>
                <w:tcPr>
                  <w:tcW w:w="1360" w:type="dxa"/>
                  <w:vMerge w:val="continue"/>
                  <w:noWrap w:val="0"/>
                  <w:vAlign w:val="center"/>
                </w:tcPr>
                <w:p w14:paraId="4D1B2C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061E24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27D7F1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060F4D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套</w:t>
                  </w:r>
                </w:p>
              </w:tc>
            </w:tr>
            <w:tr w14:paraId="07F370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6A7F4B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27</w:t>
                  </w:r>
                </w:p>
              </w:tc>
              <w:tc>
                <w:tcPr>
                  <w:tcW w:w="1453" w:type="dxa"/>
                  <w:noWrap w:val="0"/>
                  <w:vAlign w:val="center"/>
                </w:tcPr>
                <w:p w14:paraId="42B30A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ascii="Times New Roman" w:hAnsi="Times New Roman" w:eastAsia="宋体" w:cs="Times New Roman"/>
                      <w:szCs w:val="21"/>
                      <w:u w:val="single"/>
                      <w:lang w:val="en-US" w:eastAsia="zh-CN"/>
                    </w:rPr>
                    <w:t>康复专用慢跑台</w:t>
                  </w:r>
                </w:p>
              </w:tc>
              <w:tc>
                <w:tcPr>
                  <w:tcW w:w="1360" w:type="dxa"/>
                  <w:vMerge w:val="continue"/>
                  <w:noWrap w:val="0"/>
                  <w:vAlign w:val="center"/>
                </w:tcPr>
                <w:p w14:paraId="7423BC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5CF0A8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44F364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31E0C8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eastAsia="宋体"/>
                      <w:b w:val="0"/>
                      <w:bCs w:val="0"/>
                      <w:color w:val="000000"/>
                      <w:kern w:val="0"/>
                      <w:sz w:val="21"/>
                      <w:szCs w:val="21"/>
                      <w:u w:val="single"/>
                      <w:vertAlign w:val="baseline"/>
                      <w:lang w:val="en-US" w:eastAsia="zh-CN"/>
                    </w:rPr>
                    <w:t>台</w:t>
                  </w:r>
                </w:p>
              </w:tc>
            </w:tr>
            <w:tr w14:paraId="176172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243ACA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28</w:t>
                  </w:r>
                </w:p>
              </w:tc>
              <w:tc>
                <w:tcPr>
                  <w:tcW w:w="1453" w:type="dxa"/>
                  <w:noWrap w:val="0"/>
                  <w:vAlign w:val="center"/>
                </w:tcPr>
                <w:p w14:paraId="74EA3401">
                  <w:pPr>
                    <w:jc w:val="center"/>
                    <w:rPr>
                      <w:rFonts w:hint="eastAsia" w:ascii="Times New Roman" w:hAnsi="Times New Roman" w:eastAsia="宋体" w:cs="Times New Roman"/>
                      <w:kern w:val="2"/>
                      <w:sz w:val="21"/>
                      <w:szCs w:val="21"/>
                      <w:u w:val="single"/>
                      <w:lang w:val="en-US" w:eastAsia="zh-CN" w:bidi="ar-SA"/>
                    </w:rPr>
                  </w:pPr>
                  <w:r>
                    <w:rPr>
                      <w:rFonts w:hint="eastAsia" w:ascii="Times New Roman" w:hAnsi="Times New Roman" w:eastAsia="宋体" w:cs="Times New Roman"/>
                      <w:szCs w:val="21"/>
                      <w:u w:val="single"/>
                      <w:lang w:val="en-US" w:eastAsia="zh-CN"/>
                    </w:rPr>
                    <w:t>智能运动康复训练机</w:t>
                  </w:r>
                </w:p>
              </w:tc>
              <w:tc>
                <w:tcPr>
                  <w:tcW w:w="1360" w:type="dxa"/>
                  <w:vMerge w:val="continue"/>
                  <w:noWrap w:val="0"/>
                  <w:vAlign w:val="center"/>
                </w:tcPr>
                <w:p w14:paraId="35DC71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2668F6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29B2C9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3EC48F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eastAsia="宋体"/>
                      <w:b w:val="0"/>
                      <w:bCs w:val="0"/>
                      <w:color w:val="000000"/>
                      <w:kern w:val="0"/>
                      <w:sz w:val="21"/>
                      <w:szCs w:val="21"/>
                      <w:u w:val="single"/>
                      <w:vertAlign w:val="baseline"/>
                      <w:lang w:val="en-US" w:eastAsia="zh-CN"/>
                    </w:rPr>
                    <w:t>台</w:t>
                  </w:r>
                </w:p>
              </w:tc>
            </w:tr>
            <w:tr w14:paraId="0BD7E1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13E933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29</w:t>
                  </w:r>
                </w:p>
              </w:tc>
              <w:tc>
                <w:tcPr>
                  <w:tcW w:w="1453" w:type="dxa"/>
                  <w:noWrap w:val="0"/>
                  <w:vAlign w:val="center"/>
                </w:tcPr>
                <w:p w14:paraId="3ED1D4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 xml:space="preserve">紫外线消毒机 </w:t>
                  </w:r>
                </w:p>
              </w:tc>
              <w:tc>
                <w:tcPr>
                  <w:tcW w:w="1360" w:type="dxa"/>
                  <w:vMerge w:val="restart"/>
                  <w:noWrap w:val="0"/>
                  <w:vAlign w:val="center"/>
                </w:tcPr>
                <w:p w14:paraId="1FFD5A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基本设备</w:t>
                  </w:r>
                </w:p>
              </w:tc>
              <w:tc>
                <w:tcPr>
                  <w:tcW w:w="1693" w:type="dxa"/>
                  <w:noWrap w:val="0"/>
                  <w:vAlign w:val="center"/>
                </w:tcPr>
                <w:p w14:paraId="7E6762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31DDDE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w:t>
                  </w:r>
                </w:p>
              </w:tc>
              <w:tc>
                <w:tcPr>
                  <w:tcW w:w="1799" w:type="dxa"/>
                  <w:noWrap w:val="0"/>
                  <w:vAlign w:val="center"/>
                </w:tcPr>
                <w:p w14:paraId="0BADB8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台</w:t>
                  </w:r>
                </w:p>
              </w:tc>
            </w:tr>
            <w:tr w14:paraId="2B4B5E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01BFAA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30</w:t>
                  </w:r>
                </w:p>
              </w:tc>
              <w:tc>
                <w:tcPr>
                  <w:tcW w:w="1453" w:type="dxa"/>
                  <w:noWrap w:val="0"/>
                  <w:vAlign w:val="center"/>
                </w:tcPr>
                <w:p w14:paraId="0CD3CE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床单消毒机</w:t>
                  </w:r>
                </w:p>
              </w:tc>
              <w:tc>
                <w:tcPr>
                  <w:tcW w:w="1360" w:type="dxa"/>
                  <w:vMerge w:val="continue"/>
                  <w:noWrap w:val="0"/>
                  <w:vAlign w:val="center"/>
                </w:tcPr>
                <w:p w14:paraId="1383E2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626C3B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389958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w:t>
                  </w:r>
                </w:p>
              </w:tc>
              <w:tc>
                <w:tcPr>
                  <w:tcW w:w="1799" w:type="dxa"/>
                  <w:noWrap w:val="0"/>
                  <w:vAlign w:val="center"/>
                </w:tcPr>
                <w:p w14:paraId="1CE4CB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台</w:t>
                  </w:r>
                </w:p>
              </w:tc>
            </w:tr>
            <w:tr w14:paraId="78EC1A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57DF3F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31</w:t>
                  </w:r>
                </w:p>
              </w:tc>
              <w:tc>
                <w:tcPr>
                  <w:tcW w:w="1453" w:type="dxa"/>
                  <w:noWrap w:val="0"/>
                  <w:vAlign w:val="center"/>
                </w:tcPr>
                <w:p w14:paraId="2E4F24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叩诊锤</w:t>
                  </w:r>
                </w:p>
              </w:tc>
              <w:tc>
                <w:tcPr>
                  <w:tcW w:w="1360" w:type="dxa"/>
                  <w:vMerge w:val="continue"/>
                  <w:noWrap w:val="0"/>
                  <w:vAlign w:val="center"/>
                </w:tcPr>
                <w:p w14:paraId="0E79D4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4B671D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6C9EA7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799" w:type="dxa"/>
                  <w:noWrap w:val="0"/>
                  <w:vAlign w:val="center"/>
                </w:tcPr>
                <w:p w14:paraId="215136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支</w:t>
                  </w:r>
                </w:p>
              </w:tc>
            </w:tr>
            <w:tr w14:paraId="09448D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06E32D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32</w:t>
                  </w:r>
                </w:p>
              </w:tc>
              <w:tc>
                <w:tcPr>
                  <w:tcW w:w="1453" w:type="dxa"/>
                  <w:noWrap w:val="0"/>
                  <w:vAlign w:val="center"/>
                </w:tcPr>
                <w:p w14:paraId="599EBE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听诊器</w:t>
                  </w:r>
                </w:p>
              </w:tc>
              <w:tc>
                <w:tcPr>
                  <w:tcW w:w="1360" w:type="dxa"/>
                  <w:vMerge w:val="continue"/>
                  <w:noWrap w:val="0"/>
                  <w:vAlign w:val="center"/>
                </w:tcPr>
                <w:p w14:paraId="45D590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633BC8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35F70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799" w:type="dxa"/>
                  <w:noWrap w:val="0"/>
                  <w:vAlign w:val="center"/>
                </w:tcPr>
                <w:p w14:paraId="07C5EB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支</w:t>
                  </w:r>
                </w:p>
              </w:tc>
            </w:tr>
            <w:tr w14:paraId="232250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48EA3B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33</w:t>
                  </w:r>
                </w:p>
              </w:tc>
              <w:tc>
                <w:tcPr>
                  <w:tcW w:w="1453" w:type="dxa"/>
                  <w:noWrap w:val="0"/>
                  <w:vAlign w:val="center"/>
                </w:tcPr>
                <w:p w14:paraId="2ABEF5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水银血压计</w:t>
                  </w:r>
                </w:p>
              </w:tc>
              <w:tc>
                <w:tcPr>
                  <w:tcW w:w="1360" w:type="dxa"/>
                  <w:vMerge w:val="continue"/>
                  <w:noWrap w:val="0"/>
                  <w:vAlign w:val="center"/>
                </w:tcPr>
                <w:p w14:paraId="43B5AC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61E299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164699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799" w:type="dxa"/>
                  <w:noWrap w:val="0"/>
                  <w:vAlign w:val="center"/>
                </w:tcPr>
                <w:p w14:paraId="26F118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支</w:t>
                  </w:r>
                </w:p>
              </w:tc>
            </w:tr>
            <w:tr w14:paraId="1C025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11689C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34</w:t>
                  </w:r>
                </w:p>
              </w:tc>
              <w:tc>
                <w:tcPr>
                  <w:tcW w:w="1453" w:type="dxa"/>
                  <w:noWrap w:val="0"/>
                  <w:vAlign w:val="center"/>
                </w:tcPr>
                <w:p w14:paraId="3749B9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rPr>
                    <w:t>水银体温表</w:t>
                  </w:r>
                </w:p>
              </w:tc>
              <w:tc>
                <w:tcPr>
                  <w:tcW w:w="1360" w:type="dxa"/>
                  <w:vMerge w:val="continue"/>
                  <w:noWrap w:val="0"/>
                  <w:vAlign w:val="center"/>
                </w:tcPr>
                <w:p w14:paraId="4A4FF6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05634D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67F5C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799" w:type="dxa"/>
                  <w:noWrap w:val="0"/>
                  <w:vAlign w:val="center"/>
                </w:tcPr>
                <w:p w14:paraId="033296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支</w:t>
                  </w:r>
                </w:p>
              </w:tc>
            </w:tr>
            <w:tr w14:paraId="2C0021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5AC057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35</w:t>
                  </w:r>
                </w:p>
              </w:tc>
              <w:tc>
                <w:tcPr>
                  <w:tcW w:w="1453" w:type="dxa"/>
                  <w:noWrap w:val="0"/>
                  <w:vAlign w:val="center"/>
                </w:tcPr>
                <w:p w14:paraId="3B1022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rPr>
                    <w:t>额温枪</w:t>
                  </w:r>
                </w:p>
              </w:tc>
              <w:tc>
                <w:tcPr>
                  <w:tcW w:w="1360" w:type="dxa"/>
                  <w:vMerge w:val="continue"/>
                  <w:noWrap w:val="0"/>
                  <w:vAlign w:val="center"/>
                </w:tcPr>
                <w:p w14:paraId="49A314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219AA5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37151A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799" w:type="dxa"/>
                  <w:noWrap w:val="0"/>
                  <w:vAlign w:val="center"/>
                </w:tcPr>
                <w:p w14:paraId="75B101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支</w:t>
                  </w:r>
                </w:p>
              </w:tc>
            </w:tr>
            <w:tr w14:paraId="5F6D01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6E227E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36</w:t>
                  </w:r>
                </w:p>
              </w:tc>
              <w:tc>
                <w:tcPr>
                  <w:tcW w:w="1453" w:type="dxa"/>
                  <w:noWrap w:val="0"/>
                  <w:vAlign w:val="center"/>
                </w:tcPr>
                <w:p w14:paraId="65B9D1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rPr>
                    <w:t>医用手电筒</w:t>
                  </w:r>
                </w:p>
              </w:tc>
              <w:tc>
                <w:tcPr>
                  <w:tcW w:w="1360" w:type="dxa"/>
                  <w:vMerge w:val="continue"/>
                  <w:noWrap w:val="0"/>
                  <w:vAlign w:val="center"/>
                </w:tcPr>
                <w:p w14:paraId="1E9BDE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31EFAC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51494A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799" w:type="dxa"/>
                  <w:noWrap w:val="0"/>
                  <w:vAlign w:val="center"/>
                </w:tcPr>
                <w:p w14:paraId="0386F9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支</w:t>
                  </w:r>
                </w:p>
              </w:tc>
            </w:tr>
            <w:tr w14:paraId="0B7909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07851B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37</w:t>
                  </w:r>
                </w:p>
              </w:tc>
              <w:tc>
                <w:tcPr>
                  <w:tcW w:w="1453" w:type="dxa"/>
                  <w:noWrap w:val="0"/>
                  <w:vAlign w:val="center"/>
                </w:tcPr>
                <w:p w14:paraId="37E8AE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rPr>
                    <w:t>急救箱</w:t>
                  </w:r>
                </w:p>
              </w:tc>
              <w:tc>
                <w:tcPr>
                  <w:tcW w:w="1360" w:type="dxa"/>
                  <w:vMerge w:val="continue"/>
                  <w:noWrap w:val="0"/>
                  <w:vAlign w:val="center"/>
                </w:tcPr>
                <w:p w14:paraId="7A00FA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31855E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6459FA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799" w:type="dxa"/>
                  <w:noWrap w:val="0"/>
                  <w:vAlign w:val="center"/>
                </w:tcPr>
                <w:p w14:paraId="07C9AC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只</w:t>
                  </w:r>
                </w:p>
              </w:tc>
            </w:tr>
            <w:tr w14:paraId="6ED0AD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24C509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38</w:t>
                  </w:r>
                </w:p>
              </w:tc>
              <w:tc>
                <w:tcPr>
                  <w:tcW w:w="1453" w:type="dxa"/>
                  <w:noWrap w:val="0"/>
                  <w:vAlign w:val="center"/>
                </w:tcPr>
                <w:p w14:paraId="21D5BC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rPr>
                    <w:t>简易呼吸器</w:t>
                  </w:r>
                </w:p>
              </w:tc>
              <w:tc>
                <w:tcPr>
                  <w:tcW w:w="1360" w:type="dxa"/>
                  <w:vMerge w:val="continue"/>
                  <w:noWrap w:val="0"/>
                  <w:vAlign w:val="center"/>
                </w:tcPr>
                <w:p w14:paraId="44E451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0B6A58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55231D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799" w:type="dxa"/>
                  <w:noWrap w:val="0"/>
                  <w:vAlign w:val="center"/>
                </w:tcPr>
                <w:p w14:paraId="187E28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只</w:t>
                  </w:r>
                </w:p>
              </w:tc>
            </w:tr>
            <w:tr w14:paraId="470151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0F5F88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39</w:t>
                  </w:r>
                </w:p>
              </w:tc>
              <w:tc>
                <w:tcPr>
                  <w:tcW w:w="1453" w:type="dxa"/>
                  <w:noWrap w:val="0"/>
                  <w:vAlign w:val="center"/>
                </w:tcPr>
                <w:p w14:paraId="289ABB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rPr>
                    <w:t>呼吸机</w:t>
                  </w:r>
                </w:p>
              </w:tc>
              <w:tc>
                <w:tcPr>
                  <w:tcW w:w="1360" w:type="dxa"/>
                  <w:vMerge w:val="continue"/>
                  <w:noWrap w:val="0"/>
                  <w:vAlign w:val="center"/>
                </w:tcPr>
                <w:p w14:paraId="6FB542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7DF788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1FCB62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w:t>
                  </w:r>
                </w:p>
              </w:tc>
              <w:tc>
                <w:tcPr>
                  <w:tcW w:w="1799" w:type="dxa"/>
                  <w:noWrap w:val="0"/>
                  <w:vAlign w:val="center"/>
                </w:tcPr>
                <w:p w14:paraId="4E0D8D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台</w:t>
                  </w:r>
                </w:p>
              </w:tc>
            </w:tr>
            <w:tr w14:paraId="28ADF1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49BDA6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40</w:t>
                  </w:r>
                </w:p>
              </w:tc>
              <w:tc>
                <w:tcPr>
                  <w:tcW w:w="1453" w:type="dxa"/>
                  <w:noWrap w:val="0"/>
                  <w:vAlign w:val="center"/>
                </w:tcPr>
                <w:p w14:paraId="13C757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rPr>
                    <w:t>药品柜</w:t>
                  </w:r>
                </w:p>
              </w:tc>
              <w:tc>
                <w:tcPr>
                  <w:tcW w:w="1360" w:type="dxa"/>
                  <w:vMerge w:val="continue"/>
                  <w:noWrap w:val="0"/>
                  <w:vAlign w:val="center"/>
                </w:tcPr>
                <w:p w14:paraId="79F84E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03D205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129924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799" w:type="dxa"/>
                  <w:noWrap w:val="0"/>
                  <w:vAlign w:val="center"/>
                </w:tcPr>
                <w:p w14:paraId="1CE33E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只</w:t>
                  </w:r>
                </w:p>
              </w:tc>
            </w:tr>
            <w:tr w14:paraId="093ED5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7C54FF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41</w:t>
                  </w:r>
                </w:p>
              </w:tc>
              <w:tc>
                <w:tcPr>
                  <w:tcW w:w="1453" w:type="dxa"/>
                  <w:noWrap w:val="0"/>
                  <w:vAlign w:val="center"/>
                </w:tcPr>
                <w:p w14:paraId="5131FF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恒温箱</w:t>
                  </w:r>
                </w:p>
              </w:tc>
              <w:tc>
                <w:tcPr>
                  <w:tcW w:w="1360" w:type="dxa"/>
                  <w:vMerge w:val="continue"/>
                  <w:noWrap w:val="0"/>
                  <w:vAlign w:val="center"/>
                </w:tcPr>
                <w:p w14:paraId="570A20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770DB1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4A5EC5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799" w:type="dxa"/>
                  <w:noWrap w:val="0"/>
                  <w:vAlign w:val="center"/>
                </w:tcPr>
                <w:p w14:paraId="289C8E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台</w:t>
                  </w:r>
                </w:p>
              </w:tc>
            </w:tr>
            <w:tr w14:paraId="4CAF8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16A418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42</w:t>
                  </w:r>
                </w:p>
              </w:tc>
              <w:tc>
                <w:tcPr>
                  <w:tcW w:w="1453" w:type="dxa"/>
                  <w:noWrap w:val="0"/>
                  <w:vAlign w:val="center"/>
                </w:tcPr>
                <w:p w14:paraId="232F61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eastAsia="zh-CN"/>
                    </w:rPr>
                  </w:pPr>
                  <w:r>
                    <w:rPr>
                      <w:rFonts w:hint="eastAsia"/>
                      <w:b w:val="0"/>
                      <w:bCs w:val="0"/>
                      <w:color w:val="000000"/>
                      <w:kern w:val="0"/>
                      <w:sz w:val="21"/>
                      <w:szCs w:val="21"/>
                      <w:u w:val="single"/>
                      <w:vertAlign w:val="baseline"/>
                    </w:rPr>
                    <w:t>轮椅</w:t>
                  </w:r>
                </w:p>
              </w:tc>
              <w:tc>
                <w:tcPr>
                  <w:tcW w:w="1360" w:type="dxa"/>
                  <w:vMerge w:val="continue"/>
                  <w:noWrap w:val="0"/>
                  <w:vAlign w:val="center"/>
                </w:tcPr>
                <w:p w14:paraId="3F2E9C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22F772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4BC29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w:t>
                  </w:r>
                </w:p>
              </w:tc>
              <w:tc>
                <w:tcPr>
                  <w:tcW w:w="1799" w:type="dxa"/>
                  <w:noWrap w:val="0"/>
                  <w:vAlign w:val="center"/>
                </w:tcPr>
                <w:p w14:paraId="1DA430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张</w:t>
                  </w:r>
                </w:p>
              </w:tc>
            </w:tr>
            <w:tr w14:paraId="1B7BBB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6C2C97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43</w:t>
                  </w:r>
                </w:p>
              </w:tc>
              <w:tc>
                <w:tcPr>
                  <w:tcW w:w="1453" w:type="dxa"/>
                  <w:noWrap w:val="0"/>
                  <w:vAlign w:val="center"/>
                </w:tcPr>
                <w:p w14:paraId="696006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rPr>
                    <w:t>养老服务车</w:t>
                  </w:r>
                </w:p>
              </w:tc>
              <w:tc>
                <w:tcPr>
                  <w:tcW w:w="1360" w:type="dxa"/>
                  <w:vMerge w:val="continue"/>
                  <w:noWrap w:val="0"/>
                  <w:vAlign w:val="center"/>
                </w:tcPr>
                <w:p w14:paraId="6E7B01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7CC919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2A306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w:t>
                  </w:r>
                </w:p>
              </w:tc>
              <w:tc>
                <w:tcPr>
                  <w:tcW w:w="1799" w:type="dxa"/>
                  <w:noWrap w:val="0"/>
                  <w:vAlign w:val="center"/>
                </w:tcPr>
                <w:p w14:paraId="1E3158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台</w:t>
                  </w:r>
                </w:p>
              </w:tc>
            </w:tr>
            <w:tr w14:paraId="2B7867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331809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44</w:t>
                  </w:r>
                </w:p>
              </w:tc>
              <w:tc>
                <w:tcPr>
                  <w:tcW w:w="1453" w:type="dxa"/>
                  <w:noWrap w:val="0"/>
                  <w:vAlign w:val="center"/>
                </w:tcPr>
                <w:p w14:paraId="0A3B89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洗衣机</w:t>
                  </w:r>
                </w:p>
              </w:tc>
              <w:tc>
                <w:tcPr>
                  <w:tcW w:w="1360" w:type="dxa"/>
                  <w:vMerge w:val="continue"/>
                  <w:noWrap w:val="0"/>
                  <w:vAlign w:val="center"/>
                </w:tcPr>
                <w:p w14:paraId="3802C8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40D2F0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BEAD8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w:t>
                  </w:r>
                </w:p>
              </w:tc>
              <w:tc>
                <w:tcPr>
                  <w:tcW w:w="1799" w:type="dxa"/>
                  <w:noWrap w:val="0"/>
                  <w:vAlign w:val="center"/>
                </w:tcPr>
                <w:p w14:paraId="6B1714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台</w:t>
                  </w:r>
                </w:p>
              </w:tc>
            </w:tr>
            <w:tr w14:paraId="152314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4F4327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45</w:t>
                  </w:r>
                </w:p>
              </w:tc>
              <w:tc>
                <w:tcPr>
                  <w:tcW w:w="1453" w:type="dxa"/>
                  <w:noWrap w:val="0"/>
                  <w:vAlign w:val="center"/>
                </w:tcPr>
                <w:p w14:paraId="38AE28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ascii="Times New Roman" w:hAnsi="Times New Roman" w:eastAsia="宋体" w:cs="Times New Roman"/>
                      <w:szCs w:val="21"/>
                      <w:u w:val="single"/>
                      <w:lang w:val="en-US" w:eastAsia="zh-CN"/>
                    </w:rPr>
                    <w:t>护理车</w:t>
                  </w:r>
                </w:p>
              </w:tc>
              <w:tc>
                <w:tcPr>
                  <w:tcW w:w="1360" w:type="dxa"/>
                  <w:vMerge w:val="continue"/>
                  <w:noWrap w:val="0"/>
                  <w:vAlign w:val="center"/>
                </w:tcPr>
                <w:p w14:paraId="6CD749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780222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32B37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w:t>
                  </w:r>
                </w:p>
              </w:tc>
              <w:tc>
                <w:tcPr>
                  <w:tcW w:w="1799" w:type="dxa"/>
                  <w:noWrap w:val="0"/>
                  <w:vAlign w:val="center"/>
                </w:tcPr>
                <w:p w14:paraId="7915A5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张</w:t>
                  </w:r>
                </w:p>
              </w:tc>
            </w:tr>
            <w:tr w14:paraId="067A8E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609F73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46</w:t>
                  </w:r>
                </w:p>
              </w:tc>
              <w:tc>
                <w:tcPr>
                  <w:tcW w:w="1453" w:type="dxa"/>
                  <w:noWrap w:val="0"/>
                  <w:vAlign w:val="center"/>
                </w:tcPr>
                <w:p w14:paraId="6A92C4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b w:val="0"/>
                      <w:bCs w:val="0"/>
                      <w:color w:val="000000"/>
                      <w:kern w:val="0"/>
                      <w:sz w:val="21"/>
                      <w:szCs w:val="21"/>
                      <w:u w:val="single"/>
                      <w:vertAlign w:val="baseline"/>
                      <w:lang w:val="en-US"/>
                    </w:rPr>
                  </w:pPr>
                  <w:r>
                    <w:rPr>
                      <w:rFonts w:hint="eastAsia"/>
                      <w:b w:val="0"/>
                      <w:bCs w:val="0"/>
                      <w:color w:val="000000"/>
                      <w:kern w:val="0"/>
                      <w:sz w:val="21"/>
                      <w:szCs w:val="21"/>
                      <w:u w:val="single"/>
                      <w:vertAlign w:val="baseline"/>
                    </w:rPr>
                    <w:t>污物桶</w:t>
                  </w:r>
                </w:p>
              </w:tc>
              <w:tc>
                <w:tcPr>
                  <w:tcW w:w="1360" w:type="dxa"/>
                  <w:vMerge w:val="continue"/>
                  <w:noWrap w:val="0"/>
                  <w:vAlign w:val="center"/>
                </w:tcPr>
                <w:p w14:paraId="5C17E7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27163A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22B3B2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w:t>
                  </w:r>
                </w:p>
              </w:tc>
              <w:tc>
                <w:tcPr>
                  <w:tcW w:w="1799" w:type="dxa"/>
                  <w:noWrap w:val="0"/>
                  <w:vAlign w:val="center"/>
                </w:tcPr>
                <w:p w14:paraId="4D0241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只</w:t>
                  </w:r>
                </w:p>
              </w:tc>
            </w:tr>
            <w:tr w14:paraId="50C6E8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24A055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47</w:t>
                  </w:r>
                </w:p>
              </w:tc>
              <w:tc>
                <w:tcPr>
                  <w:tcW w:w="1453" w:type="dxa"/>
                  <w:noWrap w:val="0"/>
                  <w:vAlign w:val="center"/>
                </w:tcPr>
                <w:p w14:paraId="06214D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医疗床</w:t>
                  </w:r>
                </w:p>
              </w:tc>
              <w:tc>
                <w:tcPr>
                  <w:tcW w:w="1360" w:type="dxa"/>
                  <w:vMerge w:val="continue"/>
                  <w:noWrap w:val="0"/>
                  <w:vAlign w:val="center"/>
                </w:tcPr>
                <w:p w14:paraId="543513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p>
              </w:tc>
              <w:tc>
                <w:tcPr>
                  <w:tcW w:w="1693" w:type="dxa"/>
                  <w:noWrap w:val="0"/>
                  <w:vAlign w:val="center"/>
                </w:tcPr>
                <w:p w14:paraId="102F26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278" w:type="dxa"/>
                  <w:noWrap w:val="0"/>
                  <w:vAlign w:val="center"/>
                </w:tcPr>
                <w:p w14:paraId="05B0CC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100</w:t>
                  </w:r>
                </w:p>
              </w:tc>
              <w:tc>
                <w:tcPr>
                  <w:tcW w:w="1799" w:type="dxa"/>
                  <w:noWrap w:val="0"/>
                  <w:vAlign w:val="center"/>
                </w:tcPr>
                <w:p w14:paraId="45CBF1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张</w:t>
                  </w:r>
                </w:p>
              </w:tc>
            </w:tr>
            <w:tr w14:paraId="6A31DE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505D40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48</w:t>
                  </w:r>
                </w:p>
              </w:tc>
              <w:tc>
                <w:tcPr>
                  <w:tcW w:w="1453" w:type="dxa"/>
                  <w:noWrap w:val="0"/>
                  <w:vAlign w:val="center"/>
                </w:tcPr>
                <w:p w14:paraId="0942BB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val="0"/>
                      <w:bCs w:val="0"/>
                      <w:color w:val="000000"/>
                      <w:kern w:val="0"/>
                      <w:sz w:val="21"/>
                      <w:szCs w:val="21"/>
                      <w:u w:val="single"/>
                      <w:vertAlign w:val="baseline"/>
                    </w:rPr>
                  </w:pPr>
                  <w:r>
                    <w:rPr>
                      <w:rFonts w:hint="eastAsia"/>
                      <w:b w:val="0"/>
                      <w:bCs w:val="0"/>
                      <w:color w:val="000000"/>
                      <w:kern w:val="0"/>
                      <w:sz w:val="21"/>
                      <w:szCs w:val="21"/>
                      <w:u w:val="single"/>
                      <w:vertAlign w:val="baseline"/>
                      <w:lang w:val="en-US" w:eastAsia="zh-CN"/>
                    </w:rPr>
                    <w:t>医疗污水处理设施</w:t>
                  </w:r>
                </w:p>
              </w:tc>
              <w:tc>
                <w:tcPr>
                  <w:tcW w:w="1360" w:type="dxa"/>
                  <w:noWrap w:val="0"/>
                  <w:vAlign w:val="center"/>
                </w:tcPr>
                <w:p w14:paraId="4C82F0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废水处理</w:t>
                  </w:r>
                </w:p>
              </w:tc>
              <w:tc>
                <w:tcPr>
                  <w:tcW w:w="1693" w:type="dxa"/>
                  <w:noWrap w:val="0"/>
                  <w:vAlign w:val="center"/>
                </w:tcPr>
                <w:p w14:paraId="046E51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处理规模60m</w:t>
                  </w:r>
                  <w:r>
                    <w:rPr>
                      <w:rFonts w:hint="eastAsia"/>
                      <w:b w:val="0"/>
                      <w:bCs w:val="0"/>
                      <w:color w:val="000000"/>
                      <w:kern w:val="0"/>
                      <w:sz w:val="21"/>
                      <w:szCs w:val="21"/>
                      <w:u w:val="single"/>
                      <w:vertAlign w:val="superscript"/>
                      <w:lang w:val="en-US" w:eastAsia="zh-CN"/>
                    </w:rPr>
                    <w:t>3</w:t>
                  </w:r>
                  <w:r>
                    <w:rPr>
                      <w:rFonts w:hint="eastAsia"/>
                      <w:b w:val="0"/>
                      <w:bCs w:val="0"/>
                      <w:color w:val="000000"/>
                      <w:kern w:val="0"/>
                      <w:sz w:val="21"/>
                      <w:szCs w:val="21"/>
                      <w:u w:val="single"/>
                      <w:vertAlign w:val="baseline"/>
                      <w:lang w:val="en-US" w:eastAsia="zh-CN"/>
                    </w:rPr>
                    <w:t>/d</w:t>
                  </w:r>
                </w:p>
              </w:tc>
              <w:tc>
                <w:tcPr>
                  <w:tcW w:w="1278" w:type="dxa"/>
                  <w:noWrap w:val="0"/>
                  <w:vAlign w:val="center"/>
                </w:tcPr>
                <w:p w14:paraId="6C0580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2E296F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套</w:t>
                  </w:r>
                </w:p>
              </w:tc>
            </w:tr>
            <w:tr w14:paraId="036B5F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noWrap w:val="0"/>
                  <w:vAlign w:val="center"/>
                </w:tcPr>
                <w:p w14:paraId="2DD15C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49</w:t>
                  </w:r>
                </w:p>
              </w:tc>
              <w:tc>
                <w:tcPr>
                  <w:tcW w:w="1453" w:type="dxa"/>
                  <w:noWrap w:val="0"/>
                  <w:vAlign w:val="center"/>
                </w:tcPr>
                <w:p w14:paraId="1C1ABB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油烟净化器</w:t>
                  </w:r>
                </w:p>
              </w:tc>
              <w:tc>
                <w:tcPr>
                  <w:tcW w:w="1360" w:type="dxa"/>
                  <w:noWrap w:val="0"/>
                  <w:vAlign w:val="center"/>
                </w:tcPr>
                <w:p w14:paraId="137FC7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食堂油烟</w:t>
                  </w:r>
                </w:p>
              </w:tc>
              <w:tc>
                <w:tcPr>
                  <w:tcW w:w="1693" w:type="dxa"/>
                  <w:noWrap w:val="0"/>
                  <w:vAlign w:val="center"/>
                </w:tcPr>
                <w:p w14:paraId="7418E1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处理效率85％</w:t>
                  </w:r>
                </w:p>
              </w:tc>
              <w:tc>
                <w:tcPr>
                  <w:tcW w:w="1278" w:type="dxa"/>
                  <w:noWrap w:val="0"/>
                  <w:vAlign w:val="center"/>
                </w:tcPr>
                <w:p w14:paraId="63DAC5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799" w:type="dxa"/>
                  <w:noWrap w:val="0"/>
                  <w:vAlign w:val="center"/>
                </w:tcPr>
                <w:p w14:paraId="4555F2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套</w:t>
                  </w:r>
                </w:p>
              </w:tc>
            </w:tr>
          </w:tbl>
          <w:p w14:paraId="6EB8A8F9">
            <w:pPr>
              <w:pStyle w:val="445"/>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eastAsia="宋体" w:cs="宋体"/>
                <w:b/>
                <w:bCs/>
                <w:color w:val="000000"/>
                <w:lang w:val="en-US" w:eastAsia="zh-CN"/>
              </w:rPr>
            </w:pPr>
          </w:p>
          <w:p w14:paraId="3844CEC7">
            <w:pPr>
              <w:pStyle w:val="445"/>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eastAsia="宋体" w:cs="宋体"/>
                <w:b/>
                <w:bCs/>
                <w:color w:val="000000"/>
                <w:lang w:val="en-US" w:eastAsia="zh-CN"/>
              </w:rPr>
            </w:pPr>
          </w:p>
          <w:p w14:paraId="2FF76958">
            <w:pPr>
              <w:pStyle w:val="445"/>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eastAsia="宋体" w:cs="宋体"/>
                <w:b/>
                <w:bCs/>
                <w:color w:val="000000"/>
                <w:lang w:val="en-US" w:eastAsia="zh-CN"/>
              </w:rPr>
            </w:pPr>
          </w:p>
          <w:p w14:paraId="2B7D426B">
            <w:pPr>
              <w:pStyle w:val="445"/>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eastAsia="宋体" w:cs="宋体"/>
                <w:b/>
                <w:bCs/>
                <w:color w:val="000000"/>
                <w:lang w:val="en-US" w:eastAsia="zh-CN"/>
              </w:rPr>
            </w:pPr>
            <w:r>
              <w:rPr>
                <w:rFonts w:hint="eastAsia" w:eastAsia="宋体" w:cs="宋体"/>
                <w:b/>
                <w:bCs/>
                <w:color w:val="000000"/>
                <w:lang w:val="en-US" w:eastAsia="zh-CN"/>
              </w:rPr>
              <w:t>3项目服务规模</w:t>
            </w:r>
          </w:p>
          <w:p w14:paraId="6DD39E42">
            <w:pPr>
              <w:pStyle w:val="445"/>
              <w:ind w:firstLine="0" w:firstLineChars="0"/>
              <w:jc w:val="center"/>
              <w:rPr>
                <w:rFonts w:hint="default" w:eastAsia="宋体" w:cs="宋体"/>
                <w:b/>
                <w:bCs/>
                <w:color w:val="000000"/>
                <w:kern w:val="0"/>
                <w:lang w:val="en-US" w:eastAsia="zh-CN"/>
              </w:rPr>
            </w:pPr>
            <w:r>
              <w:rPr>
                <w:rFonts w:eastAsia="宋体" w:cs="宋体"/>
                <w:b/>
                <w:bCs/>
                <w:color w:val="000000"/>
                <w:kern w:val="0"/>
              </w:rPr>
              <w:t>表2-</w:t>
            </w:r>
            <w:r>
              <w:rPr>
                <w:rFonts w:hint="eastAsia" w:eastAsia="宋体" w:cs="宋体"/>
                <w:b/>
                <w:bCs/>
                <w:color w:val="000000"/>
                <w:kern w:val="0"/>
              </w:rPr>
              <w:t>3</w:t>
            </w:r>
            <w:r>
              <w:rPr>
                <w:rFonts w:eastAsia="宋体" w:cs="宋体"/>
                <w:b/>
                <w:bCs/>
                <w:color w:val="000000"/>
                <w:kern w:val="0"/>
              </w:rPr>
              <w:t xml:space="preserve">  </w:t>
            </w:r>
            <w:r>
              <w:rPr>
                <w:rFonts w:hint="eastAsia" w:eastAsia="宋体" w:cs="宋体"/>
                <w:b/>
                <w:bCs/>
                <w:color w:val="000000"/>
                <w:kern w:val="0"/>
                <w:lang w:val="en-US" w:eastAsia="zh-CN"/>
              </w:rPr>
              <w:t>服务规模</w:t>
            </w:r>
            <w:r>
              <w:rPr>
                <w:rFonts w:hint="eastAsia" w:eastAsia="宋体" w:cs="宋体"/>
                <w:b/>
                <w:bCs/>
                <w:color w:val="000000"/>
                <w:kern w:val="0"/>
              </w:rPr>
              <w:t>一览表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770"/>
              <w:gridCol w:w="2771"/>
              <w:gridCol w:w="2771"/>
            </w:tblGrid>
            <w:tr w14:paraId="7464AD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6" w:type="dxa"/>
                  <w:noWrap w:val="0"/>
                  <w:vAlign w:val="center"/>
                </w:tcPr>
                <w:p w14:paraId="0C6B90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eastAsia="宋体"/>
                      <w:b/>
                      <w:bCs/>
                      <w:sz w:val="21"/>
                      <w:szCs w:val="21"/>
                      <w:vertAlign w:val="baseline"/>
                      <w:lang w:val="en-US" w:eastAsia="zh-CN"/>
                    </w:rPr>
                  </w:pPr>
                  <w:r>
                    <w:rPr>
                      <w:rFonts w:hint="eastAsia" w:ascii="Times New Roman"/>
                      <w:b/>
                      <w:bCs/>
                      <w:sz w:val="21"/>
                      <w:szCs w:val="21"/>
                      <w:vertAlign w:val="baseline"/>
                      <w:lang w:val="en-US" w:eastAsia="zh-CN"/>
                    </w:rPr>
                    <w:t>序号</w:t>
                  </w:r>
                </w:p>
              </w:tc>
              <w:tc>
                <w:tcPr>
                  <w:tcW w:w="2907" w:type="dxa"/>
                  <w:noWrap w:val="0"/>
                  <w:vAlign w:val="center"/>
                </w:tcPr>
                <w:p w14:paraId="07BB12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eastAsia="宋体"/>
                      <w:b/>
                      <w:bCs/>
                      <w:sz w:val="21"/>
                      <w:szCs w:val="21"/>
                      <w:vertAlign w:val="baseline"/>
                      <w:lang w:val="en-US" w:eastAsia="zh-CN"/>
                    </w:rPr>
                  </w:pPr>
                  <w:r>
                    <w:rPr>
                      <w:rFonts w:hint="eastAsia" w:ascii="Times New Roman"/>
                      <w:b/>
                      <w:bCs/>
                      <w:sz w:val="21"/>
                      <w:szCs w:val="21"/>
                      <w:vertAlign w:val="baseline"/>
                      <w:lang w:val="en-US" w:eastAsia="zh-CN"/>
                    </w:rPr>
                    <w:t>服务内容</w:t>
                  </w:r>
                </w:p>
              </w:tc>
              <w:tc>
                <w:tcPr>
                  <w:tcW w:w="2907" w:type="dxa"/>
                  <w:noWrap w:val="0"/>
                  <w:vAlign w:val="center"/>
                </w:tcPr>
                <w:p w14:paraId="601887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eastAsia="宋体"/>
                      <w:b/>
                      <w:bCs/>
                      <w:sz w:val="21"/>
                      <w:szCs w:val="21"/>
                      <w:vertAlign w:val="baseline"/>
                      <w:lang w:val="en-US" w:eastAsia="zh-CN"/>
                    </w:rPr>
                  </w:pPr>
                  <w:r>
                    <w:rPr>
                      <w:rFonts w:hint="eastAsia" w:ascii="Times New Roman"/>
                      <w:b/>
                      <w:bCs/>
                      <w:sz w:val="21"/>
                      <w:szCs w:val="21"/>
                      <w:vertAlign w:val="baseline"/>
                      <w:lang w:val="en-US" w:eastAsia="zh-CN"/>
                    </w:rPr>
                    <w:t>床位数量</w:t>
                  </w:r>
                </w:p>
              </w:tc>
            </w:tr>
            <w:tr w14:paraId="74046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6" w:type="dxa"/>
                  <w:noWrap w:val="0"/>
                  <w:vAlign w:val="center"/>
                </w:tcPr>
                <w:p w14:paraId="2D3A70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eastAsia="宋体"/>
                      <w:sz w:val="21"/>
                      <w:szCs w:val="21"/>
                      <w:vertAlign w:val="baseline"/>
                      <w:lang w:val="en-US" w:eastAsia="zh-CN"/>
                    </w:rPr>
                  </w:pPr>
                  <w:r>
                    <w:rPr>
                      <w:rFonts w:hint="eastAsia" w:ascii="Times New Roman"/>
                      <w:sz w:val="21"/>
                      <w:szCs w:val="21"/>
                      <w:vertAlign w:val="baseline"/>
                      <w:lang w:val="en-US" w:eastAsia="zh-CN"/>
                    </w:rPr>
                    <w:t>1</w:t>
                  </w:r>
                </w:p>
              </w:tc>
              <w:tc>
                <w:tcPr>
                  <w:tcW w:w="2907" w:type="dxa"/>
                  <w:noWrap w:val="0"/>
                  <w:vAlign w:val="center"/>
                </w:tcPr>
                <w:p w14:paraId="03615A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eastAsia="宋体"/>
                      <w:sz w:val="21"/>
                      <w:szCs w:val="21"/>
                      <w:vertAlign w:val="baseline"/>
                      <w:lang w:val="en-US" w:eastAsia="zh-CN"/>
                    </w:rPr>
                  </w:pPr>
                  <w:r>
                    <w:rPr>
                      <w:rFonts w:hint="eastAsia" w:ascii="Times New Roman"/>
                      <w:sz w:val="21"/>
                      <w:szCs w:val="21"/>
                      <w:vertAlign w:val="baseline"/>
                      <w:lang w:val="en-US" w:eastAsia="zh-CN"/>
                    </w:rPr>
                    <w:t>养老服务</w:t>
                  </w:r>
                </w:p>
              </w:tc>
              <w:tc>
                <w:tcPr>
                  <w:tcW w:w="2907" w:type="dxa"/>
                  <w:noWrap w:val="0"/>
                  <w:vAlign w:val="center"/>
                </w:tcPr>
                <w:p w14:paraId="13F1F9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eastAsia="宋体"/>
                      <w:sz w:val="21"/>
                      <w:szCs w:val="21"/>
                      <w:vertAlign w:val="baseline"/>
                      <w:lang w:val="en-US" w:eastAsia="zh-CN"/>
                    </w:rPr>
                  </w:pPr>
                  <w:r>
                    <w:rPr>
                      <w:rFonts w:hint="eastAsia" w:ascii="Times New Roman"/>
                      <w:sz w:val="21"/>
                      <w:szCs w:val="21"/>
                      <w:vertAlign w:val="baseline"/>
                      <w:lang w:val="en-US" w:eastAsia="zh-CN"/>
                    </w:rPr>
                    <w:t>400张</w:t>
                  </w:r>
                </w:p>
              </w:tc>
            </w:tr>
            <w:tr w14:paraId="6A72A5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06" w:type="dxa"/>
                  <w:noWrap w:val="0"/>
                  <w:vAlign w:val="center"/>
                </w:tcPr>
                <w:p w14:paraId="2F434B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eastAsia="宋体"/>
                      <w:sz w:val="21"/>
                      <w:szCs w:val="21"/>
                      <w:vertAlign w:val="baseline"/>
                      <w:lang w:val="en-US" w:eastAsia="zh-CN"/>
                    </w:rPr>
                  </w:pPr>
                  <w:r>
                    <w:rPr>
                      <w:rFonts w:hint="eastAsia" w:ascii="Times New Roman"/>
                      <w:sz w:val="21"/>
                      <w:szCs w:val="21"/>
                      <w:vertAlign w:val="baseline"/>
                      <w:lang w:val="en-US" w:eastAsia="zh-CN"/>
                    </w:rPr>
                    <w:t>2</w:t>
                  </w:r>
                </w:p>
              </w:tc>
              <w:tc>
                <w:tcPr>
                  <w:tcW w:w="2907" w:type="dxa"/>
                  <w:noWrap w:val="0"/>
                  <w:vAlign w:val="center"/>
                </w:tcPr>
                <w:p w14:paraId="4E3620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eastAsia="宋体"/>
                      <w:sz w:val="21"/>
                      <w:szCs w:val="21"/>
                      <w:vertAlign w:val="baseline"/>
                      <w:lang w:val="en-US" w:eastAsia="zh-CN"/>
                    </w:rPr>
                  </w:pPr>
                  <w:r>
                    <w:rPr>
                      <w:rFonts w:hint="eastAsia" w:ascii="Times New Roman"/>
                      <w:sz w:val="21"/>
                      <w:szCs w:val="21"/>
                      <w:vertAlign w:val="baseline"/>
                      <w:lang w:val="en-US" w:eastAsia="zh-CN"/>
                    </w:rPr>
                    <w:t>医</w:t>
                  </w:r>
                  <w:r>
                    <w:rPr>
                      <w:rFonts w:hint="eastAsia"/>
                      <w:sz w:val="21"/>
                      <w:szCs w:val="21"/>
                      <w:vertAlign w:val="baseline"/>
                      <w:lang w:val="en-US" w:eastAsia="zh-CN"/>
                    </w:rPr>
                    <w:t>疗</w:t>
                  </w:r>
                  <w:r>
                    <w:rPr>
                      <w:rFonts w:hint="eastAsia" w:ascii="Times New Roman"/>
                      <w:sz w:val="21"/>
                      <w:szCs w:val="21"/>
                      <w:vertAlign w:val="baseline"/>
                      <w:lang w:val="en-US" w:eastAsia="zh-CN"/>
                    </w:rPr>
                    <w:t>服务</w:t>
                  </w:r>
                </w:p>
              </w:tc>
              <w:tc>
                <w:tcPr>
                  <w:tcW w:w="2907" w:type="dxa"/>
                  <w:noWrap w:val="0"/>
                  <w:vAlign w:val="center"/>
                </w:tcPr>
                <w:p w14:paraId="57A6B4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eastAsia="宋体"/>
                      <w:sz w:val="21"/>
                      <w:szCs w:val="21"/>
                      <w:vertAlign w:val="baseline"/>
                      <w:lang w:val="en-US" w:eastAsia="zh-CN"/>
                    </w:rPr>
                  </w:pPr>
                  <w:r>
                    <w:rPr>
                      <w:rFonts w:hint="eastAsia" w:ascii="Times New Roman"/>
                      <w:sz w:val="21"/>
                      <w:szCs w:val="21"/>
                      <w:vertAlign w:val="baseline"/>
                      <w:lang w:val="en-US" w:eastAsia="zh-CN"/>
                    </w:rPr>
                    <w:t>100张</w:t>
                  </w:r>
                </w:p>
              </w:tc>
            </w:tr>
            <w:tr w14:paraId="47E61E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13" w:type="dxa"/>
                  <w:gridSpan w:val="2"/>
                  <w:noWrap w:val="0"/>
                  <w:vAlign w:val="center"/>
                </w:tcPr>
                <w:p w14:paraId="246630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eastAsia="宋体"/>
                      <w:sz w:val="21"/>
                      <w:szCs w:val="21"/>
                      <w:vertAlign w:val="baseline"/>
                      <w:lang w:val="en-US" w:eastAsia="zh-CN"/>
                    </w:rPr>
                  </w:pPr>
                  <w:r>
                    <w:rPr>
                      <w:rFonts w:hint="eastAsia" w:ascii="Times New Roman"/>
                      <w:sz w:val="21"/>
                      <w:szCs w:val="21"/>
                      <w:vertAlign w:val="baseline"/>
                      <w:lang w:val="en-US" w:eastAsia="zh-CN"/>
                    </w:rPr>
                    <w:t>合计</w:t>
                  </w:r>
                </w:p>
              </w:tc>
              <w:tc>
                <w:tcPr>
                  <w:tcW w:w="2907" w:type="dxa"/>
                  <w:noWrap w:val="0"/>
                  <w:vAlign w:val="center"/>
                </w:tcPr>
                <w:p w14:paraId="735546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eastAsia="宋体"/>
                      <w:sz w:val="21"/>
                      <w:szCs w:val="21"/>
                      <w:vertAlign w:val="baseline"/>
                      <w:lang w:val="en-US" w:eastAsia="zh-CN"/>
                    </w:rPr>
                  </w:pPr>
                  <w:r>
                    <w:rPr>
                      <w:rFonts w:hint="eastAsia" w:ascii="Times New Roman"/>
                      <w:sz w:val="21"/>
                      <w:szCs w:val="21"/>
                      <w:vertAlign w:val="baseline"/>
                      <w:lang w:val="en-US" w:eastAsia="zh-CN"/>
                    </w:rPr>
                    <w:t>500张</w:t>
                  </w:r>
                </w:p>
              </w:tc>
            </w:tr>
          </w:tbl>
          <w:p w14:paraId="4D9E7C85">
            <w:pPr>
              <w:pStyle w:val="445"/>
              <w:keepNext w:val="0"/>
              <w:keepLines w:val="0"/>
              <w:pageBreakBefore w:val="0"/>
              <w:widowControl w:val="0"/>
              <w:kinsoku/>
              <w:wordWrap/>
              <w:overflowPunct/>
              <w:topLinePunct w:val="0"/>
              <w:autoSpaceDE/>
              <w:autoSpaceDN/>
              <w:bidi w:val="0"/>
              <w:adjustRightInd w:val="0"/>
              <w:snapToGrid w:val="0"/>
              <w:ind w:firstLine="0" w:firstLineChars="0"/>
              <w:textAlignment w:val="auto"/>
              <w:rPr>
                <w:b/>
                <w:color w:val="000000"/>
                <w:u w:val="single"/>
              </w:rPr>
            </w:pPr>
            <w:r>
              <w:rPr>
                <w:rFonts w:hint="eastAsia"/>
                <w:b/>
                <w:bCs/>
                <w:color w:val="000000"/>
                <w:u w:val="single"/>
                <w:lang w:val="en-US" w:eastAsia="zh-CN"/>
              </w:rPr>
              <w:t>4</w:t>
            </w:r>
            <w:r>
              <w:rPr>
                <w:b/>
                <w:bCs/>
                <w:color w:val="000000"/>
                <w:u w:val="single"/>
              </w:rPr>
              <w:t>主要原辅材料</w:t>
            </w:r>
          </w:p>
          <w:bookmarkEnd w:id="9"/>
          <w:p w14:paraId="541BDA13">
            <w:pPr>
              <w:pStyle w:val="445"/>
              <w:ind w:firstLine="0" w:firstLineChars="0"/>
              <w:jc w:val="center"/>
              <w:rPr>
                <w:rFonts w:hint="eastAsia"/>
                <w:b/>
                <w:bCs/>
                <w:color w:val="000000"/>
                <w:kern w:val="0"/>
                <w:u w:val="single"/>
              </w:rPr>
            </w:pPr>
            <w:bookmarkStart w:id="10" w:name="_Hlk135043915"/>
            <w:r>
              <w:rPr>
                <w:b/>
                <w:bCs/>
                <w:color w:val="000000"/>
                <w:kern w:val="0"/>
                <w:u w:val="single"/>
              </w:rPr>
              <w:t>表2-</w:t>
            </w:r>
            <w:r>
              <w:rPr>
                <w:rFonts w:hint="eastAsia"/>
                <w:b/>
                <w:bCs/>
                <w:color w:val="000000"/>
                <w:kern w:val="0"/>
                <w:u w:val="single"/>
                <w:lang w:val="en-US" w:eastAsia="zh-CN"/>
              </w:rPr>
              <w:t>4</w:t>
            </w:r>
            <w:r>
              <w:rPr>
                <w:b/>
                <w:bCs/>
                <w:color w:val="000000"/>
                <w:kern w:val="0"/>
                <w:u w:val="single"/>
              </w:rPr>
              <w:t xml:space="preserve">  原辅材料</w:t>
            </w:r>
            <w:r>
              <w:rPr>
                <w:rFonts w:hint="eastAsia"/>
                <w:b/>
                <w:bCs/>
                <w:color w:val="000000"/>
                <w:kern w:val="0"/>
                <w:u w:val="single"/>
              </w:rPr>
              <w:t>一览表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3"/>
              <w:gridCol w:w="1088"/>
              <w:gridCol w:w="1968"/>
              <w:gridCol w:w="1266"/>
              <w:gridCol w:w="1276"/>
              <w:gridCol w:w="1149"/>
              <w:gridCol w:w="962"/>
            </w:tblGrid>
            <w:tr w14:paraId="2041D4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073879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kern w:val="0"/>
                      <w:sz w:val="21"/>
                      <w:szCs w:val="21"/>
                      <w:u w:val="single"/>
                      <w:vertAlign w:val="baseline"/>
                      <w:lang w:val="en-US" w:eastAsia="zh-CN"/>
                    </w:rPr>
                  </w:pPr>
                  <w:r>
                    <w:rPr>
                      <w:rFonts w:hint="eastAsia"/>
                      <w:b/>
                      <w:bCs/>
                      <w:color w:val="000000"/>
                      <w:kern w:val="0"/>
                      <w:sz w:val="21"/>
                      <w:szCs w:val="21"/>
                      <w:u w:val="single"/>
                      <w:vertAlign w:val="baseline"/>
                      <w:lang w:val="en-US" w:eastAsia="zh-CN"/>
                    </w:rPr>
                    <w:t>序号</w:t>
                  </w:r>
                </w:p>
              </w:tc>
              <w:tc>
                <w:tcPr>
                  <w:tcW w:w="1083" w:type="dxa"/>
                  <w:noWrap w:val="0"/>
                  <w:vAlign w:val="center"/>
                </w:tcPr>
                <w:p w14:paraId="55BE65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kern w:val="0"/>
                      <w:sz w:val="21"/>
                      <w:szCs w:val="21"/>
                      <w:u w:val="single"/>
                      <w:vertAlign w:val="baseline"/>
                      <w:lang w:val="en-US" w:eastAsia="zh-CN"/>
                    </w:rPr>
                  </w:pPr>
                  <w:r>
                    <w:rPr>
                      <w:rFonts w:hint="eastAsia"/>
                      <w:b/>
                      <w:bCs/>
                      <w:color w:val="000000"/>
                      <w:kern w:val="0"/>
                      <w:sz w:val="21"/>
                      <w:szCs w:val="21"/>
                      <w:u w:val="single"/>
                      <w:vertAlign w:val="baseline"/>
                      <w:lang w:val="en-US" w:eastAsia="zh-CN"/>
                    </w:rPr>
                    <w:t>类别</w:t>
                  </w:r>
                </w:p>
              </w:tc>
              <w:tc>
                <w:tcPr>
                  <w:tcW w:w="1958" w:type="dxa"/>
                  <w:noWrap w:val="0"/>
                  <w:vAlign w:val="center"/>
                </w:tcPr>
                <w:p w14:paraId="3C31D1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kern w:val="0"/>
                      <w:sz w:val="21"/>
                      <w:szCs w:val="21"/>
                      <w:u w:val="single"/>
                      <w:vertAlign w:val="baseline"/>
                      <w:lang w:val="en-US" w:eastAsia="zh-CN"/>
                    </w:rPr>
                  </w:pPr>
                  <w:r>
                    <w:rPr>
                      <w:rFonts w:hint="eastAsia"/>
                      <w:b/>
                      <w:bCs/>
                      <w:color w:val="000000"/>
                      <w:kern w:val="0"/>
                      <w:sz w:val="21"/>
                      <w:szCs w:val="21"/>
                      <w:u w:val="single"/>
                      <w:vertAlign w:val="baseline"/>
                      <w:lang w:val="en-US" w:eastAsia="zh-CN"/>
                    </w:rPr>
                    <w:t>原辅材料名称</w:t>
                  </w:r>
                </w:p>
              </w:tc>
              <w:tc>
                <w:tcPr>
                  <w:tcW w:w="1259" w:type="dxa"/>
                  <w:noWrap w:val="0"/>
                  <w:vAlign w:val="center"/>
                </w:tcPr>
                <w:p w14:paraId="00BCB2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kern w:val="0"/>
                      <w:sz w:val="21"/>
                      <w:szCs w:val="21"/>
                      <w:u w:val="single"/>
                      <w:vertAlign w:val="baseline"/>
                      <w:lang w:val="en-US" w:eastAsia="zh-CN"/>
                    </w:rPr>
                  </w:pPr>
                  <w:r>
                    <w:rPr>
                      <w:rFonts w:hint="eastAsia"/>
                      <w:b/>
                      <w:bCs/>
                      <w:color w:val="000000"/>
                      <w:kern w:val="0"/>
                      <w:sz w:val="21"/>
                      <w:szCs w:val="21"/>
                      <w:u w:val="single"/>
                      <w:vertAlign w:val="baseline"/>
                      <w:lang w:val="en-US" w:eastAsia="zh-CN"/>
                    </w:rPr>
                    <w:t>年消耗量</w:t>
                  </w:r>
                </w:p>
              </w:tc>
              <w:tc>
                <w:tcPr>
                  <w:tcW w:w="1269" w:type="dxa"/>
                  <w:noWrap w:val="0"/>
                  <w:vAlign w:val="center"/>
                </w:tcPr>
                <w:p w14:paraId="711A00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kern w:val="0"/>
                      <w:sz w:val="21"/>
                      <w:szCs w:val="21"/>
                      <w:u w:val="single"/>
                      <w:vertAlign w:val="baseline"/>
                      <w:lang w:val="en-US" w:eastAsia="zh-CN"/>
                    </w:rPr>
                  </w:pPr>
                  <w:r>
                    <w:rPr>
                      <w:rFonts w:hint="eastAsia"/>
                      <w:b/>
                      <w:bCs/>
                      <w:color w:val="000000"/>
                      <w:kern w:val="0"/>
                      <w:sz w:val="21"/>
                      <w:szCs w:val="21"/>
                      <w:u w:val="single"/>
                      <w:vertAlign w:val="baseline"/>
                      <w:lang w:val="en-US" w:eastAsia="zh-CN"/>
                    </w:rPr>
                    <w:t>最大储存量</w:t>
                  </w:r>
                </w:p>
              </w:tc>
              <w:tc>
                <w:tcPr>
                  <w:tcW w:w="1143" w:type="dxa"/>
                  <w:noWrap w:val="0"/>
                  <w:vAlign w:val="center"/>
                </w:tcPr>
                <w:p w14:paraId="71C111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kern w:val="0"/>
                      <w:sz w:val="21"/>
                      <w:szCs w:val="21"/>
                      <w:u w:val="single"/>
                      <w:vertAlign w:val="baseline"/>
                      <w:lang w:val="en-US" w:eastAsia="zh-CN"/>
                    </w:rPr>
                  </w:pPr>
                  <w:r>
                    <w:rPr>
                      <w:rFonts w:hint="default"/>
                      <w:b/>
                      <w:bCs/>
                      <w:color w:val="000000"/>
                      <w:kern w:val="0"/>
                      <w:sz w:val="21"/>
                      <w:szCs w:val="21"/>
                      <w:u w:val="single"/>
                      <w:vertAlign w:val="baseline"/>
                      <w:lang w:val="en-US" w:eastAsia="zh-CN"/>
                    </w:rPr>
                    <w:t>包装方式</w:t>
                  </w:r>
                </w:p>
                <w:p w14:paraId="07D85A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kern w:val="0"/>
                      <w:sz w:val="21"/>
                      <w:szCs w:val="21"/>
                      <w:u w:val="single"/>
                      <w:vertAlign w:val="baseline"/>
                      <w:lang w:val="en-US" w:eastAsia="zh-CN"/>
                    </w:rPr>
                  </w:pPr>
                  <w:r>
                    <w:rPr>
                      <w:rFonts w:hint="default"/>
                      <w:b/>
                      <w:bCs/>
                      <w:color w:val="000000"/>
                      <w:kern w:val="0"/>
                      <w:sz w:val="21"/>
                      <w:szCs w:val="21"/>
                      <w:u w:val="single"/>
                      <w:vertAlign w:val="baseline"/>
                      <w:lang w:val="en-US" w:eastAsia="zh-CN"/>
                    </w:rPr>
                    <w:t>及规格</w:t>
                  </w:r>
                </w:p>
              </w:tc>
              <w:tc>
                <w:tcPr>
                  <w:tcW w:w="957" w:type="dxa"/>
                  <w:noWrap w:val="0"/>
                  <w:vAlign w:val="center"/>
                </w:tcPr>
                <w:p w14:paraId="158FC8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kern w:val="0"/>
                      <w:sz w:val="21"/>
                      <w:szCs w:val="21"/>
                      <w:u w:val="single"/>
                      <w:vertAlign w:val="baseline"/>
                      <w:lang w:val="en-US" w:eastAsia="zh-CN"/>
                    </w:rPr>
                  </w:pPr>
                  <w:r>
                    <w:rPr>
                      <w:rFonts w:hint="default"/>
                      <w:b/>
                      <w:bCs/>
                      <w:color w:val="000000"/>
                      <w:kern w:val="0"/>
                      <w:sz w:val="21"/>
                      <w:szCs w:val="21"/>
                      <w:u w:val="single"/>
                      <w:vertAlign w:val="baseline"/>
                      <w:lang w:val="en-US" w:eastAsia="zh-CN"/>
                    </w:rPr>
                    <w:t>储存位</w:t>
                  </w:r>
                </w:p>
                <w:p w14:paraId="4F839C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kern w:val="0"/>
                      <w:sz w:val="21"/>
                      <w:szCs w:val="21"/>
                      <w:u w:val="single"/>
                      <w:vertAlign w:val="baseline"/>
                      <w:lang w:val="en-US" w:eastAsia="zh-CN"/>
                    </w:rPr>
                  </w:pPr>
                  <w:r>
                    <w:rPr>
                      <w:rFonts w:hint="default"/>
                      <w:b/>
                      <w:bCs/>
                      <w:color w:val="000000"/>
                      <w:kern w:val="0"/>
                      <w:sz w:val="21"/>
                      <w:szCs w:val="21"/>
                      <w:u w:val="single"/>
                      <w:vertAlign w:val="baseline"/>
                      <w:lang w:val="en-US" w:eastAsia="zh-CN"/>
                    </w:rPr>
                    <w:t>置</w:t>
                  </w:r>
                </w:p>
              </w:tc>
            </w:tr>
            <w:tr w14:paraId="103417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1F1785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w:t>
                  </w:r>
                </w:p>
              </w:tc>
              <w:tc>
                <w:tcPr>
                  <w:tcW w:w="1083" w:type="dxa"/>
                  <w:vMerge w:val="restart"/>
                  <w:noWrap w:val="0"/>
                  <w:vAlign w:val="center"/>
                </w:tcPr>
                <w:p w14:paraId="6DBCCD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医疗器械</w:t>
                  </w:r>
                </w:p>
              </w:tc>
              <w:tc>
                <w:tcPr>
                  <w:tcW w:w="1958" w:type="dxa"/>
                  <w:noWrap w:val="0"/>
                  <w:vAlign w:val="center"/>
                </w:tcPr>
                <w:p w14:paraId="5A4F18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一次性注射器</w:t>
                  </w:r>
                </w:p>
              </w:tc>
              <w:tc>
                <w:tcPr>
                  <w:tcW w:w="1259" w:type="dxa"/>
                  <w:noWrap w:val="0"/>
                  <w:vAlign w:val="center"/>
                </w:tcPr>
                <w:p w14:paraId="1FEB76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5000个</w:t>
                  </w:r>
                </w:p>
              </w:tc>
              <w:tc>
                <w:tcPr>
                  <w:tcW w:w="1269" w:type="dxa"/>
                  <w:noWrap w:val="0"/>
                  <w:vAlign w:val="center"/>
                </w:tcPr>
                <w:p w14:paraId="2154EF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2500个</w:t>
                  </w:r>
                </w:p>
              </w:tc>
              <w:tc>
                <w:tcPr>
                  <w:tcW w:w="1143" w:type="dxa"/>
                  <w:noWrap w:val="0"/>
                  <w:vAlign w:val="center"/>
                </w:tcPr>
                <w:p w14:paraId="24E1F0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5ml、20ml、50ml</w:t>
                  </w:r>
                </w:p>
              </w:tc>
              <w:tc>
                <w:tcPr>
                  <w:tcW w:w="957" w:type="dxa"/>
                  <w:vMerge w:val="restart"/>
                  <w:noWrap w:val="0"/>
                  <w:vAlign w:val="center"/>
                </w:tcPr>
                <w:p w14:paraId="6C91F3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门诊</w:t>
                  </w:r>
                </w:p>
              </w:tc>
            </w:tr>
            <w:tr w14:paraId="6E730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508B04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w:t>
                  </w:r>
                </w:p>
              </w:tc>
              <w:tc>
                <w:tcPr>
                  <w:tcW w:w="1083" w:type="dxa"/>
                  <w:vMerge w:val="continue"/>
                  <w:noWrap w:val="0"/>
                  <w:vAlign w:val="center"/>
                </w:tcPr>
                <w:p w14:paraId="71781C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355FE4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真空采血管</w:t>
                  </w:r>
                </w:p>
              </w:tc>
              <w:tc>
                <w:tcPr>
                  <w:tcW w:w="1259" w:type="dxa"/>
                  <w:noWrap w:val="0"/>
                  <w:vAlign w:val="center"/>
                </w:tcPr>
                <w:p w14:paraId="0FBD0C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2000个</w:t>
                  </w:r>
                </w:p>
              </w:tc>
              <w:tc>
                <w:tcPr>
                  <w:tcW w:w="1269" w:type="dxa"/>
                  <w:noWrap w:val="0"/>
                  <w:vAlign w:val="center"/>
                </w:tcPr>
                <w:p w14:paraId="7DEC13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1000个</w:t>
                  </w:r>
                </w:p>
              </w:tc>
              <w:tc>
                <w:tcPr>
                  <w:tcW w:w="1143" w:type="dxa"/>
                  <w:noWrap w:val="0"/>
                  <w:vAlign w:val="center"/>
                </w:tcPr>
                <w:p w14:paraId="31B664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vMerge w:val="continue"/>
                  <w:noWrap w:val="0"/>
                  <w:vAlign w:val="center"/>
                </w:tcPr>
                <w:p w14:paraId="21EF51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4466B3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600" w:type="dxa"/>
                  <w:noWrap w:val="0"/>
                  <w:vAlign w:val="center"/>
                </w:tcPr>
                <w:p w14:paraId="1E8B7E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w:t>
                  </w:r>
                </w:p>
              </w:tc>
              <w:tc>
                <w:tcPr>
                  <w:tcW w:w="1083" w:type="dxa"/>
                  <w:vMerge w:val="continue"/>
                  <w:noWrap w:val="0"/>
                  <w:vAlign w:val="center"/>
                </w:tcPr>
                <w:p w14:paraId="53FBF8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446360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一次性使用采血针</w:t>
                  </w:r>
                </w:p>
              </w:tc>
              <w:tc>
                <w:tcPr>
                  <w:tcW w:w="1259" w:type="dxa"/>
                  <w:noWrap w:val="0"/>
                  <w:vAlign w:val="center"/>
                </w:tcPr>
                <w:p w14:paraId="781AAA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4000个</w:t>
                  </w:r>
                </w:p>
              </w:tc>
              <w:tc>
                <w:tcPr>
                  <w:tcW w:w="1269" w:type="dxa"/>
                  <w:noWrap w:val="0"/>
                  <w:vAlign w:val="center"/>
                </w:tcPr>
                <w:p w14:paraId="1CAFE3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1000个</w:t>
                  </w:r>
                </w:p>
              </w:tc>
              <w:tc>
                <w:tcPr>
                  <w:tcW w:w="1143" w:type="dxa"/>
                  <w:noWrap w:val="0"/>
                  <w:vAlign w:val="center"/>
                </w:tcPr>
                <w:p w14:paraId="24FC20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vMerge w:val="continue"/>
                  <w:noWrap w:val="0"/>
                  <w:vAlign w:val="center"/>
                </w:tcPr>
                <w:p w14:paraId="3B24CF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58AA83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6BA937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w:t>
                  </w:r>
                </w:p>
              </w:tc>
              <w:tc>
                <w:tcPr>
                  <w:tcW w:w="1083" w:type="dxa"/>
                  <w:vMerge w:val="continue"/>
                  <w:noWrap w:val="0"/>
                  <w:vAlign w:val="center"/>
                </w:tcPr>
                <w:p w14:paraId="38762A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1A38D7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bidi="ar-SA"/>
                    </w:rPr>
                  </w:pPr>
                  <w:r>
                    <w:rPr>
                      <w:rFonts w:hint="default"/>
                      <w:b w:val="0"/>
                      <w:bCs w:val="0"/>
                      <w:color w:val="000000"/>
                      <w:kern w:val="0"/>
                      <w:sz w:val="21"/>
                      <w:szCs w:val="21"/>
                      <w:u w:val="single"/>
                      <w:vertAlign w:val="baseline"/>
                      <w:lang w:val="en-US" w:eastAsia="zh-CN"/>
                    </w:rPr>
                    <w:t>输液器</w:t>
                  </w:r>
                </w:p>
              </w:tc>
              <w:tc>
                <w:tcPr>
                  <w:tcW w:w="1259" w:type="dxa"/>
                  <w:noWrap w:val="0"/>
                  <w:vAlign w:val="center"/>
                </w:tcPr>
                <w:p w14:paraId="52B1FD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bidi="ar-SA"/>
                    </w:rPr>
                  </w:pPr>
                  <w:r>
                    <w:rPr>
                      <w:rFonts w:hint="eastAsia"/>
                      <w:b w:val="0"/>
                      <w:bCs w:val="0"/>
                      <w:color w:val="000000"/>
                      <w:kern w:val="0"/>
                      <w:sz w:val="21"/>
                      <w:szCs w:val="21"/>
                      <w:u w:val="single"/>
                      <w:vertAlign w:val="baseline"/>
                      <w:lang w:val="en-US" w:eastAsia="zh-CN"/>
                    </w:rPr>
                    <w:t>5000个</w:t>
                  </w:r>
                </w:p>
              </w:tc>
              <w:tc>
                <w:tcPr>
                  <w:tcW w:w="1269" w:type="dxa"/>
                  <w:noWrap w:val="0"/>
                  <w:vAlign w:val="center"/>
                </w:tcPr>
                <w:p w14:paraId="539D38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bidi="ar-SA"/>
                    </w:rPr>
                  </w:pPr>
                  <w:r>
                    <w:rPr>
                      <w:rFonts w:hint="eastAsia"/>
                      <w:b w:val="0"/>
                      <w:bCs w:val="0"/>
                      <w:color w:val="000000"/>
                      <w:kern w:val="0"/>
                      <w:sz w:val="21"/>
                      <w:szCs w:val="21"/>
                      <w:u w:val="single"/>
                      <w:vertAlign w:val="baseline"/>
                      <w:lang w:val="en-US" w:eastAsia="zh-CN"/>
                    </w:rPr>
                    <w:t>2500个</w:t>
                  </w:r>
                </w:p>
              </w:tc>
              <w:tc>
                <w:tcPr>
                  <w:tcW w:w="1143" w:type="dxa"/>
                  <w:noWrap w:val="0"/>
                  <w:vAlign w:val="center"/>
                </w:tcPr>
                <w:p w14:paraId="114F18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noWrap w:val="0"/>
                  <w:vAlign w:val="center"/>
                </w:tcPr>
                <w:p w14:paraId="562271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输液室</w:t>
                  </w:r>
                </w:p>
              </w:tc>
            </w:tr>
            <w:tr w14:paraId="39C768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56383A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w:t>
                  </w:r>
                </w:p>
              </w:tc>
              <w:tc>
                <w:tcPr>
                  <w:tcW w:w="1083" w:type="dxa"/>
                  <w:vMerge w:val="continue"/>
                  <w:noWrap w:val="0"/>
                  <w:vAlign w:val="center"/>
                </w:tcPr>
                <w:p w14:paraId="3DB389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0808B4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一次性尿袋、尿管</w:t>
                  </w:r>
                </w:p>
              </w:tc>
              <w:tc>
                <w:tcPr>
                  <w:tcW w:w="1259" w:type="dxa"/>
                  <w:noWrap w:val="0"/>
                  <w:vAlign w:val="center"/>
                </w:tcPr>
                <w:p w14:paraId="035452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1200个</w:t>
                  </w:r>
                </w:p>
              </w:tc>
              <w:tc>
                <w:tcPr>
                  <w:tcW w:w="1269" w:type="dxa"/>
                  <w:noWrap w:val="0"/>
                  <w:vAlign w:val="center"/>
                </w:tcPr>
                <w:p w14:paraId="0FF011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600个</w:t>
                  </w:r>
                </w:p>
              </w:tc>
              <w:tc>
                <w:tcPr>
                  <w:tcW w:w="1143" w:type="dxa"/>
                  <w:noWrap w:val="0"/>
                  <w:vAlign w:val="center"/>
                </w:tcPr>
                <w:p w14:paraId="5A34E8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noWrap w:val="0"/>
                  <w:vAlign w:val="center"/>
                </w:tcPr>
                <w:p w14:paraId="682B12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医疗住院病房</w:t>
                  </w:r>
                </w:p>
              </w:tc>
            </w:tr>
            <w:tr w14:paraId="14F85E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14DCC3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6</w:t>
                  </w:r>
                </w:p>
              </w:tc>
              <w:tc>
                <w:tcPr>
                  <w:tcW w:w="1083" w:type="dxa"/>
                  <w:vMerge w:val="continue"/>
                  <w:noWrap w:val="0"/>
                  <w:vAlign w:val="center"/>
                </w:tcPr>
                <w:p w14:paraId="60ADE9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6EACAA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负压引流器</w:t>
                  </w:r>
                </w:p>
              </w:tc>
              <w:tc>
                <w:tcPr>
                  <w:tcW w:w="1259" w:type="dxa"/>
                  <w:noWrap w:val="0"/>
                  <w:vAlign w:val="center"/>
                </w:tcPr>
                <w:p w14:paraId="0F7428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500个</w:t>
                  </w:r>
                </w:p>
              </w:tc>
              <w:tc>
                <w:tcPr>
                  <w:tcW w:w="1269" w:type="dxa"/>
                  <w:noWrap w:val="0"/>
                  <w:vAlign w:val="center"/>
                </w:tcPr>
                <w:p w14:paraId="391720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50个</w:t>
                  </w:r>
                </w:p>
              </w:tc>
              <w:tc>
                <w:tcPr>
                  <w:tcW w:w="1143" w:type="dxa"/>
                  <w:noWrap w:val="0"/>
                  <w:vAlign w:val="center"/>
                </w:tcPr>
                <w:p w14:paraId="34DE30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vMerge w:val="restart"/>
                  <w:noWrap w:val="0"/>
                  <w:vAlign w:val="center"/>
                </w:tcPr>
                <w:p w14:paraId="3DE541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药房</w:t>
                  </w:r>
                </w:p>
              </w:tc>
            </w:tr>
            <w:tr w14:paraId="2618F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7BAFC9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7</w:t>
                  </w:r>
                </w:p>
              </w:tc>
              <w:tc>
                <w:tcPr>
                  <w:tcW w:w="1083" w:type="dxa"/>
                  <w:vMerge w:val="continue"/>
                  <w:noWrap w:val="0"/>
                  <w:vAlign w:val="center"/>
                </w:tcPr>
                <w:p w14:paraId="060391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2E14D1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心电电极</w:t>
                  </w:r>
                </w:p>
              </w:tc>
              <w:tc>
                <w:tcPr>
                  <w:tcW w:w="1259" w:type="dxa"/>
                  <w:noWrap w:val="0"/>
                  <w:vAlign w:val="center"/>
                </w:tcPr>
                <w:p w14:paraId="09F51C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300片</w:t>
                  </w:r>
                </w:p>
              </w:tc>
              <w:tc>
                <w:tcPr>
                  <w:tcW w:w="1269" w:type="dxa"/>
                  <w:noWrap w:val="0"/>
                  <w:vAlign w:val="center"/>
                </w:tcPr>
                <w:p w14:paraId="170EA0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30片</w:t>
                  </w:r>
                </w:p>
              </w:tc>
              <w:tc>
                <w:tcPr>
                  <w:tcW w:w="1143" w:type="dxa"/>
                  <w:noWrap w:val="0"/>
                  <w:vAlign w:val="center"/>
                </w:tcPr>
                <w:p w14:paraId="7CAAAF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vMerge w:val="continue"/>
                  <w:noWrap w:val="0"/>
                  <w:vAlign w:val="center"/>
                </w:tcPr>
                <w:p w14:paraId="21D460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5916F7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69F690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8</w:t>
                  </w:r>
                </w:p>
              </w:tc>
              <w:tc>
                <w:tcPr>
                  <w:tcW w:w="1083" w:type="dxa"/>
                  <w:vMerge w:val="continue"/>
                  <w:noWrap w:val="0"/>
                  <w:vAlign w:val="center"/>
                </w:tcPr>
                <w:p w14:paraId="169CE1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0B6129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留置针</w:t>
                  </w:r>
                </w:p>
              </w:tc>
              <w:tc>
                <w:tcPr>
                  <w:tcW w:w="1259" w:type="dxa"/>
                  <w:noWrap w:val="0"/>
                  <w:vAlign w:val="center"/>
                </w:tcPr>
                <w:p w14:paraId="71AB70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500根</w:t>
                  </w:r>
                </w:p>
              </w:tc>
              <w:tc>
                <w:tcPr>
                  <w:tcW w:w="1269" w:type="dxa"/>
                  <w:noWrap w:val="0"/>
                  <w:vAlign w:val="center"/>
                </w:tcPr>
                <w:p w14:paraId="428FEB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50根</w:t>
                  </w:r>
                </w:p>
              </w:tc>
              <w:tc>
                <w:tcPr>
                  <w:tcW w:w="1143" w:type="dxa"/>
                  <w:noWrap w:val="0"/>
                  <w:vAlign w:val="center"/>
                </w:tcPr>
                <w:p w14:paraId="581C1B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vMerge w:val="continue"/>
                  <w:noWrap w:val="0"/>
                  <w:vAlign w:val="center"/>
                </w:tcPr>
                <w:p w14:paraId="07BBC9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48929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757FE7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9</w:t>
                  </w:r>
                </w:p>
              </w:tc>
              <w:tc>
                <w:tcPr>
                  <w:tcW w:w="1083" w:type="dxa"/>
                  <w:vMerge w:val="restart"/>
                  <w:noWrap w:val="0"/>
                  <w:vAlign w:val="center"/>
                </w:tcPr>
                <w:p w14:paraId="0B1D7B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其它医疗用品</w:t>
                  </w:r>
                </w:p>
              </w:tc>
              <w:tc>
                <w:tcPr>
                  <w:tcW w:w="1958" w:type="dxa"/>
                  <w:noWrap w:val="0"/>
                  <w:vAlign w:val="center"/>
                </w:tcPr>
                <w:p w14:paraId="6A5D20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塑胶手套</w:t>
                  </w:r>
                </w:p>
              </w:tc>
              <w:tc>
                <w:tcPr>
                  <w:tcW w:w="1259" w:type="dxa"/>
                  <w:noWrap w:val="0"/>
                  <w:vAlign w:val="center"/>
                </w:tcPr>
                <w:p w14:paraId="51DADD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200盒</w:t>
                  </w:r>
                </w:p>
              </w:tc>
              <w:tc>
                <w:tcPr>
                  <w:tcW w:w="1269" w:type="dxa"/>
                  <w:noWrap w:val="0"/>
                  <w:vAlign w:val="center"/>
                </w:tcPr>
                <w:p w14:paraId="7E8C3F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50盒</w:t>
                  </w:r>
                </w:p>
              </w:tc>
              <w:tc>
                <w:tcPr>
                  <w:tcW w:w="1143" w:type="dxa"/>
                  <w:noWrap w:val="0"/>
                  <w:vAlign w:val="center"/>
                </w:tcPr>
                <w:p w14:paraId="24B2D8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100只/盒</w:t>
                  </w:r>
                </w:p>
              </w:tc>
              <w:tc>
                <w:tcPr>
                  <w:tcW w:w="957" w:type="dxa"/>
                  <w:vMerge w:val="restart"/>
                  <w:noWrap w:val="0"/>
                  <w:vAlign w:val="center"/>
                </w:tcPr>
                <w:p w14:paraId="0674E3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门诊</w:t>
                  </w:r>
                </w:p>
              </w:tc>
            </w:tr>
            <w:tr w14:paraId="1FCF58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6D80E2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w:t>
                  </w:r>
                </w:p>
              </w:tc>
              <w:tc>
                <w:tcPr>
                  <w:tcW w:w="1083" w:type="dxa"/>
                  <w:vMerge w:val="continue"/>
                  <w:noWrap w:val="0"/>
                  <w:vAlign w:val="center"/>
                </w:tcPr>
                <w:p w14:paraId="7D0F5C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6DDB67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药棉</w:t>
                  </w:r>
                </w:p>
              </w:tc>
              <w:tc>
                <w:tcPr>
                  <w:tcW w:w="1259" w:type="dxa"/>
                  <w:noWrap w:val="0"/>
                  <w:vAlign w:val="center"/>
                </w:tcPr>
                <w:p w14:paraId="560A00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5000袋</w:t>
                  </w:r>
                </w:p>
              </w:tc>
              <w:tc>
                <w:tcPr>
                  <w:tcW w:w="1269" w:type="dxa"/>
                  <w:noWrap w:val="0"/>
                  <w:vAlign w:val="center"/>
                </w:tcPr>
                <w:p w14:paraId="6F48D0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2000袋</w:t>
                  </w:r>
                </w:p>
              </w:tc>
              <w:tc>
                <w:tcPr>
                  <w:tcW w:w="1143" w:type="dxa"/>
                  <w:noWrap w:val="0"/>
                  <w:vAlign w:val="center"/>
                </w:tcPr>
                <w:p w14:paraId="47D36A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vMerge w:val="continue"/>
                  <w:noWrap w:val="0"/>
                  <w:vAlign w:val="center"/>
                </w:tcPr>
                <w:p w14:paraId="07FC4B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6D1229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5BB89F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11</w:t>
                  </w:r>
                </w:p>
              </w:tc>
              <w:tc>
                <w:tcPr>
                  <w:tcW w:w="1083" w:type="dxa"/>
                  <w:vMerge w:val="continue"/>
                  <w:noWrap w:val="0"/>
                  <w:vAlign w:val="center"/>
                </w:tcPr>
                <w:p w14:paraId="142494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16335E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医用纱布敷料</w:t>
                  </w:r>
                </w:p>
              </w:tc>
              <w:tc>
                <w:tcPr>
                  <w:tcW w:w="1259" w:type="dxa"/>
                  <w:noWrap w:val="0"/>
                  <w:vAlign w:val="center"/>
                </w:tcPr>
                <w:p w14:paraId="1381C6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2000袋</w:t>
                  </w:r>
                </w:p>
              </w:tc>
              <w:tc>
                <w:tcPr>
                  <w:tcW w:w="1269" w:type="dxa"/>
                  <w:noWrap w:val="0"/>
                  <w:vAlign w:val="center"/>
                </w:tcPr>
                <w:p w14:paraId="352962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1000袋</w:t>
                  </w:r>
                </w:p>
              </w:tc>
              <w:tc>
                <w:tcPr>
                  <w:tcW w:w="1143" w:type="dxa"/>
                  <w:noWrap w:val="0"/>
                  <w:vAlign w:val="center"/>
                </w:tcPr>
                <w:p w14:paraId="67F3EC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vMerge w:val="continue"/>
                  <w:noWrap w:val="0"/>
                  <w:vAlign w:val="center"/>
                </w:tcPr>
                <w:p w14:paraId="4B8166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4CA6BD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0D15DD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12</w:t>
                  </w:r>
                </w:p>
              </w:tc>
              <w:tc>
                <w:tcPr>
                  <w:tcW w:w="1083" w:type="dxa"/>
                  <w:vMerge w:val="continue"/>
                  <w:noWrap w:val="0"/>
                  <w:vAlign w:val="center"/>
                </w:tcPr>
                <w:p w14:paraId="7E7077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72AAD5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口罩</w:t>
                  </w:r>
                </w:p>
              </w:tc>
              <w:tc>
                <w:tcPr>
                  <w:tcW w:w="1259" w:type="dxa"/>
                  <w:noWrap w:val="0"/>
                  <w:vAlign w:val="center"/>
                </w:tcPr>
                <w:p w14:paraId="24BDFB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5000个</w:t>
                  </w:r>
                </w:p>
              </w:tc>
              <w:tc>
                <w:tcPr>
                  <w:tcW w:w="1269" w:type="dxa"/>
                  <w:noWrap w:val="0"/>
                  <w:vAlign w:val="center"/>
                </w:tcPr>
                <w:p w14:paraId="65A48D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2000个</w:t>
                  </w:r>
                </w:p>
              </w:tc>
              <w:tc>
                <w:tcPr>
                  <w:tcW w:w="1143" w:type="dxa"/>
                  <w:noWrap w:val="0"/>
                  <w:vAlign w:val="center"/>
                </w:tcPr>
                <w:p w14:paraId="359537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noWrap w:val="0"/>
                  <w:vAlign w:val="center"/>
                </w:tcPr>
                <w:p w14:paraId="78AC32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全院</w:t>
                  </w:r>
                </w:p>
              </w:tc>
            </w:tr>
            <w:tr w14:paraId="59D115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4BE3FD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13</w:t>
                  </w:r>
                </w:p>
              </w:tc>
              <w:tc>
                <w:tcPr>
                  <w:tcW w:w="1083" w:type="dxa"/>
                  <w:vMerge w:val="continue"/>
                  <w:noWrap w:val="0"/>
                  <w:vAlign w:val="center"/>
                </w:tcPr>
                <w:p w14:paraId="724E30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0A571B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碘伏</w:t>
                  </w:r>
                </w:p>
              </w:tc>
              <w:tc>
                <w:tcPr>
                  <w:tcW w:w="1259" w:type="dxa"/>
                  <w:noWrap w:val="0"/>
                  <w:vAlign w:val="center"/>
                </w:tcPr>
                <w:p w14:paraId="52BCA1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200kg</w:t>
                  </w:r>
                </w:p>
              </w:tc>
              <w:tc>
                <w:tcPr>
                  <w:tcW w:w="1269" w:type="dxa"/>
                  <w:noWrap w:val="0"/>
                  <w:vAlign w:val="center"/>
                </w:tcPr>
                <w:p w14:paraId="39A79A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50kg</w:t>
                  </w:r>
                </w:p>
              </w:tc>
              <w:tc>
                <w:tcPr>
                  <w:tcW w:w="1143" w:type="dxa"/>
                  <w:noWrap w:val="0"/>
                  <w:vAlign w:val="center"/>
                </w:tcPr>
                <w:p w14:paraId="7165BD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60ml/500ml</w:t>
                  </w:r>
                </w:p>
              </w:tc>
              <w:tc>
                <w:tcPr>
                  <w:tcW w:w="957" w:type="dxa"/>
                  <w:noWrap w:val="0"/>
                  <w:vAlign w:val="center"/>
                </w:tcPr>
                <w:p w14:paraId="7D0672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库房</w:t>
                  </w:r>
                </w:p>
              </w:tc>
            </w:tr>
            <w:tr w14:paraId="69033C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0" w:type="dxa"/>
                  <w:noWrap w:val="0"/>
                  <w:vAlign w:val="center"/>
                </w:tcPr>
                <w:p w14:paraId="40A77F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14</w:t>
                  </w:r>
                </w:p>
              </w:tc>
              <w:tc>
                <w:tcPr>
                  <w:tcW w:w="1083" w:type="dxa"/>
                  <w:vMerge w:val="continue"/>
                  <w:noWrap w:val="0"/>
                  <w:vAlign w:val="center"/>
                </w:tcPr>
                <w:p w14:paraId="3013EB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1B0BDC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生理盐水</w:t>
                  </w:r>
                </w:p>
              </w:tc>
              <w:tc>
                <w:tcPr>
                  <w:tcW w:w="1259" w:type="dxa"/>
                  <w:noWrap w:val="0"/>
                  <w:vAlign w:val="center"/>
                </w:tcPr>
                <w:p w14:paraId="6855A3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500瓶</w:t>
                  </w:r>
                </w:p>
              </w:tc>
              <w:tc>
                <w:tcPr>
                  <w:tcW w:w="1269" w:type="dxa"/>
                  <w:noWrap w:val="0"/>
                  <w:vAlign w:val="center"/>
                </w:tcPr>
                <w:p w14:paraId="48410F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100瓶</w:t>
                  </w:r>
                </w:p>
              </w:tc>
              <w:tc>
                <w:tcPr>
                  <w:tcW w:w="1143" w:type="dxa"/>
                  <w:noWrap w:val="0"/>
                  <w:vAlign w:val="center"/>
                </w:tcPr>
                <w:p w14:paraId="6CB878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noWrap w:val="0"/>
                  <w:vAlign w:val="center"/>
                </w:tcPr>
                <w:p w14:paraId="4702F2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库房、门诊</w:t>
                  </w:r>
                </w:p>
              </w:tc>
            </w:tr>
            <w:tr w14:paraId="205FFB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4AAC35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15</w:t>
                  </w:r>
                </w:p>
              </w:tc>
              <w:tc>
                <w:tcPr>
                  <w:tcW w:w="1083" w:type="dxa"/>
                  <w:vMerge w:val="restart"/>
                  <w:noWrap w:val="0"/>
                  <w:vAlign w:val="center"/>
                </w:tcPr>
                <w:p w14:paraId="3425FC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检验试剂盒</w:t>
                  </w:r>
                </w:p>
              </w:tc>
              <w:tc>
                <w:tcPr>
                  <w:tcW w:w="1958" w:type="dxa"/>
                  <w:noWrap w:val="0"/>
                  <w:vAlign w:val="center"/>
                </w:tcPr>
                <w:p w14:paraId="0F0F20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尿素检测试剂盒</w:t>
                  </w:r>
                </w:p>
              </w:tc>
              <w:tc>
                <w:tcPr>
                  <w:tcW w:w="1259" w:type="dxa"/>
                  <w:noWrap w:val="0"/>
                  <w:vAlign w:val="center"/>
                </w:tcPr>
                <w:p w14:paraId="1ED176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10盒</w:t>
                  </w:r>
                </w:p>
              </w:tc>
              <w:tc>
                <w:tcPr>
                  <w:tcW w:w="1269" w:type="dxa"/>
                  <w:noWrap w:val="0"/>
                  <w:vAlign w:val="center"/>
                </w:tcPr>
                <w:p w14:paraId="659225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5盒</w:t>
                  </w:r>
                </w:p>
              </w:tc>
              <w:tc>
                <w:tcPr>
                  <w:tcW w:w="1143" w:type="dxa"/>
                  <w:noWrap w:val="0"/>
                  <w:vAlign w:val="center"/>
                </w:tcPr>
                <w:p w14:paraId="38B095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100mL/盒</w:t>
                  </w:r>
                </w:p>
              </w:tc>
              <w:tc>
                <w:tcPr>
                  <w:tcW w:w="957" w:type="dxa"/>
                  <w:vMerge w:val="restart"/>
                  <w:noWrap w:val="0"/>
                  <w:vAlign w:val="center"/>
                </w:tcPr>
                <w:p w14:paraId="56ED24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检验科、库房</w:t>
                  </w:r>
                </w:p>
              </w:tc>
            </w:tr>
            <w:tr w14:paraId="7EE33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7B28C3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16</w:t>
                  </w:r>
                </w:p>
              </w:tc>
              <w:tc>
                <w:tcPr>
                  <w:tcW w:w="1083" w:type="dxa"/>
                  <w:vMerge w:val="continue"/>
                  <w:noWrap w:val="0"/>
                  <w:vAlign w:val="center"/>
                </w:tcPr>
                <w:p w14:paraId="47F910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291F95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尿酸检测试剂盒</w:t>
                  </w:r>
                </w:p>
              </w:tc>
              <w:tc>
                <w:tcPr>
                  <w:tcW w:w="1259" w:type="dxa"/>
                  <w:noWrap w:val="0"/>
                  <w:vAlign w:val="center"/>
                </w:tcPr>
                <w:p w14:paraId="07200A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10盒</w:t>
                  </w:r>
                </w:p>
              </w:tc>
              <w:tc>
                <w:tcPr>
                  <w:tcW w:w="1269" w:type="dxa"/>
                  <w:noWrap w:val="0"/>
                  <w:vAlign w:val="center"/>
                </w:tcPr>
                <w:p w14:paraId="3935F3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5盒</w:t>
                  </w:r>
                </w:p>
              </w:tc>
              <w:tc>
                <w:tcPr>
                  <w:tcW w:w="1143" w:type="dxa"/>
                  <w:noWrap w:val="0"/>
                  <w:vAlign w:val="center"/>
                </w:tcPr>
                <w:p w14:paraId="4382C2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120mL/盒</w:t>
                  </w:r>
                </w:p>
              </w:tc>
              <w:tc>
                <w:tcPr>
                  <w:tcW w:w="957" w:type="dxa"/>
                  <w:vMerge w:val="continue"/>
                  <w:noWrap w:val="0"/>
                  <w:vAlign w:val="center"/>
                </w:tcPr>
                <w:p w14:paraId="735077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5C0698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50F919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17</w:t>
                  </w:r>
                </w:p>
              </w:tc>
              <w:tc>
                <w:tcPr>
                  <w:tcW w:w="1083" w:type="dxa"/>
                  <w:vMerge w:val="continue"/>
                  <w:noWrap w:val="0"/>
                  <w:vAlign w:val="center"/>
                </w:tcPr>
                <w:p w14:paraId="52C04F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2AAF4A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凝血酶时间检测试剂盒</w:t>
                  </w:r>
                </w:p>
              </w:tc>
              <w:tc>
                <w:tcPr>
                  <w:tcW w:w="1259" w:type="dxa"/>
                  <w:noWrap w:val="0"/>
                  <w:vAlign w:val="center"/>
                </w:tcPr>
                <w:p w14:paraId="32B9C1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10盒</w:t>
                  </w:r>
                </w:p>
              </w:tc>
              <w:tc>
                <w:tcPr>
                  <w:tcW w:w="1269" w:type="dxa"/>
                  <w:noWrap w:val="0"/>
                  <w:vAlign w:val="center"/>
                </w:tcPr>
                <w:p w14:paraId="1ED4D9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5盒</w:t>
                  </w:r>
                </w:p>
              </w:tc>
              <w:tc>
                <w:tcPr>
                  <w:tcW w:w="1143" w:type="dxa"/>
                  <w:noWrap w:val="0"/>
                  <w:vAlign w:val="center"/>
                </w:tcPr>
                <w:p w14:paraId="09CB57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10*5mL</w:t>
                  </w:r>
                </w:p>
              </w:tc>
              <w:tc>
                <w:tcPr>
                  <w:tcW w:w="957" w:type="dxa"/>
                  <w:vMerge w:val="continue"/>
                  <w:noWrap w:val="0"/>
                  <w:vAlign w:val="center"/>
                </w:tcPr>
                <w:p w14:paraId="3C6451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174D42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220990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18</w:t>
                  </w:r>
                </w:p>
              </w:tc>
              <w:tc>
                <w:tcPr>
                  <w:tcW w:w="1083" w:type="dxa"/>
                  <w:vMerge w:val="continue"/>
                  <w:noWrap w:val="0"/>
                  <w:vAlign w:val="center"/>
                </w:tcPr>
                <w:p w14:paraId="684106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1F021A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纤维蛋白原检测试剂盒</w:t>
                  </w:r>
                </w:p>
              </w:tc>
              <w:tc>
                <w:tcPr>
                  <w:tcW w:w="1259" w:type="dxa"/>
                  <w:noWrap w:val="0"/>
                  <w:vAlign w:val="center"/>
                </w:tcPr>
                <w:p w14:paraId="0D8122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8盒</w:t>
                  </w:r>
                </w:p>
              </w:tc>
              <w:tc>
                <w:tcPr>
                  <w:tcW w:w="1269" w:type="dxa"/>
                  <w:noWrap w:val="0"/>
                  <w:vAlign w:val="center"/>
                </w:tcPr>
                <w:p w14:paraId="1B7639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4盒</w:t>
                  </w:r>
                </w:p>
              </w:tc>
              <w:tc>
                <w:tcPr>
                  <w:tcW w:w="1143" w:type="dxa"/>
                  <w:noWrap w:val="0"/>
                  <w:vAlign w:val="center"/>
                </w:tcPr>
                <w:p w14:paraId="3CF47C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10*4mL</w:t>
                  </w:r>
                </w:p>
              </w:tc>
              <w:tc>
                <w:tcPr>
                  <w:tcW w:w="957" w:type="dxa"/>
                  <w:vMerge w:val="continue"/>
                  <w:noWrap w:val="0"/>
                  <w:vAlign w:val="center"/>
                </w:tcPr>
                <w:p w14:paraId="3E34ED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4F3D46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600" w:type="dxa"/>
                  <w:noWrap w:val="0"/>
                  <w:vAlign w:val="center"/>
                </w:tcPr>
                <w:p w14:paraId="211341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19</w:t>
                  </w:r>
                </w:p>
              </w:tc>
              <w:tc>
                <w:tcPr>
                  <w:tcW w:w="1083" w:type="dxa"/>
                  <w:vMerge w:val="continue"/>
                  <w:noWrap w:val="0"/>
                  <w:vAlign w:val="center"/>
                </w:tcPr>
                <w:p w14:paraId="56891A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19FDBB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丙氨酸氨基转移酶（ALT）试剂盒</w:t>
                  </w:r>
                </w:p>
              </w:tc>
              <w:tc>
                <w:tcPr>
                  <w:tcW w:w="1259" w:type="dxa"/>
                  <w:noWrap w:val="0"/>
                  <w:vAlign w:val="center"/>
                </w:tcPr>
                <w:p w14:paraId="6BB6F7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8 盒</w:t>
                  </w:r>
                </w:p>
              </w:tc>
              <w:tc>
                <w:tcPr>
                  <w:tcW w:w="1269" w:type="dxa"/>
                  <w:noWrap w:val="0"/>
                  <w:vAlign w:val="center"/>
                </w:tcPr>
                <w:p w14:paraId="0CD45D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2盒</w:t>
                  </w:r>
                </w:p>
              </w:tc>
              <w:tc>
                <w:tcPr>
                  <w:tcW w:w="1143" w:type="dxa"/>
                  <w:noWrap w:val="0"/>
                  <w:vAlign w:val="center"/>
                </w:tcPr>
                <w:p w14:paraId="591DFB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120mL/盒</w:t>
                  </w:r>
                </w:p>
              </w:tc>
              <w:tc>
                <w:tcPr>
                  <w:tcW w:w="957" w:type="dxa"/>
                  <w:vMerge w:val="continue"/>
                  <w:noWrap w:val="0"/>
                  <w:vAlign w:val="center"/>
                </w:tcPr>
                <w:p w14:paraId="7900B8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705FB0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1ED090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w:t>
                  </w:r>
                </w:p>
              </w:tc>
              <w:tc>
                <w:tcPr>
                  <w:tcW w:w="1083" w:type="dxa"/>
                  <w:vMerge w:val="continue"/>
                  <w:noWrap w:val="0"/>
                  <w:vAlign w:val="center"/>
                </w:tcPr>
                <w:p w14:paraId="36D166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05017A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 xml:space="preserve">γ- 谷氨酰转移酶（GGT）试剂盒 </w:t>
                  </w:r>
                </w:p>
              </w:tc>
              <w:tc>
                <w:tcPr>
                  <w:tcW w:w="1259" w:type="dxa"/>
                  <w:noWrap w:val="0"/>
                  <w:vAlign w:val="center"/>
                </w:tcPr>
                <w:p w14:paraId="71E68C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10盒</w:t>
                  </w:r>
                </w:p>
              </w:tc>
              <w:tc>
                <w:tcPr>
                  <w:tcW w:w="1269" w:type="dxa"/>
                  <w:noWrap w:val="0"/>
                  <w:vAlign w:val="center"/>
                </w:tcPr>
                <w:p w14:paraId="2B98F5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5盒</w:t>
                  </w:r>
                </w:p>
              </w:tc>
              <w:tc>
                <w:tcPr>
                  <w:tcW w:w="1143" w:type="dxa"/>
                  <w:noWrap w:val="0"/>
                  <w:vAlign w:val="center"/>
                </w:tcPr>
                <w:p w14:paraId="055082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100mL/盒</w:t>
                  </w:r>
                </w:p>
              </w:tc>
              <w:tc>
                <w:tcPr>
                  <w:tcW w:w="957" w:type="dxa"/>
                  <w:vMerge w:val="continue"/>
                  <w:noWrap w:val="0"/>
                  <w:vAlign w:val="center"/>
                </w:tcPr>
                <w:p w14:paraId="70ED3F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35C63F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36F7B4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21</w:t>
                  </w:r>
                </w:p>
              </w:tc>
              <w:tc>
                <w:tcPr>
                  <w:tcW w:w="1083" w:type="dxa"/>
                  <w:vMerge w:val="continue"/>
                  <w:noWrap w:val="0"/>
                  <w:vAlign w:val="center"/>
                </w:tcPr>
                <w:p w14:paraId="7407F0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12299C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总胆汁酸检测试剂盒</w:t>
                  </w:r>
                </w:p>
              </w:tc>
              <w:tc>
                <w:tcPr>
                  <w:tcW w:w="1259" w:type="dxa"/>
                  <w:noWrap w:val="0"/>
                  <w:vAlign w:val="center"/>
                </w:tcPr>
                <w:p w14:paraId="59AD2B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20盒</w:t>
                  </w:r>
                </w:p>
              </w:tc>
              <w:tc>
                <w:tcPr>
                  <w:tcW w:w="1269" w:type="dxa"/>
                  <w:noWrap w:val="0"/>
                  <w:vAlign w:val="center"/>
                </w:tcPr>
                <w:p w14:paraId="5B175A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5盒</w:t>
                  </w:r>
                </w:p>
              </w:tc>
              <w:tc>
                <w:tcPr>
                  <w:tcW w:w="1143" w:type="dxa"/>
                  <w:noWrap w:val="0"/>
                  <w:vAlign w:val="center"/>
                </w:tcPr>
                <w:p w14:paraId="2E8E0A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80mL/盒</w:t>
                  </w:r>
                </w:p>
              </w:tc>
              <w:tc>
                <w:tcPr>
                  <w:tcW w:w="957" w:type="dxa"/>
                  <w:vMerge w:val="continue"/>
                  <w:noWrap w:val="0"/>
                  <w:vAlign w:val="center"/>
                </w:tcPr>
                <w:p w14:paraId="1C351E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43B14A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50D0A6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22</w:t>
                  </w:r>
                </w:p>
              </w:tc>
              <w:tc>
                <w:tcPr>
                  <w:tcW w:w="1083" w:type="dxa"/>
                  <w:vMerge w:val="continue"/>
                  <w:noWrap w:val="0"/>
                  <w:vAlign w:val="center"/>
                </w:tcPr>
                <w:p w14:paraId="728054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482BAA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超敏 C 反应蛋白（hs-CRP）检测试剂盒</w:t>
                  </w:r>
                </w:p>
              </w:tc>
              <w:tc>
                <w:tcPr>
                  <w:tcW w:w="1259" w:type="dxa"/>
                  <w:noWrap w:val="0"/>
                  <w:vAlign w:val="center"/>
                </w:tcPr>
                <w:p w14:paraId="6AAD28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12 盒</w:t>
                  </w:r>
                </w:p>
              </w:tc>
              <w:tc>
                <w:tcPr>
                  <w:tcW w:w="1269" w:type="dxa"/>
                  <w:noWrap w:val="0"/>
                  <w:vAlign w:val="center"/>
                </w:tcPr>
                <w:p w14:paraId="11455C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3盒</w:t>
                  </w:r>
                </w:p>
              </w:tc>
              <w:tc>
                <w:tcPr>
                  <w:tcW w:w="1143" w:type="dxa"/>
                  <w:noWrap w:val="0"/>
                  <w:vAlign w:val="center"/>
                </w:tcPr>
                <w:p w14:paraId="5BCDC7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100mL/盒</w:t>
                  </w:r>
                </w:p>
              </w:tc>
              <w:tc>
                <w:tcPr>
                  <w:tcW w:w="957" w:type="dxa"/>
                  <w:vMerge w:val="continue"/>
                  <w:noWrap w:val="0"/>
                  <w:vAlign w:val="center"/>
                </w:tcPr>
                <w:p w14:paraId="3E7002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r>
            <w:tr w14:paraId="5FB8B2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530DA9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23</w:t>
                  </w:r>
                </w:p>
              </w:tc>
              <w:tc>
                <w:tcPr>
                  <w:tcW w:w="1083" w:type="dxa"/>
                  <w:vMerge w:val="restart"/>
                  <w:noWrap w:val="0"/>
                  <w:vAlign w:val="center"/>
                </w:tcPr>
                <w:p w14:paraId="2DC82E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消毒剂</w:t>
                  </w:r>
                </w:p>
              </w:tc>
              <w:tc>
                <w:tcPr>
                  <w:tcW w:w="1958" w:type="dxa"/>
                  <w:noWrap w:val="0"/>
                  <w:vAlign w:val="center"/>
                </w:tcPr>
                <w:p w14:paraId="6980AB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84 消毒液</w:t>
                  </w:r>
                </w:p>
              </w:tc>
              <w:tc>
                <w:tcPr>
                  <w:tcW w:w="1259" w:type="dxa"/>
                  <w:noWrap w:val="0"/>
                  <w:vAlign w:val="center"/>
                </w:tcPr>
                <w:p w14:paraId="4A3E3F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2000瓶</w:t>
                  </w:r>
                </w:p>
              </w:tc>
              <w:tc>
                <w:tcPr>
                  <w:tcW w:w="1269" w:type="dxa"/>
                  <w:noWrap w:val="0"/>
                  <w:vAlign w:val="center"/>
                </w:tcPr>
                <w:p w14:paraId="22EB75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1000瓶</w:t>
                  </w:r>
                </w:p>
              </w:tc>
              <w:tc>
                <w:tcPr>
                  <w:tcW w:w="1143" w:type="dxa"/>
                  <w:noWrap w:val="0"/>
                  <w:vAlign w:val="center"/>
                </w:tcPr>
                <w:p w14:paraId="7B155A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500nl</w:t>
                  </w:r>
                </w:p>
              </w:tc>
              <w:tc>
                <w:tcPr>
                  <w:tcW w:w="957" w:type="dxa"/>
                  <w:noWrap w:val="0"/>
                  <w:vAlign w:val="center"/>
                </w:tcPr>
                <w:p w14:paraId="37B7D8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全院</w:t>
                  </w:r>
                </w:p>
              </w:tc>
            </w:tr>
            <w:tr w14:paraId="215F4B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0" w:type="dxa"/>
                  <w:noWrap w:val="0"/>
                  <w:vAlign w:val="center"/>
                </w:tcPr>
                <w:p w14:paraId="690641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24</w:t>
                  </w:r>
                </w:p>
              </w:tc>
              <w:tc>
                <w:tcPr>
                  <w:tcW w:w="1083" w:type="dxa"/>
                  <w:vMerge w:val="continue"/>
                  <w:noWrap w:val="0"/>
                  <w:vAlign w:val="center"/>
                </w:tcPr>
                <w:p w14:paraId="7697A6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70DC89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医用酒精（</w:t>
                  </w:r>
                  <w:r>
                    <w:rPr>
                      <w:rFonts w:hint="default"/>
                      <w:b w:val="0"/>
                      <w:bCs w:val="0"/>
                      <w:color w:val="000000"/>
                      <w:kern w:val="0"/>
                      <w:sz w:val="21"/>
                      <w:szCs w:val="21"/>
                      <w:u w:val="single"/>
                      <w:vertAlign w:val="baseline"/>
                      <w:lang w:val="en-US" w:eastAsia="zh-CN"/>
                    </w:rPr>
                    <w:t>75%</w:t>
                  </w:r>
                  <w:r>
                    <w:rPr>
                      <w:rFonts w:hint="eastAsia"/>
                      <w:b w:val="0"/>
                      <w:bCs w:val="0"/>
                      <w:color w:val="000000"/>
                      <w:kern w:val="0"/>
                      <w:sz w:val="21"/>
                      <w:szCs w:val="21"/>
                      <w:u w:val="single"/>
                      <w:vertAlign w:val="baseline"/>
                      <w:lang w:val="en-US" w:eastAsia="zh-CN"/>
                    </w:rPr>
                    <w:t>乙醇）</w:t>
                  </w:r>
                </w:p>
              </w:tc>
              <w:tc>
                <w:tcPr>
                  <w:tcW w:w="1259" w:type="dxa"/>
                  <w:noWrap w:val="0"/>
                  <w:vAlign w:val="center"/>
                </w:tcPr>
                <w:p w14:paraId="7A2A69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150瓶</w:t>
                  </w:r>
                </w:p>
              </w:tc>
              <w:tc>
                <w:tcPr>
                  <w:tcW w:w="1269" w:type="dxa"/>
                  <w:noWrap w:val="0"/>
                  <w:vAlign w:val="center"/>
                </w:tcPr>
                <w:p w14:paraId="09C9DB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50瓶</w:t>
                  </w:r>
                </w:p>
              </w:tc>
              <w:tc>
                <w:tcPr>
                  <w:tcW w:w="1143" w:type="dxa"/>
                  <w:noWrap w:val="0"/>
                  <w:vAlign w:val="center"/>
                </w:tcPr>
                <w:p w14:paraId="52FC34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500ml</w:t>
                  </w:r>
                </w:p>
              </w:tc>
              <w:tc>
                <w:tcPr>
                  <w:tcW w:w="957" w:type="dxa"/>
                  <w:noWrap w:val="0"/>
                  <w:vAlign w:val="center"/>
                </w:tcPr>
                <w:p w14:paraId="5DE5FA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门诊</w:t>
                  </w:r>
                </w:p>
              </w:tc>
            </w:tr>
            <w:tr w14:paraId="018092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28222D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25</w:t>
                  </w:r>
                </w:p>
              </w:tc>
              <w:tc>
                <w:tcPr>
                  <w:tcW w:w="1083" w:type="dxa"/>
                  <w:vMerge w:val="continue"/>
                  <w:noWrap w:val="0"/>
                  <w:vAlign w:val="center"/>
                </w:tcPr>
                <w:p w14:paraId="1E9AA8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p>
              </w:tc>
              <w:tc>
                <w:tcPr>
                  <w:tcW w:w="1958" w:type="dxa"/>
                  <w:noWrap w:val="0"/>
                  <w:vAlign w:val="center"/>
                </w:tcPr>
                <w:p w14:paraId="25F46D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洗手消毒液</w:t>
                  </w:r>
                </w:p>
              </w:tc>
              <w:tc>
                <w:tcPr>
                  <w:tcW w:w="1259" w:type="dxa"/>
                  <w:noWrap w:val="0"/>
                  <w:vAlign w:val="center"/>
                </w:tcPr>
                <w:p w14:paraId="5F6D20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150瓶</w:t>
                  </w:r>
                </w:p>
              </w:tc>
              <w:tc>
                <w:tcPr>
                  <w:tcW w:w="1269" w:type="dxa"/>
                  <w:noWrap w:val="0"/>
                  <w:vAlign w:val="center"/>
                </w:tcPr>
                <w:p w14:paraId="7F0DEB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50瓶</w:t>
                  </w:r>
                </w:p>
              </w:tc>
              <w:tc>
                <w:tcPr>
                  <w:tcW w:w="1143" w:type="dxa"/>
                  <w:noWrap w:val="0"/>
                  <w:vAlign w:val="center"/>
                </w:tcPr>
                <w:p w14:paraId="5BD6F2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 xml:space="preserve">500g/瓶 </w:t>
                  </w:r>
                </w:p>
              </w:tc>
              <w:tc>
                <w:tcPr>
                  <w:tcW w:w="957" w:type="dxa"/>
                  <w:noWrap w:val="0"/>
                  <w:vAlign w:val="center"/>
                </w:tcPr>
                <w:p w14:paraId="385286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全院</w:t>
                  </w:r>
                </w:p>
              </w:tc>
            </w:tr>
            <w:tr w14:paraId="7947AE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02AB95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26</w:t>
                  </w:r>
                </w:p>
              </w:tc>
              <w:tc>
                <w:tcPr>
                  <w:tcW w:w="1083" w:type="dxa"/>
                  <w:vMerge w:val="restart"/>
                  <w:noWrap w:val="0"/>
                  <w:vAlign w:val="center"/>
                </w:tcPr>
                <w:p w14:paraId="5FBB68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污水处理</w:t>
                  </w:r>
                </w:p>
              </w:tc>
              <w:tc>
                <w:tcPr>
                  <w:tcW w:w="1958" w:type="dxa"/>
                  <w:noWrap w:val="0"/>
                  <w:vAlign w:val="center"/>
                </w:tcPr>
                <w:p w14:paraId="2013E8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活性氧粉（过硫酸氢钾复合盐）</w:t>
                  </w:r>
                </w:p>
              </w:tc>
              <w:tc>
                <w:tcPr>
                  <w:tcW w:w="1259" w:type="dxa"/>
                  <w:noWrap w:val="0"/>
                  <w:vAlign w:val="center"/>
                </w:tcPr>
                <w:p w14:paraId="604621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0.1t/a</w:t>
                  </w:r>
                </w:p>
              </w:tc>
              <w:tc>
                <w:tcPr>
                  <w:tcW w:w="1269" w:type="dxa"/>
                  <w:noWrap w:val="0"/>
                  <w:vAlign w:val="center"/>
                </w:tcPr>
                <w:p w14:paraId="61EDDA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0.05t/a</w:t>
                  </w:r>
                </w:p>
              </w:tc>
              <w:tc>
                <w:tcPr>
                  <w:tcW w:w="1143" w:type="dxa"/>
                  <w:noWrap w:val="0"/>
                  <w:vAlign w:val="center"/>
                </w:tcPr>
                <w:p w14:paraId="402C2F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noWrap w:val="0"/>
                  <w:vAlign w:val="center"/>
                </w:tcPr>
                <w:p w14:paraId="681E57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kern w:val="0"/>
                      <w:sz w:val="21"/>
                      <w:szCs w:val="21"/>
                      <w:u w:val="single"/>
                    </w:rPr>
                    <w:t>污水处理站消毒</w:t>
                  </w:r>
                </w:p>
              </w:tc>
            </w:tr>
            <w:tr w14:paraId="7D3362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00872A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27</w:t>
                  </w:r>
                </w:p>
              </w:tc>
              <w:tc>
                <w:tcPr>
                  <w:tcW w:w="1083" w:type="dxa"/>
                  <w:vMerge w:val="continue"/>
                  <w:noWrap w:val="0"/>
                  <w:vAlign w:val="center"/>
                </w:tcPr>
                <w:p w14:paraId="22A987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p>
              </w:tc>
              <w:tc>
                <w:tcPr>
                  <w:tcW w:w="1958" w:type="dxa"/>
                  <w:noWrap w:val="0"/>
                  <w:vAlign w:val="center"/>
                </w:tcPr>
                <w:p w14:paraId="76D530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漂白粉</w:t>
                  </w:r>
                </w:p>
              </w:tc>
              <w:tc>
                <w:tcPr>
                  <w:tcW w:w="1259" w:type="dxa"/>
                  <w:noWrap w:val="0"/>
                  <w:vAlign w:val="center"/>
                </w:tcPr>
                <w:p w14:paraId="28433F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0.1t/a</w:t>
                  </w:r>
                </w:p>
              </w:tc>
              <w:tc>
                <w:tcPr>
                  <w:tcW w:w="1269" w:type="dxa"/>
                  <w:noWrap w:val="0"/>
                  <w:vAlign w:val="center"/>
                </w:tcPr>
                <w:p w14:paraId="6CB562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0.05t/a</w:t>
                  </w:r>
                </w:p>
              </w:tc>
              <w:tc>
                <w:tcPr>
                  <w:tcW w:w="1143" w:type="dxa"/>
                  <w:noWrap w:val="0"/>
                  <w:vAlign w:val="center"/>
                </w:tcPr>
                <w:p w14:paraId="4082F7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noWrap w:val="0"/>
                  <w:vAlign w:val="center"/>
                </w:tcPr>
                <w:p w14:paraId="363130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default"/>
                      <w:b w:val="0"/>
                      <w:bCs w:val="0"/>
                      <w:color w:val="000000"/>
                      <w:kern w:val="0"/>
                      <w:sz w:val="21"/>
                      <w:szCs w:val="21"/>
                      <w:u w:val="single"/>
                      <w:vertAlign w:val="baseline"/>
                      <w:lang w:val="en-US" w:eastAsia="zh-CN"/>
                    </w:rPr>
                    <w:t>污水处理站污泥消毒</w:t>
                  </w:r>
                </w:p>
              </w:tc>
            </w:tr>
            <w:tr w14:paraId="3341D4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0CFEBC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28</w:t>
                  </w:r>
                </w:p>
              </w:tc>
              <w:tc>
                <w:tcPr>
                  <w:tcW w:w="1083" w:type="dxa"/>
                  <w:vMerge w:val="continue"/>
                  <w:noWrap w:val="0"/>
                  <w:vAlign w:val="center"/>
                </w:tcPr>
                <w:p w14:paraId="0D1431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p>
              </w:tc>
              <w:tc>
                <w:tcPr>
                  <w:tcW w:w="1958" w:type="dxa"/>
                  <w:noWrap w:val="0"/>
                  <w:vAlign w:val="center"/>
                </w:tcPr>
                <w:p w14:paraId="00501D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水</w:t>
                  </w:r>
                </w:p>
              </w:tc>
              <w:tc>
                <w:tcPr>
                  <w:tcW w:w="1259" w:type="dxa"/>
                  <w:noWrap w:val="0"/>
                  <w:vAlign w:val="center"/>
                </w:tcPr>
                <w:p w14:paraId="0DB41D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56189.875m</w:t>
                  </w:r>
                  <w:r>
                    <w:rPr>
                      <w:rFonts w:hint="eastAsia"/>
                      <w:b w:val="0"/>
                      <w:bCs w:val="0"/>
                      <w:color w:val="000000"/>
                      <w:kern w:val="0"/>
                      <w:sz w:val="21"/>
                      <w:szCs w:val="21"/>
                      <w:u w:val="single"/>
                      <w:vertAlign w:val="superscript"/>
                      <w:lang w:val="en-US" w:eastAsia="zh-CN"/>
                    </w:rPr>
                    <w:t>3</w:t>
                  </w:r>
                  <w:r>
                    <w:rPr>
                      <w:rFonts w:hint="eastAsia"/>
                      <w:b w:val="0"/>
                      <w:bCs w:val="0"/>
                      <w:color w:val="000000"/>
                      <w:kern w:val="0"/>
                      <w:sz w:val="21"/>
                      <w:szCs w:val="21"/>
                      <w:u w:val="single"/>
                      <w:vertAlign w:val="baseline"/>
                      <w:lang w:val="en-US" w:eastAsia="zh-CN"/>
                    </w:rPr>
                    <w:t>/a</w:t>
                  </w:r>
                </w:p>
              </w:tc>
              <w:tc>
                <w:tcPr>
                  <w:tcW w:w="1269" w:type="dxa"/>
                  <w:noWrap w:val="0"/>
                  <w:vAlign w:val="center"/>
                </w:tcPr>
                <w:p w14:paraId="0FC343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143" w:type="dxa"/>
                  <w:noWrap w:val="0"/>
                  <w:vAlign w:val="center"/>
                </w:tcPr>
                <w:p w14:paraId="6C8282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noWrap w:val="0"/>
                  <w:vAlign w:val="center"/>
                </w:tcPr>
                <w:p w14:paraId="1B34DE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r>
            <w:tr w14:paraId="6105A8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0" w:type="dxa"/>
                  <w:noWrap w:val="0"/>
                  <w:vAlign w:val="center"/>
                </w:tcPr>
                <w:p w14:paraId="6724E5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29</w:t>
                  </w:r>
                </w:p>
              </w:tc>
              <w:tc>
                <w:tcPr>
                  <w:tcW w:w="1083" w:type="dxa"/>
                  <w:vMerge w:val="continue"/>
                  <w:noWrap w:val="0"/>
                  <w:vAlign w:val="center"/>
                </w:tcPr>
                <w:p w14:paraId="6DC161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000000"/>
                      <w:kern w:val="0"/>
                      <w:sz w:val="21"/>
                      <w:szCs w:val="21"/>
                      <w:u w:val="single"/>
                      <w:vertAlign w:val="baseline"/>
                      <w:lang w:val="en-US" w:eastAsia="zh-CN"/>
                    </w:rPr>
                  </w:pPr>
                </w:p>
              </w:tc>
              <w:tc>
                <w:tcPr>
                  <w:tcW w:w="1958" w:type="dxa"/>
                  <w:noWrap w:val="0"/>
                  <w:vAlign w:val="center"/>
                </w:tcPr>
                <w:p w14:paraId="272758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电</w:t>
                  </w:r>
                </w:p>
              </w:tc>
              <w:tc>
                <w:tcPr>
                  <w:tcW w:w="1259" w:type="dxa"/>
                  <w:noWrap w:val="0"/>
                  <w:vAlign w:val="center"/>
                </w:tcPr>
                <w:p w14:paraId="77C34E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20万kW·h</w:t>
                  </w:r>
                </w:p>
              </w:tc>
              <w:tc>
                <w:tcPr>
                  <w:tcW w:w="1269" w:type="dxa"/>
                  <w:noWrap w:val="0"/>
                  <w:vAlign w:val="center"/>
                </w:tcPr>
                <w:p w14:paraId="0E792E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1143" w:type="dxa"/>
                  <w:noWrap w:val="0"/>
                  <w:vAlign w:val="center"/>
                </w:tcPr>
                <w:p w14:paraId="082961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c>
                <w:tcPr>
                  <w:tcW w:w="957" w:type="dxa"/>
                  <w:noWrap w:val="0"/>
                  <w:vAlign w:val="center"/>
                </w:tcPr>
                <w:p w14:paraId="5D5B4F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bCs w:val="0"/>
                      <w:color w:val="000000"/>
                      <w:kern w:val="0"/>
                      <w:sz w:val="21"/>
                      <w:szCs w:val="21"/>
                      <w:u w:val="single"/>
                      <w:vertAlign w:val="baseline"/>
                      <w:lang w:val="en-US" w:eastAsia="zh-CN"/>
                    </w:rPr>
                  </w:pPr>
                  <w:r>
                    <w:rPr>
                      <w:rFonts w:hint="eastAsia"/>
                      <w:b w:val="0"/>
                      <w:bCs w:val="0"/>
                      <w:color w:val="000000"/>
                      <w:kern w:val="0"/>
                      <w:sz w:val="21"/>
                      <w:szCs w:val="21"/>
                      <w:u w:val="single"/>
                      <w:vertAlign w:val="baseline"/>
                      <w:lang w:val="en-US" w:eastAsia="zh-CN"/>
                    </w:rPr>
                    <w:t>/</w:t>
                  </w:r>
                </w:p>
              </w:tc>
            </w:tr>
          </w:tbl>
          <w:p w14:paraId="33E51C68">
            <w:pPr>
              <w:keepNext w:val="0"/>
              <w:keepLines w:val="0"/>
              <w:pageBreakBefore w:val="0"/>
              <w:kinsoku/>
              <w:wordWrap/>
              <w:overflowPunct/>
              <w:topLinePunct w:val="0"/>
              <w:autoSpaceDE/>
              <w:autoSpaceDN/>
              <w:bidi w:val="0"/>
              <w:adjustRightInd/>
              <w:snapToGrid/>
              <w:spacing w:line="360" w:lineRule="auto"/>
              <w:textAlignment w:val="auto"/>
            </w:pPr>
          </w:p>
          <w:p w14:paraId="1D013570">
            <w:pPr>
              <w:spacing w:line="360" w:lineRule="auto"/>
              <w:jc w:val="center"/>
              <w:rPr>
                <w:rFonts w:hint="eastAsia" w:ascii="Times New Roman" w:hAnsi="Times New Roman" w:eastAsia="宋体"/>
                <w:b/>
                <w:bCs/>
                <w:sz w:val="24"/>
                <w:szCs w:val="24"/>
                <w:lang w:eastAsia="zh-CN"/>
              </w:rPr>
            </w:pPr>
            <w:r>
              <w:rPr>
                <w:rFonts w:hint="eastAsia"/>
                <w:b/>
                <w:bCs/>
                <w:sz w:val="24"/>
                <w:szCs w:val="24"/>
                <w:lang w:val="en-US" w:eastAsia="zh-CN"/>
              </w:rPr>
              <w:t xml:space="preserve">表2-5  </w:t>
            </w:r>
            <w:r>
              <w:rPr>
                <w:rFonts w:hint="eastAsia" w:ascii="Times New Roman" w:hAnsi="Times New Roman"/>
                <w:b/>
                <w:bCs/>
                <w:sz w:val="24"/>
                <w:szCs w:val="24"/>
              </w:rPr>
              <w:t>主要原辅材料情况表 （药品</w:t>
            </w:r>
            <w:r>
              <w:rPr>
                <w:rFonts w:hint="eastAsia" w:ascii="Times New Roman" w:hAnsi="Times New Roman"/>
                <w:b/>
                <w:bCs/>
                <w:sz w:val="24"/>
                <w:szCs w:val="24"/>
                <w:lang w:eastAsia="zh-CN"/>
              </w:rPr>
              <w:t>）</w:t>
            </w:r>
          </w:p>
          <w:bookmarkEnd w:id="10"/>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705"/>
              <w:gridCol w:w="1385"/>
              <w:gridCol w:w="1385"/>
              <w:gridCol w:w="1385"/>
              <w:gridCol w:w="1386"/>
            </w:tblGrid>
            <w:tr w14:paraId="2F34BE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noWrap w:val="0"/>
                  <w:vAlign w:val="center"/>
                </w:tcPr>
                <w:p w14:paraId="0A878E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b/>
                      <w:bCs/>
                      <w:sz w:val="21"/>
                      <w:szCs w:val="21"/>
                      <w:u w:val="single"/>
                      <w:vertAlign w:val="baseline"/>
                      <w:lang w:val="en-US" w:eastAsia="zh-CN"/>
                    </w:rPr>
                  </w:pPr>
                  <w:r>
                    <w:rPr>
                      <w:rFonts w:hint="eastAsia" w:ascii="Times New Roman" w:hAnsi="Times New Roman"/>
                      <w:b/>
                      <w:bCs/>
                      <w:sz w:val="21"/>
                      <w:szCs w:val="21"/>
                      <w:u w:val="single"/>
                      <w:vertAlign w:val="baseline"/>
                      <w:lang w:val="en-US" w:eastAsia="zh-CN"/>
                    </w:rPr>
                    <w:t>类别</w:t>
                  </w:r>
                </w:p>
              </w:tc>
              <w:tc>
                <w:tcPr>
                  <w:tcW w:w="1695" w:type="dxa"/>
                  <w:noWrap w:val="0"/>
                  <w:vAlign w:val="center"/>
                </w:tcPr>
                <w:p w14:paraId="1DA1A3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b/>
                      <w:bCs/>
                      <w:sz w:val="21"/>
                      <w:szCs w:val="21"/>
                      <w:u w:val="single"/>
                      <w:vertAlign w:val="baseline"/>
                    </w:rPr>
                  </w:pPr>
                  <w:r>
                    <w:rPr>
                      <w:rFonts w:hint="eastAsia" w:ascii="Times New Roman" w:hAnsi="Times New Roman"/>
                      <w:b/>
                      <w:bCs/>
                      <w:sz w:val="21"/>
                      <w:szCs w:val="21"/>
                      <w:u w:val="single"/>
                      <w:vertAlign w:val="baseline"/>
                    </w:rPr>
                    <w:t>原料名称</w:t>
                  </w:r>
                </w:p>
              </w:tc>
              <w:tc>
                <w:tcPr>
                  <w:tcW w:w="1378" w:type="dxa"/>
                  <w:noWrap w:val="0"/>
                  <w:vAlign w:val="center"/>
                </w:tcPr>
                <w:p w14:paraId="165A9E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b/>
                      <w:bCs/>
                      <w:sz w:val="21"/>
                      <w:szCs w:val="21"/>
                      <w:u w:val="single"/>
                      <w:vertAlign w:val="baseline"/>
                    </w:rPr>
                  </w:pPr>
                  <w:r>
                    <w:rPr>
                      <w:rFonts w:hint="eastAsia" w:ascii="Times New Roman" w:hAnsi="Times New Roman"/>
                      <w:b/>
                      <w:bCs/>
                      <w:sz w:val="21"/>
                      <w:szCs w:val="21"/>
                      <w:u w:val="single"/>
                      <w:vertAlign w:val="baseline"/>
                    </w:rPr>
                    <w:t>规格</w:t>
                  </w:r>
                </w:p>
              </w:tc>
              <w:tc>
                <w:tcPr>
                  <w:tcW w:w="1378" w:type="dxa"/>
                  <w:noWrap w:val="0"/>
                  <w:vAlign w:val="center"/>
                </w:tcPr>
                <w:p w14:paraId="2C07A9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b/>
                      <w:bCs/>
                      <w:sz w:val="21"/>
                      <w:szCs w:val="21"/>
                      <w:u w:val="single"/>
                      <w:vertAlign w:val="baseline"/>
                    </w:rPr>
                  </w:pPr>
                  <w:r>
                    <w:rPr>
                      <w:rFonts w:hint="eastAsia" w:ascii="Times New Roman" w:hAnsi="Times New Roman"/>
                      <w:b/>
                      <w:bCs/>
                      <w:sz w:val="21"/>
                      <w:szCs w:val="21"/>
                      <w:u w:val="single"/>
                      <w:vertAlign w:val="baseline"/>
                    </w:rPr>
                    <w:t>年耗用量</w:t>
                  </w:r>
                </w:p>
              </w:tc>
              <w:tc>
                <w:tcPr>
                  <w:tcW w:w="1378" w:type="dxa"/>
                  <w:noWrap w:val="0"/>
                  <w:vAlign w:val="center"/>
                </w:tcPr>
                <w:p w14:paraId="1D2506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b/>
                      <w:bCs/>
                      <w:sz w:val="21"/>
                      <w:szCs w:val="21"/>
                      <w:u w:val="single"/>
                      <w:vertAlign w:val="baseline"/>
                    </w:rPr>
                  </w:pPr>
                  <w:r>
                    <w:rPr>
                      <w:rFonts w:hint="eastAsia" w:ascii="Times New Roman" w:hAnsi="Times New Roman"/>
                      <w:b/>
                      <w:bCs/>
                      <w:sz w:val="21"/>
                      <w:szCs w:val="21"/>
                      <w:u w:val="single"/>
                      <w:vertAlign w:val="baseline"/>
                    </w:rPr>
                    <w:t>单位</w:t>
                  </w:r>
                </w:p>
              </w:tc>
              <w:tc>
                <w:tcPr>
                  <w:tcW w:w="1378" w:type="dxa"/>
                  <w:noWrap w:val="0"/>
                  <w:vAlign w:val="center"/>
                </w:tcPr>
                <w:p w14:paraId="1341B3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b/>
                      <w:bCs/>
                      <w:sz w:val="21"/>
                      <w:szCs w:val="21"/>
                      <w:u w:val="single"/>
                      <w:vertAlign w:val="baseline"/>
                      <w:lang w:val="en-US" w:eastAsia="zh-CN"/>
                    </w:rPr>
                  </w:pPr>
                  <w:r>
                    <w:rPr>
                      <w:rFonts w:hint="eastAsia" w:ascii="Times New Roman" w:hAnsi="Times New Roman"/>
                      <w:b/>
                      <w:bCs/>
                      <w:sz w:val="21"/>
                      <w:szCs w:val="21"/>
                      <w:u w:val="single"/>
                      <w:vertAlign w:val="baseline"/>
                      <w:lang w:val="en-US" w:eastAsia="zh-CN"/>
                    </w:rPr>
                    <w:t>备注</w:t>
                  </w:r>
                </w:p>
              </w:tc>
            </w:tr>
            <w:tr w14:paraId="4F05B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7C1B07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高血压类</w:t>
                  </w:r>
                </w:p>
              </w:tc>
              <w:tc>
                <w:tcPr>
                  <w:tcW w:w="1695" w:type="dxa"/>
                  <w:noWrap w:val="0"/>
                  <w:vAlign w:val="center"/>
                </w:tcPr>
                <w:p w14:paraId="70A40B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苯磺酸氨氯地平片 </w:t>
                  </w:r>
                </w:p>
              </w:tc>
              <w:tc>
                <w:tcPr>
                  <w:tcW w:w="1378" w:type="dxa"/>
                  <w:noWrap w:val="0"/>
                  <w:vAlign w:val="center"/>
                </w:tcPr>
                <w:p w14:paraId="0C9157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5mg*14 </w:t>
                  </w:r>
                </w:p>
              </w:tc>
              <w:tc>
                <w:tcPr>
                  <w:tcW w:w="1378" w:type="dxa"/>
                  <w:noWrap w:val="0"/>
                  <w:vAlign w:val="center"/>
                </w:tcPr>
                <w:p w14:paraId="7670A6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100</w:t>
                  </w:r>
                </w:p>
              </w:tc>
              <w:tc>
                <w:tcPr>
                  <w:tcW w:w="1378" w:type="dxa"/>
                  <w:noWrap w:val="0"/>
                  <w:vAlign w:val="center"/>
                </w:tcPr>
                <w:p w14:paraId="50A01D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restart"/>
                  <w:noWrap w:val="0"/>
                  <w:vAlign w:val="center"/>
                </w:tcPr>
                <w:p w14:paraId="79016E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实际用量视就诊情况而定</w:t>
                  </w:r>
                </w:p>
              </w:tc>
            </w:tr>
            <w:tr w14:paraId="721C47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260724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20BEC4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厄贝沙坦氢氯噻嗪片</w:t>
                  </w:r>
                </w:p>
              </w:tc>
              <w:tc>
                <w:tcPr>
                  <w:tcW w:w="1378" w:type="dxa"/>
                  <w:noWrap w:val="0"/>
                  <w:vAlign w:val="center"/>
                </w:tcPr>
                <w:p w14:paraId="16BCCA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12.5mg*7 片</w:t>
                  </w:r>
                </w:p>
              </w:tc>
              <w:tc>
                <w:tcPr>
                  <w:tcW w:w="1378" w:type="dxa"/>
                  <w:noWrap w:val="0"/>
                  <w:vAlign w:val="center"/>
                </w:tcPr>
                <w:p w14:paraId="5E345D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40DBE1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5728A2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5BFCE4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757CC7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66F900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酒石酸美托洛尔片</w:t>
                  </w:r>
                </w:p>
              </w:tc>
              <w:tc>
                <w:tcPr>
                  <w:tcW w:w="1378" w:type="dxa"/>
                  <w:noWrap w:val="0"/>
                  <w:vAlign w:val="center"/>
                </w:tcPr>
                <w:p w14:paraId="38FE03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25mg*20 片</w:t>
                  </w:r>
                </w:p>
              </w:tc>
              <w:tc>
                <w:tcPr>
                  <w:tcW w:w="1378" w:type="dxa"/>
                  <w:noWrap w:val="0"/>
                  <w:vAlign w:val="center"/>
                </w:tcPr>
                <w:p w14:paraId="61D995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100</w:t>
                  </w:r>
                </w:p>
              </w:tc>
              <w:tc>
                <w:tcPr>
                  <w:tcW w:w="1378" w:type="dxa"/>
                  <w:noWrap w:val="0"/>
                  <w:vAlign w:val="center"/>
                </w:tcPr>
                <w:p w14:paraId="32AB56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4AD704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065F84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1DB16D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6381F3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马来酸依那普利</w:t>
                  </w:r>
                </w:p>
              </w:tc>
              <w:tc>
                <w:tcPr>
                  <w:tcW w:w="1378" w:type="dxa"/>
                  <w:noWrap w:val="0"/>
                  <w:vAlign w:val="center"/>
                </w:tcPr>
                <w:p w14:paraId="3E86F3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10mg*16 片</w:t>
                  </w:r>
                </w:p>
              </w:tc>
              <w:tc>
                <w:tcPr>
                  <w:tcW w:w="1378" w:type="dxa"/>
                  <w:noWrap w:val="0"/>
                  <w:vAlign w:val="center"/>
                </w:tcPr>
                <w:p w14:paraId="26D259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18BF32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685002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6ED57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568190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622372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硝苯地平控释片</w:t>
                  </w:r>
                </w:p>
              </w:tc>
              <w:tc>
                <w:tcPr>
                  <w:tcW w:w="1378" w:type="dxa"/>
                  <w:noWrap w:val="0"/>
                  <w:vAlign w:val="center"/>
                </w:tcPr>
                <w:p w14:paraId="2350F4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30mg*7 片</w:t>
                  </w:r>
                </w:p>
              </w:tc>
              <w:tc>
                <w:tcPr>
                  <w:tcW w:w="1378" w:type="dxa"/>
                  <w:noWrap w:val="0"/>
                  <w:vAlign w:val="center"/>
                </w:tcPr>
                <w:p w14:paraId="6524B0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40</w:t>
                  </w:r>
                </w:p>
              </w:tc>
              <w:tc>
                <w:tcPr>
                  <w:tcW w:w="1378" w:type="dxa"/>
                  <w:noWrap w:val="0"/>
                  <w:vAlign w:val="center"/>
                </w:tcPr>
                <w:p w14:paraId="67AB1A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59934D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7F921A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380A20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1849BC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珍菊降压片</w:t>
                  </w:r>
                </w:p>
              </w:tc>
              <w:tc>
                <w:tcPr>
                  <w:tcW w:w="1378" w:type="dxa"/>
                  <w:noWrap w:val="0"/>
                  <w:vAlign w:val="center"/>
                </w:tcPr>
                <w:p w14:paraId="0B1626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0.25g*60 片</w:t>
                  </w:r>
                </w:p>
              </w:tc>
              <w:tc>
                <w:tcPr>
                  <w:tcW w:w="1378" w:type="dxa"/>
                  <w:noWrap w:val="0"/>
                  <w:vAlign w:val="center"/>
                </w:tcPr>
                <w:p w14:paraId="3F0172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27B2C4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19A442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6C465C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2DF944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高血脂类</w:t>
                  </w:r>
                </w:p>
              </w:tc>
              <w:tc>
                <w:tcPr>
                  <w:tcW w:w="1695" w:type="dxa"/>
                  <w:noWrap w:val="0"/>
                  <w:vAlign w:val="center"/>
                </w:tcPr>
                <w:p w14:paraId="65E633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阿托伐他汀钙片</w:t>
                  </w:r>
                </w:p>
              </w:tc>
              <w:tc>
                <w:tcPr>
                  <w:tcW w:w="1378" w:type="dxa"/>
                  <w:noWrap w:val="0"/>
                  <w:vAlign w:val="center"/>
                </w:tcPr>
                <w:p w14:paraId="131C48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10mg*7 片</w:t>
                  </w:r>
                </w:p>
              </w:tc>
              <w:tc>
                <w:tcPr>
                  <w:tcW w:w="1378" w:type="dxa"/>
                  <w:noWrap w:val="0"/>
                  <w:vAlign w:val="center"/>
                </w:tcPr>
                <w:p w14:paraId="45EB46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23B9E8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67CD55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2B4E5B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00D4D4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3CF0EC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瑞舒伐他汀钙片</w:t>
                  </w:r>
                </w:p>
              </w:tc>
              <w:tc>
                <w:tcPr>
                  <w:tcW w:w="1378" w:type="dxa"/>
                  <w:noWrap w:val="0"/>
                  <w:vAlign w:val="center"/>
                </w:tcPr>
                <w:p w14:paraId="3D0449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10mg*14 片</w:t>
                  </w:r>
                </w:p>
              </w:tc>
              <w:tc>
                <w:tcPr>
                  <w:tcW w:w="1378" w:type="dxa"/>
                  <w:noWrap w:val="0"/>
                  <w:vAlign w:val="center"/>
                </w:tcPr>
                <w:p w14:paraId="674AAB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7B4616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2E4CF5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508355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54B294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7E5775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硫酸氢氯吡格雷片</w:t>
                  </w:r>
                </w:p>
              </w:tc>
              <w:tc>
                <w:tcPr>
                  <w:tcW w:w="1378" w:type="dxa"/>
                  <w:noWrap w:val="0"/>
                  <w:vAlign w:val="center"/>
                </w:tcPr>
                <w:p w14:paraId="6BFE4D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75mg*7 片</w:t>
                  </w:r>
                </w:p>
              </w:tc>
              <w:tc>
                <w:tcPr>
                  <w:tcW w:w="1378" w:type="dxa"/>
                  <w:noWrap w:val="0"/>
                  <w:vAlign w:val="center"/>
                </w:tcPr>
                <w:p w14:paraId="12BCB0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3FE57B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51303C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32757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06E5DD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糖尿病类</w:t>
                  </w:r>
                </w:p>
              </w:tc>
              <w:tc>
                <w:tcPr>
                  <w:tcW w:w="1695" w:type="dxa"/>
                  <w:noWrap w:val="0"/>
                  <w:vAlign w:val="center"/>
                </w:tcPr>
                <w:p w14:paraId="3D28CA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阿卡波糖片</w:t>
                  </w:r>
                </w:p>
              </w:tc>
              <w:tc>
                <w:tcPr>
                  <w:tcW w:w="1378" w:type="dxa"/>
                  <w:noWrap w:val="0"/>
                  <w:vAlign w:val="center"/>
                </w:tcPr>
                <w:p w14:paraId="5F948B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50mg*30 片</w:t>
                  </w:r>
                </w:p>
              </w:tc>
              <w:tc>
                <w:tcPr>
                  <w:tcW w:w="1378" w:type="dxa"/>
                  <w:noWrap w:val="0"/>
                  <w:vAlign w:val="center"/>
                </w:tcPr>
                <w:p w14:paraId="6C8F51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sz w:val="21"/>
                      <w:szCs w:val="21"/>
                      <w:u w:val="single"/>
                      <w:vertAlign w:val="baseline"/>
                      <w:lang w:val="en-US" w:eastAsia="zh-CN"/>
                    </w:rPr>
                    <w:t>20</w:t>
                  </w:r>
                </w:p>
              </w:tc>
              <w:tc>
                <w:tcPr>
                  <w:tcW w:w="1378" w:type="dxa"/>
                  <w:noWrap w:val="0"/>
                  <w:vAlign w:val="center"/>
                </w:tcPr>
                <w:p w14:paraId="6813F6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79ABCB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7DB61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3E543D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52EAAA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胰岛素注射液</w:t>
                  </w:r>
                </w:p>
              </w:tc>
              <w:tc>
                <w:tcPr>
                  <w:tcW w:w="1378" w:type="dxa"/>
                  <w:noWrap w:val="0"/>
                  <w:vAlign w:val="center"/>
                </w:tcPr>
                <w:p w14:paraId="6DE568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10ml</w:t>
                  </w:r>
                  <w:r>
                    <w:rPr>
                      <w:rFonts w:hint="eastAsia" w:ascii="Times New Roman" w:hAnsi="Times New Roman"/>
                      <w:sz w:val="21"/>
                      <w:szCs w:val="21"/>
                      <w:u w:val="single"/>
                      <w:vertAlign w:val="baseline"/>
                      <w:lang w:eastAsia="zh-CN"/>
                    </w:rPr>
                    <w:t>；</w:t>
                  </w:r>
                  <w:r>
                    <w:rPr>
                      <w:rFonts w:hint="eastAsia" w:ascii="Times New Roman" w:hAnsi="Times New Roman"/>
                      <w:sz w:val="21"/>
                      <w:szCs w:val="21"/>
                      <w:u w:val="single"/>
                      <w:vertAlign w:val="baseline"/>
                    </w:rPr>
                    <w:t>400 单位*2支</w:t>
                  </w:r>
                </w:p>
              </w:tc>
              <w:tc>
                <w:tcPr>
                  <w:tcW w:w="1378" w:type="dxa"/>
                  <w:noWrap w:val="0"/>
                  <w:vAlign w:val="center"/>
                </w:tcPr>
                <w:p w14:paraId="32C1B7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100</w:t>
                  </w:r>
                </w:p>
              </w:tc>
              <w:tc>
                <w:tcPr>
                  <w:tcW w:w="1378" w:type="dxa"/>
                  <w:noWrap w:val="0"/>
                  <w:vAlign w:val="center"/>
                </w:tcPr>
                <w:p w14:paraId="57E333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643F1F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28E4D5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1061" w:type="dxa"/>
                  <w:vMerge w:val="continue"/>
                  <w:noWrap w:val="0"/>
                  <w:vAlign w:val="center"/>
                </w:tcPr>
                <w:p w14:paraId="1BC340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6C1B02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伏格列波糖片</w:t>
                  </w:r>
                </w:p>
              </w:tc>
              <w:tc>
                <w:tcPr>
                  <w:tcW w:w="1378" w:type="dxa"/>
                  <w:noWrap w:val="0"/>
                  <w:vAlign w:val="center"/>
                </w:tcPr>
                <w:p w14:paraId="02AB3A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0.2mg*40 片</w:t>
                  </w:r>
                </w:p>
              </w:tc>
              <w:tc>
                <w:tcPr>
                  <w:tcW w:w="1378" w:type="dxa"/>
                  <w:noWrap w:val="0"/>
                  <w:vAlign w:val="center"/>
                </w:tcPr>
                <w:p w14:paraId="617E18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7F0B4E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041DDE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3DFBE9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144E3C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74A7CE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瑞格列奈片</w:t>
                  </w:r>
                </w:p>
              </w:tc>
              <w:tc>
                <w:tcPr>
                  <w:tcW w:w="1378" w:type="dxa"/>
                  <w:noWrap w:val="0"/>
                  <w:vAlign w:val="center"/>
                </w:tcPr>
                <w:p w14:paraId="5AA47C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0.5mg*60 片</w:t>
                  </w:r>
                </w:p>
              </w:tc>
              <w:tc>
                <w:tcPr>
                  <w:tcW w:w="1378" w:type="dxa"/>
                  <w:noWrap w:val="0"/>
                  <w:vAlign w:val="center"/>
                </w:tcPr>
                <w:p w14:paraId="20B541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100</w:t>
                  </w:r>
                </w:p>
              </w:tc>
              <w:tc>
                <w:tcPr>
                  <w:tcW w:w="1378" w:type="dxa"/>
                  <w:noWrap w:val="0"/>
                  <w:vAlign w:val="center"/>
                </w:tcPr>
                <w:p w14:paraId="5BC636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64F08C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4CEB1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1E6D34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16D20E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精蛋白重组人胰岛素混合注射液</w:t>
                  </w:r>
                </w:p>
              </w:tc>
              <w:tc>
                <w:tcPr>
                  <w:tcW w:w="1378" w:type="dxa"/>
                  <w:noWrap w:val="0"/>
                  <w:vAlign w:val="center"/>
                </w:tcPr>
                <w:p w14:paraId="471A60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300IU：3ml</w:t>
                  </w:r>
                </w:p>
              </w:tc>
              <w:tc>
                <w:tcPr>
                  <w:tcW w:w="1378" w:type="dxa"/>
                  <w:noWrap w:val="0"/>
                  <w:vAlign w:val="center"/>
                </w:tcPr>
                <w:p w14:paraId="3C74EE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100</w:t>
                  </w:r>
                </w:p>
              </w:tc>
              <w:tc>
                <w:tcPr>
                  <w:tcW w:w="1378" w:type="dxa"/>
                  <w:noWrap w:val="0"/>
                  <w:vAlign w:val="center"/>
                </w:tcPr>
                <w:p w14:paraId="742B7E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0331C2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1D56CB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72D0B1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526BDF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盐酸二甲双胍片</w:t>
                  </w:r>
                </w:p>
              </w:tc>
              <w:tc>
                <w:tcPr>
                  <w:tcW w:w="1378" w:type="dxa"/>
                  <w:noWrap w:val="0"/>
                  <w:vAlign w:val="center"/>
                </w:tcPr>
                <w:p w14:paraId="15991E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0.25g*48 片</w:t>
                  </w:r>
                </w:p>
              </w:tc>
              <w:tc>
                <w:tcPr>
                  <w:tcW w:w="1378" w:type="dxa"/>
                  <w:noWrap w:val="0"/>
                  <w:vAlign w:val="center"/>
                </w:tcPr>
                <w:p w14:paraId="78E35B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100</w:t>
                  </w:r>
                </w:p>
              </w:tc>
              <w:tc>
                <w:tcPr>
                  <w:tcW w:w="1378" w:type="dxa"/>
                  <w:noWrap w:val="0"/>
                  <w:vAlign w:val="center"/>
                </w:tcPr>
                <w:p w14:paraId="341D6B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瓶</w:t>
                  </w:r>
                </w:p>
              </w:tc>
              <w:tc>
                <w:tcPr>
                  <w:tcW w:w="1378" w:type="dxa"/>
                  <w:vMerge w:val="continue"/>
                  <w:noWrap w:val="0"/>
                  <w:vAlign w:val="center"/>
                </w:tcPr>
                <w:p w14:paraId="0E4A9D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1C600B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1B831D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心脑血管类</w:t>
                  </w:r>
                </w:p>
              </w:tc>
              <w:tc>
                <w:tcPr>
                  <w:tcW w:w="1695" w:type="dxa"/>
                  <w:noWrap w:val="0"/>
                  <w:vAlign w:val="center"/>
                </w:tcPr>
                <w:p w14:paraId="54D515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稳心颗粒</w:t>
                  </w:r>
                </w:p>
              </w:tc>
              <w:tc>
                <w:tcPr>
                  <w:tcW w:w="1378" w:type="dxa"/>
                  <w:noWrap w:val="0"/>
                  <w:vAlign w:val="center"/>
                </w:tcPr>
                <w:p w14:paraId="742D2E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5g*9 袋 </w:t>
                  </w:r>
                </w:p>
              </w:tc>
              <w:tc>
                <w:tcPr>
                  <w:tcW w:w="1378" w:type="dxa"/>
                  <w:noWrap w:val="0"/>
                  <w:vAlign w:val="center"/>
                </w:tcPr>
                <w:p w14:paraId="020724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30</w:t>
                  </w:r>
                </w:p>
              </w:tc>
              <w:tc>
                <w:tcPr>
                  <w:tcW w:w="1378" w:type="dxa"/>
                  <w:noWrap w:val="0"/>
                  <w:vAlign w:val="center"/>
                </w:tcPr>
                <w:p w14:paraId="5FAC71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57C377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02C253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515753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793B2D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血塞通滴丸</w:t>
                  </w:r>
                </w:p>
              </w:tc>
              <w:tc>
                <w:tcPr>
                  <w:tcW w:w="1378" w:type="dxa"/>
                  <w:noWrap w:val="0"/>
                  <w:vAlign w:val="center"/>
                </w:tcPr>
                <w:p w14:paraId="474744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300 丸</w:t>
                  </w:r>
                </w:p>
              </w:tc>
              <w:tc>
                <w:tcPr>
                  <w:tcW w:w="1378" w:type="dxa"/>
                  <w:noWrap w:val="0"/>
                  <w:vAlign w:val="center"/>
                </w:tcPr>
                <w:p w14:paraId="7315D7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23F9E7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瓶</w:t>
                  </w:r>
                </w:p>
              </w:tc>
              <w:tc>
                <w:tcPr>
                  <w:tcW w:w="1378" w:type="dxa"/>
                  <w:vMerge w:val="continue"/>
                  <w:noWrap w:val="0"/>
                  <w:vAlign w:val="center"/>
                </w:tcPr>
                <w:p w14:paraId="228BA1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3A07F2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3A611D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16275C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血塞通软胶囊</w:t>
                  </w:r>
                </w:p>
              </w:tc>
              <w:tc>
                <w:tcPr>
                  <w:tcW w:w="1378" w:type="dxa"/>
                  <w:noWrap w:val="0"/>
                  <w:vAlign w:val="center"/>
                </w:tcPr>
                <w:p w14:paraId="572F52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0.33g*24 粒</w:t>
                  </w:r>
                </w:p>
              </w:tc>
              <w:tc>
                <w:tcPr>
                  <w:tcW w:w="1378" w:type="dxa"/>
                  <w:noWrap w:val="0"/>
                  <w:vAlign w:val="center"/>
                </w:tcPr>
                <w:p w14:paraId="23A839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100</w:t>
                  </w:r>
                </w:p>
              </w:tc>
              <w:tc>
                <w:tcPr>
                  <w:tcW w:w="1378" w:type="dxa"/>
                  <w:noWrap w:val="0"/>
                  <w:vAlign w:val="center"/>
                </w:tcPr>
                <w:p w14:paraId="450EDD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3E7ACA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1CBEB0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14D2AE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2CEF80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单硝酸异山梨酯片</w:t>
                  </w:r>
                </w:p>
              </w:tc>
              <w:tc>
                <w:tcPr>
                  <w:tcW w:w="1378" w:type="dxa"/>
                  <w:noWrap w:val="0"/>
                  <w:vAlign w:val="center"/>
                </w:tcPr>
                <w:p w14:paraId="289B3D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20mg*48 </w:t>
                  </w:r>
                </w:p>
              </w:tc>
              <w:tc>
                <w:tcPr>
                  <w:tcW w:w="1378" w:type="dxa"/>
                  <w:noWrap w:val="0"/>
                  <w:vAlign w:val="center"/>
                </w:tcPr>
                <w:p w14:paraId="6A423E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100</w:t>
                  </w:r>
                </w:p>
              </w:tc>
              <w:tc>
                <w:tcPr>
                  <w:tcW w:w="1378" w:type="dxa"/>
                  <w:noWrap w:val="0"/>
                  <w:vAlign w:val="center"/>
                </w:tcPr>
                <w:p w14:paraId="1D8695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6765A2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7F44EB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43A443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305103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利脑心胶囊 </w:t>
                  </w:r>
                </w:p>
              </w:tc>
              <w:tc>
                <w:tcPr>
                  <w:tcW w:w="1378" w:type="dxa"/>
                  <w:noWrap w:val="0"/>
                  <w:vAlign w:val="center"/>
                </w:tcPr>
                <w:p w14:paraId="4251C5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0.25g*72 粒</w:t>
                  </w:r>
                </w:p>
              </w:tc>
              <w:tc>
                <w:tcPr>
                  <w:tcW w:w="1378" w:type="dxa"/>
                  <w:noWrap w:val="0"/>
                  <w:vAlign w:val="center"/>
                </w:tcPr>
                <w:p w14:paraId="17EAA4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100</w:t>
                  </w:r>
                </w:p>
              </w:tc>
              <w:tc>
                <w:tcPr>
                  <w:tcW w:w="1378" w:type="dxa"/>
                  <w:noWrap w:val="0"/>
                  <w:vAlign w:val="center"/>
                </w:tcPr>
                <w:p w14:paraId="2C7E6C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瓶</w:t>
                  </w:r>
                </w:p>
              </w:tc>
              <w:tc>
                <w:tcPr>
                  <w:tcW w:w="1378" w:type="dxa"/>
                  <w:vMerge w:val="continue"/>
                  <w:noWrap w:val="0"/>
                  <w:vAlign w:val="center"/>
                </w:tcPr>
                <w:p w14:paraId="2313F9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35E246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7CD259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44219E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盐酸氟桂利嗪胶囊</w:t>
                  </w:r>
                </w:p>
              </w:tc>
              <w:tc>
                <w:tcPr>
                  <w:tcW w:w="1378" w:type="dxa"/>
                  <w:noWrap w:val="0"/>
                  <w:vAlign w:val="center"/>
                </w:tcPr>
                <w:p w14:paraId="06FCB2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5mg*60 粒</w:t>
                  </w:r>
                </w:p>
              </w:tc>
              <w:tc>
                <w:tcPr>
                  <w:tcW w:w="1378" w:type="dxa"/>
                  <w:noWrap w:val="0"/>
                  <w:vAlign w:val="center"/>
                </w:tcPr>
                <w:p w14:paraId="7BCFD9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6347D5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3C3935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2C4A20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27542D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04FF2D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盐酸贝那普利片</w:t>
                  </w:r>
                </w:p>
              </w:tc>
              <w:tc>
                <w:tcPr>
                  <w:tcW w:w="1378" w:type="dxa"/>
                  <w:noWrap w:val="0"/>
                  <w:vAlign w:val="center"/>
                </w:tcPr>
                <w:p w14:paraId="537CCB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10mg*14 片</w:t>
                  </w:r>
                </w:p>
              </w:tc>
              <w:tc>
                <w:tcPr>
                  <w:tcW w:w="1378" w:type="dxa"/>
                  <w:noWrap w:val="0"/>
                  <w:vAlign w:val="center"/>
                </w:tcPr>
                <w:p w14:paraId="2FEE10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01BAB9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6C1BD2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3F446D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52E0BD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便秘类药/通便类药</w:t>
                  </w:r>
                </w:p>
              </w:tc>
              <w:tc>
                <w:tcPr>
                  <w:tcW w:w="1695" w:type="dxa"/>
                  <w:noWrap w:val="0"/>
                  <w:vAlign w:val="center"/>
                </w:tcPr>
                <w:p w14:paraId="589A50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开塞露</w:t>
                  </w:r>
                </w:p>
              </w:tc>
              <w:tc>
                <w:tcPr>
                  <w:tcW w:w="1378" w:type="dxa"/>
                  <w:noWrap w:val="0"/>
                  <w:vAlign w:val="center"/>
                </w:tcPr>
                <w:p w14:paraId="6F5148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u w:val="single"/>
                    </w:rPr>
                    <w:t>20ml*1 支</w:t>
                  </w:r>
                </w:p>
              </w:tc>
              <w:tc>
                <w:tcPr>
                  <w:tcW w:w="1378" w:type="dxa"/>
                  <w:noWrap w:val="0"/>
                  <w:vAlign w:val="center"/>
                </w:tcPr>
                <w:p w14:paraId="62AFAF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u w:val="single"/>
                      <w:lang w:val="en-US" w:eastAsia="zh-CN"/>
                    </w:rPr>
                    <w:t>50</w:t>
                  </w:r>
                </w:p>
              </w:tc>
              <w:tc>
                <w:tcPr>
                  <w:tcW w:w="1378" w:type="dxa"/>
                  <w:noWrap w:val="0"/>
                  <w:vAlign w:val="center"/>
                </w:tcPr>
                <w:p w14:paraId="145868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440E85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1020A6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749D89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340111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马应龙麝香痔疮膏</w:t>
                  </w:r>
                </w:p>
              </w:tc>
              <w:tc>
                <w:tcPr>
                  <w:tcW w:w="1378" w:type="dxa"/>
                  <w:noWrap w:val="0"/>
                  <w:vAlign w:val="center"/>
                </w:tcPr>
                <w:p w14:paraId="09A9E2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20g</w:t>
                  </w:r>
                </w:p>
              </w:tc>
              <w:tc>
                <w:tcPr>
                  <w:tcW w:w="1378" w:type="dxa"/>
                  <w:noWrap w:val="0"/>
                  <w:vAlign w:val="center"/>
                </w:tcPr>
                <w:p w14:paraId="2B984C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0C8206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109D25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438CE2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0D8D1A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2C85CA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蒙脱石散</w:t>
                  </w:r>
                </w:p>
              </w:tc>
              <w:tc>
                <w:tcPr>
                  <w:tcW w:w="1378" w:type="dxa"/>
                  <w:noWrap w:val="0"/>
                  <w:vAlign w:val="center"/>
                </w:tcPr>
                <w:p w14:paraId="3E551B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3g*10 袋</w:t>
                  </w:r>
                </w:p>
              </w:tc>
              <w:tc>
                <w:tcPr>
                  <w:tcW w:w="1378" w:type="dxa"/>
                  <w:noWrap w:val="0"/>
                  <w:vAlign w:val="center"/>
                </w:tcPr>
                <w:p w14:paraId="59CF1B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166A8D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3531D8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1D6F2D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2CB823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5221E5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u w:val="single"/>
                    </w:rPr>
                    <w:t>通便灵胶囊</w:t>
                  </w:r>
                </w:p>
              </w:tc>
              <w:tc>
                <w:tcPr>
                  <w:tcW w:w="1378" w:type="dxa"/>
                  <w:noWrap w:val="0"/>
                  <w:vAlign w:val="center"/>
                </w:tcPr>
                <w:p w14:paraId="15A076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u w:val="single"/>
                    </w:rPr>
                    <w:t xml:space="preserve">0.25g*24 粒 </w:t>
                  </w:r>
                </w:p>
              </w:tc>
              <w:tc>
                <w:tcPr>
                  <w:tcW w:w="1378" w:type="dxa"/>
                  <w:noWrap w:val="0"/>
                  <w:vAlign w:val="center"/>
                </w:tcPr>
                <w:p w14:paraId="2B55FE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189E9B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0A1881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5D6C1B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0E98F1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利尿剂</w:t>
                  </w:r>
                </w:p>
              </w:tc>
              <w:tc>
                <w:tcPr>
                  <w:tcW w:w="1695" w:type="dxa"/>
                  <w:noWrap w:val="0"/>
                  <w:vAlign w:val="center"/>
                </w:tcPr>
                <w:p w14:paraId="252643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呋塞米片</w:t>
                  </w:r>
                </w:p>
              </w:tc>
              <w:tc>
                <w:tcPr>
                  <w:tcW w:w="1378" w:type="dxa"/>
                  <w:noWrap w:val="0"/>
                  <w:vAlign w:val="center"/>
                </w:tcPr>
                <w:p w14:paraId="6270FD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20mg*100 片</w:t>
                  </w:r>
                </w:p>
              </w:tc>
              <w:tc>
                <w:tcPr>
                  <w:tcW w:w="1378" w:type="dxa"/>
                  <w:noWrap w:val="0"/>
                  <w:vAlign w:val="center"/>
                </w:tcPr>
                <w:p w14:paraId="6E2CEF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67B21C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瓶</w:t>
                  </w:r>
                </w:p>
              </w:tc>
              <w:tc>
                <w:tcPr>
                  <w:tcW w:w="1378" w:type="dxa"/>
                  <w:vMerge w:val="continue"/>
                  <w:noWrap w:val="0"/>
                  <w:vAlign w:val="center"/>
                </w:tcPr>
                <w:p w14:paraId="62665D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51E423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754E68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41A9AF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呋塞米注射液</w:t>
                  </w:r>
                </w:p>
              </w:tc>
              <w:tc>
                <w:tcPr>
                  <w:tcW w:w="1378" w:type="dxa"/>
                  <w:noWrap w:val="0"/>
                  <w:vAlign w:val="center"/>
                </w:tcPr>
                <w:p w14:paraId="4BFB8B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2ml:20mg*10 支</w:t>
                  </w:r>
                </w:p>
              </w:tc>
              <w:tc>
                <w:tcPr>
                  <w:tcW w:w="1378" w:type="dxa"/>
                  <w:noWrap w:val="0"/>
                  <w:vAlign w:val="center"/>
                </w:tcPr>
                <w:p w14:paraId="717E30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4D3EF1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5C1075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2CFAF7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11964B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6E91DE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螺内酯片</w:t>
                  </w:r>
                </w:p>
              </w:tc>
              <w:tc>
                <w:tcPr>
                  <w:tcW w:w="1378" w:type="dxa"/>
                  <w:noWrap w:val="0"/>
                  <w:vAlign w:val="center"/>
                </w:tcPr>
                <w:p w14:paraId="5DFD84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20mg*100 片</w:t>
                  </w:r>
                </w:p>
              </w:tc>
              <w:tc>
                <w:tcPr>
                  <w:tcW w:w="1378" w:type="dxa"/>
                  <w:noWrap w:val="0"/>
                  <w:vAlign w:val="center"/>
                </w:tcPr>
                <w:p w14:paraId="419E22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61B95F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4EAF92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3BDD84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noWrap w:val="0"/>
                  <w:vAlign w:val="center"/>
                </w:tcPr>
                <w:p w14:paraId="15AE3B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抗过敏</w:t>
                  </w:r>
                </w:p>
              </w:tc>
              <w:tc>
                <w:tcPr>
                  <w:tcW w:w="1695" w:type="dxa"/>
                  <w:noWrap w:val="0"/>
                  <w:vAlign w:val="center"/>
                </w:tcPr>
                <w:p w14:paraId="4FDC36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氯雷他定片</w:t>
                  </w:r>
                </w:p>
              </w:tc>
              <w:tc>
                <w:tcPr>
                  <w:tcW w:w="1378" w:type="dxa"/>
                  <w:noWrap w:val="0"/>
                  <w:vAlign w:val="center"/>
                </w:tcPr>
                <w:p w14:paraId="05DBE9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10mg*14 粒</w:t>
                  </w:r>
                </w:p>
              </w:tc>
              <w:tc>
                <w:tcPr>
                  <w:tcW w:w="1378" w:type="dxa"/>
                  <w:noWrap w:val="0"/>
                  <w:vAlign w:val="center"/>
                </w:tcPr>
                <w:p w14:paraId="1B4FBD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0A0D5C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1BF910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63813C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25988C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抗生素类</w:t>
                  </w:r>
                </w:p>
              </w:tc>
              <w:tc>
                <w:tcPr>
                  <w:tcW w:w="1695" w:type="dxa"/>
                  <w:noWrap w:val="0"/>
                  <w:vAlign w:val="center"/>
                </w:tcPr>
                <w:p w14:paraId="7462DF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阿莫西林胶囊</w:t>
                  </w:r>
                </w:p>
              </w:tc>
              <w:tc>
                <w:tcPr>
                  <w:tcW w:w="1378" w:type="dxa"/>
                  <w:noWrap w:val="0"/>
                  <w:vAlign w:val="center"/>
                </w:tcPr>
                <w:p w14:paraId="4B8151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025g*24 粒</w:t>
                  </w:r>
                </w:p>
              </w:tc>
              <w:tc>
                <w:tcPr>
                  <w:tcW w:w="1378" w:type="dxa"/>
                  <w:noWrap w:val="0"/>
                  <w:vAlign w:val="center"/>
                </w:tcPr>
                <w:p w14:paraId="183C1C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40</w:t>
                  </w:r>
                </w:p>
              </w:tc>
              <w:tc>
                <w:tcPr>
                  <w:tcW w:w="1378" w:type="dxa"/>
                  <w:noWrap w:val="0"/>
                  <w:vAlign w:val="center"/>
                </w:tcPr>
                <w:p w14:paraId="60A9F9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48EB17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574DA9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5135AF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417E28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阿司匹林肠溶胶囊</w:t>
                  </w:r>
                </w:p>
              </w:tc>
              <w:tc>
                <w:tcPr>
                  <w:tcW w:w="1378" w:type="dxa"/>
                  <w:noWrap w:val="0"/>
                  <w:vAlign w:val="center"/>
                </w:tcPr>
                <w:p w14:paraId="5DB326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0.1g*30 粒</w:t>
                  </w:r>
                </w:p>
              </w:tc>
              <w:tc>
                <w:tcPr>
                  <w:tcW w:w="1378" w:type="dxa"/>
                  <w:noWrap w:val="0"/>
                  <w:vAlign w:val="center"/>
                </w:tcPr>
                <w:p w14:paraId="4723D5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sz w:val="21"/>
                      <w:szCs w:val="21"/>
                      <w:u w:val="single"/>
                      <w:vertAlign w:val="baseline"/>
                      <w:lang w:val="en-US" w:eastAsia="zh-CN"/>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57C66A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14677A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6FC077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37D9E4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04DD09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阿司匹林肠溶片</w:t>
                  </w:r>
                </w:p>
              </w:tc>
              <w:tc>
                <w:tcPr>
                  <w:tcW w:w="1378" w:type="dxa"/>
                  <w:noWrap w:val="0"/>
                  <w:vAlign w:val="center"/>
                </w:tcPr>
                <w:p w14:paraId="592394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100mg*48 片 </w:t>
                  </w:r>
                </w:p>
              </w:tc>
              <w:tc>
                <w:tcPr>
                  <w:tcW w:w="1378" w:type="dxa"/>
                  <w:noWrap w:val="0"/>
                  <w:vAlign w:val="center"/>
                </w:tcPr>
                <w:p w14:paraId="61FE03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36BD6E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3605A5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306715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390DDA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056380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头孢呋辛酯胶囊</w:t>
                  </w:r>
                </w:p>
              </w:tc>
              <w:tc>
                <w:tcPr>
                  <w:tcW w:w="1378" w:type="dxa"/>
                  <w:noWrap w:val="0"/>
                  <w:vAlign w:val="center"/>
                </w:tcPr>
                <w:p w14:paraId="0563C0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0.125g*12 粒 </w:t>
                  </w:r>
                </w:p>
              </w:tc>
              <w:tc>
                <w:tcPr>
                  <w:tcW w:w="1378" w:type="dxa"/>
                  <w:noWrap w:val="0"/>
                  <w:vAlign w:val="center"/>
                </w:tcPr>
                <w:p w14:paraId="429ACC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216A64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2890A3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091F3B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089F9D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0FAC3E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注射用阿奇霉素</w:t>
                  </w:r>
                </w:p>
              </w:tc>
              <w:tc>
                <w:tcPr>
                  <w:tcW w:w="1378" w:type="dxa"/>
                  <w:noWrap w:val="0"/>
                  <w:vAlign w:val="center"/>
                </w:tcPr>
                <w:p w14:paraId="12240F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0.25g*10 支</w:t>
                  </w:r>
                </w:p>
              </w:tc>
              <w:tc>
                <w:tcPr>
                  <w:tcW w:w="1378" w:type="dxa"/>
                  <w:noWrap w:val="0"/>
                  <w:vAlign w:val="center"/>
                </w:tcPr>
                <w:p w14:paraId="719751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7B567A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16C86D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1D0D90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232390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761C39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注射用氨曲南</w:t>
                  </w:r>
                </w:p>
              </w:tc>
              <w:tc>
                <w:tcPr>
                  <w:tcW w:w="1378" w:type="dxa"/>
                  <w:noWrap w:val="0"/>
                  <w:vAlign w:val="center"/>
                </w:tcPr>
                <w:p w14:paraId="03A19F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0.5g*10 瓶</w:t>
                  </w:r>
                </w:p>
              </w:tc>
              <w:tc>
                <w:tcPr>
                  <w:tcW w:w="1378" w:type="dxa"/>
                  <w:noWrap w:val="0"/>
                  <w:vAlign w:val="center"/>
                </w:tcPr>
                <w:p w14:paraId="7858FB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3836D8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2F9DB4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08402B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0495E8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54E4CE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注射用头孢噻肟钠 </w:t>
                  </w:r>
                </w:p>
              </w:tc>
              <w:tc>
                <w:tcPr>
                  <w:tcW w:w="1378" w:type="dxa"/>
                  <w:noWrap w:val="0"/>
                  <w:vAlign w:val="center"/>
                </w:tcPr>
                <w:p w14:paraId="53C7A7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1g</w:t>
                  </w:r>
                </w:p>
              </w:tc>
              <w:tc>
                <w:tcPr>
                  <w:tcW w:w="1378" w:type="dxa"/>
                  <w:noWrap w:val="0"/>
                  <w:vAlign w:val="center"/>
                </w:tcPr>
                <w:p w14:paraId="420844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32014D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瓶</w:t>
                  </w:r>
                </w:p>
              </w:tc>
              <w:tc>
                <w:tcPr>
                  <w:tcW w:w="1378" w:type="dxa"/>
                  <w:vMerge w:val="continue"/>
                  <w:noWrap w:val="0"/>
                  <w:vAlign w:val="center"/>
                </w:tcPr>
                <w:p w14:paraId="58C1C3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7C4CA6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294247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注射用药</w:t>
                  </w:r>
                </w:p>
              </w:tc>
              <w:tc>
                <w:tcPr>
                  <w:tcW w:w="1695" w:type="dxa"/>
                  <w:noWrap w:val="0"/>
                  <w:vAlign w:val="center"/>
                </w:tcPr>
                <w:p w14:paraId="1537DA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葛根素注射液</w:t>
                  </w:r>
                </w:p>
              </w:tc>
              <w:tc>
                <w:tcPr>
                  <w:tcW w:w="1378" w:type="dxa"/>
                  <w:noWrap w:val="0"/>
                  <w:vAlign w:val="center"/>
                </w:tcPr>
                <w:p w14:paraId="53EDD8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2ml:100mg</w:t>
                  </w:r>
                </w:p>
              </w:tc>
              <w:tc>
                <w:tcPr>
                  <w:tcW w:w="1378" w:type="dxa"/>
                  <w:noWrap w:val="0"/>
                  <w:vAlign w:val="center"/>
                </w:tcPr>
                <w:p w14:paraId="3BFD9F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5</w:t>
                  </w:r>
                </w:p>
              </w:tc>
              <w:tc>
                <w:tcPr>
                  <w:tcW w:w="1378" w:type="dxa"/>
                  <w:noWrap w:val="0"/>
                  <w:vAlign w:val="center"/>
                </w:tcPr>
                <w:p w14:paraId="456EB2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25597C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5921A9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25FDB1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60E7CC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盐酸氨溴索注射液</w:t>
                  </w:r>
                </w:p>
              </w:tc>
              <w:tc>
                <w:tcPr>
                  <w:tcW w:w="1378" w:type="dxa"/>
                  <w:noWrap w:val="0"/>
                  <w:vAlign w:val="center"/>
                </w:tcPr>
                <w:p w14:paraId="2A7A13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4ml:30mg </w:t>
                  </w:r>
                </w:p>
              </w:tc>
              <w:tc>
                <w:tcPr>
                  <w:tcW w:w="1378" w:type="dxa"/>
                  <w:noWrap w:val="0"/>
                  <w:vAlign w:val="center"/>
                </w:tcPr>
                <w:p w14:paraId="52C694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686C0F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621108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32346D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322DDD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44989D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利巴韦林注射液</w:t>
                  </w:r>
                </w:p>
              </w:tc>
              <w:tc>
                <w:tcPr>
                  <w:tcW w:w="1378" w:type="dxa"/>
                  <w:noWrap w:val="0"/>
                  <w:vAlign w:val="center"/>
                </w:tcPr>
                <w:p w14:paraId="2824B2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0.1g </w:t>
                  </w:r>
                </w:p>
              </w:tc>
              <w:tc>
                <w:tcPr>
                  <w:tcW w:w="1378" w:type="dxa"/>
                  <w:noWrap w:val="0"/>
                  <w:vAlign w:val="center"/>
                </w:tcPr>
                <w:p w14:paraId="5ACB72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6B0CB9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51698A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7D602D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21552E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1BF29D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碳酸氢钠注射液</w:t>
                  </w:r>
                </w:p>
              </w:tc>
              <w:tc>
                <w:tcPr>
                  <w:tcW w:w="1378" w:type="dxa"/>
                  <w:noWrap w:val="0"/>
                  <w:vAlign w:val="center"/>
                </w:tcPr>
                <w:p w14:paraId="598F64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12.5 克*250ml</w:t>
                  </w:r>
                </w:p>
              </w:tc>
              <w:tc>
                <w:tcPr>
                  <w:tcW w:w="1378" w:type="dxa"/>
                  <w:noWrap w:val="0"/>
                  <w:vAlign w:val="center"/>
                </w:tcPr>
                <w:p w14:paraId="08264A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033407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瓶</w:t>
                  </w:r>
                </w:p>
              </w:tc>
              <w:tc>
                <w:tcPr>
                  <w:tcW w:w="1378" w:type="dxa"/>
                  <w:vMerge w:val="continue"/>
                  <w:noWrap w:val="0"/>
                  <w:vAlign w:val="center"/>
                </w:tcPr>
                <w:p w14:paraId="44DF9F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4AEF2D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6891D1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23CF75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热毒宁注射液 </w:t>
                  </w:r>
                </w:p>
              </w:tc>
              <w:tc>
                <w:tcPr>
                  <w:tcW w:w="1378" w:type="dxa"/>
                  <w:noWrap w:val="0"/>
                  <w:vAlign w:val="center"/>
                </w:tcPr>
                <w:p w14:paraId="5BADCB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10ml</w:t>
                  </w:r>
                </w:p>
              </w:tc>
              <w:tc>
                <w:tcPr>
                  <w:tcW w:w="1378" w:type="dxa"/>
                  <w:noWrap w:val="0"/>
                  <w:vAlign w:val="center"/>
                </w:tcPr>
                <w:p w14:paraId="15D457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6D6932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0C854E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6DEB57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357267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71DE62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盐酸多巴胺注射液</w:t>
                  </w:r>
                </w:p>
              </w:tc>
              <w:tc>
                <w:tcPr>
                  <w:tcW w:w="1378" w:type="dxa"/>
                  <w:noWrap w:val="0"/>
                  <w:vAlign w:val="center"/>
                </w:tcPr>
                <w:p w14:paraId="5A07EF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20ml</w:t>
                  </w:r>
                </w:p>
              </w:tc>
              <w:tc>
                <w:tcPr>
                  <w:tcW w:w="1378" w:type="dxa"/>
                  <w:noWrap w:val="0"/>
                  <w:vAlign w:val="center"/>
                </w:tcPr>
                <w:p w14:paraId="5EF9EB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0B6B77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705E17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2A1273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37D703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132828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重酒石酸间羟胺注射液</w:t>
                  </w:r>
                </w:p>
              </w:tc>
              <w:tc>
                <w:tcPr>
                  <w:tcW w:w="1378" w:type="dxa"/>
                  <w:noWrap w:val="0"/>
                  <w:vAlign w:val="center"/>
                </w:tcPr>
                <w:p w14:paraId="1ED059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10ml</w:t>
                  </w:r>
                </w:p>
              </w:tc>
              <w:tc>
                <w:tcPr>
                  <w:tcW w:w="1378" w:type="dxa"/>
                  <w:noWrap w:val="0"/>
                  <w:vAlign w:val="center"/>
                </w:tcPr>
                <w:p w14:paraId="099069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4204B2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20AE02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24CBCB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5F6DAA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55A6BB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葡萄糖酸钙注射液</w:t>
                  </w:r>
                </w:p>
              </w:tc>
              <w:tc>
                <w:tcPr>
                  <w:tcW w:w="1378" w:type="dxa"/>
                  <w:noWrap w:val="0"/>
                  <w:vAlign w:val="center"/>
                </w:tcPr>
                <w:p w14:paraId="3FC2BD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 xml:space="preserve">1g </w:t>
                  </w:r>
                </w:p>
              </w:tc>
              <w:tc>
                <w:tcPr>
                  <w:tcW w:w="1378" w:type="dxa"/>
                  <w:noWrap w:val="0"/>
                  <w:vAlign w:val="center"/>
                </w:tcPr>
                <w:p w14:paraId="764AD4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06F7C3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4B589B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18385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180B64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中成药</w:t>
                  </w:r>
                </w:p>
              </w:tc>
              <w:tc>
                <w:tcPr>
                  <w:tcW w:w="1695" w:type="dxa"/>
                  <w:noWrap w:val="0"/>
                  <w:vAlign w:val="center"/>
                </w:tcPr>
                <w:p w14:paraId="276F1C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复方丹参滴丸</w:t>
                  </w:r>
                </w:p>
              </w:tc>
              <w:tc>
                <w:tcPr>
                  <w:tcW w:w="1378" w:type="dxa"/>
                  <w:noWrap w:val="0"/>
                  <w:vAlign w:val="center"/>
                </w:tcPr>
                <w:p w14:paraId="775E90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180 丸</w:t>
                  </w:r>
                </w:p>
              </w:tc>
              <w:tc>
                <w:tcPr>
                  <w:tcW w:w="1378" w:type="dxa"/>
                  <w:noWrap w:val="0"/>
                  <w:vAlign w:val="center"/>
                </w:tcPr>
                <w:p w14:paraId="21F4E4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063724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2CFFE9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44A198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1E193A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5A9C70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六味地黄丸</w:t>
                  </w:r>
                </w:p>
              </w:tc>
              <w:tc>
                <w:tcPr>
                  <w:tcW w:w="1378" w:type="dxa"/>
                  <w:noWrap w:val="0"/>
                  <w:vAlign w:val="center"/>
                </w:tcPr>
                <w:p w14:paraId="1036A4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360 丸</w:t>
                  </w:r>
                </w:p>
              </w:tc>
              <w:tc>
                <w:tcPr>
                  <w:tcW w:w="1378" w:type="dxa"/>
                  <w:noWrap w:val="0"/>
                  <w:vAlign w:val="center"/>
                </w:tcPr>
                <w:p w14:paraId="432941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2EA63F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瓶</w:t>
                  </w:r>
                </w:p>
              </w:tc>
              <w:tc>
                <w:tcPr>
                  <w:tcW w:w="1378" w:type="dxa"/>
                  <w:vMerge w:val="continue"/>
                  <w:noWrap w:val="0"/>
                  <w:vAlign w:val="center"/>
                </w:tcPr>
                <w:p w14:paraId="5DAE06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50D48B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1061" w:type="dxa"/>
                  <w:vMerge w:val="continue"/>
                  <w:noWrap w:val="0"/>
                  <w:vAlign w:val="center"/>
                </w:tcPr>
                <w:p w14:paraId="528E97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53B003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速效救心丸</w:t>
                  </w:r>
                </w:p>
              </w:tc>
              <w:tc>
                <w:tcPr>
                  <w:tcW w:w="1378" w:type="dxa"/>
                  <w:noWrap w:val="0"/>
                  <w:vAlign w:val="center"/>
                </w:tcPr>
                <w:p w14:paraId="328D12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40mg*150 粒</w:t>
                  </w:r>
                </w:p>
              </w:tc>
              <w:tc>
                <w:tcPr>
                  <w:tcW w:w="1378" w:type="dxa"/>
                  <w:noWrap w:val="0"/>
                  <w:vAlign w:val="center"/>
                </w:tcPr>
                <w:p w14:paraId="599478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10</w:t>
                  </w:r>
                </w:p>
              </w:tc>
              <w:tc>
                <w:tcPr>
                  <w:tcW w:w="1378" w:type="dxa"/>
                  <w:noWrap w:val="0"/>
                  <w:vAlign w:val="center"/>
                </w:tcPr>
                <w:p w14:paraId="4F9B39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瓶</w:t>
                  </w:r>
                </w:p>
              </w:tc>
              <w:tc>
                <w:tcPr>
                  <w:tcW w:w="1378" w:type="dxa"/>
                  <w:vMerge w:val="continue"/>
                  <w:noWrap w:val="0"/>
                  <w:vAlign w:val="center"/>
                </w:tcPr>
                <w:p w14:paraId="5A1D36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1E0F60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281DBC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3BB278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麝香保心丸</w:t>
                  </w:r>
                </w:p>
              </w:tc>
              <w:tc>
                <w:tcPr>
                  <w:tcW w:w="1378" w:type="dxa"/>
                  <w:noWrap w:val="0"/>
                  <w:vAlign w:val="center"/>
                </w:tcPr>
                <w:p w14:paraId="27A382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42 丸</w:t>
                  </w:r>
                </w:p>
              </w:tc>
              <w:tc>
                <w:tcPr>
                  <w:tcW w:w="1378" w:type="dxa"/>
                  <w:noWrap w:val="0"/>
                  <w:vAlign w:val="center"/>
                </w:tcPr>
                <w:p w14:paraId="5DF647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633E51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25526D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414460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4FE267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507F7D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云南白药胶囊</w:t>
                  </w:r>
                </w:p>
              </w:tc>
              <w:tc>
                <w:tcPr>
                  <w:tcW w:w="1378" w:type="dxa"/>
                  <w:noWrap w:val="0"/>
                  <w:vAlign w:val="center"/>
                </w:tcPr>
                <w:p w14:paraId="375E6B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0.25g*32 粒</w:t>
                  </w:r>
                </w:p>
              </w:tc>
              <w:tc>
                <w:tcPr>
                  <w:tcW w:w="1378" w:type="dxa"/>
                  <w:noWrap w:val="0"/>
                  <w:vAlign w:val="center"/>
                </w:tcPr>
                <w:p w14:paraId="1668C0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1BACD1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346F37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161DEB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0CDC41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呼吸系统抗炎/病毒</w:t>
                  </w:r>
                </w:p>
              </w:tc>
              <w:tc>
                <w:tcPr>
                  <w:tcW w:w="1695" w:type="dxa"/>
                  <w:noWrap w:val="0"/>
                  <w:vAlign w:val="center"/>
                </w:tcPr>
                <w:p w14:paraId="75DEB6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正柴胡饮颗粒</w:t>
                  </w:r>
                </w:p>
              </w:tc>
              <w:tc>
                <w:tcPr>
                  <w:tcW w:w="1378" w:type="dxa"/>
                  <w:noWrap w:val="0"/>
                  <w:vAlign w:val="center"/>
                </w:tcPr>
                <w:p w14:paraId="49853B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10 克*10 袋</w:t>
                  </w:r>
                </w:p>
              </w:tc>
              <w:tc>
                <w:tcPr>
                  <w:tcW w:w="1378" w:type="dxa"/>
                  <w:noWrap w:val="0"/>
                  <w:vAlign w:val="center"/>
                </w:tcPr>
                <w:p w14:paraId="199791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0D0244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628A64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768D95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1061" w:type="dxa"/>
                  <w:vMerge w:val="continue"/>
                  <w:noWrap w:val="0"/>
                  <w:vAlign w:val="center"/>
                </w:tcPr>
                <w:p w14:paraId="63CFAA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3968D2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布洛芬缓释胶囊</w:t>
                  </w:r>
                </w:p>
              </w:tc>
              <w:tc>
                <w:tcPr>
                  <w:tcW w:w="1378" w:type="dxa"/>
                  <w:noWrap w:val="0"/>
                  <w:vAlign w:val="center"/>
                </w:tcPr>
                <w:p w14:paraId="776D54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0.4g*20 粒</w:t>
                  </w:r>
                </w:p>
              </w:tc>
              <w:tc>
                <w:tcPr>
                  <w:tcW w:w="1378" w:type="dxa"/>
                  <w:noWrap w:val="0"/>
                  <w:vAlign w:val="center"/>
                </w:tcPr>
                <w:p w14:paraId="414759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50</w:t>
                  </w:r>
                </w:p>
              </w:tc>
              <w:tc>
                <w:tcPr>
                  <w:tcW w:w="1378" w:type="dxa"/>
                  <w:noWrap w:val="0"/>
                  <w:vAlign w:val="center"/>
                </w:tcPr>
                <w:p w14:paraId="0D4486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488964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48CF15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01B78B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7CEAD3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强力枇杷露</w:t>
                  </w:r>
                </w:p>
              </w:tc>
              <w:tc>
                <w:tcPr>
                  <w:tcW w:w="1378" w:type="dxa"/>
                  <w:noWrap w:val="0"/>
                  <w:vAlign w:val="center"/>
                </w:tcPr>
                <w:p w14:paraId="033979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150ml</w:t>
                  </w:r>
                </w:p>
              </w:tc>
              <w:tc>
                <w:tcPr>
                  <w:tcW w:w="1378" w:type="dxa"/>
                  <w:noWrap w:val="0"/>
                  <w:vAlign w:val="center"/>
                </w:tcPr>
                <w:p w14:paraId="3E8AA5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30</w:t>
                  </w:r>
                </w:p>
              </w:tc>
              <w:tc>
                <w:tcPr>
                  <w:tcW w:w="1378" w:type="dxa"/>
                  <w:noWrap w:val="0"/>
                  <w:vAlign w:val="center"/>
                </w:tcPr>
                <w:p w14:paraId="47F294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瓶</w:t>
                  </w:r>
                </w:p>
              </w:tc>
              <w:tc>
                <w:tcPr>
                  <w:tcW w:w="1378" w:type="dxa"/>
                  <w:vMerge w:val="continue"/>
                  <w:noWrap w:val="0"/>
                  <w:vAlign w:val="center"/>
                </w:tcPr>
                <w:p w14:paraId="6DF46F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56B806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1061" w:type="dxa"/>
                  <w:vMerge w:val="continue"/>
                  <w:noWrap w:val="0"/>
                  <w:vAlign w:val="center"/>
                </w:tcPr>
                <w:p w14:paraId="48CA9F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6EAA7E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复方氨酚烷胺胶囊</w:t>
                  </w:r>
                </w:p>
              </w:tc>
              <w:tc>
                <w:tcPr>
                  <w:tcW w:w="1378" w:type="dxa"/>
                  <w:noWrap w:val="0"/>
                  <w:vAlign w:val="center"/>
                </w:tcPr>
                <w:p w14:paraId="3F7852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10 粒</w:t>
                  </w:r>
                </w:p>
              </w:tc>
              <w:tc>
                <w:tcPr>
                  <w:tcW w:w="1378" w:type="dxa"/>
                  <w:noWrap w:val="0"/>
                  <w:vAlign w:val="center"/>
                </w:tcPr>
                <w:p w14:paraId="331FA1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40</w:t>
                  </w:r>
                </w:p>
              </w:tc>
              <w:tc>
                <w:tcPr>
                  <w:tcW w:w="1378" w:type="dxa"/>
                  <w:noWrap w:val="0"/>
                  <w:vAlign w:val="center"/>
                </w:tcPr>
                <w:p w14:paraId="5F9ABC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1484CC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078C61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37435B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00267C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吲哚美辛栓</w:t>
                  </w:r>
                </w:p>
              </w:tc>
              <w:tc>
                <w:tcPr>
                  <w:tcW w:w="1378" w:type="dxa"/>
                  <w:noWrap w:val="0"/>
                  <w:vAlign w:val="center"/>
                </w:tcPr>
                <w:p w14:paraId="3CBAF7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100mg*10 支</w:t>
                  </w:r>
                </w:p>
              </w:tc>
              <w:tc>
                <w:tcPr>
                  <w:tcW w:w="1378" w:type="dxa"/>
                  <w:noWrap w:val="0"/>
                  <w:vAlign w:val="center"/>
                </w:tcPr>
                <w:p w14:paraId="0D549A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7516AE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69CB40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67DB41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1061" w:type="dxa"/>
                  <w:vMerge w:val="continue"/>
                  <w:noWrap w:val="0"/>
                  <w:vAlign w:val="center"/>
                </w:tcPr>
                <w:p w14:paraId="0D8DDF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3A5746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双氯芬酸钠缓释胶囊</w:t>
                  </w:r>
                </w:p>
              </w:tc>
              <w:tc>
                <w:tcPr>
                  <w:tcW w:w="1378" w:type="dxa"/>
                  <w:noWrap w:val="0"/>
                  <w:vAlign w:val="center"/>
                </w:tcPr>
                <w:p w14:paraId="2167C2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50mg*24 粒</w:t>
                  </w:r>
                </w:p>
              </w:tc>
              <w:tc>
                <w:tcPr>
                  <w:tcW w:w="1378" w:type="dxa"/>
                  <w:noWrap w:val="0"/>
                  <w:vAlign w:val="center"/>
                </w:tcPr>
                <w:p w14:paraId="0D5AEF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lang w:val="en-US" w:eastAsia="zh-CN"/>
                    </w:rPr>
                  </w:pPr>
                  <w:r>
                    <w:rPr>
                      <w:rFonts w:hint="eastAsia" w:ascii="Times New Roman" w:hAnsi="Times New Roman"/>
                      <w:sz w:val="21"/>
                      <w:szCs w:val="21"/>
                      <w:u w:val="single"/>
                      <w:vertAlign w:val="baseline"/>
                      <w:lang w:val="en-US" w:eastAsia="zh-CN"/>
                    </w:rPr>
                    <w:t>30</w:t>
                  </w:r>
                </w:p>
              </w:tc>
              <w:tc>
                <w:tcPr>
                  <w:tcW w:w="1378" w:type="dxa"/>
                  <w:noWrap w:val="0"/>
                  <w:vAlign w:val="center"/>
                </w:tcPr>
                <w:p w14:paraId="098EFB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7609FE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7E2C22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65BD6D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痛风类</w:t>
                  </w:r>
                </w:p>
              </w:tc>
              <w:tc>
                <w:tcPr>
                  <w:tcW w:w="1695" w:type="dxa"/>
                  <w:noWrap w:val="0"/>
                  <w:vAlign w:val="center"/>
                </w:tcPr>
                <w:p w14:paraId="43076F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别嘌醇片</w:t>
                  </w:r>
                </w:p>
              </w:tc>
              <w:tc>
                <w:tcPr>
                  <w:tcW w:w="1378" w:type="dxa"/>
                  <w:noWrap w:val="0"/>
                  <w:vAlign w:val="center"/>
                </w:tcPr>
                <w:p w14:paraId="768BD5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0.1g*20 片</w:t>
                  </w:r>
                </w:p>
              </w:tc>
              <w:tc>
                <w:tcPr>
                  <w:tcW w:w="1378" w:type="dxa"/>
                  <w:noWrap w:val="0"/>
                  <w:vAlign w:val="center"/>
                </w:tcPr>
                <w:p w14:paraId="146D5A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7FFFAD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102293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0532CF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0EC1FF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5A1B05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苯溴马隆片</w:t>
                  </w:r>
                </w:p>
              </w:tc>
              <w:tc>
                <w:tcPr>
                  <w:tcW w:w="1378" w:type="dxa"/>
                  <w:noWrap w:val="0"/>
                  <w:vAlign w:val="center"/>
                </w:tcPr>
                <w:p w14:paraId="0AACA5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50mg*10 片</w:t>
                  </w:r>
                </w:p>
              </w:tc>
              <w:tc>
                <w:tcPr>
                  <w:tcW w:w="1378" w:type="dxa"/>
                  <w:noWrap w:val="0"/>
                  <w:vAlign w:val="center"/>
                </w:tcPr>
                <w:p w14:paraId="278CF6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284995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39C039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48025A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1061" w:type="dxa"/>
                  <w:noWrap w:val="0"/>
                  <w:vAlign w:val="center"/>
                </w:tcPr>
                <w:p w14:paraId="76C197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肝胆类</w:t>
                  </w:r>
                </w:p>
                <w:p w14:paraId="283BE5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药</w:t>
                  </w:r>
                </w:p>
              </w:tc>
              <w:tc>
                <w:tcPr>
                  <w:tcW w:w="1695" w:type="dxa"/>
                  <w:noWrap w:val="0"/>
                  <w:vAlign w:val="center"/>
                </w:tcPr>
                <w:p w14:paraId="657381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消炎利胆片</w:t>
                  </w:r>
                </w:p>
              </w:tc>
              <w:tc>
                <w:tcPr>
                  <w:tcW w:w="1378" w:type="dxa"/>
                  <w:noWrap w:val="0"/>
                  <w:vAlign w:val="center"/>
                </w:tcPr>
                <w:p w14:paraId="59155C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0.25g*100 片</w:t>
                  </w:r>
                </w:p>
              </w:tc>
              <w:tc>
                <w:tcPr>
                  <w:tcW w:w="1378" w:type="dxa"/>
                  <w:noWrap w:val="0"/>
                  <w:vAlign w:val="center"/>
                </w:tcPr>
                <w:p w14:paraId="40956C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3E92FE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盒</w:t>
                  </w:r>
                </w:p>
              </w:tc>
              <w:tc>
                <w:tcPr>
                  <w:tcW w:w="1378" w:type="dxa"/>
                  <w:vMerge w:val="continue"/>
                  <w:noWrap w:val="0"/>
                  <w:vAlign w:val="center"/>
                </w:tcPr>
                <w:p w14:paraId="6E778B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036FC6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restart"/>
                  <w:noWrap w:val="0"/>
                  <w:vAlign w:val="center"/>
                </w:tcPr>
                <w:p w14:paraId="17D0B2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外用药</w:t>
                  </w:r>
                </w:p>
              </w:tc>
              <w:tc>
                <w:tcPr>
                  <w:tcW w:w="1695" w:type="dxa"/>
                  <w:noWrap w:val="0"/>
                  <w:vAlign w:val="center"/>
                </w:tcPr>
                <w:p w14:paraId="180623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吡诺克辛钠滴眼液</w:t>
                  </w:r>
                </w:p>
              </w:tc>
              <w:tc>
                <w:tcPr>
                  <w:tcW w:w="1378" w:type="dxa"/>
                  <w:noWrap w:val="0"/>
                  <w:vAlign w:val="center"/>
                </w:tcPr>
                <w:p w14:paraId="2B3E91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15ml：0.8MG</w:t>
                  </w:r>
                </w:p>
              </w:tc>
              <w:tc>
                <w:tcPr>
                  <w:tcW w:w="1378" w:type="dxa"/>
                  <w:noWrap w:val="0"/>
                  <w:vAlign w:val="center"/>
                </w:tcPr>
                <w:p w14:paraId="3E6BB7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3DF9B4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2CF74D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57B326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2C348A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1055C6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京万红软膏</w:t>
                  </w:r>
                </w:p>
              </w:tc>
              <w:tc>
                <w:tcPr>
                  <w:tcW w:w="1378" w:type="dxa"/>
                  <w:noWrap w:val="0"/>
                  <w:vAlign w:val="center"/>
                </w:tcPr>
                <w:p w14:paraId="098FCC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20g*1 支</w:t>
                  </w:r>
                </w:p>
              </w:tc>
              <w:tc>
                <w:tcPr>
                  <w:tcW w:w="1378" w:type="dxa"/>
                  <w:noWrap w:val="0"/>
                  <w:vAlign w:val="center"/>
                </w:tcPr>
                <w:p w14:paraId="2B0721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317D66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622724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3D1B0D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13D2D6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43C7F4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莫匹罗星软膏</w:t>
                  </w:r>
                </w:p>
              </w:tc>
              <w:tc>
                <w:tcPr>
                  <w:tcW w:w="1378" w:type="dxa"/>
                  <w:noWrap w:val="0"/>
                  <w:vAlign w:val="center"/>
                </w:tcPr>
                <w:p w14:paraId="69D1D2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5g</w:t>
                  </w:r>
                </w:p>
              </w:tc>
              <w:tc>
                <w:tcPr>
                  <w:tcW w:w="1378" w:type="dxa"/>
                  <w:noWrap w:val="0"/>
                  <w:vAlign w:val="center"/>
                </w:tcPr>
                <w:p w14:paraId="5A9017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sz w:val="21"/>
                      <w:szCs w:val="21"/>
                      <w:u w:val="single"/>
                      <w:vertAlign w:val="baseline"/>
                      <w:lang w:val="en-US" w:eastAsia="zh-CN"/>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4EEB05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0D07F0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567FB4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6B7953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11CDBE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曲安奈德益康唑乳膏</w:t>
                  </w:r>
                </w:p>
              </w:tc>
              <w:tc>
                <w:tcPr>
                  <w:tcW w:w="1378" w:type="dxa"/>
                  <w:noWrap w:val="0"/>
                  <w:vAlign w:val="center"/>
                </w:tcPr>
                <w:p w14:paraId="419746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15 克</w:t>
                  </w:r>
                </w:p>
              </w:tc>
              <w:tc>
                <w:tcPr>
                  <w:tcW w:w="1378" w:type="dxa"/>
                  <w:noWrap w:val="0"/>
                  <w:vAlign w:val="center"/>
                </w:tcPr>
                <w:p w14:paraId="312E0F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559FA4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510F01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6197FF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1061" w:type="dxa"/>
                  <w:vMerge w:val="continue"/>
                  <w:noWrap w:val="0"/>
                  <w:vAlign w:val="center"/>
                </w:tcPr>
                <w:p w14:paraId="36A162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393E97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硝酸咪康唑乳膏</w:t>
                  </w:r>
                </w:p>
              </w:tc>
              <w:tc>
                <w:tcPr>
                  <w:tcW w:w="1378" w:type="dxa"/>
                  <w:noWrap w:val="0"/>
                  <w:vAlign w:val="center"/>
                </w:tcPr>
                <w:p w14:paraId="66ACD2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15g</w:t>
                  </w:r>
                </w:p>
              </w:tc>
              <w:tc>
                <w:tcPr>
                  <w:tcW w:w="1378" w:type="dxa"/>
                  <w:noWrap w:val="0"/>
                  <w:vAlign w:val="center"/>
                </w:tcPr>
                <w:p w14:paraId="578E46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31B31B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6B980E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r w14:paraId="37A178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1" w:type="dxa"/>
                  <w:vMerge w:val="continue"/>
                  <w:noWrap w:val="0"/>
                  <w:vAlign w:val="center"/>
                </w:tcPr>
                <w:p w14:paraId="16ED26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c>
                <w:tcPr>
                  <w:tcW w:w="1695" w:type="dxa"/>
                  <w:noWrap w:val="0"/>
                  <w:vAlign w:val="center"/>
                </w:tcPr>
                <w:p w14:paraId="54A84F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盐酸左氧氟沙星滴眼液</w:t>
                  </w:r>
                </w:p>
              </w:tc>
              <w:tc>
                <w:tcPr>
                  <w:tcW w:w="1378" w:type="dxa"/>
                  <w:noWrap w:val="0"/>
                  <w:vAlign w:val="center"/>
                </w:tcPr>
                <w:p w14:paraId="71F5FD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rPr>
                    <w:t>15ml：0.8MG</w:t>
                  </w:r>
                </w:p>
              </w:tc>
              <w:tc>
                <w:tcPr>
                  <w:tcW w:w="1378" w:type="dxa"/>
                  <w:noWrap w:val="0"/>
                  <w:vAlign w:val="center"/>
                </w:tcPr>
                <w:p w14:paraId="56042D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20</w:t>
                  </w:r>
                </w:p>
              </w:tc>
              <w:tc>
                <w:tcPr>
                  <w:tcW w:w="1378" w:type="dxa"/>
                  <w:noWrap w:val="0"/>
                  <w:vAlign w:val="center"/>
                </w:tcPr>
                <w:p w14:paraId="307BC5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r>
                    <w:rPr>
                      <w:rFonts w:hint="eastAsia" w:ascii="Times New Roman" w:hAnsi="Times New Roman"/>
                      <w:sz w:val="21"/>
                      <w:szCs w:val="21"/>
                      <w:u w:val="single"/>
                      <w:vertAlign w:val="baseline"/>
                      <w:lang w:val="en-US" w:eastAsia="zh-CN"/>
                    </w:rPr>
                    <w:t>支</w:t>
                  </w:r>
                </w:p>
              </w:tc>
              <w:tc>
                <w:tcPr>
                  <w:tcW w:w="1378" w:type="dxa"/>
                  <w:vMerge w:val="continue"/>
                  <w:noWrap w:val="0"/>
                  <w:vAlign w:val="center"/>
                </w:tcPr>
                <w:p w14:paraId="6BDC66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sz w:val="21"/>
                      <w:szCs w:val="21"/>
                      <w:u w:val="single"/>
                      <w:vertAlign w:val="baseline"/>
                    </w:rPr>
                  </w:pPr>
                </w:p>
              </w:tc>
            </w:tr>
          </w:tbl>
          <w:p w14:paraId="41C22F1F">
            <w:pPr>
              <w:pStyle w:val="445"/>
              <w:ind w:firstLine="482"/>
              <w:rPr>
                <w:b/>
                <w:bCs/>
              </w:rPr>
            </w:pPr>
            <w:r>
              <w:rPr>
                <w:rFonts w:hint="eastAsia"/>
                <w:b/>
                <w:bCs/>
              </w:rPr>
              <w:t>原辅材料理化性质：</w:t>
            </w:r>
          </w:p>
          <w:p w14:paraId="5BE71D55">
            <w:pPr>
              <w:pStyle w:val="24"/>
              <w:ind w:firstLine="482"/>
              <w:rPr>
                <w:rFonts w:ascii="Times New Roman" w:hAnsi="Times New Roman"/>
                <w:szCs w:val="24"/>
              </w:rPr>
            </w:pPr>
            <w:r>
              <w:rPr>
                <w:rFonts w:hint="eastAsia" w:ascii="Times New Roman" w:hAnsi="Times New Roman"/>
                <w:b/>
                <w:bCs/>
                <w:szCs w:val="24"/>
              </w:rPr>
              <w:t>75%医用酒精：</w:t>
            </w:r>
            <w:r>
              <w:rPr>
                <w:rFonts w:hint="eastAsia" w:ascii="Times New Roman" w:hAnsi="Times New Roman"/>
                <w:szCs w:val="24"/>
              </w:rPr>
              <w:t>75%医用酒精是医疗、卫生消毒中最常用的消毒剂，其核心成分是乙醇（C</w:t>
            </w:r>
            <w:r>
              <w:rPr>
                <w:rFonts w:hint="eastAsia" w:ascii="Times New Roman" w:hAnsi="Times New Roman"/>
                <w:szCs w:val="24"/>
                <w:vertAlign w:val="subscript"/>
              </w:rPr>
              <w:t>2</w:t>
            </w:r>
            <w:r>
              <w:rPr>
                <w:rFonts w:hint="eastAsia" w:ascii="Times New Roman" w:hAnsi="Times New Roman"/>
                <w:szCs w:val="24"/>
              </w:rPr>
              <w:t>H</w:t>
            </w:r>
            <w:r>
              <w:rPr>
                <w:rFonts w:hint="eastAsia" w:ascii="Times New Roman" w:hAnsi="Times New Roman"/>
                <w:szCs w:val="24"/>
                <w:vertAlign w:val="subscript"/>
              </w:rPr>
              <w:t>5</w:t>
            </w:r>
            <w:r>
              <w:rPr>
                <w:rFonts w:hint="eastAsia" w:ascii="Times New Roman" w:hAnsi="Times New Roman"/>
                <w:szCs w:val="24"/>
              </w:rPr>
              <w:t>OH）与水的混合液，乙醇体积分数为75%，该浓度的杀菌效果最优，其理化性质如下：</w:t>
            </w:r>
          </w:p>
          <w:p w14:paraId="4C5D299C">
            <w:pPr>
              <w:pStyle w:val="24"/>
              <w:ind w:firstLine="480"/>
              <w:rPr>
                <w:rFonts w:ascii="Times New Roman" w:hAnsi="Times New Roman"/>
                <w:szCs w:val="24"/>
              </w:rPr>
            </w:pPr>
            <w:r>
              <w:rPr>
                <w:rFonts w:hint="eastAsia" w:ascii="Times New Roman" w:hAnsi="Times New Roman"/>
                <w:szCs w:val="24"/>
              </w:rPr>
              <w:t>外观与状态：无色透明液体，具有特殊醇香味，易挥发，打开容器后会快速闻到明显的酒精气味。常温下为液态，流动性好，可与水以任意比例互溶。沸点与熔点：沸点约78.2℃（纯乙醇沸点为78.5℃，因含水略有降低），远低于水的沸点；熔点约-114℃，低温环境下不易结冰，适合多数地区常温储存。密度：20℃时密度约为0.87g/cm³，小于水的密度（1 g/cm³），相同体积下质量轻于水。属于易燃液体，闪点仅12.78℃，遇明火、高热、静电火花极易燃烧爆炸。</w:t>
            </w:r>
          </w:p>
          <w:p w14:paraId="2D121672">
            <w:pPr>
              <w:pStyle w:val="24"/>
              <w:ind w:firstLine="480"/>
              <w:rPr>
                <w:rFonts w:ascii="Times New Roman" w:hAnsi="Times New Roman"/>
                <w:szCs w:val="24"/>
              </w:rPr>
            </w:pPr>
            <w:r>
              <w:rPr>
                <w:rFonts w:hint="eastAsia" w:ascii="Times New Roman" w:hAnsi="Times New Roman"/>
                <w:szCs w:val="24"/>
              </w:rPr>
              <w:t>化学性质：具有乙醇的典型性质，能与酸发生酯化反应，与氧化剂（如高锰酸钾、重铬酸钾）反应生成乙酸；中性偏弱酸性，pH值约为6.0~7.0，对金属（如铝、铁）腐蚀性极弱，但长期接触会使橡胶、塑料老化。</w:t>
            </w:r>
          </w:p>
          <w:p w14:paraId="29F3E5E9">
            <w:pPr>
              <w:pStyle w:val="24"/>
              <w:ind w:firstLine="482"/>
              <w:rPr>
                <w:rFonts w:ascii="Times New Roman" w:hAnsi="Times New Roman"/>
                <w:szCs w:val="24"/>
              </w:rPr>
            </w:pPr>
            <w:r>
              <w:rPr>
                <w:rFonts w:hint="eastAsia" w:ascii="Times New Roman" w:hAnsi="Times New Roman"/>
                <w:b/>
                <w:bCs/>
                <w:szCs w:val="24"/>
              </w:rPr>
              <w:t>84消毒液：</w:t>
            </w:r>
            <w:r>
              <w:rPr>
                <w:rFonts w:hint="eastAsia" w:ascii="Times New Roman" w:hAnsi="Times New Roman"/>
                <w:szCs w:val="24"/>
              </w:rPr>
              <w:t>核心有效成分是次氯酸钠（NaClO），工业/医用成品的有效氯含量通常为5%–10%，其理化性质如下：</w:t>
            </w:r>
          </w:p>
          <w:p w14:paraId="0CC7F4F6">
            <w:pPr>
              <w:pStyle w:val="24"/>
              <w:ind w:firstLine="480"/>
              <w:rPr>
                <w:rFonts w:ascii="Times New Roman" w:hAnsi="Times New Roman"/>
                <w:szCs w:val="24"/>
              </w:rPr>
            </w:pPr>
            <w:r>
              <w:rPr>
                <w:rFonts w:hint="eastAsia" w:ascii="Times New Roman" w:hAnsi="Times New Roman"/>
                <w:szCs w:val="24"/>
              </w:rPr>
              <w:t>外观与状态：工业品为淡黄色或黄绿色透明液体，具有强烈的刺激性氯臭味；浓度越高，颜色越深、氯味越浓，常温下流动性良好，易溶于水。</w:t>
            </w:r>
          </w:p>
          <w:p w14:paraId="6E0D489F">
            <w:pPr>
              <w:pStyle w:val="24"/>
              <w:ind w:firstLine="480"/>
              <w:rPr>
                <w:rFonts w:ascii="Times New Roman" w:hAnsi="Times New Roman"/>
                <w:szCs w:val="24"/>
              </w:rPr>
            </w:pPr>
            <w:r>
              <w:rPr>
                <w:rFonts w:hint="eastAsia" w:ascii="Times New Roman" w:hAnsi="Times New Roman"/>
                <w:szCs w:val="24"/>
              </w:rPr>
              <w:t>化学稳定性：稳定性较差，遇光、受热、敞口放置会加速分解，生成氯化钠和氧气，有效氯含量下降，反应方程式：</w:t>
            </w:r>
          </w:p>
          <w:p w14:paraId="0EA7F200">
            <w:pPr>
              <w:pStyle w:val="24"/>
              <w:ind w:firstLine="0" w:firstLineChars="0"/>
              <w:jc w:val="center"/>
              <w:rPr>
                <w:rFonts w:ascii="Times New Roman" w:hAnsi="Times New Roman"/>
                <w:szCs w:val="24"/>
              </w:rPr>
            </w:pPr>
            <w:r>
              <w:drawing>
                <wp:inline distT="0" distB="0" distL="114300" distR="114300">
                  <wp:extent cx="2447290" cy="396875"/>
                  <wp:effectExtent l="0" t="0" r="10160" b="3175"/>
                  <wp:docPr id="1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pic:cNvPicPr>
                            <a:picLocks noChangeAspect="1"/>
                          </pic:cNvPicPr>
                        </pic:nvPicPr>
                        <pic:blipFill>
                          <a:blip r:embed="rId8"/>
                          <a:stretch>
                            <a:fillRect/>
                          </a:stretch>
                        </pic:blipFill>
                        <pic:spPr>
                          <a:xfrm>
                            <a:off x="0" y="0"/>
                            <a:ext cx="2447290" cy="396875"/>
                          </a:xfrm>
                          <a:prstGeom prst="rect">
                            <a:avLst/>
                          </a:prstGeom>
                          <a:noFill/>
                          <a:ln>
                            <a:noFill/>
                          </a:ln>
                        </pic:spPr>
                      </pic:pic>
                    </a:graphicData>
                  </a:graphic>
                </wp:inline>
              </w:drawing>
            </w:r>
          </w:p>
          <w:p w14:paraId="5BFBB5C0">
            <w:pPr>
              <w:pStyle w:val="24"/>
              <w:ind w:firstLine="480"/>
              <w:rPr>
                <w:rFonts w:ascii="Times New Roman" w:hAnsi="Times New Roman"/>
                <w:szCs w:val="24"/>
              </w:rPr>
            </w:pPr>
            <w:r>
              <w:rPr>
                <w:rFonts w:hint="eastAsia" w:ascii="Times New Roman" w:hAnsi="Times New Roman"/>
                <w:szCs w:val="24"/>
              </w:rPr>
              <w:t>酸碱性：呈强碱性，pH值约为12–13，直接接触会腐蚀皮肤、黏膜，对金属（如铁、铝、铜）有较强腐蚀性。氧化性：属于强氧化性消毒剂，次氯酸根离子（</w:t>
            </w:r>
            <w:r>
              <w:rPr>
                <w:rFonts w:ascii="Times New Roman" w:hAnsi="Times New Roman"/>
                <w:bCs/>
              </w:rPr>
              <w:t>ClO</w:t>
            </w:r>
            <w:r>
              <w:rPr>
                <w:rFonts w:hint="eastAsia" w:ascii="Times New Roman" w:hAnsi="Times New Roman"/>
                <w:bCs/>
                <w:vertAlign w:val="superscript"/>
              </w:rPr>
              <w:t>-</w:t>
            </w:r>
            <w:r>
              <w:rPr>
                <w:rFonts w:hint="eastAsia" w:ascii="Times New Roman" w:hAnsi="Times New Roman"/>
                <w:szCs w:val="24"/>
              </w:rPr>
              <w:t>）在酸性条件下生成次氯酸（HClO），通过破坏微生物的核酸和蛋白质结构实现杀菌；能氧化分解有机物，可用于漂白衣物、织物，但会使彩色织物褪色。</w:t>
            </w:r>
          </w:p>
          <w:p w14:paraId="65FDBB34">
            <w:pPr>
              <w:pStyle w:val="303"/>
              <w:ind w:firstLine="482"/>
              <w:rPr>
                <w:bCs/>
              </w:rPr>
            </w:pPr>
            <w:r>
              <w:rPr>
                <w:rFonts w:hint="eastAsia" w:ascii="宋体" w:hAnsi="宋体" w:cs="宋体"/>
                <w:b/>
                <w:bCs/>
              </w:rPr>
              <w:t>云氧（活性氧消毒剂）：</w:t>
            </w:r>
            <w:r>
              <w:rPr>
                <w:rFonts w:hint="eastAsia" w:ascii="宋体" w:hAnsi="宋体" w:cs="宋体"/>
              </w:rPr>
              <w:t>医疗废水处理中的“云氧”多为活性氧类消毒或补氧药剂的商品名，主流核心成分是单过硫酸氢钾复合盐</w:t>
            </w:r>
            <w:r>
              <w:rPr>
                <w:rFonts w:hint="eastAsia" w:ascii="宋体" w:hAnsi="宋体" w:cs="宋体"/>
                <w:bCs/>
              </w:rPr>
              <w:t>，它是由单过硫酸氢钾与硫酸氢钾、硫酸钾结合成的复合盐，为白色粉末或颗粒状固体，固体剂型无明显刺激性气味；固体易溶于水，溶解后形成弱酸性透明溶液，无明显沉淀。固体本身呈中性，溶于水后因单过硫酸氢钾水解呈弱</w:t>
            </w:r>
            <w:r>
              <w:rPr>
                <w:rFonts w:hint="eastAsia"/>
                <w:bCs/>
              </w:rPr>
              <w:t>酸性，</w:t>
            </w:r>
            <w:r>
              <w:rPr>
                <w:bCs/>
              </w:rPr>
              <w:t>1%水溶液pH值为2.0–4.0</w:t>
            </w:r>
            <w:r>
              <w:rPr>
                <w:rFonts w:hint="eastAsia"/>
                <w:bCs/>
              </w:rPr>
              <w:t>；固体剂型在阴凉干燥、密封避光条件下稳定，保质期通常为12-24个月；遇水、高温、光照或重金属离子（</w:t>
            </w:r>
            <w:r>
              <w:t>Fe³⁺、Cu²⁺</w:t>
            </w:r>
            <w:r>
              <w:rPr>
                <w:rFonts w:hint="eastAsia"/>
                <w:bCs/>
              </w:rPr>
              <w:t>）会加速分解，释放氧气和硫酸盐，反应方程式：</w:t>
            </w:r>
          </w:p>
          <w:p w14:paraId="52039993">
            <w:pPr>
              <w:pStyle w:val="24"/>
              <w:ind w:firstLine="0" w:firstLineChars="0"/>
              <w:jc w:val="center"/>
              <w:rPr>
                <w:rFonts w:ascii="Times New Roman" w:hAnsi="Times New Roman"/>
                <w:bCs/>
              </w:rPr>
            </w:pPr>
            <w:r>
              <w:drawing>
                <wp:inline distT="0" distB="0" distL="114300" distR="114300">
                  <wp:extent cx="2762250" cy="345440"/>
                  <wp:effectExtent l="0" t="0" r="0" b="16510"/>
                  <wp:docPr id="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3"/>
                          <pic:cNvPicPr>
                            <a:picLocks noChangeAspect="1"/>
                          </pic:cNvPicPr>
                        </pic:nvPicPr>
                        <pic:blipFill>
                          <a:blip r:embed="rId9"/>
                          <a:stretch>
                            <a:fillRect/>
                          </a:stretch>
                        </pic:blipFill>
                        <pic:spPr>
                          <a:xfrm>
                            <a:off x="0" y="0"/>
                            <a:ext cx="2762250" cy="345440"/>
                          </a:xfrm>
                          <a:prstGeom prst="rect">
                            <a:avLst/>
                          </a:prstGeom>
                          <a:noFill/>
                          <a:ln>
                            <a:noFill/>
                          </a:ln>
                        </pic:spPr>
                      </pic:pic>
                    </a:graphicData>
                  </a:graphic>
                </wp:inline>
              </w:drawing>
            </w:r>
          </w:p>
          <w:p w14:paraId="6F277484">
            <w:pPr>
              <w:pStyle w:val="24"/>
              <w:ind w:firstLine="480"/>
              <w:rPr>
                <w:bCs/>
                <w:highlight w:val="yellow"/>
              </w:rPr>
            </w:pPr>
            <w:r>
              <w:rPr>
                <w:rFonts w:ascii="Times New Roman" w:hAnsi="Times New Roman"/>
                <w:bCs/>
              </w:rPr>
              <w:t>属于强氧化性消毒剂，氧化还原电位约为1.8–2.1V，高于次氯酸钠、漂白粉等含氯消毒剂。</w:t>
            </w:r>
          </w:p>
          <w:p w14:paraId="57ADDD2B">
            <w:pPr>
              <w:pStyle w:val="24"/>
              <w:ind w:firstLine="482"/>
              <w:rPr>
                <w:bCs/>
              </w:rPr>
            </w:pPr>
            <w:r>
              <w:rPr>
                <w:rFonts w:hint="eastAsia"/>
                <w:b/>
              </w:rPr>
              <w:t>漂白粉：</w:t>
            </w:r>
            <w:r>
              <w:rPr>
                <w:rFonts w:hint="eastAsia"/>
                <w:bCs/>
              </w:rPr>
              <w:t>漂白粉的主要成分是次氯酸钙，有效氯含量一般为</w:t>
            </w:r>
            <w:r>
              <w:rPr>
                <w:rFonts w:ascii="Times New Roman" w:hAnsi="Times New Roman"/>
                <w:bCs/>
              </w:rPr>
              <w:t>25%–32%</w:t>
            </w:r>
            <w:r>
              <w:rPr>
                <w:rFonts w:hint="eastAsia"/>
                <w:bCs/>
              </w:rPr>
              <w:t>，遇水分解生成次氯酸（</w:t>
            </w:r>
            <w:r>
              <w:rPr>
                <w:rFonts w:ascii="Times New Roman" w:hAnsi="Times New Roman"/>
                <w:bCs/>
              </w:rPr>
              <w:t>HClO</w:t>
            </w:r>
            <w:r>
              <w:rPr>
                <w:rFonts w:hint="eastAsia"/>
                <w:bCs/>
              </w:rPr>
              <w:t>），通过强氧化性破坏微生物的细胞膜和核酸，实现杀菌消毒。常温下干燥状态较稳定，遇水、受潮、受热、光照会加速分解，反应方程式：</w:t>
            </w:r>
          </w:p>
          <w:p w14:paraId="440AA625">
            <w:pPr>
              <w:pStyle w:val="24"/>
              <w:ind w:firstLine="0" w:firstLineChars="0"/>
              <w:jc w:val="center"/>
            </w:pPr>
            <w:r>
              <w:drawing>
                <wp:inline distT="0" distB="0" distL="114300" distR="114300">
                  <wp:extent cx="2842895" cy="587375"/>
                  <wp:effectExtent l="0" t="0" r="14605" b="3175"/>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pic:cNvPicPr>
                            <a:picLocks noChangeAspect="1"/>
                          </pic:cNvPicPr>
                        </pic:nvPicPr>
                        <pic:blipFill>
                          <a:blip r:embed="rId10"/>
                          <a:stretch>
                            <a:fillRect/>
                          </a:stretch>
                        </pic:blipFill>
                        <pic:spPr>
                          <a:xfrm>
                            <a:off x="0" y="0"/>
                            <a:ext cx="2842895" cy="587375"/>
                          </a:xfrm>
                          <a:prstGeom prst="rect">
                            <a:avLst/>
                          </a:prstGeom>
                          <a:noFill/>
                          <a:ln>
                            <a:noFill/>
                          </a:ln>
                        </pic:spPr>
                      </pic:pic>
                    </a:graphicData>
                  </a:graphic>
                </wp:inline>
              </w:drawing>
            </w:r>
          </w:p>
          <w:p w14:paraId="6794A604">
            <w:pPr>
              <w:pStyle w:val="24"/>
              <w:ind w:firstLine="480"/>
              <w:rPr>
                <w:bCs/>
              </w:rPr>
            </w:pPr>
            <w:r>
              <w:rPr>
                <w:rFonts w:hint="eastAsia"/>
                <w:bCs/>
              </w:rPr>
              <w:t>属于强氧化性物质，次氯酸根离子（</w:t>
            </w:r>
            <w:r>
              <w:rPr>
                <w:rFonts w:ascii="Times New Roman" w:hAnsi="Times New Roman"/>
                <w:bCs/>
              </w:rPr>
              <w:t>ClO</w:t>
            </w:r>
            <w:r>
              <w:rPr>
                <w:rFonts w:hint="eastAsia" w:ascii="Times New Roman" w:hAnsi="Times New Roman"/>
                <w:bCs/>
                <w:vertAlign w:val="superscript"/>
              </w:rPr>
              <w:t>-</w:t>
            </w:r>
            <w:r>
              <w:rPr>
                <w:rFonts w:hint="eastAsia"/>
                <w:bCs/>
              </w:rPr>
              <w:t>）能破坏微生物的细胞膜和核酸，实现杀菌消毒；可氧化分解有机物，也能与还原剂（如硫代硫酸钠、亚铁盐）发生剧烈反应。</w:t>
            </w:r>
          </w:p>
          <w:p w14:paraId="5DFA41C2">
            <w:pPr>
              <w:pStyle w:val="445"/>
              <w:ind w:firstLine="482"/>
              <w:rPr>
                <w:b/>
                <w:bCs/>
                <w:color w:val="000000"/>
              </w:rPr>
            </w:pPr>
            <w:r>
              <w:rPr>
                <w:rFonts w:hint="eastAsia"/>
                <w:b/>
                <w:bCs/>
                <w:color w:val="000000"/>
              </w:rPr>
              <w:t>4</w:t>
            </w:r>
            <w:r>
              <w:rPr>
                <w:b/>
                <w:bCs/>
                <w:color w:val="000000"/>
              </w:rPr>
              <w:t>公用工程</w:t>
            </w:r>
          </w:p>
          <w:p w14:paraId="64B9881D">
            <w:pPr>
              <w:pStyle w:val="445"/>
              <w:ind w:firstLine="480"/>
              <w:rPr>
                <w:bCs/>
                <w:color w:val="000000"/>
              </w:rPr>
            </w:pPr>
            <w:r>
              <w:rPr>
                <w:bCs/>
                <w:color w:val="000000"/>
              </w:rPr>
              <w:t>（1）供电工程</w:t>
            </w:r>
          </w:p>
          <w:p w14:paraId="3CA7BC2B">
            <w:pPr>
              <w:pStyle w:val="445"/>
              <w:ind w:firstLine="480"/>
              <w:rPr>
                <w:bCs/>
                <w:color w:val="000000"/>
              </w:rPr>
            </w:pPr>
            <w:r>
              <w:rPr>
                <w:bCs/>
                <w:color w:val="000000"/>
              </w:rPr>
              <w:t>本项目供电</w:t>
            </w:r>
            <w:r>
              <w:rPr>
                <w:rFonts w:hint="eastAsia"/>
                <w:bCs/>
                <w:color w:val="000000"/>
              </w:rPr>
              <w:t>由</w:t>
            </w:r>
            <w:r>
              <w:rPr>
                <w:rFonts w:hint="eastAsia"/>
                <w:bCs/>
                <w:color w:val="000000"/>
                <w:lang w:val="en-US" w:eastAsia="zh-CN"/>
              </w:rPr>
              <w:t>东坪镇</w:t>
            </w:r>
            <w:r>
              <w:rPr>
                <w:rFonts w:hint="eastAsia"/>
                <w:bCs/>
                <w:color w:val="000000"/>
              </w:rPr>
              <w:t>供电系统</w:t>
            </w:r>
            <w:r>
              <w:rPr>
                <w:bCs/>
                <w:color w:val="000000"/>
              </w:rPr>
              <w:t>提供。</w:t>
            </w:r>
          </w:p>
          <w:p w14:paraId="09EA8C39">
            <w:pPr>
              <w:pStyle w:val="445"/>
              <w:ind w:firstLine="480"/>
              <w:rPr>
                <w:bCs/>
                <w:color w:val="000000"/>
              </w:rPr>
            </w:pPr>
            <w:r>
              <w:rPr>
                <w:bCs/>
                <w:color w:val="000000"/>
              </w:rPr>
              <w:t>（2）给水工程</w:t>
            </w:r>
          </w:p>
          <w:p w14:paraId="06122EF1">
            <w:pPr>
              <w:pStyle w:val="445"/>
              <w:ind w:firstLine="480"/>
              <w:rPr>
                <w:bCs/>
                <w:color w:val="000000"/>
              </w:rPr>
            </w:pPr>
            <w:r>
              <w:rPr>
                <w:bCs/>
                <w:color w:val="000000"/>
              </w:rPr>
              <w:t>本项目供水采用</w:t>
            </w:r>
            <w:r>
              <w:rPr>
                <w:rFonts w:hint="eastAsia"/>
                <w:bCs/>
                <w:color w:val="000000"/>
              </w:rPr>
              <w:t>自来水</w:t>
            </w:r>
            <w:r>
              <w:rPr>
                <w:bCs/>
                <w:color w:val="000000"/>
              </w:rPr>
              <w:t>，供水系统可满足项目用水需求。</w:t>
            </w:r>
          </w:p>
          <w:p w14:paraId="029F8AED">
            <w:pPr>
              <w:pStyle w:val="445"/>
              <w:ind w:firstLine="480"/>
              <w:rPr>
                <w:bCs/>
                <w:color w:val="000000"/>
              </w:rPr>
            </w:pPr>
            <w:r>
              <w:rPr>
                <w:bCs/>
                <w:color w:val="000000"/>
              </w:rPr>
              <w:t>（3）排水工程</w:t>
            </w:r>
          </w:p>
          <w:p w14:paraId="3DA1627E">
            <w:pPr>
              <w:pStyle w:val="445"/>
              <w:ind w:firstLine="480"/>
              <w:rPr>
                <w:bCs/>
                <w:sz w:val="32"/>
              </w:rPr>
            </w:pPr>
            <w:r>
              <w:rPr>
                <w:rFonts w:hint="eastAsia"/>
                <w:szCs w:val="21"/>
              </w:rPr>
              <w:t>项目排水采用雨污分流制，废水主要包括生活污水、医疗废水。</w:t>
            </w:r>
            <w:r>
              <w:rPr>
                <w:rFonts w:hint="eastAsia"/>
                <w:bCs/>
                <w:sz w:val="24"/>
                <w:szCs w:val="24"/>
                <w:lang w:val="en-US" w:eastAsia="zh-CN"/>
              </w:rPr>
              <w:t>医疗废水</w:t>
            </w:r>
            <w:r>
              <w:rPr>
                <w:rFonts w:hint="eastAsia"/>
                <w:szCs w:val="21"/>
                <w:highlight w:val="none"/>
              </w:rPr>
              <w:t>经</w:t>
            </w:r>
            <w:r>
              <w:rPr>
                <w:rFonts w:hint="eastAsia"/>
                <w:szCs w:val="21"/>
                <w:highlight w:val="none"/>
                <w:lang w:val="en-US" w:eastAsia="zh-CN"/>
              </w:rPr>
              <w:t>自建</w:t>
            </w:r>
            <w:r>
              <w:rPr>
                <w:rFonts w:hint="eastAsia"/>
                <w:szCs w:val="21"/>
                <w:highlight w:val="none"/>
              </w:rPr>
              <w:t>污水处理站处理后达到</w:t>
            </w:r>
            <w:r>
              <w:rPr>
                <w:rFonts w:hint="eastAsia"/>
                <w:bCs/>
                <w:sz w:val="24"/>
                <w:szCs w:val="24"/>
              </w:rPr>
              <w:t>《医疗机构水污染物排放标准》</w:t>
            </w:r>
            <w:r>
              <w:rPr>
                <w:rFonts w:hint="eastAsia" w:ascii="宋体" w:hAnsi="宋体" w:eastAsia="宋体" w:cs="宋体"/>
                <w:bCs/>
                <w:sz w:val="24"/>
                <w:szCs w:val="24"/>
              </w:rPr>
              <w:t>(</w:t>
            </w:r>
            <w:r>
              <w:rPr>
                <w:rFonts w:hint="eastAsia"/>
                <w:bCs/>
                <w:sz w:val="24"/>
                <w:szCs w:val="24"/>
              </w:rPr>
              <w:t>GB18466-2005</w:t>
            </w:r>
            <w:r>
              <w:rPr>
                <w:rFonts w:hint="eastAsia" w:ascii="宋体" w:hAnsi="宋体" w:eastAsia="宋体" w:cs="宋体"/>
                <w:bCs/>
                <w:sz w:val="24"/>
                <w:szCs w:val="24"/>
              </w:rPr>
              <w:t>)</w:t>
            </w:r>
            <w:r>
              <w:rPr>
                <w:rStyle w:val="87"/>
                <w:rFonts w:hint="eastAsia"/>
                <w:color w:val="000000"/>
                <w:szCs w:val="24"/>
                <w:lang w:eastAsia="zh-CN"/>
              </w:rPr>
              <w:t>（</w:t>
            </w:r>
            <w:r>
              <w:rPr>
                <w:rStyle w:val="87"/>
                <w:rFonts w:hint="eastAsia"/>
                <w:color w:val="000000"/>
                <w:szCs w:val="24"/>
                <w:lang w:val="en-US" w:eastAsia="zh-CN"/>
              </w:rPr>
              <w:t>含</w:t>
            </w:r>
            <w:r>
              <w:rPr>
                <w:rStyle w:val="87"/>
                <w:rFonts w:hint="default" w:ascii="Times New Roman" w:hAnsi="Times New Roman" w:cs="Times New Roman"/>
                <w:color w:val="000000"/>
                <w:szCs w:val="24"/>
                <w:lang w:val="en-US" w:eastAsia="zh-CN"/>
              </w:rPr>
              <w:t>2026</w:t>
            </w:r>
            <w:r>
              <w:rPr>
                <w:rStyle w:val="87"/>
                <w:rFonts w:hint="eastAsia"/>
                <w:color w:val="000000"/>
                <w:szCs w:val="24"/>
                <w:lang w:val="en-US" w:eastAsia="zh-CN"/>
              </w:rPr>
              <w:t>年修改单</w:t>
            </w:r>
            <w:r>
              <w:rPr>
                <w:rStyle w:val="87"/>
                <w:rFonts w:hint="eastAsia"/>
                <w:color w:val="000000"/>
                <w:szCs w:val="24"/>
                <w:lang w:eastAsia="zh-CN"/>
              </w:rPr>
              <w:t>）</w:t>
            </w:r>
            <w:r>
              <w:rPr>
                <w:rFonts w:hint="eastAsia"/>
                <w:bCs/>
                <w:sz w:val="24"/>
                <w:szCs w:val="24"/>
              </w:rPr>
              <w:t>表2中预处理标准</w:t>
            </w:r>
            <w:r>
              <w:rPr>
                <w:rFonts w:hint="eastAsia"/>
                <w:bCs/>
                <w:sz w:val="24"/>
                <w:szCs w:val="24"/>
                <w:lang w:val="en-US" w:eastAsia="zh-CN"/>
              </w:rPr>
              <w:t>及安化县污水处理厂进水水质标准</w:t>
            </w:r>
            <w:r>
              <w:rPr>
                <w:rFonts w:hint="eastAsia"/>
                <w:bCs/>
                <w:sz w:val="24"/>
                <w:szCs w:val="24"/>
                <w:lang w:eastAsia="zh-CN"/>
              </w:rPr>
              <w:t>；</w:t>
            </w:r>
            <w:r>
              <w:rPr>
                <w:rFonts w:hint="eastAsia"/>
                <w:szCs w:val="21"/>
                <w:lang w:val="en-US" w:eastAsia="zh-CN"/>
              </w:rPr>
              <w:t>生活污水经隔油池、化粪池处理后</w:t>
            </w:r>
            <w:r>
              <w:rPr>
                <w:rFonts w:hint="eastAsia"/>
                <w:bCs/>
                <w:sz w:val="24"/>
                <w:szCs w:val="24"/>
                <w:lang w:val="en-US" w:eastAsia="zh-CN"/>
              </w:rPr>
              <w:t>SS、动植物油、LAS达到《污水综合排放标准》（GB8978-1996）表4中三级排放标准限值；COD、BOD</w:t>
            </w:r>
            <w:r>
              <w:rPr>
                <w:rFonts w:hint="eastAsia"/>
                <w:bCs/>
                <w:sz w:val="24"/>
                <w:szCs w:val="24"/>
                <w:vertAlign w:val="subscript"/>
                <w:lang w:val="en-US" w:eastAsia="zh-CN"/>
              </w:rPr>
              <w:t>5</w:t>
            </w:r>
            <w:r>
              <w:rPr>
                <w:rFonts w:hint="eastAsia"/>
                <w:bCs/>
                <w:sz w:val="24"/>
                <w:szCs w:val="24"/>
                <w:lang w:val="en-US" w:eastAsia="zh-CN"/>
              </w:rPr>
              <w:t>、氨氮、总磷达到安化县污水处理厂进水水质标准；总氮、氯化物达到《污水排入城镇下水道水质标准》(GB/T 31962-2015)表1中B级标准限值</w:t>
            </w:r>
            <w:r>
              <w:rPr>
                <w:rFonts w:hint="eastAsia"/>
                <w:bCs/>
              </w:rPr>
              <w:t>后排入市政污水管网，</w:t>
            </w:r>
            <w:r>
              <w:rPr>
                <w:rFonts w:hint="eastAsia"/>
                <w:bCs/>
                <w:lang w:val="en-US" w:eastAsia="zh-CN"/>
              </w:rPr>
              <w:t>最终进入安化县污水处理厂深度处理后排入资江</w:t>
            </w:r>
            <w:r>
              <w:rPr>
                <w:rFonts w:hint="eastAsia"/>
              </w:rPr>
              <w:t>。</w:t>
            </w:r>
          </w:p>
          <w:p w14:paraId="734C3EAF">
            <w:pPr>
              <w:pStyle w:val="445"/>
              <w:ind w:firstLine="482"/>
              <w:rPr>
                <w:b/>
                <w:color w:val="000000"/>
              </w:rPr>
            </w:pPr>
            <w:bookmarkStart w:id="11" w:name="_Hlk135216410"/>
            <w:r>
              <w:rPr>
                <w:b/>
                <w:color w:val="000000"/>
              </w:rPr>
              <w:t>水平衡分析：</w:t>
            </w:r>
          </w:p>
          <w:p w14:paraId="6D3940E9">
            <w:pPr>
              <w:pStyle w:val="445"/>
              <w:ind w:firstLine="480"/>
              <w:rPr>
                <w:rFonts w:hint="eastAsia"/>
                <w:bCs/>
                <w:color w:val="auto"/>
                <w:u w:val="single"/>
              </w:rPr>
            </w:pPr>
            <w:bookmarkStart w:id="12" w:name="OLE_LINK70"/>
            <w:bookmarkStart w:id="13" w:name="OLE_LINK71"/>
            <w:r>
              <w:rPr>
                <w:rFonts w:hint="eastAsia"/>
                <w:b/>
                <w:bCs w:val="0"/>
                <w:color w:val="auto"/>
                <w:u w:val="single"/>
              </w:rPr>
              <w:t>养老用排水</w:t>
            </w:r>
          </w:p>
          <w:p w14:paraId="4E3D4C01">
            <w:pPr>
              <w:pStyle w:val="445"/>
              <w:ind w:firstLine="480"/>
              <w:rPr>
                <w:rFonts w:hint="eastAsia" w:eastAsia="宋体"/>
                <w:bCs/>
                <w:color w:val="auto"/>
                <w:u w:val="single"/>
                <w:lang w:val="en-US" w:eastAsia="zh-CN"/>
              </w:rPr>
            </w:pPr>
            <w:r>
              <w:rPr>
                <w:rFonts w:hint="eastAsia"/>
                <w:bCs/>
                <w:color w:val="auto"/>
                <w:u w:val="single"/>
              </w:rPr>
              <w:t>根据</w:t>
            </w:r>
            <w:r>
              <w:rPr>
                <w:rFonts w:cs="Times New Roman"/>
                <w:bCs/>
                <w:color w:val="auto"/>
                <w:u w:val="single"/>
              </w:rPr>
              <w:t>《</w:t>
            </w:r>
            <w:r>
              <w:rPr>
                <w:rFonts w:hint="eastAsia" w:cs="Times New Roman"/>
                <w:bCs/>
                <w:color w:val="auto"/>
                <w:u w:val="single"/>
              </w:rPr>
              <w:t>用水定额 第3部分：生活、服务业及建筑业</w:t>
            </w:r>
            <w:r>
              <w:rPr>
                <w:rFonts w:cs="Times New Roman"/>
                <w:bCs/>
                <w:color w:val="auto"/>
                <w:u w:val="single"/>
              </w:rPr>
              <w:t>》（</w:t>
            </w:r>
            <w:r>
              <w:rPr>
                <w:rFonts w:hint="eastAsia" w:cs="Times New Roman"/>
                <w:bCs/>
                <w:color w:val="auto"/>
                <w:u w:val="single"/>
              </w:rPr>
              <w:t>DB43/T388.3-2025</w:t>
            </w:r>
            <w:r>
              <w:rPr>
                <w:rFonts w:cs="Times New Roman"/>
                <w:bCs/>
                <w:color w:val="auto"/>
                <w:u w:val="single"/>
              </w:rPr>
              <w:t>）</w:t>
            </w:r>
            <w:r>
              <w:rPr>
                <w:rFonts w:hint="eastAsia"/>
                <w:color w:val="auto"/>
                <w:u w:val="single"/>
                <w:lang w:val="en-US" w:eastAsia="zh-CN"/>
              </w:rPr>
              <w:t>中“用水定额第3部分：生活、服务业及建筑业”“</w:t>
            </w:r>
            <w:r>
              <w:rPr>
                <w:rFonts w:hint="eastAsia"/>
                <w:bCs/>
                <w:color w:val="auto"/>
                <w:u w:val="single"/>
                <w:lang w:val="en-US" w:eastAsia="zh-CN"/>
              </w:rPr>
              <w:t>表1城镇居民生活用水定额</w:t>
            </w:r>
            <w:r>
              <w:rPr>
                <w:rFonts w:hint="eastAsia"/>
                <w:color w:val="auto"/>
                <w:u w:val="single"/>
                <w:lang w:val="en-US" w:eastAsia="zh-CN"/>
              </w:rPr>
              <w:t>”</w:t>
            </w:r>
            <w:r>
              <w:rPr>
                <w:rFonts w:hint="eastAsia"/>
                <w:bCs/>
                <w:color w:val="auto"/>
                <w:u w:val="single"/>
                <w:lang w:val="en-US" w:eastAsia="zh-CN"/>
              </w:rPr>
              <w:t>中小城市通用值，</w:t>
            </w:r>
            <w:r>
              <w:rPr>
                <w:rFonts w:hint="eastAsia"/>
                <w:bCs/>
                <w:color w:val="auto"/>
                <w:u w:val="single"/>
              </w:rPr>
              <w:t>按</w:t>
            </w:r>
            <w:r>
              <w:rPr>
                <w:rFonts w:hint="eastAsia"/>
                <w:bCs/>
                <w:color w:val="auto"/>
                <w:u w:val="single"/>
                <w:lang w:val="en-US" w:eastAsia="zh-CN"/>
              </w:rPr>
              <w:t>145</w:t>
            </w:r>
            <w:r>
              <w:rPr>
                <w:rFonts w:hint="eastAsia"/>
                <w:bCs/>
                <w:color w:val="auto"/>
                <w:u w:val="single"/>
              </w:rPr>
              <w:t>L/人</w:t>
            </w:r>
            <w:r>
              <w:rPr>
                <w:rFonts w:hint="eastAsia"/>
                <w:bCs/>
                <w:color w:val="auto"/>
                <w:u w:val="single"/>
                <w:lang w:val="en-US" w:eastAsia="zh-CN"/>
              </w:rPr>
              <w:t>·</w:t>
            </w:r>
            <w:r>
              <w:rPr>
                <w:rFonts w:hint="eastAsia"/>
                <w:bCs/>
                <w:color w:val="auto"/>
                <w:u w:val="single"/>
              </w:rPr>
              <w:t>d计算，本项目</w:t>
            </w:r>
            <w:r>
              <w:rPr>
                <w:rFonts w:hint="eastAsia"/>
                <w:bCs/>
                <w:color w:val="auto"/>
                <w:u w:val="single"/>
                <w:lang w:val="en-US" w:eastAsia="zh-CN"/>
              </w:rPr>
              <w:t>拟建</w:t>
            </w:r>
            <w:r>
              <w:rPr>
                <w:rFonts w:hint="eastAsia"/>
                <w:bCs/>
                <w:color w:val="auto"/>
                <w:u w:val="single"/>
              </w:rPr>
              <w:t>养老床位</w:t>
            </w:r>
            <w:r>
              <w:rPr>
                <w:rFonts w:hint="eastAsia"/>
                <w:bCs/>
                <w:color w:val="auto"/>
                <w:u w:val="single"/>
                <w:lang w:val="en-US" w:eastAsia="zh-CN"/>
              </w:rPr>
              <w:t>400</w:t>
            </w:r>
            <w:r>
              <w:rPr>
                <w:rFonts w:hint="eastAsia"/>
                <w:bCs/>
                <w:color w:val="auto"/>
                <w:u w:val="single"/>
              </w:rPr>
              <w:t>床，视为养老人员为</w:t>
            </w:r>
            <w:r>
              <w:rPr>
                <w:rFonts w:hint="eastAsia"/>
                <w:bCs/>
                <w:color w:val="auto"/>
                <w:u w:val="single"/>
                <w:lang w:val="en-US" w:eastAsia="zh-CN"/>
              </w:rPr>
              <w:t>400</w:t>
            </w:r>
            <w:r>
              <w:rPr>
                <w:rFonts w:hint="eastAsia"/>
                <w:bCs/>
                <w:color w:val="auto"/>
                <w:u w:val="single"/>
              </w:rPr>
              <w:t>人，则用水量为</w:t>
            </w:r>
            <w:r>
              <w:rPr>
                <w:rFonts w:hint="eastAsia"/>
                <w:bCs/>
                <w:color w:val="auto"/>
                <w:u w:val="single"/>
                <w:lang w:val="en-US" w:eastAsia="zh-CN"/>
              </w:rPr>
              <w:t>58</w:t>
            </w:r>
            <w:r>
              <w:rPr>
                <w:rFonts w:hint="eastAsia"/>
                <w:bCs/>
                <w:color w:val="auto"/>
                <w:u w:val="single"/>
              </w:rPr>
              <w:t>m</w:t>
            </w:r>
            <w:r>
              <w:rPr>
                <w:rFonts w:hint="eastAsia"/>
                <w:bCs/>
                <w:color w:val="auto"/>
                <w:u w:val="single"/>
                <w:vertAlign w:val="superscript"/>
                <w:lang w:val="en-US" w:eastAsia="zh-CN"/>
              </w:rPr>
              <w:t>3</w:t>
            </w:r>
            <w:r>
              <w:rPr>
                <w:rFonts w:hint="eastAsia"/>
                <w:bCs/>
                <w:color w:val="auto"/>
                <w:u w:val="single"/>
              </w:rPr>
              <w:t>/d，</w:t>
            </w:r>
            <w:r>
              <w:rPr>
                <w:rFonts w:hint="eastAsia"/>
                <w:bCs/>
                <w:color w:val="auto"/>
                <w:u w:val="single"/>
                <w:lang w:val="en-US" w:eastAsia="zh-CN"/>
              </w:rPr>
              <w:t>21170</w:t>
            </w:r>
            <w:r>
              <w:rPr>
                <w:rFonts w:hint="eastAsia"/>
                <w:bCs/>
                <w:color w:val="auto"/>
                <w:u w:val="single"/>
              </w:rPr>
              <w:t>m</w:t>
            </w:r>
            <w:r>
              <w:rPr>
                <w:rFonts w:hint="eastAsia"/>
                <w:bCs/>
                <w:color w:val="auto"/>
                <w:u w:val="single"/>
                <w:vertAlign w:val="superscript"/>
                <w:lang w:val="en-US" w:eastAsia="zh-CN"/>
              </w:rPr>
              <w:t>3</w:t>
            </w:r>
            <w:r>
              <w:rPr>
                <w:rFonts w:hint="eastAsia"/>
                <w:bCs/>
                <w:color w:val="auto"/>
                <w:u w:val="single"/>
              </w:rPr>
              <w:t>/a；</w:t>
            </w:r>
            <w:r>
              <w:rPr>
                <w:bCs/>
                <w:color w:val="auto"/>
                <w:u w:val="single"/>
              </w:rPr>
              <w:t>生活污水产生系数约为80%，</w:t>
            </w:r>
            <w:r>
              <w:rPr>
                <w:rFonts w:hint="eastAsia"/>
                <w:bCs/>
                <w:color w:val="auto"/>
                <w:u w:val="single"/>
                <w:lang w:val="en-US" w:eastAsia="zh-CN"/>
              </w:rPr>
              <w:t>项目养老废水日排放量为46.4</w:t>
            </w:r>
            <w:r>
              <w:rPr>
                <w:rFonts w:hint="eastAsia"/>
                <w:bCs/>
                <w:color w:val="auto"/>
                <w:u w:val="single"/>
              </w:rPr>
              <w:t>m</w:t>
            </w:r>
            <w:r>
              <w:rPr>
                <w:rFonts w:hint="eastAsia"/>
                <w:bCs/>
                <w:color w:val="auto"/>
                <w:u w:val="single"/>
                <w:vertAlign w:val="superscript"/>
                <w:lang w:val="en-US" w:eastAsia="zh-CN"/>
              </w:rPr>
              <w:t>3</w:t>
            </w:r>
            <w:r>
              <w:rPr>
                <w:rFonts w:hint="eastAsia"/>
                <w:bCs/>
                <w:color w:val="auto"/>
                <w:u w:val="single"/>
              </w:rPr>
              <w:t>/d</w:t>
            </w:r>
            <w:r>
              <w:rPr>
                <w:rFonts w:hint="eastAsia"/>
                <w:bCs/>
                <w:color w:val="auto"/>
                <w:u w:val="single"/>
                <w:lang w:val="en-US" w:eastAsia="zh-CN"/>
              </w:rPr>
              <w:t>，年排放量为16936</w:t>
            </w:r>
            <w:r>
              <w:rPr>
                <w:rFonts w:hint="eastAsia"/>
                <w:bCs/>
                <w:color w:val="auto"/>
                <w:u w:val="single"/>
              </w:rPr>
              <w:t>m</w:t>
            </w:r>
            <w:r>
              <w:rPr>
                <w:rFonts w:hint="eastAsia"/>
                <w:bCs/>
                <w:color w:val="auto"/>
                <w:u w:val="single"/>
                <w:vertAlign w:val="superscript"/>
                <w:lang w:val="en-US" w:eastAsia="zh-CN"/>
              </w:rPr>
              <w:t>3</w:t>
            </w:r>
            <w:r>
              <w:rPr>
                <w:rFonts w:hint="eastAsia"/>
                <w:bCs/>
                <w:color w:val="auto"/>
                <w:u w:val="single"/>
              </w:rPr>
              <w:t>/a</w:t>
            </w:r>
            <w:r>
              <w:rPr>
                <w:rFonts w:hint="eastAsia"/>
                <w:bCs/>
                <w:color w:val="auto"/>
                <w:u w:val="single"/>
                <w:lang w:eastAsia="zh-CN"/>
              </w:rPr>
              <w:t>。</w:t>
            </w:r>
          </w:p>
          <w:p w14:paraId="69B6B5EB">
            <w:pPr>
              <w:pStyle w:val="445"/>
              <w:ind w:firstLine="480"/>
              <w:rPr>
                <w:rFonts w:hint="eastAsia"/>
                <w:bCs/>
                <w:color w:val="auto"/>
                <w:u w:val="single"/>
              </w:rPr>
            </w:pPr>
            <w:r>
              <w:rPr>
                <w:rFonts w:hint="eastAsia"/>
                <w:bCs/>
                <w:color w:val="auto"/>
                <w:u w:val="single"/>
                <w:lang w:val="en-US" w:eastAsia="zh-CN"/>
              </w:rPr>
              <w:t>养老公寓</w:t>
            </w:r>
            <w:r>
              <w:rPr>
                <w:rFonts w:hint="eastAsia"/>
                <w:bCs/>
                <w:color w:val="auto"/>
                <w:u w:val="single"/>
              </w:rPr>
              <w:t>仅作为老年人日常居住、生活照料及非医疗性康养活动场所，不设置任何医疗诊疗区域（如医务室、治疗室等），不开展静脉注射、伤口处置、康复治疗等医疗护理操作，亦不涉及任何医用废水产生环节（如医疗器具清洗、药物配置、体液污染物处理等）。</w:t>
            </w:r>
          </w:p>
          <w:p w14:paraId="144A8234">
            <w:pPr>
              <w:pStyle w:val="445"/>
              <w:ind w:firstLine="480"/>
              <w:rPr>
                <w:rFonts w:hint="eastAsia"/>
                <w:bCs/>
                <w:color w:val="auto"/>
                <w:u w:val="single"/>
              </w:rPr>
            </w:pPr>
            <w:r>
              <w:rPr>
                <w:rFonts w:hint="eastAsia"/>
                <w:bCs/>
                <w:color w:val="auto"/>
                <w:u w:val="single"/>
              </w:rPr>
              <w:t>老年人日常健康监测及患病后的诊断、治疗、护理等医疗服务，均通过独立设置的医疗</w:t>
            </w:r>
            <w:r>
              <w:rPr>
                <w:rFonts w:hint="eastAsia"/>
                <w:bCs/>
                <w:color w:val="auto"/>
                <w:u w:val="single"/>
                <w:lang w:val="en-US" w:eastAsia="zh-CN"/>
              </w:rPr>
              <w:t>综合</w:t>
            </w:r>
            <w:r>
              <w:rPr>
                <w:rFonts w:hint="eastAsia"/>
                <w:bCs/>
                <w:color w:val="auto"/>
                <w:u w:val="single"/>
              </w:rPr>
              <w:t>楼承接。</w:t>
            </w:r>
            <w:r>
              <w:rPr>
                <w:rFonts w:hint="eastAsia"/>
                <w:bCs/>
                <w:color w:val="auto"/>
                <w:u w:val="single"/>
                <w:lang w:val="en-US" w:eastAsia="zh-CN"/>
              </w:rPr>
              <w:t>养老公寓</w:t>
            </w:r>
            <w:r>
              <w:rPr>
                <w:rFonts w:hint="eastAsia"/>
                <w:bCs/>
                <w:color w:val="auto"/>
                <w:u w:val="single"/>
              </w:rPr>
              <w:t>楼内产生的废水仅为生活污水（如洗漱排水、洗衣废水等）。</w:t>
            </w:r>
          </w:p>
          <w:p w14:paraId="34353DC0">
            <w:pPr>
              <w:pStyle w:val="445"/>
              <w:ind w:firstLine="480"/>
              <w:rPr>
                <w:rFonts w:hint="eastAsia"/>
                <w:b/>
                <w:bCs w:val="0"/>
                <w:u w:val="single"/>
                <w:lang w:val="en-US" w:eastAsia="zh-CN"/>
              </w:rPr>
            </w:pPr>
            <w:r>
              <w:rPr>
                <w:rFonts w:hint="eastAsia"/>
                <w:b/>
                <w:bCs w:val="0"/>
                <w:u w:val="single"/>
                <w:lang w:val="en-US" w:eastAsia="zh-CN"/>
              </w:rPr>
              <w:t>医疗用</w:t>
            </w:r>
            <w:r>
              <w:rPr>
                <w:rFonts w:hint="eastAsia"/>
                <w:b/>
                <w:bCs w:val="0"/>
                <w:color w:val="auto"/>
                <w:u w:val="single"/>
              </w:rPr>
              <w:t>排</w:t>
            </w:r>
            <w:r>
              <w:rPr>
                <w:rFonts w:hint="eastAsia"/>
                <w:b/>
                <w:bCs w:val="0"/>
                <w:u w:val="single"/>
                <w:lang w:val="en-US" w:eastAsia="zh-CN"/>
              </w:rPr>
              <w:t>水</w:t>
            </w:r>
          </w:p>
          <w:p w14:paraId="3F60DDBC">
            <w:pPr>
              <w:pStyle w:val="445"/>
              <w:keepNext w:val="0"/>
              <w:keepLines w:val="0"/>
              <w:pageBreakBefore w:val="0"/>
              <w:widowControl w:val="0"/>
              <w:kinsoku/>
              <w:wordWrap/>
              <w:overflowPunct/>
              <w:topLinePunct w:val="0"/>
              <w:autoSpaceDE w:val="0"/>
              <w:autoSpaceDN w:val="0"/>
              <w:bidi w:val="0"/>
              <w:adjustRightInd w:val="0"/>
              <w:snapToGrid w:val="0"/>
              <w:ind w:firstLine="480"/>
              <w:textAlignment w:val="auto"/>
              <w:rPr>
                <w:rFonts w:hint="eastAsia"/>
                <w:bCs/>
                <w:lang w:val="en-US" w:eastAsia="zh-CN"/>
              </w:rPr>
            </w:pPr>
            <w:r>
              <w:rPr>
                <w:rFonts w:hint="eastAsia"/>
                <w:u w:val="single"/>
                <w:lang w:val="en-US" w:eastAsia="zh-CN"/>
              </w:rPr>
              <w:t>依据</w:t>
            </w:r>
            <w:r>
              <w:rPr>
                <w:rFonts w:cs="Times New Roman"/>
                <w:bCs/>
                <w:color w:val="auto"/>
                <w:u w:val="single"/>
              </w:rPr>
              <w:t>《</w:t>
            </w:r>
            <w:r>
              <w:rPr>
                <w:rFonts w:hint="eastAsia" w:cs="Times New Roman"/>
                <w:bCs/>
                <w:color w:val="auto"/>
                <w:u w:val="single"/>
              </w:rPr>
              <w:t>用水定额 第3部分：生活、服务业及建筑业</w:t>
            </w:r>
            <w:r>
              <w:rPr>
                <w:rFonts w:cs="Times New Roman"/>
                <w:bCs/>
                <w:color w:val="auto"/>
                <w:u w:val="single"/>
              </w:rPr>
              <w:t>》（</w:t>
            </w:r>
            <w:r>
              <w:rPr>
                <w:rFonts w:hint="eastAsia" w:cs="Times New Roman"/>
                <w:bCs/>
                <w:color w:val="auto"/>
                <w:u w:val="single"/>
              </w:rPr>
              <w:t>DB43/T388.3-2025</w:t>
            </w:r>
            <w:r>
              <w:rPr>
                <w:rFonts w:cs="Times New Roman"/>
                <w:bCs/>
                <w:color w:val="auto"/>
                <w:u w:val="single"/>
              </w:rPr>
              <w:t>）</w:t>
            </w:r>
            <w:r>
              <w:rPr>
                <w:rFonts w:hint="eastAsia"/>
                <w:u w:val="single"/>
                <w:lang w:val="en-US" w:eastAsia="zh-CN"/>
              </w:rPr>
              <w:t>中“用水定额第3部分：生活、服务业及建筑业”“表4公共事业用水定额”二级及以下医院住院部用水定额先进值400L/（床·d）、通用值760L/（床·d），本项目取中间值580L/（床·d），根据建设单位提供资料，本项目拟建医疗床位100张，本项目医疗人员按100人计，则医疗用水量为58m</w:t>
            </w:r>
            <w:r>
              <w:rPr>
                <w:rFonts w:hint="eastAsia"/>
                <w:u w:val="single"/>
                <w:vertAlign w:val="superscript"/>
                <w:lang w:val="en-US" w:eastAsia="zh-CN"/>
              </w:rPr>
              <w:t>3</w:t>
            </w:r>
            <w:r>
              <w:rPr>
                <w:rFonts w:hint="eastAsia"/>
                <w:u w:val="single"/>
                <w:lang w:val="en-US" w:eastAsia="zh-CN"/>
              </w:rPr>
              <w:t>/d（21170</w:t>
            </w:r>
            <w:r>
              <w:rPr>
                <w:rFonts w:hint="eastAsia"/>
                <w:bCs/>
                <w:u w:val="single"/>
              </w:rPr>
              <w:t>m</w:t>
            </w:r>
            <w:r>
              <w:rPr>
                <w:rFonts w:hint="eastAsia"/>
                <w:bCs/>
                <w:u w:val="single"/>
                <w:vertAlign w:val="superscript"/>
                <w:lang w:val="en-US" w:eastAsia="zh-CN"/>
              </w:rPr>
              <w:t>3</w:t>
            </w:r>
            <w:r>
              <w:rPr>
                <w:rFonts w:hint="eastAsia"/>
                <w:bCs/>
                <w:u w:val="single"/>
              </w:rPr>
              <w:t>/a</w:t>
            </w:r>
            <w:r>
              <w:rPr>
                <w:rFonts w:hint="eastAsia"/>
                <w:u w:val="single"/>
                <w:lang w:val="en-US" w:eastAsia="zh-CN"/>
              </w:rPr>
              <w:t>），</w:t>
            </w:r>
            <w:r>
              <w:rPr>
                <w:rFonts w:hint="eastAsia"/>
                <w:bCs/>
                <w:color w:val="000000"/>
                <w:u w:val="single"/>
              </w:rPr>
              <w:t>污水排放系数按0.8计，则</w:t>
            </w:r>
            <w:r>
              <w:rPr>
                <w:rFonts w:hint="eastAsia"/>
                <w:u w:val="single"/>
                <w:lang w:val="en-US" w:eastAsia="zh-CN"/>
              </w:rPr>
              <w:t>医疗</w:t>
            </w:r>
            <w:r>
              <w:rPr>
                <w:rFonts w:hint="eastAsia"/>
                <w:bCs/>
                <w:color w:val="000000"/>
                <w:u w:val="single"/>
                <w:lang w:val="en-US" w:eastAsia="zh-CN"/>
              </w:rPr>
              <w:t>废水量为46.4</w:t>
            </w:r>
            <w:r>
              <w:rPr>
                <w:rFonts w:hint="eastAsia"/>
                <w:u w:val="single"/>
                <w:lang w:val="en-US" w:eastAsia="zh-CN"/>
              </w:rPr>
              <w:t>m</w:t>
            </w:r>
            <w:r>
              <w:rPr>
                <w:rFonts w:hint="eastAsia"/>
                <w:u w:val="single"/>
                <w:vertAlign w:val="superscript"/>
                <w:lang w:val="en-US" w:eastAsia="zh-CN"/>
              </w:rPr>
              <w:t>3</w:t>
            </w:r>
            <w:r>
              <w:rPr>
                <w:rFonts w:hint="eastAsia"/>
                <w:u w:val="single"/>
                <w:lang w:val="en-US" w:eastAsia="zh-CN"/>
              </w:rPr>
              <w:t>/d</w:t>
            </w:r>
            <w:r>
              <w:rPr>
                <w:rFonts w:hint="eastAsia"/>
                <w:bCs/>
                <w:color w:val="000000"/>
                <w:u w:val="single"/>
                <w:lang w:val="en-US" w:eastAsia="zh-CN"/>
              </w:rPr>
              <w:t>（16936）</w:t>
            </w:r>
            <w:r>
              <w:rPr>
                <w:rFonts w:hint="eastAsia"/>
                <w:bCs/>
                <w:u w:val="single"/>
              </w:rPr>
              <w:t>m</w:t>
            </w:r>
            <w:r>
              <w:rPr>
                <w:rFonts w:hint="eastAsia"/>
                <w:bCs/>
                <w:u w:val="single"/>
                <w:vertAlign w:val="superscript"/>
                <w:lang w:val="en-US" w:eastAsia="zh-CN"/>
              </w:rPr>
              <w:t>3</w:t>
            </w:r>
            <w:r>
              <w:rPr>
                <w:rFonts w:hint="eastAsia"/>
                <w:bCs/>
                <w:u w:val="single"/>
              </w:rPr>
              <w:t>/a</w:t>
            </w:r>
            <w:r>
              <w:rPr>
                <w:rFonts w:hint="eastAsia"/>
                <w:bCs/>
                <w:u w:val="single"/>
                <w:lang w:eastAsia="zh-CN"/>
              </w:rPr>
              <w:t>。</w:t>
            </w:r>
            <w:r>
              <w:rPr>
                <w:rFonts w:hint="eastAsia"/>
                <w:u w:val="single"/>
                <w:lang w:val="en-US" w:eastAsia="zh-CN"/>
              </w:rPr>
              <w:t>医疗</w:t>
            </w:r>
            <w:r>
              <w:rPr>
                <w:rFonts w:hint="eastAsia"/>
                <w:bCs/>
                <w:u w:val="single"/>
                <w:lang w:val="en-US" w:eastAsia="zh-CN"/>
              </w:rPr>
              <w:t>废水经自建污水处理站预处理达到《医疗机构水污染物排放标准》（GB18466-2005）</w:t>
            </w:r>
            <w:r>
              <w:rPr>
                <w:rFonts w:hint="eastAsia" w:ascii="宋体" w:hAnsi="宋体" w:eastAsia="宋体" w:cs="宋体"/>
                <w:bCs/>
                <w:u w:val="single"/>
                <w:lang w:val="en-US" w:eastAsia="zh-CN"/>
              </w:rPr>
              <w:t>(含</w:t>
            </w:r>
            <w:r>
              <w:rPr>
                <w:rFonts w:hint="eastAsia"/>
                <w:bCs/>
                <w:u w:val="single"/>
                <w:lang w:val="en-US" w:eastAsia="zh-CN"/>
              </w:rPr>
              <w:t>2026年修改单</w:t>
            </w:r>
            <w:r>
              <w:rPr>
                <w:rFonts w:hint="eastAsia" w:ascii="宋体" w:hAnsi="宋体" w:eastAsia="宋体" w:cs="宋体"/>
                <w:bCs/>
                <w:u w:val="single"/>
                <w:lang w:val="en-US" w:eastAsia="zh-CN"/>
              </w:rPr>
              <w:t>)</w:t>
            </w:r>
            <w:r>
              <w:rPr>
                <w:rFonts w:hint="eastAsia"/>
                <w:bCs/>
                <w:u w:val="single"/>
                <w:lang w:val="en-US" w:eastAsia="zh-CN"/>
              </w:rPr>
              <w:t>中表2预处理标准后排入市政污水管网</w:t>
            </w:r>
            <w:r>
              <w:rPr>
                <w:rFonts w:hint="eastAsia"/>
                <w:bCs/>
                <w:u w:val="single"/>
              </w:rPr>
              <w:t>，</w:t>
            </w:r>
            <w:r>
              <w:rPr>
                <w:rFonts w:hint="eastAsia"/>
                <w:bCs/>
                <w:u w:val="single"/>
                <w:lang w:val="en-US" w:eastAsia="zh-CN"/>
              </w:rPr>
              <w:t>最终进入安化县污水处理厂深度处理后，尾水排入资江。</w:t>
            </w:r>
          </w:p>
          <w:p w14:paraId="39544F17">
            <w:pPr>
              <w:pStyle w:val="445"/>
              <w:ind w:firstLine="480"/>
              <w:rPr>
                <w:rFonts w:hint="eastAsia"/>
                <w:b/>
                <w:bCs w:val="0"/>
                <w:lang w:val="en-US" w:eastAsia="zh-CN"/>
              </w:rPr>
            </w:pPr>
            <w:r>
              <w:rPr>
                <w:rFonts w:hint="eastAsia"/>
                <w:b/>
                <w:bCs w:val="0"/>
                <w:lang w:val="en-US" w:eastAsia="zh-CN"/>
              </w:rPr>
              <w:t>门诊用水</w:t>
            </w:r>
          </w:p>
          <w:p w14:paraId="2D27C8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bCs/>
                <w:lang w:val="en-US" w:eastAsia="zh-CN"/>
              </w:rPr>
            </w:pPr>
            <w:r>
              <w:rPr>
                <w:rFonts w:hint="eastAsia" w:ascii="Times New Roman" w:hAnsi="Times New Roman" w:eastAsia="宋体" w:cs="宋体"/>
                <w:kern w:val="2"/>
                <w:sz w:val="24"/>
                <w:szCs w:val="24"/>
                <w:lang w:val="en-US" w:eastAsia="zh-CN" w:bidi="ar-SA"/>
              </w:rPr>
              <w:t>参考《综合医院建筑设计标准》（GB51039-2014）（2024年修订版），门诊用水量为10~15L/人·次，本项目取15L/人·次，</w:t>
            </w:r>
            <w:r>
              <w:rPr>
                <w:rFonts w:hint="eastAsia" w:cs="宋体"/>
                <w:kern w:val="2"/>
                <w:sz w:val="24"/>
                <w:szCs w:val="24"/>
                <w:lang w:val="en-US" w:eastAsia="zh-CN" w:bidi="ar-SA"/>
              </w:rPr>
              <w:t>根据建设单位提供资料，每日接纳约30名患者，则门诊医疗活动用水量为0.45m</w:t>
            </w:r>
            <w:r>
              <w:rPr>
                <w:rFonts w:hint="eastAsia" w:cs="宋体"/>
                <w:kern w:val="2"/>
                <w:sz w:val="24"/>
                <w:szCs w:val="24"/>
                <w:vertAlign w:val="superscript"/>
                <w:lang w:val="en-US" w:eastAsia="zh-CN" w:bidi="ar-SA"/>
              </w:rPr>
              <w:t>3</w:t>
            </w:r>
            <w:r>
              <w:rPr>
                <w:rFonts w:hint="eastAsia" w:cs="宋体"/>
                <w:kern w:val="2"/>
                <w:sz w:val="24"/>
                <w:szCs w:val="24"/>
                <w:lang w:val="en-US" w:eastAsia="zh-CN" w:bidi="ar-SA"/>
              </w:rPr>
              <w:t>/d（164.25m</w:t>
            </w:r>
            <w:r>
              <w:rPr>
                <w:rFonts w:hint="eastAsia" w:cs="宋体"/>
                <w:kern w:val="2"/>
                <w:sz w:val="24"/>
                <w:szCs w:val="24"/>
                <w:vertAlign w:val="superscript"/>
                <w:lang w:val="en-US" w:eastAsia="zh-CN" w:bidi="ar-SA"/>
              </w:rPr>
              <w:t>3</w:t>
            </w:r>
            <w:r>
              <w:rPr>
                <w:rFonts w:hint="eastAsia" w:cs="宋体"/>
                <w:kern w:val="2"/>
                <w:sz w:val="24"/>
                <w:szCs w:val="24"/>
                <w:lang w:val="en-US" w:eastAsia="zh-CN" w:bidi="ar-SA"/>
              </w:rPr>
              <w:t>/a），污水排放系数按0.8计，则检验废水量为0.36m</w:t>
            </w:r>
            <w:r>
              <w:rPr>
                <w:rFonts w:hint="eastAsia" w:cs="宋体"/>
                <w:kern w:val="2"/>
                <w:sz w:val="24"/>
                <w:szCs w:val="24"/>
                <w:vertAlign w:val="superscript"/>
                <w:lang w:val="en-US" w:eastAsia="zh-CN" w:bidi="ar-SA"/>
              </w:rPr>
              <w:t>3</w:t>
            </w:r>
            <w:r>
              <w:rPr>
                <w:rFonts w:hint="eastAsia" w:cs="宋体"/>
                <w:kern w:val="2"/>
                <w:sz w:val="24"/>
                <w:szCs w:val="24"/>
                <w:lang w:val="en-US" w:eastAsia="zh-CN" w:bidi="ar-SA"/>
              </w:rPr>
              <w:t>/d(131.4m</w:t>
            </w:r>
            <w:r>
              <w:rPr>
                <w:rFonts w:hint="eastAsia" w:cs="宋体"/>
                <w:kern w:val="2"/>
                <w:sz w:val="24"/>
                <w:szCs w:val="24"/>
                <w:vertAlign w:val="superscript"/>
                <w:lang w:val="en-US" w:eastAsia="zh-CN" w:bidi="ar-SA"/>
              </w:rPr>
              <w:t>3</w:t>
            </w:r>
            <w:r>
              <w:rPr>
                <w:rFonts w:hint="eastAsia" w:cs="宋体"/>
                <w:kern w:val="2"/>
                <w:sz w:val="24"/>
                <w:szCs w:val="24"/>
                <w:lang w:val="en-US" w:eastAsia="zh-CN" w:bidi="ar-SA"/>
              </w:rPr>
              <w:t>/a)。</w:t>
            </w:r>
          </w:p>
          <w:p w14:paraId="4F82417C">
            <w:pPr>
              <w:pStyle w:val="445"/>
              <w:ind w:firstLine="480"/>
              <w:rPr>
                <w:b/>
                <w:bCs w:val="0"/>
              </w:rPr>
            </w:pPr>
            <w:r>
              <w:rPr>
                <w:rFonts w:hint="eastAsia"/>
                <w:b/>
                <w:bCs w:val="0"/>
              </w:rPr>
              <w:t>检验用</w:t>
            </w:r>
            <w:r>
              <w:rPr>
                <w:rFonts w:hint="eastAsia"/>
                <w:b/>
                <w:bCs w:val="0"/>
                <w:color w:val="auto"/>
              </w:rPr>
              <w:t>排</w:t>
            </w:r>
            <w:r>
              <w:rPr>
                <w:rFonts w:hint="eastAsia"/>
                <w:b/>
                <w:bCs w:val="0"/>
              </w:rPr>
              <w:t>水</w:t>
            </w:r>
          </w:p>
          <w:p w14:paraId="2934ABDF">
            <w:pPr>
              <w:pStyle w:val="445"/>
              <w:ind w:firstLine="480"/>
              <w:rPr>
                <w:bCs/>
                <w:color w:val="000000"/>
              </w:rPr>
            </w:pPr>
            <w:r>
              <w:t>根据建设</w:t>
            </w:r>
            <w:r>
              <w:rPr>
                <w:rFonts w:hint="eastAsia"/>
                <w:lang w:val="en-US" w:eastAsia="zh-CN"/>
              </w:rPr>
              <w:t>单位</w:t>
            </w:r>
            <w:r>
              <w:t>提供资料，</w:t>
            </w:r>
            <w:r>
              <w:rPr>
                <w:rFonts w:hint="eastAsia"/>
              </w:rPr>
              <w:t>项目医疗检验使用检验用试剂盒，在医疗检验过程中不使用含汞试剂、含镉的医疗器械清洗液，医疗活动中不涉及含铅、铬等重金属的药物或治疗手段，因此项目废水不涉及重金属废水。仅有检验设备需进行一人一检一洗，</w:t>
            </w:r>
            <w:r>
              <w:rPr>
                <w:bCs/>
              </w:rPr>
              <w:t>参照</w:t>
            </w:r>
            <w:r>
              <w:rPr>
                <w:rFonts w:hint="eastAsia"/>
                <w:bCs/>
              </w:rPr>
              <w:t>《</w:t>
            </w:r>
            <w:r>
              <w:rPr>
                <w:bCs/>
              </w:rPr>
              <w:t>综合医院建筑设计规范</w:t>
            </w:r>
            <w:r>
              <w:rPr>
                <w:rFonts w:hint="eastAsia"/>
                <w:bCs/>
              </w:rPr>
              <w:t>》</w:t>
            </w:r>
            <w:r>
              <w:rPr>
                <w:rFonts w:ascii="宋体" w:hAnsi="宋体"/>
                <w:bCs/>
              </w:rPr>
              <w:t>(</w:t>
            </w:r>
            <w:r>
              <w:rPr>
                <w:bCs/>
              </w:rPr>
              <w:t>GB51039-2014</w:t>
            </w:r>
            <w:r>
              <w:rPr>
                <w:rFonts w:ascii="宋体" w:hAnsi="宋体"/>
                <w:bCs/>
              </w:rPr>
              <w:t>)</w:t>
            </w:r>
            <w:r>
              <w:rPr>
                <w:bCs/>
              </w:rPr>
              <w:t>，项目检验科用水定额取30L/人</w:t>
            </w:r>
            <w:r>
              <w:rPr>
                <w:rFonts w:hint="eastAsia"/>
                <w:bCs/>
              </w:rPr>
              <w:t>·</w:t>
            </w:r>
            <w:r>
              <w:rPr>
                <w:bCs/>
              </w:rPr>
              <w:t>d，</w:t>
            </w:r>
            <w:r>
              <w:rPr>
                <w:rFonts w:hint="eastAsia"/>
                <w:bCs/>
              </w:rPr>
              <w:t>但本项目仅全自动分析仪进行清洗，</w:t>
            </w:r>
            <w:r>
              <w:rPr>
                <w:rFonts w:hint="eastAsia"/>
                <w:bCs/>
                <w:highlight w:val="none"/>
              </w:rPr>
              <w:t>因此项目检验科用水定额区</w:t>
            </w:r>
            <w:r>
              <w:rPr>
                <w:rFonts w:hint="eastAsia"/>
                <w:bCs/>
                <w:highlight w:val="none"/>
                <w:lang w:val="en-US" w:eastAsia="zh-CN"/>
              </w:rPr>
              <w:t>取15</w:t>
            </w:r>
            <w:r>
              <w:rPr>
                <w:bCs/>
              </w:rPr>
              <w:t>L</w:t>
            </w:r>
            <w:r>
              <w:rPr>
                <w:bCs/>
                <w:highlight w:val="none"/>
              </w:rPr>
              <w:t>/人</w:t>
            </w:r>
            <w:r>
              <w:rPr>
                <w:rFonts w:hint="eastAsia"/>
                <w:bCs/>
                <w:highlight w:val="none"/>
              </w:rPr>
              <w:t>·</w:t>
            </w:r>
            <w:r>
              <w:rPr>
                <w:bCs/>
                <w:highlight w:val="none"/>
              </w:rPr>
              <w:t>d，</w:t>
            </w:r>
            <w:r>
              <w:rPr>
                <w:rFonts w:hint="eastAsia"/>
                <w:bCs/>
                <w:highlight w:val="none"/>
                <w:lang w:val="en-US" w:eastAsia="zh-CN"/>
              </w:rPr>
              <w:t>医疗</w:t>
            </w:r>
            <w:r>
              <w:rPr>
                <w:bCs/>
                <w:highlight w:val="none"/>
              </w:rPr>
              <w:t>最大检验人数</w:t>
            </w:r>
            <w:r>
              <w:rPr>
                <w:rFonts w:hint="eastAsia"/>
                <w:bCs/>
                <w:highlight w:val="none"/>
              </w:rPr>
              <w:t>预计</w:t>
            </w:r>
            <w:r>
              <w:rPr>
                <w:bCs/>
                <w:highlight w:val="none"/>
              </w:rPr>
              <w:t>为</w:t>
            </w:r>
            <w:r>
              <w:rPr>
                <w:rFonts w:hint="eastAsia"/>
                <w:bCs/>
                <w:highlight w:val="none"/>
                <w:lang w:val="en-US" w:eastAsia="zh-CN"/>
              </w:rPr>
              <w:t>50</w:t>
            </w:r>
            <w:r>
              <w:rPr>
                <w:bCs/>
                <w:highlight w:val="none"/>
              </w:rPr>
              <w:t>人/d，则检验科用水量为</w:t>
            </w:r>
            <w:r>
              <w:rPr>
                <w:rFonts w:hint="eastAsia"/>
                <w:bCs/>
                <w:highlight w:val="none"/>
              </w:rPr>
              <w:t>0.</w:t>
            </w:r>
            <w:r>
              <w:rPr>
                <w:rFonts w:hint="eastAsia"/>
                <w:bCs/>
                <w:highlight w:val="none"/>
                <w:lang w:val="en-US" w:eastAsia="zh-CN"/>
              </w:rPr>
              <w:t>75</w:t>
            </w:r>
            <w:r>
              <w:rPr>
                <w:rFonts w:hint="eastAsia"/>
                <w:bCs/>
                <w:highlight w:val="none"/>
              </w:rPr>
              <w:t>m</w:t>
            </w:r>
            <w:r>
              <w:rPr>
                <w:rFonts w:hint="eastAsia"/>
                <w:bCs/>
                <w:highlight w:val="none"/>
                <w:vertAlign w:val="superscript"/>
              </w:rPr>
              <w:t>3</w:t>
            </w:r>
            <w:r>
              <w:rPr>
                <w:rFonts w:hint="eastAsia"/>
                <w:bCs/>
                <w:highlight w:val="none"/>
              </w:rPr>
              <w:t>/d</w:t>
            </w:r>
            <w:r>
              <w:rPr>
                <w:rFonts w:ascii="宋体" w:hAnsi="宋体"/>
                <w:bCs/>
                <w:highlight w:val="none"/>
              </w:rPr>
              <w:t>(</w:t>
            </w:r>
            <w:r>
              <w:rPr>
                <w:rFonts w:hint="eastAsia"/>
                <w:bCs/>
                <w:highlight w:val="none"/>
                <w:lang w:val="en-US" w:eastAsia="zh-CN"/>
              </w:rPr>
              <w:t>273.75</w:t>
            </w:r>
            <w:r>
              <w:rPr>
                <w:rFonts w:hint="eastAsia"/>
                <w:bCs/>
                <w:highlight w:val="none"/>
              </w:rPr>
              <w:t>m</w:t>
            </w:r>
            <w:r>
              <w:rPr>
                <w:rFonts w:hint="eastAsia"/>
                <w:bCs/>
                <w:highlight w:val="none"/>
                <w:vertAlign w:val="superscript"/>
              </w:rPr>
              <w:t>3</w:t>
            </w:r>
            <w:r>
              <w:rPr>
                <w:rFonts w:hint="eastAsia"/>
                <w:bCs/>
                <w:highlight w:val="none"/>
              </w:rPr>
              <w:t>/a</w:t>
            </w:r>
            <w:r>
              <w:rPr>
                <w:rFonts w:ascii="宋体" w:hAnsi="宋体"/>
                <w:bCs/>
                <w:highlight w:val="none"/>
              </w:rPr>
              <w:t>)</w:t>
            </w:r>
            <w:r>
              <w:rPr>
                <w:bCs/>
                <w:highlight w:val="none"/>
              </w:rPr>
              <w:t>，污水排放系数按0.8计，则</w:t>
            </w:r>
            <w:r>
              <w:rPr>
                <w:rFonts w:hint="eastAsia"/>
                <w:bCs/>
                <w:highlight w:val="none"/>
              </w:rPr>
              <w:t>检验</w:t>
            </w:r>
            <w:r>
              <w:rPr>
                <w:bCs/>
                <w:highlight w:val="none"/>
              </w:rPr>
              <w:t>废水量为</w:t>
            </w:r>
            <w:r>
              <w:rPr>
                <w:rFonts w:hint="eastAsia"/>
                <w:bCs/>
                <w:highlight w:val="none"/>
              </w:rPr>
              <w:t>0.</w:t>
            </w:r>
            <w:r>
              <w:rPr>
                <w:rFonts w:hint="eastAsia"/>
                <w:bCs/>
                <w:highlight w:val="none"/>
                <w:lang w:val="en-US" w:eastAsia="zh-CN"/>
              </w:rPr>
              <w:t>6</w:t>
            </w:r>
            <w:r>
              <w:rPr>
                <w:rFonts w:hint="eastAsia"/>
                <w:bCs/>
                <w:highlight w:val="none"/>
              </w:rPr>
              <w:t>m</w:t>
            </w:r>
            <w:r>
              <w:rPr>
                <w:rFonts w:hint="eastAsia"/>
                <w:bCs/>
                <w:highlight w:val="none"/>
                <w:vertAlign w:val="superscript"/>
              </w:rPr>
              <w:t>3</w:t>
            </w:r>
            <w:r>
              <w:rPr>
                <w:rFonts w:hint="eastAsia"/>
                <w:bCs/>
                <w:highlight w:val="none"/>
              </w:rPr>
              <w:t>/d</w:t>
            </w:r>
            <w:r>
              <w:rPr>
                <w:rFonts w:hint="eastAsia" w:ascii="宋体" w:hAnsi="宋体"/>
                <w:bCs/>
                <w:highlight w:val="none"/>
              </w:rPr>
              <w:t>(</w:t>
            </w:r>
            <w:r>
              <w:rPr>
                <w:rFonts w:hint="eastAsia"/>
                <w:bCs/>
                <w:highlight w:val="none"/>
                <w:lang w:val="en-US" w:eastAsia="zh-CN"/>
              </w:rPr>
              <w:t>219</w:t>
            </w:r>
            <w:r>
              <w:rPr>
                <w:rFonts w:hint="eastAsia"/>
                <w:bCs/>
                <w:highlight w:val="none"/>
              </w:rPr>
              <w:t>m</w:t>
            </w:r>
            <w:r>
              <w:rPr>
                <w:rFonts w:hint="eastAsia"/>
                <w:bCs/>
                <w:highlight w:val="none"/>
                <w:vertAlign w:val="superscript"/>
              </w:rPr>
              <w:t>3</w:t>
            </w:r>
            <w:r>
              <w:rPr>
                <w:rFonts w:hint="eastAsia"/>
                <w:bCs/>
                <w:highlight w:val="none"/>
              </w:rPr>
              <w:t>/a</w:t>
            </w:r>
            <w:r>
              <w:rPr>
                <w:rFonts w:ascii="宋体" w:hAnsi="宋体"/>
                <w:bCs/>
                <w:highlight w:val="none"/>
              </w:rPr>
              <w:t>)</w:t>
            </w:r>
            <w:r>
              <w:rPr>
                <w:bCs/>
                <w:color w:val="000000"/>
              </w:rPr>
              <w:t>。</w:t>
            </w:r>
          </w:p>
          <w:p w14:paraId="23731A48">
            <w:pPr>
              <w:pStyle w:val="445"/>
              <w:ind w:firstLine="480"/>
              <w:rPr>
                <w:rFonts w:hint="eastAsia"/>
                <w:b/>
                <w:bCs w:val="0"/>
                <w:color w:val="000000"/>
              </w:rPr>
            </w:pPr>
            <w:r>
              <w:rPr>
                <w:rFonts w:hint="eastAsia"/>
                <w:b/>
                <w:bCs w:val="0"/>
                <w:color w:val="000000"/>
              </w:rPr>
              <w:t>食堂用</w:t>
            </w:r>
            <w:r>
              <w:rPr>
                <w:rFonts w:hint="eastAsia"/>
                <w:b/>
                <w:bCs w:val="0"/>
                <w:color w:val="auto"/>
              </w:rPr>
              <w:t>排</w:t>
            </w:r>
            <w:r>
              <w:rPr>
                <w:rFonts w:hint="eastAsia"/>
                <w:b/>
                <w:bCs w:val="0"/>
                <w:color w:val="000000"/>
              </w:rPr>
              <w:t>水</w:t>
            </w:r>
          </w:p>
          <w:p w14:paraId="0418D4EA">
            <w:pPr>
              <w:pStyle w:val="445"/>
              <w:ind w:firstLine="480"/>
              <w:rPr>
                <w:rFonts w:hint="eastAsia" w:eastAsia="宋体"/>
                <w:bCs/>
                <w:color w:val="000000"/>
                <w:lang w:val="en-US" w:eastAsia="zh-CN"/>
              </w:rPr>
            </w:pPr>
            <w:r>
              <w:rPr>
                <w:rFonts w:hint="eastAsia"/>
                <w:bCs/>
                <w:color w:val="000000"/>
              </w:rPr>
              <w:t>项目共有各类工作人员</w:t>
            </w:r>
            <w:r>
              <w:rPr>
                <w:rFonts w:hint="eastAsia"/>
                <w:bCs/>
                <w:color w:val="000000"/>
                <w:lang w:val="en-US" w:eastAsia="zh-CN"/>
              </w:rPr>
              <w:t>90</w:t>
            </w:r>
            <w:r>
              <w:rPr>
                <w:rFonts w:hint="eastAsia"/>
                <w:bCs/>
                <w:color w:val="000000"/>
              </w:rPr>
              <w:t>人</w:t>
            </w:r>
            <w:r>
              <w:rPr>
                <w:rFonts w:hint="eastAsia"/>
                <w:bCs/>
                <w:color w:val="000000"/>
                <w:lang w:eastAsia="zh-CN"/>
              </w:rPr>
              <w:t>，</w:t>
            </w:r>
            <w:r>
              <w:rPr>
                <w:rFonts w:hint="eastAsia"/>
                <w:bCs/>
                <w:color w:val="000000"/>
                <w:lang w:val="en-US" w:eastAsia="zh-CN"/>
              </w:rPr>
              <w:t>分三班，每班30人</w:t>
            </w:r>
            <w:r>
              <w:rPr>
                <w:rFonts w:hint="eastAsia"/>
                <w:bCs/>
                <w:color w:val="000000"/>
                <w:lang w:eastAsia="zh-CN"/>
              </w:rPr>
              <w:t>；</w:t>
            </w:r>
            <w:r>
              <w:rPr>
                <w:rFonts w:hint="eastAsia"/>
                <w:bCs/>
                <w:color w:val="000000"/>
                <w:lang w:val="en-US" w:eastAsia="zh-CN"/>
              </w:rPr>
              <w:t>养老人员400人、医疗人员100人</w:t>
            </w:r>
            <w:r>
              <w:rPr>
                <w:rFonts w:hint="eastAsia"/>
                <w:bCs/>
                <w:color w:val="000000"/>
              </w:rPr>
              <w:t>，</w:t>
            </w:r>
            <w:r>
              <w:rPr>
                <w:rFonts w:hint="eastAsia"/>
                <w:bCs/>
                <w:color w:val="000000"/>
                <w:lang w:val="en-US" w:eastAsia="zh-CN"/>
              </w:rPr>
              <w:t>每次用餐人数为</w:t>
            </w:r>
            <w:r>
              <w:rPr>
                <w:rFonts w:hint="eastAsia"/>
                <w:bCs/>
                <w:color w:val="000000"/>
              </w:rPr>
              <w:t>共</w:t>
            </w:r>
            <w:r>
              <w:rPr>
                <w:rFonts w:hint="eastAsia"/>
                <w:bCs/>
                <w:color w:val="000000"/>
                <w:lang w:val="en-US" w:eastAsia="zh-CN"/>
              </w:rPr>
              <w:t>530</w:t>
            </w:r>
            <w:r>
              <w:rPr>
                <w:rFonts w:hint="eastAsia"/>
                <w:bCs/>
                <w:color w:val="000000"/>
              </w:rPr>
              <w:t>人，</w:t>
            </w:r>
            <w:r>
              <w:rPr>
                <w:rFonts w:hint="eastAsia"/>
                <w:bCs/>
                <w:color w:val="000000"/>
                <w:lang w:val="en-US" w:eastAsia="zh-CN"/>
              </w:rPr>
              <w:t>三餐</w:t>
            </w:r>
            <w:r>
              <w:rPr>
                <w:rFonts w:hint="eastAsia"/>
                <w:bCs/>
                <w:color w:val="000000"/>
              </w:rPr>
              <w:t>均于项目内用餐。参考《建筑给水排水设计标准》（GB50015-2019）中表 3.2.2</w:t>
            </w:r>
            <w:r>
              <w:rPr>
                <w:rFonts w:hint="eastAsia"/>
                <w:bCs/>
                <w:color w:val="000000"/>
                <w:lang w:eastAsia="zh-CN"/>
              </w:rPr>
              <w:t>“</w:t>
            </w:r>
            <w:r>
              <w:rPr>
                <w:rFonts w:hint="eastAsia"/>
                <w:bCs/>
                <w:color w:val="000000"/>
              </w:rPr>
              <w:t>快餐店、职工及学生食堂每顾客每次的平均用水量为15~20L</w:t>
            </w:r>
            <w:r>
              <w:rPr>
                <w:rFonts w:hint="eastAsia"/>
                <w:bCs/>
                <w:color w:val="000000"/>
                <w:lang w:eastAsia="zh-CN"/>
              </w:rPr>
              <w:t>”</w:t>
            </w:r>
            <w:r>
              <w:rPr>
                <w:rFonts w:hint="eastAsia"/>
                <w:bCs/>
                <w:color w:val="000000"/>
              </w:rPr>
              <w:t>，</w:t>
            </w:r>
            <w:r>
              <w:rPr>
                <w:rFonts w:hint="eastAsia"/>
                <w:bCs/>
                <w:color w:val="000000"/>
                <w:lang w:val="en-US" w:eastAsia="zh-CN"/>
              </w:rPr>
              <w:t>本项目</w:t>
            </w:r>
            <w:r>
              <w:rPr>
                <w:rFonts w:hint="eastAsia"/>
                <w:bCs/>
                <w:color w:val="000000"/>
              </w:rPr>
              <w:t>取</w:t>
            </w:r>
            <w:r>
              <w:rPr>
                <w:rFonts w:hint="eastAsia"/>
                <w:bCs/>
                <w:color w:val="000000"/>
                <w:lang w:val="en-US" w:eastAsia="zh-CN"/>
              </w:rPr>
              <w:t>均值17.5</w:t>
            </w:r>
            <w:r>
              <w:rPr>
                <w:rFonts w:hint="eastAsia"/>
                <w:bCs/>
                <w:color w:val="000000"/>
              </w:rPr>
              <w:t>L</w:t>
            </w:r>
            <w:r>
              <w:rPr>
                <w:rFonts w:hint="eastAsia"/>
                <w:bCs/>
                <w:color w:val="000000"/>
                <w:lang w:eastAsia="zh-CN"/>
              </w:rPr>
              <w:t>。</w:t>
            </w:r>
            <w:r>
              <w:rPr>
                <w:rFonts w:hint="eastAsia"/>
                <w:bCs/>
                <w:color w:val="000000"/>
                <w:lang w:val="en-US" w:eastAsia="zh-CN"/>
              </w:rPr>
              <w:t>项目食堂每天供应3餐</w:t>
            </w:r>
            <w:r>
              <w:rPr>
                <w:rFonts w:hint="eastAsia"/>
                <w:bCs/>
                <w:color w:val="000000"/>
                <w:lang w:eastAsia="zh-CN"/>
              </w:rPr>
              <w:t>，</w:t>
            </w:r>
            <w:r>
              <w:rPr>
                <w:rFonts w:hint="eastAsia"/>
                <w:bCs/>
                <w:color w:val="000000"/>
                <w:lang w:val="en-US" w:eastAsia="zh-CN"/>
              </w:rPr>
              <w:t>食堂用水量为</w:t>
            </w:r>
            <w:r>
              <w:rPr>
                <w:rFonts w:hint="eastAsia"/>
                <w:bCs/>
                <w:color w:val="000000"/>
                <w:highlight w:val="none"/>
                <w:lang w:val="en-US" w:eastAsia="zh-CN"/>
              </w:rPr>
              <w:t>27.825</w:t>
            </w:r>
            <w:r>
              <w:rPr>
                <w:rFonts w:hint="eastAsia"/>
                <w:bCs/>
                <w:color w:val="000000"/>
              </w:rPr>
              <w:t>m</w:t>
            </w:r>
            <w:r>
              <w:rPr>
                <w:rFonts w:hint="eastAsia"/>
                <w:bCs/>
                <w:color w:val="000000"/>
                <w:vertAlign w:val="superscript"/>
              </w:rPr>
              <w:t>3</w:t>
            </w:r>
            <w:r>
              <w:rPr>
                <w:rFonts w:hint="eastAsia"/>
                <w:bCs/>
                <w:color w:val="000000"/>
              </w:rPr>
              <w:t>/d</w:t>
            </w:r>
            <w:r>
              <w:rPr>
                <w:rFonts w:hint="eastAsia"/>
                <w:bCs/>
                <w:color w:val="000000"/>
                <w:lang w:val="en-US" w:eastAsia="zh-CN"/>
              </w:rPr>
              <w:t>，</w:t>
            </w:r>
            <w:r>
              <w:rPr>
                <w:rFonts w:hint="eastAsia"/>
                <w:bCs/>
                <w:color w:val="000000"/>
                <w:highlight w:val="none"/>
                <w:lang w:val="en-US" w:eastAsia="zh-CN"/>
              </w:rPr>
              <w:t>10156.125</w:t>
            </w:r>
            <w:r>
              <w:rPr>
                <w:rFonts w:hint="eastAsia"/>
                <w:bCs/>
                <w:color w:val="000000"/>
              </w:rPr>
              <w:t>m</w:t>
            </w:r>
            <w:r>
              <w:rPr>
                <w:rFonts w:hint="eastAsia"/>
                <w:bCs/>
                <w:color w:val="000000"/>
                <w:vertAlign w:val="superscript"/>
              </w:rPr>
              <w:t>3</w:t>
            </w:r>
            <w:r>
              <w:rPr>
                <w:rFonts w:hint="eastAsia"/>
                <w:bCs/>
                <w:color w:val="000000"/>
              </w:rPr>
              <w:t>/a</w:t>
            </w:r>
            <w:r>
              <w:rPr>
                <w:rFonts w:hint="eastAsia"/>
                <w:bCs/>
                <w:color w:val="000000"/>
                <w:lang w:val="en-US" w:eastAsia="zh-CN"/>
              </w:rPr>
              <w:t>；</w:t>
            </w:r>
            <w:r>
              <w:rPr>
                <w:bCs/>
                <w:color w:val="auto"/>
              </w:rPr>
              <w:t>污水产生系数约为80%，</w:t>
            </w:r>
            <w:r>
              <w:rPr>
                <w:rFonts w:hint="eastAsia"/>
                <w:bCs/>
                <w:color w:val="auto"/>
                <w:lang w:val="en-US" w:eastAsia="zh-CN"/>
              </w:rPr>
              <w:t>则食堂废水量约为</w:t>
            </w:r>
            <w:r>
              <w:rPr>
                <w:rFonts w:hint="eastAsia"/>
                <w:bCs/>
                <w:color w:val="auto"/>
                <w:highlight w:val="none"/>
                <w:lang w:val="en-US" w:eastAsia="zh-CN"/>
              </w:rPr>
              <w:t>22.26</w:t>
            </w:r>
            <w:r>
              <w:rPr>
                <w:rFonts w:hint="eastAsia"/>
                <w:bCs/>
                <w:color w:val="auto"/>
              </w:rPr>
              <w:t>m</w:t>
            </w:r>
            <w:r>
              <w:rPr>
                <w:rFonts w:hint="eastAsia"/>
                <w:bCs/>
                <w:color w:val="auto"/>
                <w:vertAlign w:val="superscript"/>
              </w:rPr>
              <w:t>3</w:t>
            </w:r>
            <w:r>
              <w:rPr>
                <w:rFonts w:hint="eastAsia"/>
                <w:bCs/>
                <w:color w:val="auto"/>
              </w:rPr>
              <w:t>/d</w:t>
            </w:r>
            <w:r>
              <w:rPr>
                <w:rFonts w:hint="eastAsia"/>
                <w:bCs/>
                <w:color w:val="auto"/>
                <w:lang w:val="en-US" w:eastAsia="zh-CN"/>
              </w:rPr>
              <w:t>，</w:t>
            </w:r>
            <w:r>
              <w:rPr>
                <w:rFonts w:hint="eastAsia"/>
                <w:bCs/>
                <w:color w:val="auto"/>
                <w:highlight w:val="none"/>
                <w:lang w:val="en-US" w:eastAsia="zh-CN"/>
              </w:rPr>
              <w:t>8124.9</w:t>
            </w:r>
            <w:r>
              <w:rPr>
                <w:rFonts w:hint="eastAsia"/>
                <w:bCs/>
                <w:color w:val="auto"/>
              </w:rPr>
              <w:t>m</w:t>
            </w:r>
            <w:r>
              <w:rPr>
                <w:rFonts w:hint="eastAsia"/>
                <w:bCs/>
                <w:color w:val="auto"/>
                <w:vertAlign w:val="superscript"/>
              </w:rPr>
              <w:t>3</w:t>
            </w:r>
            <w:r>
              <w:rPr>
                <w:rFonts w:hint="eastAsia"/>
                <w:bCs/>
                <w:color w:val="000000"/>
              </w:rPr>
              <w:t>/a</w:t>
            </w:r>
            <w:r>
              <w:rPr>
                <w:rFonts w:hint="eastAsia"/>
                <w:bCs/>
                <w:color w:val="000000"/>
                <w:lang w:eastAsia="zh-CN"/>
              </w:rPr>
              <w:t>。</w:t>
            </w:r>
          </w:p>
          <w:p w14:paraId="5C43E2E4">
            <w:pPr>
              <w:pStyle w:val="445"/>
              <w:ind w:firstLine="480"/>
              <w:rPr>
                <w:b/>
                <w:bCs w:val="0"/>
                <w:color w:val="auto"/>
              </w:rPr>
            </w:pPr>
            <w:r>
              <w:rPr>
                <w:rFonts w:hint="eastAsia"/>
                <w:b/>
                <w:bCs w:val="0"/>
                <w:color w:val="auto"/>
              </w:rPr>
              <w:t>人员办公用排水</w:t>
            </w:r>
          </w:p>
          <w:p w14:paraId="411F8427">
            <w:pPr>
              <w:pStyle w:val="445"/>
              <w:ind w:firstLine="480"/>
              <w:rPr>
                <w:bCs/>
                <w:color w:val="auto"/>
              </w:rPr>
            </w:pPr>
            <w:r>
              <w:rPr>
                <w:bCs/>
                <w:color w:val="auto"/>
              </w:rPr>
              <w:t>本项目职工定员约</w:t>
            </w:r>
            <w:r>
              <w:rPr>
                <w:rFonts w:hint="eastAsia"/>
                <w:bCs/>
                <w:color w:val="auto"/>
                <w:lang w:val="en-US" w:eastAsia="zh-CN"/>
              </w:rPr>
              <w:t>90</w:t>
            </w:r>
            <w:r>
              <w:rPr>
                <w:bCs/>
                <w:color w:val="auto"/>
              </w:rPr>
              <w:t>人，年工作时间约</w:t>
            </w:r>
            <w:r>
              <w:rPr>
                <w:rFonts w:hint="eastAsia"/>
                <w:bCs/>
                <w:color w:val="auto"/>
              </w:rPr>
              <w:t>365</w:t>
            </w:r>
            <w:r>
              <w:rPr>
                <w:bCs/>
                <w:color w:val="auto"/>
              </w:rPr>
              <w:t>天，</w:t>
            </w:r>
            <w:r>
              <w:rPr>
                <w:rFonts w:hint="eastAsia"/>
                <w:bCs/>
                <w:color w:val="auto"/>
              </w:rPr>
              <w:t>参考</w:t>
            </w:r>
            <w:r>
              <w:rPr>
                <w:rFonts w:cs="Times New Roman"/>
                <w:bCs/>
                <w:color w:val="auto"/>
              </w:rPr>
              <w:t>《</w:t>
            </w:r>
            <w:r>
              <w:rPr>
                <w:rFonts w:hint="eastAsia" w:cs="Times New Roman"/>
                <w:bCs/>
                <w:color w:val="auto"/>
              </w:rPr>
              <w:t>用水定额 第3部分：生活、服务业及建筑业</w:t>
            </w:r>
            <w:r>
              <w:rPr>
                <w:rFonts w:cs="Times New Roman"/>
                <w:bCs/>
                <w:color w:val="auto"/>
              </w:rPr>
              <w:t>》（</w:t>
            </w:r>
            <w:r>
              <w:rPr>
                <w:rFonts w:hint="eastAsia" w:cs="Times New Roman"/>
                <w:bCs/>
                <w:color w:val="auto"/>
              </w:rPr>
              <w:t>DB43/T388.3-2025</w:t>
            </w:r>
            <w:r>
              <w:rPr>
                <w:rFonts w:cs="Times New Roman"/>
                <w:bCs/>
                <w:color w:val="auto"/>
              </w:rPr>
              <w:t>）</w:t>
            </w:r>
            <w:r>
              <w:rPr>
                <w:rFonts w:hint="eastAsia" w:cs="Times New Roman"/>
                <w:bCs/>
                <w:color w:val="auto"/>
              </w:rPr>
              <w:t>表4</w:t>
            </w:r>
            <w:r>
              <w:rPr>
                <w:rFonts w:hint="eastAsia"/>
                <w:bCs/>
                <w:color w:val="auto"/>
              </w:rPr>
              <w:t>中S9101国家机构-机关人员用水定额通用值为38m</w:t>
            </w:r>
            <w:r>
              <w:rPr>
                <w:rFonts w:hint="eastAsia"/>
                <w:bCs/>
                <w:color w:val="auto"/>
                <w:vertAlign w:val="superscript"/>
              </w:rPr>
              <w:t>3</w:t>
            </w:r>
            <w:r>
              <w:rPr>
                <w:rFonts w:hint="eastAsia"/>
                <w:bCs/>
                <w:color w:val="auto"/>
              </w:rPr>
              <w:t>/人·a。</w:t>
            </w:r>
            <w:r>
              <w:rPr>
                <w:bCs/>
                <w:color w:val="auto"/>
              </w:rPr>
              <w:t>生活用水合计为</w:t>
            </w:r>
            <w:r>
              <w:rPr>
                <w:rFonts w:hint="eastAsia"/>
                <w:bCs/>
                <w:color w:val="auto"/>
                <w:lang w:val="en-US" w:eastAsia="zh-CN"/>
              </w:rPr>
              <w:t>9.37</w:t>
            </w:r>
            <w:r>
              <w:rPr>
                <w:bCs/>
                <w:color w:val="auto"/>
              </w:rPr>
              <w:t>m</w:t>
            </w:r>
            <w:r>
              <w:rPr>
                <w:bCs/>
                <w:color w:val="auto"/>
                <w:vertAlign w:val="superscript"/>
              </w:rPr>
              <w:t>3</w:t>
            </w:r>
            <w:r>
              <w:rPr>
                <w:bCs/>
                <w:color w:val="auto"/>
              </w:rPr>
              <w:t>/d（</w:t>
            </w:r>
            <w:r>
              <w:rPr>
                <w:rFonts w:hint="eastAsia"/>
                <w:bCs/>
                <w:color w:val="auto"/>
                <w:lang w:val="en-US" w:eastAsia="zh-CN"/>
              </w:rPr>
              <w:t>3420</w:t>
            </w:r>
            <w:r>
              <w:rPr>
                <w:bCs/>
                <w:color w:val="auto"/>
              </w:rPr>
              <w:t>m</w:t>
            </w:r>
            <w:r>
              <w:rPr>
                <w:bCs/>
                <w:color w:val="auto"/>
                <w:vertAlign w:val="superscript"/>
              </w:rPr>
              <w:t>3</w:t>
            </w:r>
            <w:r>
              <w:rPr>
                <w:bCs/>
                <w:color w:val="auto"/>
              </w:rPr>
              <w:t>/a）。生活污水产生系数约为80%，则本项目生活污水产生量约</w:t>
            </w:r>
            <w:r>
              <w:rPr>
                <w:rFonts w:hint="eastAsia"/>
                <w:bCs/>
                <w:color w:val="auto"/>
                <w:lang w:val="en-US" w:eastAsia="zh-CN"/>
              </w:rPr>
              <w:t>7.5</w:t>
            </w:r>
            <w:r>
              <w:rPr>
                <w:bCs/>
                <w:color w:val="auto"/>
              </w:rPr>
              <w:t>m</w:t>
            </w:r>
            <w:r>
              <w:rPr>
                <w:bCs/>
                <w:color w:val="auto"/>
                <w:vertAlign w:val="superscript"/>
              </w:rPr>
              <w:t>3</w:t>
            </w:r>
            <w:r>
              <w:rPr>
                <w:bCs/>
                <w:color w:val="auto"/>
              </w:rPr>
              <w:t>/d（</w:t>
            </w:r>
            <w:r>
              <w:rPr>
                <w:rFonts w:hint="eastAsia"/>
                <w:bCs/>
                <w:color w:val="auto"/>
                <w:lang w:val="en-US" w:eastAsia="zh-CN"/>
              </w:rPr>
              <w:t>2736</w:t>
            </w:r>
            <w:r>
              <w:rPr>
                <w:bCs/>
                <w:color w:val="auto"/>
              </w:rPr>
              <w:t>m</w:t>
            </w:r>
            <w:r>
              <w:rPr>
                <w:bCs/>
                <w:color w:val="auto"/>
                <w:vertAlign w:val="superscript"/>
              </w:rPr>
              <w:t>3</w:t>
            </w:r>
            <w:r>
              <w:rPr>
                <w:bCs/>
                <w:color w:val="auto"/>
              </w:rPr>
              <w:t>/a）。</w:t>
            </w:r>
          </w:p>
          <w:bookmarkEnd w:id="12"/>
          <w:bookmarkEnd w:id="13"/>
          <w:p w14:paraId="4B7926C8">
            <w:pPr>
              <w:pStyle w:val="445"/>
              <w:ind w:firstLine="480"/>
              <w:rPr>
                <w:bCs/>
                <w:color w:val="000000"/>
              </w:rPr>
            </w:pPr>
            <w:r>
              <w:rPr>
                <w:bCs/>
                <w:color w:val="000000"/>
              </w:rPr>
              <w:t>项目水平衡分析见下图。</w:t>
            </w:r>
          </w:p>
          <w:p w14:paraId="01D1AE83">
            <w:pPr>
              <w:pStyle w:val="445"/>
              <w:ind w:firstLine="0" w:firstLineChars="0"/>
              <w:jc w:val="center"/>
              <w:rPr>
                <w:b/>
                <w:bCs/>
                <w:color w:val="000000"/>
              </w:rPr>
            </w:pPr>
            <w:r>
              <w:rPr>
                <w:rFonts w:hint="eastAsia"/>
                <w:b/>
                <w:bCs/>
                <w:color w:val="000000"/>
              </w:rPr>
              <w:t>表2-</w:t>
            </w:r>
            <w:r>
              <w:rPr>
                <w:rFonts w:hint="eastAsia"/>
                <w:b/>
                <w:bCs/>
                <w:color w:val="000000"/>
                <w:lang w:val="en-US" w:eastAsia="zh-CN"/>
              </w:rPr>
              <w:t>6</w:t>
            </w:r>
            <w:r>
              <w:rPr>
                <w:rFonts w:hint="eastAsia"/>
                <w:b/>
                <w:bCs/>
                <w:color w:val="000000"/>
              </w:rPr>
              <w:t xml:space="preserve">  项目水平衡</w:t>
            </w:r>
            <w:r>
              <w:rPr>
                <w:b/>
                <w:bCs/>
                <w:color w:val="000000"/>
              </w:rPr>
              <w:t>一览表</w:t>
            </w:r>
          </w:p>
          <w:tbl>
            <w:tblPr>
              <w:tblStyle w:val="48"/>
              <w:tblW w:w="82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2"/>
              <w:gridCol w:w="800"/>
              <w:gridCol w:w="763"/>
              <w:gridCol w:w="689"/>
              <w:gridCol w:w="913"/>
              <w:gridCol w:w="930"/>
              <w:gridCol w:w="1847"/>
              <w:gridCol w:w="713"/>
              <w:gridCol w:w="921"/>
            </w:tblGrid>
            <w:tr w14:paraId="15B44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2" w:type="dxa"/>
                  <w:vMerge w:val="restart"/>
                  <w:vAlign w:val="center"/>
                </w:tcPr>
                <w:p w14:paraId="21085F0D">
                  <w:pPr>
                    <w:pStyle w:val="445"/>
                    <w:spacing w:line="240" w:lineRule="auto"/>
                    <w:ind w:firstLine="0" w:firstLineChars="0"/>
                    <w:jc w:val="center"/>
                    <w:rPr>
                      <w:b/>
                      <w:bCs/>
                      <w:sz w:val="21"/>
                      <w:szCs w:val="21"/>
                      <w:u w:val="single"/>
                    </w:rPr>
                  </w:pPr>
                  <w:r>
                    <w:rPr>
                      <w:rFonts w:hint="eastAsia"/>
                      <w:b/>
                      <w:bCs/>
                      <w:sz w:val="21"/>
                      <w:szCs w:val="21"/>
                      <w:u w:val="single"/>
                    </w:rPr>
                    <w:t>用水</w:t>
                  </w:r>
                </w:p>
                <w:p w14:paraId="57A16A56">
                  <w:pPr>
                    <w:pStyle w:val="445"/>
                    <w:spacing w:line="240" w:lineRule="auto"/>
                    <w:ind w:firstLine="0" w:firstLineChars="0"/>
                    <w:jc w:val="center"/>
                    <w:rPr>
                      <w:b/>
                      <w:bCs/>
                      <w:sz w:val="21"/>
                      <w:szCs w:val="21"/>
                      <w:u w:val="single"/>
                    </w:rPr>
                  </w:pPr>
                  <w:r>
                    <w:rPr>
                      <w:rFonts w:hint="eastAsia"/>
                      <w:b/>
                      <w:bCs/>
                      <w:sz w:val="21"/>
                      <w:szCs w:val="21"/>
                      <w:u w:val="single"/>
                    </w:rPr>
                    <w:t>环节</w:t>
                  </w:r>
                </w:p>
              </w:tc>
              <w:tc>
                <w:tcPr>
                  <w:tcW w:w="800" w:type="dxa"/>
                  <w:vMerge w:val="restart"/>
                  <w:vAlign w:val="center"/>
                </w:tcPr>
                <w:p w14:paraId="5431B461">
                  <w:pPr>
                    <w:pStyle w:val="445"/>
                    <w:spacing w:line="240" w:lineRule="auto"/>
                    <w:ind w:firstLine="0" w:firstLineChars="0"/>
                    <w:jc w:val="center"/>
                    <w:rPr>
                      <w:b/>
                      <w:bCs/>
                      <w:sz w:val="21"/>
                      <w:szCs w:val="21"/>
                      <w:u w:val="single"/>
                    </w:rPr>
                  </w:pPr>
                  <w:r>
                    <w:rPr>
                      <w:rFonts w:hint="eastAsia"/>
                      <w:b/>
                      <w:bCs/>
                      <w:sz w:val="21"/>
                      <w:szCs w:val="21"/>
                      <w:u w:val="single"/>
                    </w:rPr>
                    <w:t>用水</w:t>
                  </w:r>
                </w:p>
                <w:p w14:paraId="34CB4B57">
                  <w:pPr>
                    <w:pStyle w:val="445"/>
                    <w:spacing w:line="240" w:lineRule="auto"/>
                    <w:ind w:firstLine="0" w:firstLineChars="0"/>
                    <w:jc w:val="center"/>
                    <w:rPr>
                      <w:b/>
                      <w:bCs/>
                      <w:sz w:val="21"/>
                      <w:szCs w:val="21"/>
                      <w:u w:val="single"/>
                    </w:rPr>
                  </w:pPr>
                  <w:r>
                    <w:rPr>
                      <w:b/>
                      <w:bCs/>
                      <w:sz w:val="21"/>
                      <w:szCs w:val="21"/>
                      <w:u w:val="single"/>
                    </w:rPr>
                    <w:t>标准</w:t>
                  </w:r>
                </w:p>
              </w:tc>
              <w:tc>
                <w:tcPr>
                  <w:tcW w:w="763" w:type="dxa"/>
                  <w:vMerge w:val="restart"/>
                  <w:vAlign w:val="center"/>
                </w:tcPr>
                <w:p w14:paraId="7E470439">
                  <w:pPr>
                    <w:pStyle w:val="445"/>
                    <w:spacing w:line="240" w:lineRule="auto"/>
                    <w:ind w:firstLine="0" w:firstLineChars="0"/>
                    <w:jc w:val="center"/>
                    <w:rPr>
                      <w:b/>
                      <w:bCs/>
                      <w:sz w:val="21"/>
                      <w:szCs w:val="21"/>
                      <w:u w:val="single"/>
                    </w:rPr>
                  </w:pPr>
                  <w:r>
                    <w:rPr>
                      <w:rFonts w:hint="eastAsia"/>
                      <w:b/>
                      <w:bCs/>
                      <w:sz w:val="21"/>
                      <w:szCs w:val="21"/>
                      <w:u w:val="single"/>
                    </w:rPr>
                    <w:t>数量</w:t>
                  </w:r>
                </w:p>
              </w:tc>
              <w:tc>
                <w:tcPr>
                  <w:tcW w:w="689" w:type="dxa"/>
                  <w:vMerge w:val="restart"/>
                  <w:vAlign w:val="center"/>
                </w:tcPr>
                <w:p w14:paraId="625A5032">
                  <w:pPr>
                    <w:pStyle w:val="445"/>
                    <w:spacing w:line="240" w:lineRule="auto"/>
                    <w:ind w:firstLine="0" w:firstLineChars="0"/>
                    <w:jc w:val="center"/>
                    <w:rPr>
                      <w:b/>
                      <w:bCs/>
                      <w:sz w:val="21"/>
                      <w:szCs w:val="21"/>
                      <w:u w:val="single"/>
                    </w:rPr>
                  </w:pPr>
                  <w:r>
                    <w:rPr>
                      <w:rFonts w:hint="eastAsia"/>
                      <w:b/>
                      <w:bCs/>
                      <w:sz w:val="21"/>
                      <w:szCs w:val="21"/>
                      <w:u w:val="single"/>
                    </w:rPr>
                    <w:t>工作</w:t>
                  </w:r>
                </w:p>
                <w:p w14:paraId="0E3C8FA7">
                  <w:pPr>
                    <w:pStyle w:val="445"/>
                    <w:spacing w:line="240" w:lineRule="auto"/>
                    <w:ind w:firstLine="0" w:firstLineChars="0"/>
                    <w:jc w:val="center"/>
                    <w:rPr>
                      <w:b/>
                      <w:bCs/>
                      <w:sz w:val="21"/>
                      <w:szCs w:val="21"/>
                      <w:u w:val="single"/>
                    </w:rPr>
                  </w:pPr>
                  <w:r>
                    <w:rPr>
                      <w:rFonts w:hint="eastAsia"/>
                      <w:b/>
                      <w:bCs/>
                      <w:sz w:val="21"/>
                      <w:szCs w:val="21"/>
                      <w:u w:val="single"/>
                    </w:rPr>
                    <w:t>天数</w:t>
                  </w:r>
                </w:p>
              </w:tc>
              <w:tc>
                <w:tcPr>
                  <w:tcW w:w="1843" w:type="dxa"/>
                  <w:gridSpan w:val="2"/>
                  <w:vAlign w:val="center"/>
                </w:tcPr>
                <w:p w14:paraId="199C11EE">
                  <w:pPr>
                    <w:pStyle w:val="445"/>
                    <w:spacing w:line="240" w:lineRule="auto"/>
                    <w:ind w:firstLine="0" w:firstLineChars="0"/>
                    <w:jc w:val="center"/>
                    <w:rPr>
                      <w:b/>
                      <w:bCs/>
                      <w:sz w:val="21"/>
                      <w:szCs w:val="21"/>
                      <w:u w:val="single"/>
                    </w:rPr>
                  </w:pPr>
                  <w:r>
                    <w:rPr>
                      <w:rFonts w:hint="eastAsia"/>
                      <w:b/>
                      <w:bCs/>
                      <w:sz w:val="21"/>
                      <w:szCs w:val="21"/>
                      <w:u w:val="single"/>
                    </w:rPr>
                    <w:t>用水量</w:t>
                  </w:r>
                </w:p>
              </w:tc>
              <w:tc>
                <w:tcPr>
                  <w:tcW w:w="1847" w:type="dxa"/>
                  <w:vMerge w:val="restart"/>
                  <w:vAlign w:val="center"/>
                </w:tcPr>
                <w:p w14:paraId="3BDDF61E">
                  <w:pPr>
                    <w:pStyle w:val="445"/>
                    <w:spacing w:line="240" w:lineRule="auto"/>
                    <w:ind w:firstLine="0" w:firstLineChars="0"/>
                    <w:jc w:val="center"/>
                    <w:rPr>
                      <w:b/>
                      <w:bCs/>
                      <w:sz w:val="21"/>
                      <w:szCs w:val="21"/>
                      <w:u w:val="single"/>
                    </w:rPr>
                  </w:pPr>
                  <w:r>
                    <w:rPr>
                      <w:rFonts w:hint="eastAsia"/>
                      <w:b/>
                      <w:bCs/>
                      <w:sz w:val="21"/>
                      <w:szCs w:val="21"/>
                      <w:u w:val="single"/>
                    </w:rPr>
                    <w:t>损耗量</w:t>
                  </w:r>
                </w:p>
              </w:tc>
              <w:tc>
                <w:tcPr>
                  <w:tcW w:w="1634" w:type="dxa"/>
                  <w:gridSpan w:val="2"/>
                  <w:vAlign w:val="center"/>
                </w:tcPr>
                <w:p w14:paraId="68627113">
                  <w:pPr>
                    <w:pStyle w:val="445"/>
                    <w:spacing w:line="240" w:lineRule="auto"/>
                    <w:ind w:firstLine="0" w:firstLineChars="0"/>
                    <w:jc w:val="center"/>
                    <w:rPr>
                      <w:b/>
                      <w:bCs/>
                      <w:sz w:val="21"/>
                      <w:szCs w:val="21"/>
                      <w:u w:val="single"/>
                    </w:rPr>
                  </w:pPr>
                  <w:r>
                    <w:rPr>
                      <w:rFonts w:hint="eastAsia"/>
                      <w:b/>
                      <w:bCs/>
                      <w:sz w:val="21"/>
                      <w:szCs w:val="21"/>
                      <w:u w:val="single"/>
                    </w:rPr>
                    <w:t>排水量</w:t>
                  </w:r>
                </w:p>
              </w:tc>
            </w:tr>
            <w:tr w14:paraId="3A81B2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2" w:type="dxa"/>
                  <w:vMerge w:val="continue"/>
                  <w:vAlign w:val="center"/>
                </w:tcPr>
                <w:p w14:paraId="03247127">
                  <w:pPr>
                    <w:pStyle w:val="445"/>
                    <w:spacing w:line="240" w:lineRule="auto"/>
                    <w:ind w:firstLine="0" w:firstLineChars="0"/>
                    <w:jc w:val="center"/>
                    <w:rPr>
                      <w:bCs/>
                      <w:sz w:val="21"/>
                      <w:szCs w:val="21"/>
                      <w:u w:val="single"/>
                    </w:rPr>
                  </w:pPr>
                </w:p>
              </w:tc>
              <w:tc>
                <w:tcPr>
                  <w:tcW w:w="800" w:type="dxa"/>
                  <w:vMerge w:val="continue"/>
                  <w:vAlign w:val="center"/>
                </w:tcPr>
                <w:p w14:paraId="24258571">
                  <w:pPr>
                    <w:pStyle w:val="445"/>
                    <w:spacing w:line="240" w:lineRule="auto"/>
                    <w:ind w:firstLine="0" w:firstLineChars="0"/>
                    <w:jc w:val="center"/>
                    <w:rPr>
                      <w:bCs/>
                      <w:sz w:val="21"/>
                      <w:szCs w:val="21"/>
                      <w:u w:val="single"/>
                    </w:rPr>
                  </w:pPr>
                </w:p>
              </w:tc>
              <w:tc>
                <w:tcPr>
                  <w:tcW w:w="763" w:type="dxa"/>
                  <w:vMerge w:val="continue"/>
                  <w:vAlign w:val="center"/>
                </w:tcPr>
                <w:p w14:paraId="70C41E18">
                  <w:pPr>
                    <w:pStyle w:val="445"/>
                    <w:spacing w:line="240" w:lineRule="auto"/>
                    <w:ind w:firstLine="0" w:firstLineChars="0"/>
                    <w:jc w:val="center"/>
                    <w:rPr>
                      <w:bCs/>
                      <w:sz w:val="21"/>
                      <w:szCs w:val="21"/>
                      <w:u w:val="single"/>
                    </w:rPr>
                  </w:pPr>
                </w:p>
              </w:tc>
              <w:tc>
                <w:tcPr>
                  <w:tcW w:w="689" w:type="dxa"/>
                  <w:vMerge w:val="continue"/>
                  <w:vAlign w:val="center"/>
                </w:tcPr>
                <w:p w14:paraId="0F209028">
                  <w:pPr>
                    <w:pStyle w:val="445"/>
                    <w:spacing w:line="240" w:lineRule="auto"/>
                    <w:ind w:firstLine="0" w:firstLineChars="0"/>
                    <w:jc w:val="center"/>
                    <w:rPr>
                      <w:bCs/>
                      <w:sz w:val="21"/>
                      <w:szCs w:val="21"/>
                      <w:u w:val="single"/>
                    </w:rPr>
                  </w:pPr>
                </w:p>
              </w:tc>
              <w:tc>
                <w:tcPr>
                  <w:tcW w:w="913" w:type="dxa"/>
                  <w:vAlign w:val="center"/>
                </w:tcPr>
                <w:p w14:paraId="647A3917">
                  <w:pPr>
                    <w:pStyle w:val="445"/>
                    <w:spacing w:line="240" w:lineRule="auto"/>
                    <w:ind w:firstLine="0" w:firstLineChars="0"/>
                    <w:jc w:val="center"/>
                    <w:rPr>
                      <w:b/>
                      <w:bCs/>
                      <w:sz w:val="21"/>
                      <w:szCs w:val="21"/>
                      <w:u w:val="single"/>
                    </w:rPr>
                  </w:pPr>
                  <w:r>
                    <w:rPr>
                      <w:b/>
                      <w:bCs/>
                      <w:sz w:val="21"/>
                      <w:szCs w:val="21"/>
                      <w:u w:val="single"/>
                    </w:rPr>
                    <w:t>日用</w:t>
                  </w:r>
                </w:p>
                <w:p w14:paraId="40400320">
                  <w:pPr>
                    <w:pStyle w:val="445"/>
                    <w:spacing w:line="240" w:lineRule="auto"/>
                    <w:ind w:firstLine="0" w:firstLineChars="0"/>
                    <w:jc w:val="center"/>
                    <w:rPr>
                      <w:b/>
                      <w:bCs/>
                      <w:sz w:val="21"/>
                      <w:szCs w:val="21"/>
                      <w:u w:val="single"/>
                    </w:rPr>
                  </w:pPr>
                  <w:r>
                    <w:rPr>
                      <w:b/>
                      <w:bCs/>
                      <w:sz w:val="21"/>
                      <w:szCs w:val="21"/>
                      <w:u w:val="single"/>
                    </w:rPr>
                    <w:t>水量</w:t>
                  </w:r>
                  <w:r>
                    <w:rPr>
                      <w:rFonts w:hint="eastAsia"/>
                      <w:b/>
                      <w:sz w:val="21"/>
                      <w:szCs w:val="21"/>
                      <w:u w:val="single"/>
                    </w:rPr>
                    <w:t>m</w:t>
                  </w:r>
                  <w:r>
                    <w:rPr>
                      <w:rFonts w:hint="eastAsia"/>
                      <w:b/>
                      <w:sz w:val="21"/>
                      <w:szCs w:val="21"/>
                      <w:u w:val="single"/>
                      <w:vertAlign w:val="superscript"/>
                    </w:rPr>
                    <w:t>3</w:t>
                  </w:r>
                  <w:r>
                    <w:rPr>
                      <w:b/>
                      <w:sz w:val="21"/>
                      <w:szCs w:val="21"/>
                      <w:u w:val="single"/>
                    </w:rPr>
                    <w:t>/d</w:t>
                  </w:r>
                </w:p>
              </w:tc>
              <w:tc>
                <w:tcPr>
                  <w:tcW w:w="930" w:type="dxa"/>
                  <w:vAlign w:val="center"/>
                </w:tcPr>
                <w:p w14:paraId="50BFF0B6">
                  <w:pPr>
                    <w:pStyle w:val="445"/>
                    <w:spacing w:line="240" w:lineRule="auto"/>
                    <w:ind w:firstLine="0" w:firstLineChars="0"/>
                    <w:jc w:val="center"/>
                    <w:rPr>
                      <w:b/>
                      <w:bCs/>
                      <w:sz w:val="21"/>
                      <w:szCs w:val="21"/>
                      <w:u w:val="single"/>
                    </w:rPr>
                  </w:pPr>
                  <w:r>
                    <w:rPr>
                      <w:b/>
                      <w:bCs/>
                      <w:sz w:val="21"/>
                      <w:szCs w:val="21"/>
                      <w:u w:val="single"/>
                    </w:rPr>
                    <w:t>年用</w:t>
                  </w:r>
                </w:p>
                <w:p w14:paraId="4F007BAC">
                  <w:pPr>
                    <w:pStyle w:val="445"/>
                    <w:spacing w:line="240" w:lineRule="auto"/>
                    <w:ind w:firstLine="0" w:firstLineChars="0"/>
                    <w:jc w:val="center"/>
                    <w:rPr>
                      <w:b/>
                      <w:bCs/>
                      <w:sz w:val="21"/>
                      <w:szCs w:val="21"/>
                      <w:u w:val="single"/>
                    </w:rPr>
                  </w:pPr>
                  <w:r>
                    <w:rPr>
                      <w:b/>
                      <w:bCs/>
                      <w:sz w:val="21"/>
                      <w:szCs w:val="21"/>
                      <w:u w:val="single"/>
                    </w:rPr>
                    <w:t>水量</w:t>
                  </w:r>
                </w:p>
                <w:p w14:paraId="160920A1">
                  <w:pPr>
                    <w:pStyle w:val="445"/>
                    <w:spacing w:line="240" w:lineRule="auto"/>
                    <w:ind w:firstLine="0" w:firstLineChars="0"/>
                    <w:jc w:val="center"/>
                    <w:rPr>
                      <w:b/>
                      <w:bCs/>
                      <w:sz w:val="21"/>
                      <w:szCs w:val="21"/>
                      <w:u w:val="single"/>
                    </w:rPr>
                  </w:pPr>
                  <w:r>
                    <w:rPr>
                      <w:rFonts w:hint="eastAsia"/>
                      <w:b/>
                      <w:bCs/>
                      <w:sz w:val="21"/>
                      <w:szCs w:val="21"/>
                      <w:u w:val="single"/>
                    </w:rPr>
                    <w:t>m</w:t>
                  </w:r>
                  <w:r>
                    <w:rPr>
                      <w:rFonts w:hint="eastAsia"/>
                      <w:b/>
                      <w:bCs/>
                      <w:sz w:val="21"/>
                      <w:szCs w:val="21"/>
                      <w:u w:val="single"/>
                      <w:vertAlign w:val="superscript"/>
                    </w:rPr>
                    <w:t>3</w:t>
                  </w:r>
                  <w:r>
                    <w:rPr>
                      <w:b/>
                      <w:bCs/>
                      <w:sz w:val="21"/>
                      <w:szCs w:val="21"/>
                      <w:u w:val="single"/>
                    </w:rPr>
                    <w:t>/a</w:t>
                  </w:r>
                </w:p>
              </w:tc>
              <w:tc>
                <w:tcPr>
                  <w:tcW w:w="1847" w:type="dxa"/>
                  <w:vMerge w:val="continue"/>
                  <w:vAlign w:val="center"/>
                </w:tcPr>
                <w:p w14:paraId="7AA71329">
                  <w:pPr>
                    <w:pStyle w:val="445"/>
                    <w:spacing w:line="240" w:lineRule="auto"/>
                    <w:ind w:firstLine="0" w:firstLineChars="0"/>
                    <w:jc w:val="center"/>
                    <w:rPr>
                      <w:b/>
                      <w:bCs/>
                      <w:sz w:val="21"/>
                      <w:szCs w:val="21"/>
                      <w:u w:val="single"/>
                    </w:rPr>
                  </w:pPr>
                </w:p>
              </w:tc>
              <w:tc>
                <w:tcPr>
                  <w:tcW w:w="713" w:type="dxa"/>
                  <w:vAlign w:val="center"/>
                </w:tcPr>
                <w:p w14:paraId="2DC8BC5F">
                  <w:pPr>
                    <w:pStyle w:val="445"/>
                    <w:spacing w:line="240" w:lineRule="auto"/>
                    <w:ind w:firstLine="0" w:firstLineChars="0"/>
                    <w:jc w:val="center"/>
                    <w:rPr>
                      <w:b/>
                      <w:bCs/>
                      <w:sz w:val="21"/>
                      <w:szCs w:val="21"/>
                      <w:u w:val="single"/>
                    </w:rPr>
                  </w:pPr>
                  <w:r>
                    <w:rPr>
                      <w:rFonts w:hint="eastAsia"/>
                      <w:b/>
                      <w:bCs/>
                      <w:sz w:val="21"/>
                      <w:szCs w:val="21"/>
                      <w:u w:val="single"/>
                    </w:rPr>
                    <w:t>日排</w:t>
                  </w:r>
                </w:p>
                <w:p w14:paraId="3B410884">
                  <w:pPr>
                    <w:pStyle w:val="445"/>
                    <w:spacing w:line="240" w:lineRule="auto"/>
                    <w:ind w:firstLine="0" w:firstLineChars="0"/>
                    <w:jc w:val="center"/>
                    <w:rPr>
                      <w:b/>
                      <w:bCs/>
                      <w:sz w:val="21"/>
                      <w:szCs w:val="21"/>
                      <w:u w:val="single"/>
                    </w:rPr>
                  </w:pPr>
                  <w:r>
                    <w:rPr>
                      <w:rFonts w:hint="eastAsia"/>
                      <w:b/>
                      <w:bCs/>
                      <w:sz w:val="21"/>
                      <w:szCs w:val="21"/>
                      <w:u w:val="single"/>
                    </w:rPr>
                    <w:t>水量</w:t>
                  </w:r>
                  <w:r>
                    <w:rPr>
                      <w:rFonts w:hint="eastAsia"/>
                      <w:b/>
                      <w:sz w:val="21"/>
                      <w:szCs w:val="21"/>
                      <w:u w:val="single"/>
                    </w:rPr>
                    <w:t>m</w:t>
                  </w:r>
                  <w:r>
                    <w:rPr>
                      <w:rFonts w:hint="eastAsia"/>
                      <w:b/>
                      <w:sz w:val="21"/>
                      <w:szCs w:val="21"/>
                      <w:u w:val="single"/>
                      <w:vertAlign w:val="superscript"/>
                    </w:rPr>
                    <w:t>3</w:t>
                  </w:r>
                  <w:r>
                    <w:rPr>
                      <w:b/>
                      <w:sz w:val="21"/>
                      <w:szCs w:val="21"/>
                      <w:u w:val="single"/>
                    </w:rPr>
                    <w:t>/d</w:t>
                  </w:r>
                </w:p>
              </w:tc>
              <w:tc>
                <w:tcPr>
                  <w:tcW w:w="921" w:type="dxa"/>
                  <w:vAlign w:val="center"/>
                </w:tcPr>
                <w:p w14:paraId="69048EEA">
                  <w:pPr>
                    <w:pStyle w:val="445"/>
                    <w:spacing w:line="240" w:lineRule="auto"/>
                    <w:ind w:firstLine="0" w:firstLineChars="0"/>
                    <w:jc w:val="center"/>
                    <w:rPr>
                      <w:b/>
                      <w:bCs/>
                      <w:sz w:val="21"/>
                      <w:szCs w:val="21"/>
                      <w:u w:val="single"/>
                    </w:rPr>
                  </w:pPr>
                  <w:r>
                    <w:rPr>
                      <w:rFonts w:hint="eastAsia"/>
                      <w:b/>
                      <w:bCs/>
                      <w:sz w:val="21"/>
                      <w:szCs w:val="21"/>
                      <w:u w:val="single"/>
                    </w:rPr>
                    <w:t>年</w:t>
                  </w:r>
                  <w:r>
                    <w:rPr>
                      <w:b/>
                      <w:bCs/>
                      <w:sz w:val="21"/>
                      <w:szCs w:val="21"/>
                      <w:u w:val="single"/>
                    </w:rPr>
                    <w:t>排</w:t>
                  </w:r>
                </w:p>
                <w:p w14:paraId="0DC40C12">
                  <w:pPr>
                    <w:pStyle w:val="445"/>
                    <w:spacing w:line="240" w:lineRule="auto"/>
                    <w:ind w:firstLine="0" w:firstLineChars="0"/>
                    <w:jc w:val="center"/>
                    <w:rPr>
                      <w:b/>
                      <w:bCs/>
                      <w:sz w:val="21"/>
                      <w:szCs w:val="21"/>
                      <w:u w:val="single"/>
                    </w:rPr>
                  </w:pPr>
                  <w:r>
                    <w:rPr>
                      <w:b/>
                      <w:bCs/>
                      <w:sz w:val="21"/>
                      <w:szCs w:val="21"/>
                      <w:u w:val="single"/>
                    </w:rPr>
                    <w:t>水量</w:t>
                  </w:r>
                  <w:r>
                    <w:rPr>
                      <w:rFonts w:hint="eastAsia"/>
                      <w:b/>
                      <w:bCs/>
                      <w:sz w:val="21"/>
                      <w:szCs w:val="21"/>
                      <w:u w:val="single"/>
                    </w:rPr>
                    <w:t>m</w:t>
                  </w:r>
                  <w:r>
                    <w:rPr>
                      <w:rFonts w:hint="eastAsia"/>
                      <w:b/>
                      <w:bCs/>
                      <w:sz w:val="21"/>
                      <w:szCs w:val="21"/>
                      <w:u w:val="single"/>
                      <w:vertAlign w:val="superscript"/>
                    </w:rPr>
                    <w:t>3</w:t>
                  </w:r>
                  <w:r>
                    <w:rPr>
                      <w:b/>
                      <w:bCs/>
                      <w:sz w:val="21"/>
                      <w:szCs w:val="21"/>
                      <w:u w:val="single"/>
                    </w:rPr>
                    <w:t>/a</w:t>
                  </w:r>
                </w:p>
              </w:tc>
            </w:tr>
            <w:tr w14:paraId="7D4CBB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2" w:type="dxa"/>
                  <w:vAlign w:val="center"/>
                </w:tcPr>
                <w:p w14:paraId="44EAAADD">
                  <w:pPr>
                    <w:pStyle w:val="445"/>
                    <w:spacing w:line="240" w:lineRule="auto"/>
                    <w:ind w:firstLine="0" w:firstLineChars="0"/>
                    <w:jc w:val="center"/>
                    <w:rPr>
                      <w:bCs/>
                      <w:sz w:val="21"/>
                      <w:szCs w:val="21"/>
                      <w:u w:val="single"/>
                    </w:rPr>
                  </w:pPr>
                  <w:r>
                    <w:rPr>
                      <w:rFonts w:hint="eastAsia"/>
                      <w:bCs/>
                      <w:sz w:val="21"/>
                      <w:szCs w:val="21"/>
                      <w:u w:val="single"/>
                      <w:lang w:val="en-US" w:eastAsia="zh-CN"/>
                    </w:rPr>
                    <w:t>养老</w:t>
                  </w:r>
                  <w:r>
                    <w:rPr>
                      <w:rFonts w:hint="eastAsia"/>
                      <w:bCs/>
                      <w:sz w:val="21"/>
                      <w:szCs w:val="21"/>
                      <w:u w:val="single"/>
                    </w:rPr>
                    <w:t>用水</w:t>
                  </w:r>
                </w:p>
              </w:tc>
              <w:tc>
                <w:tcPr>
                  <w:tcW w:w="800" w:type="dxa"/>
                  <w:vAlign w:val="center"/>
                </w:tcPr>
                <w:p w14:paraId="01E447A3">
                  <w:pPr>
                    <w:pStyle w:val="445"/>
                    <w:spacing w:line="240" w:lineRule="auto"/>
                    <w:ind w:firstLine="0" w:firstLineChars="0"/>
                    <w:jc w:val="center"/>
                    <w:rPr>
                      <w:bCs/>
                      <w:sz w:val="21"/>
                      <w:szCs w:val="21"/>
                      <w:u w:val="single"/>
                    </w:rPr>
                  </w:pPr>
                  <w:r>
                    <w:rPr>
                      <w:rFonts w:hint="eastAsia"/>
                      <w:bCs/>
                      <w:sz w:val="21"/>
                      <w:szCs w:val="21"/>
                      <w:u w:val="single"/>
                      <w:lang w:val="en-US" w:eastAsia="zh-CN"/>
                    </w:rPr>
                    <w:t>145</w:t>
                  </w:r>
                  <w:r>
                    <w:rPr>
                      <w:rFonts w:hint="eastAsia"/>
                      <w:bCs/>
                      <w:sz w:val="21"/>
                      <w:szCs w:val="21"/>
                      <w:u w:val="single"/>
                    </w:rPr>
                    <w:t>L/人</w:t>
                  </w:r>
                  <w:r>
                    <w:rPr>
                      <w:rFonts w:hint="eastAsia"/>
                      <w:bCs/>
                      <w:sz w:val="21"/>
                      <w:szCs w:val="21"/>
                      <w:u w:val="single"/>
                      <w:lang w:val="en-US" w:eastAsia="zh-CN"/>
                    </w:rPr>
                    <w:t>·</w:t>
                  </w:r>
                  <w:r>
                    <w:rPr>
                      <w:rFonts w:hint="eastAsia"/>
                      <w:bCs/>
                      <w:sz w:val="21"/>
                      <w:szCs w:val="21"/>
                      <w:u w:val="single"/>
                    </w:rPr>
                    <w:t>d</w:t>
                  </w:r>
                </w:p>
              </w:tc>
              <w:tc>
                <w:tcPr>
                  <w:tcW w:w="763" w:type="dxa"/>
                  <w:vAlign w:val="center"/>
                </w:tcPr>
                <w:p w14:paraId="42C88B32">
                  <w:pPr>
                    <w:pStyle w:val="445"/>
                    <w:spacing w:line="240" w:lineRule="auto"/>
                    <w:ind w:firstLine="0" w:firstLineChars="0"/>
                    <w:jc w:val="center"/>
                    <w:rPr>
                      <w:bCs/>
                      <w:sz w:val="21"/>
                      <w:szCs w:val="21"/>
                      <w:u w:val="single"/>
                    </w:rPr>
                  </w:pPr>
                  <w:r>
                    <w:rPr>
                      <w:rFonts w:hint="eastAsia"/>
                      <w:bCs/>
                      <w:sz w:val="21"/>
                      <w:szCs w:val="21"/>
                      <w:u w:val="single"/>
                      <w:lang w:val="en-US" w:eastAsia="zh-CN"/>
                    </w:rPr>
                    <w:t>400</w:t>
                  </w:r>
                  <w:r>
                    <w:rPr>
                      <w:rFonts w:hint="eastAsia"/>
                      <w:bCs/>
                      <w:sz w:val="21"/>
                      <w:szCs w:val="21"/>
                      <w:u w:val="single"/>
                    </w:rPr>
                    <w:t>人</w:t>
                  </w:r>
                </w:p>
              </w:tc>
              <w:tc>
                <w:tcPr>
                  <w:tcW w:w="689" w:type="dxa"/>
                  <w:vAlign w:val="center"/>
                </w:tcPr>
                <w:p w14:paraId="6CF7AA0F">
                  <w:pPr>
                    <w:pStyle w:val="445"/>
                    <w:spacing w:line="240" w:lineRule="auto"/>
                    <w:ind w:firstLine="0" w:firstLineChars="0"/>
                    <w:jc w:val="center"/>
                    <w:rPr>
                      <w:bCs/>
                      <w:sz w:val="21"/>
                      <w:szCs w:val="21"/>
                      <w:u w:val="single"/>
                    </w:rPr>
                  </w:pPr>
                  <w:r>
                    <w:rPr>
                      <w:rFonts w:hint="eastAsia"/>
                      <w:bCs/>
                      <w:sz w:val="21"/>
                      <w:szCs w:val="21"/>
                      <w:u w:val="single"/>
                    </w:rPr>
                    <w:t>365天</w:t>
                  </w:r>
                </w:p>
              </w:tc>
              <w:tc>
                <w:tcPr>
                  <w:tcW w:w="913" w:type="dxa"/>
                  <w:vAlign w:val="center"/>
                </w:tcPr>
                <w:p w14:paraId="2FF39B14">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58</w:t>
                  </w:r>
                </w:p>
              </w:tc>
              <w:tc>
                <w:tcPr>
                  <w:tcW w:w="930" w:type="dxa"/>
                  <w:vAlign w:val="center"/>
                </w:tcPr>
                <w:p w14:paraId="57BA3D38">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21170</w:t>
                  </w:r>
                </w:p>
              </w:tc>
              <w:tc>
                <w:tcPr>
                  <w:tcW w:w="1847" w:type="dxa"/>
                  <w:vAlign w:val="center"/>
                </w:tcPr>
                <w:p w14:paraId="087CAC74">
                  <w:pPr>
                    <w:pStyle w:val="445"/>
                    <w:spacing w:line="240" w:lineRule="auto"/>
                    <w:ind w:firstLine="0" w:firstLineChars="0"/>
                    <w:jc w:val="center"/>
                    <w:rPr>
                      <w:bCs/>
                      <w:sz w:val="21"/>
                      <w:szCs w:val="21"/>
                      <w:u w:val="single"/>
                    </w:rPr>
                  </w:pPr>
                  <w:r>
                    <w:rPr>
                      <w:rFonts w:hint="eastAsia"/>
                      <w:bCs/>
                      <w:sz w:val="21"/>
                      <w:szCs w:val="21"/>
                      <w:u w:val="single"/>
                      <w:lang w:val="en-US" w:eastAsia="zh-CN"/>
                    </w:rPr>
                    <w:t>11.6</w:t>
                  </w:r>
                  <w:r>
                    <w:rPr>
                      <w:rFonts w:hint="eastAsia"/>
                      <w:bCs/>
                      <w:sz w:val="21"/>
                      <w:szCs w:val="21"/>
                      <w:u w:val="single"/>
                    </w:rPr>
                    <w:t>m</w:t>
                  </w:r>
                  <w:r>
                    <w:rPr>
                      <w:rFonts w:hint="eastAsia"/>
                      <w:bCs/>
                      <w:sz w:val="21"/>
                      <w:szCs w:val="21"/>
                      <w:u w:val="single"/>
                      <w:vertAlign w:val="superscript"/>
                    </w:rPr>
                    <w:t>3</w:t>
                  </w:r>
                  <w:r>
                    <w:rPr>
                      <w:bCs/>
                      <w:sz w:val="21"/>
                      <w:szCs w:val="21"/>
                      <w:u w:val="single"/>
                    </w:rPr>
                    <w:t>/d</w:t>
                  </w:r>
                </w:p>
                <w:p w14:paraId="2176669A">
                  <w:pPr>
                    <w:pStyle w:val="445"/>
                    <w:spacing w:line="240" w:lineRule="auto"/>
                    <w:ind w:firstLine="0" w:firstLineChars="0"/>
                    <w:jc w:val="center"/>
                    <w:rPr>
                      <w:bCs/>
                      <w:sz w:val="21"/>
                      <w:szCs w:val="21"/>
                      <w:u w:val="single"/>
                    </w:rPr>
                  </w:pPr>
                  <w:r>
                    <w:rPr>
                      <w:rFonts w:hint="eastAsia"/>
                      <w:bCs/>
                      <w:sz w:val="21"/>
                      <w:szCs w:val="21"/>
                      <w:u w:val="single"/>
                    </w:rPr>
                    <w:t>（</w:t>
                  </w:r>
                  <w:r>
                    <w:rPr>
                      <w:rFonts w:hint="eastAsia"/>
                      <w:bCs/>
                      <w:sz w:val="21"/>
                      <w:szCs w:val="21"/>
                      <w:u w:val="single"/>
                      <w:lang w:val="en-US" w:eastAsia="zh-CN"/>
                    </w:rPr>
                    <w:t>4234</w:t>
                  </w:r>
                  <w:r>
                    <w:rPr>
                      <w:rFonts w:hint="eastAsia"/>
                      <w:bCs/>
                      <w:sz w:val="21"/>
                      <w:szCs w:val="21"/>
                      <w:u w:val="single"/>
                    </w:rPr>
                    <w:t>m</w:t>
                  </w:r>
                  <w:r>
                    <w:rPr>
                      <w:rFonts w:hint="eastAsia"/>
                      <w:bCs/>
                      <w:sz w:val="21"/>
                      <w:szCs w:val="21"/>
                      <w:u w:val="single"/>
                      <w:vertAlign w:val="superscript"/>
                    </w:rPr>
                    <w:t>3</w:t>
                  </w:r>
                  <w:r>
                    <w:rPr>
                      <w:bCs/>
                      <w:sz w:val="21"/>
                      <w:szCs w:val="21"/>
                      <w:u w:val="single"/>
                    </w:rPr>
                    <w:t>/a</w:t>
                  </w:r>
                  <w:r>
                    <w:rPr>
                      <w:rFonts w:hint="eastAsia"/>
                      <w:bCs/>
                      <w:sz w:val="21"/>
                      <w:szCs w:val="21"/>
                      <w:u w:val="single"/>
                    </w:rPr>
                    <w:t>）</w:t>
                  </w:r>
                </w:p>
              </w:tc>
              <w:tc>
                <w:tcPr>
                  <w:tcW w:w="713" w:type="dxa"/>
                  <w:vAlign w:val="center"/>
                </w:tcPr>
                <w:p w14:paraId="5101D7FD">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46.4</w:t>
                  </w:r>
                </w:p>
              </w:tc>
              <w:tc>
                <w:tcPr>
                  <w:tcW w:w="921" w:type="dxa"/>
                  <w:vAlign w:val="center"/>
                </w:tcPr>
                <w:p w14:paraId="60C0C11B">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16936</w:t>
                  </w:r>
                </w:p>
              </w:tc>
            </w:tr>
            <w:tr w14:paraId="1565EC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2" w:type="dxa"/>
                  <w:vAlign w:val="center"/>
                </w:tcPr>
                <w:p w14:paraId="1E0F4D4C">
                  <w:pPr>
                    <w:pStyle w:val="445"/>
                    <w:spacing w:line="240" w:lineRule="auto"/>
                    <w:ind w:firstLine="0" w:firstLineChars="0"/>
                    <w:jc w:val="center"/>
                    <w:rPr>
                      <w:bCs/>
                      <w:sz w:val="21"/>
                      <w:szCs w:val="21"/>
                      <w:u w:val="single"/>
                    </w:rPr>
                  </w:pPr>
                  <w:r>
                    <w:rPr>
                      <w:rFonts w:hint="eastAsia"/>
                      <w:bCs/>
                      <w:sz w:val="21"/>
                      <w:szCs w:val="21"/>
                      <w:u w:val="single"/>
                      <w:lang w:val="en-US" w:eastAsia="zh-CN"/>
                    </w:rPr>
                    <w:t>医疗</w:t>
                  </w:r>
                  <w:r>
                    <w:rPr>
                      <w:rFonts w:hint="eastAsia"/>
                      <w:bCs/>
                      <w:sz w:val="21"/>
                      <w:szCs w:val="21"/>
                      <w:u w:val="single"/>
                    </w:rPr>
                    <w:t>用水</w:t>
                  </w:r>
                </w:p>
              </w:tc>
              <w:tc>
                <w:tcPr>
                  <w:tcW w:w="800" w:type="dxa"/>
                  <w:vAlign w:val="center"/>
                </w:tcPr>
                <w:p w14:paraId="62DDD498">
                  <w:pPr>
                    <w:pStyle w:val="445"/>
                    <w:spacing w:line="240" w:lineRule="auto"/>
                    <w:ind w:firstLine="0" w:firstLineChars="0"/>
                    <w:jc w:val="center"/>
                    <w:rPr>
                      <w:bCs/>
                      <w:sz w:val="21"/>
                      <w:szCs w:val="21"/>
                      <w:u w:val="single"/>
                    </w:rPr>
                  </w:pPr>
                  <w:r>
                    <w:rPr>
                      <w:rFonts w:hint="eastAsia"/>
                      <w:bCs/>
                      <w:sz w:val="21"/>
                      <w:szCs w:val="21"/>
                      <w:u w:val="single"/>
                      <w:lang w:val="en-US" w:eastAsia="zh-CN"/>
                    </w:rPr>
                    <w:t>58</w:t>
                  </w:r>
                  <w:r>
                    <w:rPr>
                      <w:rFonts w:hint="eastAsia"/>
                      <w:bCs/>
                      <w:sz w:val="21"/>
                      <w:szCs w:val="21"/>
                      <w:u w:val="single"/>
                    </w:rPr>
                    <w:t>0L/床·d</w:t>
                  </w:r>
                </w:p>
              </w:tc>
              <w:tc>
                <w:tcPr>
                  <w:tcW w:w="763" w:type="dxa"/>
                  <w:vAlign w:val="center"/>
                </w:tcPr>
                <w:p w14:paraId="66180B29">
                  <w:pPr>
                    <w:pStyle w:val="445"/>
                    <w:spacing w:line="240" w:lineRule="auto"/>
                    <w:ind w:firstLine="0" w:firstLineChars="0"/>
                    <w:jc w:val="center"/>
                    <w:rPr>
                      <w:bCs/>
                      <w:sz w:val="21"/>
                      <w:szCs w:val="21"/>
                      <w:u w:val="single"/>
                    </w:rPr>
                  </w:pPr>
                  <w:r>
                    <w:rPr>
                      <w:rFonts w:hint="eastAsia"/>
                      <w:bCs/>
                      <w:sz w:val="21"/>
                      <w:szCs w:val="21"/>
                      <w:u w:val="single"/>
                      <w:lang w:val="en-US" w:eastAsia="zh-CN"/>
                    </w:rPr>
                    <w:t>1</w:t>
                  </w:r>
                  <w:r>
                    <w:rPr>
                      <w:rFonts w:hint="eastAsia"/>
                      <w:bCs/>
                      <w:sz w:val="21"/>
                      <w:szCs w:val="21"/>
                      <w:u w:val="single"/>
                    </w:rPr>
                    <w:t>00张</w:t>
                  </w:r>
                </w:p>
              </w:tc>
              <w:tc>
                <w:tcPr>
                  <w:tcW w:w="689" w:type="dxa"/>
                  <w:vAlign w:val="center"/>
                </w:tcPr>
                <w:p w14:paraId="7F47E24D">
                  <w:pPr>
                    <w:pStyle w:val="445"/>
                    <w:spacing w:line="240" w:lineRule="auto"/>
                    <w:ind w:firstLine="0" w:firstLineChars="0"/>
                    <w:jc w:val="center"/>
                    <w:rPr>
                      <w:bCs/>
                      <w:sz w:val="21"/>
                      <w:szCs w:val="21"/>
                      <w:u w:val="single"/>
                    </w:rPr>
                  </w:pPr>
                  <w:r>
                    <w:rPr>
                      <w:rFonts w:hint="eastAsia"/>
                      <w:bCs/>
                      <w:sz w:val="21"/>
                      <w:szCs w:val="21"/>
                      <w:u w:val="single"/>
                    </w:rPr>
                    <w:t>365天</w:t>
                  </w:r>
                </w:p>
              </w:tc>
              <w:tc>
                <w:tcPr>
                  <w:tcW w:w="913" w:type="dxa"/>
                  <w:vAlign w:val="center"/>
                </w:tcPr>
                <w:p w14:paraId="51D28D57">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58</w:t>
                  </w:r>
                </w:p>
              </w:tc>
              <w:tc>
                <w:tcPr>
                  <w:tcW w:w="930" w:type="dxa"/>
                  <w:vAlign w:val="center"/>
                </w:tcPr>
                <w:p w14:paraId="23EB1E6B">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21170</w:t>
                  </w:r>
                </w:p>
              </w:tc>
              <w:tc>
                <w:tcPr>
                  <w:tcW w:w="1847" w:type="dxa"/>
                  <w:vAlign w:val="center"/>
                </w:tcPr>
                <w:p w14:paraId="51494ACF">
                  <w:pPr>
                    <w:pStyle w:val="445"/>
                    <w:spacing w:line="240" w:lineRule="auto"/>
                    <w:ind w:firstLine="0" w:firstLineChars="0"/>
                    <w:jc w:val="center"/>
                    <w:rPr>
                      <w:bCs/>
                      <w:sz w:val="21"/>
                      <w:szCs w:val="21"/>
                      <w:u w:val="single"/>
                    </w:rPr>
                  </w:pPr>
                  <w:r>
                    <w:rPr>
                      <w:rFonts w:hint="eastAsia"/>
                      <w:bCs/>
                      <w:sz w:val="21"/>
                      <w:szCs w:val="21"/>
                      <w:u w:val="single"/>
                      <w:lang w:val="en-US" w:eastAsia="zh-CN"/>
                    </w:rPr>
                    <w:t>11.6</w:t>
                  </w:r>
                  <w:r>
                    <w:rPr>
                      <w:rFonts w:hint="eastAsia"/>
                      <w:bCs/>
                      <w:sz w:val="21"/>
                      <w:szCs w:val="21"/>
                      <w:u w:val="single"/>
                    </w:rPr>
                    <w:t>m</w:t>
                  </w:r>
                  <w:r>
                    <w:rPr>
                      <w:rFonts w:hint="eastAsia"/>
                      <w:bCs/>
                      <w:sz w:val="21"/>
                      <w:szCs w:val="21"/>
                      <w:u w:val="single"/>
                      <w:vertAlign w:val="superscript"/>
                    </w:rPr>
                    <w:t>3</w:t>
                  </w:r>
                  <w:r>
                    <w:rPr>
                      <w:bCs/>
                      <w:sz w:val="21"/>
                      <w:szCs w:val="21"/>
                      <w:u w:val="single"/>
                    </w:rPr>
                    <w:t>/d</w:t>
                  </w:r>
                </w:p>
                <w:p w14:paraId="5A5D5FA4">
                  <w:pPr>
                    <w:pStyle w:val="445"/>
                    <w:spacing w:line="240" w:lineRule="auto"/>
                    <w:ind w:firstLine="0" w:firstLineChars="0"/>
                    <w:jc w:val="center"/>
                    <w:rPr>
                      <w:bCs/>
                      <w:sz w:val="21"/>
                      <w:szCs w:val="21"/>
                      <w:u w:val="single"/>
                    </w:rPr>
                  </w:pPr>
                  <w:r>
                    <w:rPr>
                      <w:rFonts w:hint="eastAsia"/>
                      <w:bCs/>
                      <w:sz w:val="21"/>
                      <w:szCs w:val="21"/>
                      <w:u w:val="single"/>
                    </w:rPr>
                    <w:t>（</w:t>
                  </w:r>
                  <w:r>
                    <w:rPr>
                      <w:rFonts w:hint="eastAsia"/>
                      <w:bCs/>
                      <w:sz w:val="21"/>
                      <w:szCs w:val="21"/>
                      <w:u w:val="single"/>
                      <w:lang w:val="en-US" w:eastAsia="zh-CN"/>
                    </w:rPr>
                    <w:t>4234</w:t>
                  </w:r>
                  <w:r>
                    <w:rPr>
                      <w:rFonts w:hint="eastAsia"/>
                      <w:bCs/>
                      <w:sz w:val="21"/>
                      <w:szCs w:val="21"/>
                      <w:u w:val="single"/>
                    </w:rPr>
                    <w:t>m</w:t>
                  </w:r>
                  <w:r>
                    <w:rPr>
                      <w:rFonts w:hint="eastAsia"/>
                      <w:bCs/>
                      <w:sz w:val="21"/>
                      <w:szCs w:val="21"/>
                      <w:u w:val="single"/>
                      <w:vertAlign w:val="superscript"/>
                    </w:rPr>
                    <w:t>3</w:t>
                  </w:r>
                  <w:r>
                    <w:rPr>
                      <w:bCs/>
                      <w:sz w:val="21"/>
                      <w:szCs w:val="21"/>
                      <w:u w:val="single"/>
                    </w:rPr>
                    <w:t>/a</w:t>
                  </w:r>
                  <w:r>
                    <w:rPr>
                      <w:rFonts w:hint="eastAsia"/>
                      <w:bCs/>
                      <w:sz w:val="21"/>
                      <w:szCs w:val="21"/>
                      <w:u w:val="single"/>
                    </w:rPr>
                    <w:t>）</w:t>
                  </w:r>
                </w:p>
              </w:tc>
              <w:tc>
                <w:tcPr>
                  <w:tcW w:w="713" w:type="dxa"/>
                  <w:vAlign w:val="center"/>
                </w:tcPr>
                <w:p w14:paraId="72937412">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46.4</w:t>
                  </w:r>
                </w:p>
              </w:tc>
              <w:tc>
                <w:tcPr>
                  <w:tcW w:w="921" w:type="dxa"/>
                  <w:vAlign w:val="center"/>
                </w:tcPr>
                <w:p w14:paraId="605044A6">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16936</w:t>
                  </w:r>
                </w:p>
              </w:tc>
            </w:tr>
            <w:tr w14:paraId="465CB0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2" w:type="dxa"/>
                  <w:vAlign w:val="center"/>
                </w:tcPr>
                <w:p w14:paraId="1E9B579E">
                  <w:pPr>
                    <w:pStyle w:val="445"/>
                    <w:spacing w:line="240" w:lineRule="auto"/>
                    <w:ind w:firstLine="0" w:firstLineChars="0"/>
                    <w:jc w:val="center"/>
                    <w:rPr>
                      <w:rFonts w:hint="default"/>
                      <w:bCs/>
                      <w:sz w:val="21"/>
                      <w:szCs w:val="21"/>
                      <w:u w:val="single"/>
                      <w:lang w:val="en-US" w:eastAsia="zh-CN"/>
                    </w:rPr>
                  </w:pPr>
                  <w:r>
                    <w:rPr>
                      <w:rFonts w:hint="eastAsia"/>
                      <w:bCs/>
                      <w:sz w:val="21"/>
                      <w:szCs w:val="21"/>
                      <w:u w:val="single"/>
                      <w:lang w:val="en-US" w:eastAsia="zh-CN"/>
                    </w:rPr>
                    <w:t>门诊用水</w:t>
                  </w:r>
                </w:p>
              </w:tc>
              <w:tc>
                <w:tcPr>
                  <w:tcW w:w="800" w:type="dxa"/>
                  <w:vAlign w:val="center"/>
                </w:tcPr>
                <w:p w14:paraId="392ED670">
                  <w:pPr>
                    <w:pStyle w:val="445"/>
                    <w:spacing w:line="240" w:lineRule="auto"/>
                    <w:ind w:firstLine="0" w:firstLineChars="0"/>
                    <w:jc w:val="center"/>
                    <w:rPr>
                      <w:rFonts w:hint="eastAsia"/>
                      <w:bCs/>
                      <w:sz w:val="21"/>
                      <w:szCs w:val="21"/>
                      <w:u w:val="single"/>
                      <w:lang w:val="en-US" w:eastAsia="zh-CN"/>
                    </w:rPr>
                  </w:pPr>
                  <w:r>
                    <w:rPr>
                      <w:rFonts w:hint="eastAsia"/>
                      <w:bCs/>
                      <w:sz w:val="21"/>
                      <w:szCs w:val="21"/>
                      <w:u w:val="single"/>
                    </w:rPr>
                    <w:t>15L/人·d</w:t>
                  </w:r>
                </w:p>
              </w:tc>
              <w:tc>
                <w:tcPr>
                  <w:tcW w:w="763" w:type="dxa"/>
                  <w:vAlign w:val="center"/>
                </w:tcPr>
                <w:p w14:paraId="4CB2D6A6">
                  <w:pPr>
                    <w:pStyle w:val="445"/>
                    <w:spacing w:line="240" w:lineRule="auto"/>
                    <w:ind w:firstLine="0" w:firstLineChars="0"/>
                    <w:jc w:val="center"/>
                    <w:rPr>
                      <w:rFonts w:hint="eastAsia"/>
                      <w:bCs/>
                      <w:sz w:val="21"/>
                      <w:szCs w:val="21"/>
                      <w:u w:val="single"/>
                      <w:lang w:val="en-US" w:eastAsia="zh-CN"/>
                    </w:rPr>
                  </w:pPr>
                  <w:r>
                    <w:rPr>
                      <w:rFonts w:hint="eastAsia"/>
                      <w:bCs/>
                      <w:sz w:val="21"/>
                      <w:szCs w:val="21"/>
                      <w:u w:val="single"/>
                      <w:lang w:val="en-US" w:eastAsia="zh-CN"/>
                    </w:rPr>
                    <w:t>3</w:t>
                  </w:r>
                  <w:r>
                    <w:rPr>
                      <w:rFonts w:hint="eastAsia"/>
                      <w:bCs/>
                      <w:sz w:val="21"/>
                      <w:szCs w:val="21"/>
                      <w:u w:val="single"/>
                    </w:rPr>
                    <w:t>0人</w:t>
                  </w:r>
                </w:p>
              </w:tc>
              <w:tc>
                <w:tcPr>
                  <w:tcW w:w="689" w:type="dxa"/>
                  <w:vAlign w:val="center"/>
                </w:tcPr>
                <w:p w14:paraId="52E5E6A1">
                  <w:pPr>
                    <w:pStyle w:val="445"/>
                    <w:spacing w:line="240" w:lineRule="auto"/>
                    <w:ind w:firstLine="0" w:firstLineChars="0"/>
                    <w:jc w:val="center"/>
                    <w:rPr>
                      <w:rFonts w:hint="eastAsia"/>
                      <w:bCs/>
                      <w:sz w:val="21"/>
                      <w:szCs w:val="21"/>
                      <w:u w:val="single"/>
                    </w:rPr>
                  </w:pPr>
                  <w:r>
                    <w:rPr>
                      <w:rFonts w:hint="eastAsia"/>
                      <w:bCs/>
                      <w:sz w:val="21"/>
                      <w:szCs w:val="21"/>
                      <w:u w:val="single"/>
                    </w:rPr>
                    <w:t>365天</w:t>
                  </w:r>
                </w:p>
              </w:tc>
              <w:tc>
                <w:tcPr>
                  <w:tcW w:w="913" w:type="dxa"/>
                  <w:vAlign w:val="center"/>
                </w:tcPr>
                <w:p w14:paraId="7D29F53F">
                  <w:pPr>
                    <w:pStyle w:val="445"/>
                    <w:spacing w:line="240" w:lineRule="auto"/>
                    <w:ind w:firstLine="0" w:firstLineChars="0"/>
                    <w:jc w:val="center"/>
                    <w:rPr>
                      <w:rFonts w:hint="default"/>
                      <w:bCs/>
                      <w:sz w:val="21"/>
                      <w:szCs w:val="21"/>
                      <w:u w:val="single"/>
                      <w:lang w:val="en-US" w:eastAsia="zh-CN"/>
                    </w:rPr>
                  </w:pPr>
                  <w:r>
                    <w:rPr>
                      <w:rFonts w:hint="eastAsia"/>
                      <w:bCs/>
                      <w:sz w:val="21"/>
                      <w:szCs w:val="21"/>
                      <w:u w:val="single"/>
                      <w:lang w:val="en-US" w:eastAsia="zh-CN"/>
                    </w:rPr>
                    <w:t>0.45</w:t>
                  </w:r>
                </w:p>
              </w:tc>
              <w:tc>
                <w:tcPr>
                  <w:tcW w:w="930" w:type="dxa"/>
                  <w:vAlign w:val="center"/>
                </w:tcPr>
                <w:p w14:paraId="1BA41DFF">
                  <w:pPr>
                    <w:pStyle w:val="445"/>
                    <w:spacing w:line="240" w:lineRule="auto"/>
                    <w:ind w:firstLine="0" w:firstLineChars="0"/>
                    <w:jc w:val="center"/>
                    <w:rPr>
                      <w:rFonts w:hint="default"/>
                      <w:bCs/>
                      <w:sz w:val="21"/>
                      <w:szCs w:val="21"/>
                      <w:u w:val="single"/>
                      <w:lang w:val="en-US" w:eastAsia="zh-CN"/>
                    </w:rPr>
                  </w:pPr>
                  <w:r>
                    <w:rPr>
                      <w:rFonts w:hint="eastAsia"/>
                      <w:bCs/>
                      <w:sz w:val="21"/>
                      <w:szCs w:val="21"/>
                      <w:u w:val="single"/>
                      <w:lang w:val="en-US" w:eastAsia="zh-CN"/>
                    </w:rPr>
                    <w:t>164.25</w:t>
                  </w:r>
                </w:p>
              </w:tc>
              <w:tc>
                <w:tcPr>
                  <w:tcW w:w="1847" w:type="dxa"/>
                  <w:vAlign w:val="center"/>
                </w:tcPr>
                <w:p w14:paraId="62D04C13">
                  <w:pPr>
                    <w:pStyle w:val="445"/>
                    <w:spacing w:line="240" w:lineRule="auto"/>
                    <w:ind w:firstLine="0" w:firstLineChars="0"/>
                    <w:jc w:val="center"/>
                    <w:rPr>
                      <w:bCs/>
                      <w:sz w:val="21"/>
                      <w:szCs w:val="21"/>
                      <w:u w:val="single"/>
                    </w:rPr>
                  </w:pPr>
                  <w:r>
                    <w:rPr>
                      <w:rFonts w:hint="eastAsia"/>
                      <w:bCs/>
                      <w:sz w:val="21"/>
                      <w:szCs w:val="21"/>
                      <w:u w:val="single"/>
                      <w:lang w:val="en-US" w:eastAsia="zh-CN"/>
                    </w:rPr>
                    <w:t>0.09</w:t>
                  </w:r>
                  <w:r>
                    <w:rPr>
                      <w:rFonts w:hint="eastAsia"/>
                      <w:bCs/>
                      <w:sz w:val="21"/>
                      <w:szCs w:val="21"/>
                      <w:u w:val="single"/>
                    </w:rPr>
                    <w:t>m</w:t>
                  </w:r>
                  <w:r>
                    <w:rPr>
                      <w:rFonts w:hint="eastAsia"/>
                      <w:bCs/>
                      <w:sz w:val="21"/>
                      <w:szCs w:val="21"/>
                      <w:u w:val="single"/>
                      <w:vertAlign w:val="superscript"/>
                    </w:rPr>
                    <w:t>3</w:t>
                  </w:r>
                  <w:r>
                    <w:rPr>
                      <w:bCs/>
                      <w:sz w:val="21"/>
                      <w:szCs w:val="21"/>
                      <w:u w:val="single"/>
                    </w:rPr>
                    <w:t>/d</w:t>
                  </w:r>
                </w:p>
                <w:p w14:paraId="7F116DB6">
                  <w:pPr>
                    <w:pStyle w:val="445"/>
                    <w:spacing w:line="240" w:lineRule="auto"/>
                    <w:ind w:firstLine="0" w:firstLineChars="0"/>
                    <w:jc w:val="center"/>
                    <w:rPr>
                      <w:rFonts w:hint="eastAsia"/>
                      <w:bCs/>
                      <w:sz w:val="21"/>
                      <w:szCs w:val="21"/>
                      <w:u w:val="single"/>
                    </w:rPr>
                  </w:pPr>
                  <w:r>
                    <w:rPr>
                      <w:rFonts w:hint="eastAsia"/>
                      <w:bCs/>
                      <w:sz w:val="21"/>
                      <w:szCs w:val="21"/>
                      <w:u w:val="single"/>
                    </w:rPr>
                    <w:t>（</w:t>
                  </w:r>
                  <w:r>
                    <w:rPr>
                      <w:rFonts w:hint="eastAsia"/>
                      <w:bCs/>
                      <w:sz w:val="21"/>
                      <w:szCs w:val="21"/>
                      <w:u w:val="single"/>
                      <w:lang w:val="en-US" w:eastAsia="zh-CN"/>
                    </w:rPr>
                    <w:t>32.85</w:t>
                  </w:r>
                  <w:r>
                    <w:rPr>
                      <w:rFonts w:hint="eastAsia"/>
                      <w:bCs/>
                      <w:sz w:val="21"/>
                      <w:szCs w:val="21"/>
                      <w:u w:val="single"/>
                    </w:rPr>
                    <w:t>m</w:t>
                  </w:r>
                  <w:r>
                    <w:rPr>
                      <w:rFonts w:hint="eastAsia"/>
                      <w:bCs/>
                      <w:sz w:val="21"/>
                      <w:szCs w:val="21"/>
                      <w:u w:val="single"/>
                      <w:vertAlign w:val="superscript"/>
                    </w:rPr>
                    <w:t>3</w:t>
                  </w:r>
                  <w:r>
                    <w:rPr>
                      <w:bCs/>
                      <w:sz w:val="21"/>
                      <w:szCs w:val="21"/>
                      <w:u w:val="single"/>
                    </w:rPr>
                    <w:t>/a</w:t>
                  </w:r>
                  <w:r>
                    <w:rPr>
                      <w:rFonts w:hint="eastAsia"/>
                      <w:bCs/>
                      <w:sz w:val="21"/>
                      <w:szCs w:val="21"/>
                      <w:u w:val="single"/>
                    </w:rPr>
                    <w:t>）</w:t>
                  </w:r>
                </w:p>
              </w:tc>
              <w:tc>
                <w:tcPr>
                  <w:tcW w:w="713" w:type="dxa"/>
                  <w:vAlign w:val="center"/>
                </w:tcPr>
                <w:p w14:paraId="74411426">
                  <w:pPr>
                    <w:pStyle w:val="445"/>
                    <w:spacing w:line="240" w:lineRule="auto"/>
                    <w:ind w:firstLine="0" w:firstLineChars="0"/>
                    <w:jc w:val="center"/>
                    <w:rPr>
                      <w:rFonts w:hint="default"/>
                      <w:bCs/>
                      <w:sz w:val="21"/>
                      <w:szCs w:val="21"/>
                      <w:u w:val="single"/>
                      <w:lang w:val="en-US" w:eastAsia="zh-CN"/>
                    </w:rPr>
                  </w:pPr>
                  <w:r>
                    <w:rPr>
                      <w:rFonts w:hint="eastAsia"/>
                      <w:bCs/>
                      <w:sz w:val="21"/>
                      <w:szCs w:val="21"/>
                      <w:u w:val="single"/>
                      <w:lang w:val="en-US" w:eastAsia="zh-CN"/>
                    </w:rPr>
                    <w:t>0.36</w:t>
                  </w:r>
                </w:p>
              </w:tc>
              <w:tc>
                <w:tcPr>
                  <w:tcW w:w="921" w:type="dxa"/>
                  <w:vAlign w:val="center"/>
                </w:tcPr>
                <w:p w14:paraId="62B156A6">
                  <w:pPr>
                    <w:pStyle w:val="445"/>
                    <w:spacing w:line="240" w:lineRule="auto"/>
                    <w:ind w:firstLine="0" w:firstLineChars="0"/>
                    <w:jc w:val="center"/>
                    <w:rPr>
                      <w:rFonts w:hint="default"/>
                      <w:bCs/>
                      <w:sz w:val="21"/>
                      <w:szCs w:val="21"/>
                      <w:u w:val="single"/>
                      <w:lang w:val="en-US" w:eastAsia="zh-CN"/>
                    </w:rPr>
                  </w:pPr>
                  <w:r>
                    <w:rPr>
                      <w:rFonts w:hint="eastAsia"/>
                      <w:bCs/>
                      <w:sz w:val="21"/>
                      <w:szCs w:val="21"/>
                      <w:u w:val="single"/>
                      <w:lang w:val="en-US" w:eastAsia="zh-CN"/>
                    </w:rPr>
                    <w:t>131.4</w:t>
                  </w:r>
                </w:p>
              </w:tc>
            </w:tr>
            <w:tr w14:paraId="42729D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712" w:type="dxa"/>
                  <w:vAlign w:val="center"/>
                </w:tcPr>
                <w:p w14:paraId="6BBB312F">
                  <w:pPr>
                    <w:pStyle w:val="445"/>
                    <w:spacing w:line="240" w:lineRule="auto"/>
                    <w:ind w:firstLine="0" w:firstLineChars="0"/>
                    <w:jc w:val="center"/>
                    <w:rPr>
                      <w:bCs/>
                      <w:sz w:val="21"/>
                      <w:szCs w:val="21"/>
                      <w:u w:val="single"/>
                    </w:rPr>
                  </w:pPr>
                  <w:r>
                    <w:rPr>
                      <w:rFonts w:hint="eastAsia"/>
                      <w:bCs/>
                      <w:sz w:val="21"/>
                      <w:szCs w:val="21"/>
                      <w:u w:val="single"/>
                      <w:lang w:val="en-US" w:eastAsia="zh-CN"/>
                    </w:rPr>
                    <w:t>检验</w:t>
                  </w:r>
                  <w:r>
                    <w:rPr>
                      <w:rFonts w:hint="eastAsia"/>
                      <w:bCs/>
                      <w:sz w:val="21"/>
                      <w:szCs w:val="21"/>
                      <w:u w:val="single"/>
                    </w:rPr>
                    <w:t>用水</w:t>
                  </w:r>
                </w:p>
              </w:tc>
              <w:tc>
                <w:tcPr>
                  <w:tcW w:w="800" w:type="dxa"/>
                  <w:vAlign w:val="center"/>
                </w:tcPr>
                <w:p w14:paraId="0BE500C4">
                  <w:pPr>
                    <w:pStyle w:val="445"/>
                    <w:spacing w:line="240" w:lineRule="auto"/>
                    <w:ind w:firstLine="0" w:firstLineChars="0"/>
                    <w:jc w:val="center"/>
                    <w:rPr>
                      <w:bCs/>
                      <w:sz w:val="21"/>
                      <w:szCs w:val="21"/>
                      <w:u w:val="single"/>
                    </w:rPr>
                  </w:pPr>
                  <w:r>
                    <w:rPr>
                      <w:rFonts w:hint="eastAsia"/>
                      <w:bCs/>
                      <w:sz w:val="21"/>
                      <w:szCs w:val="21"/>
                      <w:u w:val="single"/>
                    </w:rPr>
                    <w:t>15L/人·d</w:t>
                  </w:r>
                </w:p>
              </w:tc>
              <w:tc>
                <w:tcPr>
                  <w:tcW w:w="763" w:type="dxa"/>
                  <w:vAlign w:val="center"/>
                </w:tcPr>
                <w:p w14:paraId="1EB088A1">
                  <w:pPr>
                    <w:pStyle w:val="445"/>
                    <w:spacing w:line="240" w:lineRule="auto"/>
                    <w:ind w:firstLine="0" w:firstLineChars="0"/>
                    <w:jc w:val="center"/>
                    <w:rPr>
                      <w:bCs/>
                      <w:sz w:val="21"/>
                      <w:szCs w:val="21"/>
                      <w:u w:val="single"/>
                    </w:rPr>
                  </w:pPr>
                  <w:r>
                    <w:rPr>
                      <w:rFonts w:hint="eastAsia"/>
                      <w:bCs/>
                      <w:sz w:val="21"/>
                      <w:szCs w:val="21"/>
                      <w:u w:val="single"/>
                      <w:lang w:val="en-US" w:eastAsia="zh-CN"/>
                    </w:rPr>
                    <w:t>5</w:t>
                  </w:r>
                  <w:r>
                    <w:rPr>
                      <w:rFonts w:hint="eastAsia"/>
                      <w:bCs/>
                      <w:sz w:val="21"/>
                      <w:szCs w:val="21"/>
                      <w:u w:val="single"/>
                    </w:rPr>
                    <w:t>0人</w:t>
                  </w:r>
                </w:p>
              </w:tc>
              <w:tc>
                <w:tcPr>
                  <w:tcW w:w="689" w:type="dxa"/>
                  <w:vAlign w:val="center"/>
                </w:tcPr>
                <w:p w14:paraId="59465E61">
                  <w:pPr>
                    <w:pStyle w:val="445"/>
                    <w:spacing w:line="240" w:lineRule="auto"/>
                    <w:ind w:firstLine="0" w:firstLineChars="0"/>
                    <w:jc w:val="center"/>
                    <w:rPr>
                      <w:bCs/>
                      <w:sz w:val="21"/>
                      <w:szCs w:val="21"/>
                      <w:u w:val="single"/>
                    </w:rPr>
                  </w:pPr>
                  <w:r>
                    <w:rPr>
                      <w:rFonts w:hint="eastAsia"/>
                      <w:bCs/>
                      <w:sz w:val="21"/>
                      <w:szCs w:val="21"/>
                      <w:u w:val="single"/>
                    </w:rPr>
                    <w:t>365天</w:t>
                  </w:r>
                </w:p>
              </w:tc>
              <w:tc>
                <w:tcPr>
                  <w:tcW w:w="913" w:type="dxa"/>
                  <w:vAlign w:val="center"/>
                </w:tcPr>
                <w:p w14:paraId="1F05FCAD">
                  <w:pPr>
                    <w:widowControl/>
                    <w:jc w:val="center"/>
                    <w:textAlignment w:val="center"/>
                    <w:rPr>
                      <w:rFonts w:hint="default" w:eastAsia="宋体"/>
                      <w:bCs/>
                      <w:szCs w:val="21"/>
                      <w:u w:val="single"/>
                      <w:lang w:val="en-US" w:eastAsia="zh-CN"/>
                    </w:rPr>
                  </w:pPr>
                  <w:r>
                    <w:rPr>
                      <w:rFonts w:hint="eastAsia"/>
                      <w:color w:val="000000"/>
                      <w:kern w:val="0"/>
                      <w:szCs w:val="21"/>
                      <w:u w:val="single"/>
                      <w:lang w:val="en-US" w:eastAsia="zh-CN" w:bidi="ar"/>
                    </w:rPr>
                    <w:t>0.75</w:t>
                  </w:r>
                </w:p>
              </w:tc>
              <w:tc>
                <w:tcPr>
                  <w:tcW w:w="930" w:type="dxa"/>
                  <w:vAlign w:val="center"/>
                </w:tcPr>
                <w:p w14:paraId="1B2D0260">
                  <w:pPr>
                    <w:widowControl/>
                    <w:jc w:val="center"/>
                    <w:textAlignment w:val="center"/>
                    <w:rPr>
                      <w:rFonts w:hint="default" w:eastAsia="宋体"/>
                      <w:bCs/>
                      <w:szCs w:val="21"/>
                      <w:u w:val="single"/>
                      <w:lang w:val="en-US" w:eastAsia="zh-CN"/>
                    </w:rPr>
                  </w:pPr>
                  <w:r>
                    <w:rPr>
                      <w:rFonts w:hint="eastAsia"/>
                      <w:color w:val="000000"/>
                      <w:kern w:val="0"/>
                      <w:szCs w:val="21"/>
                      <w:u w:val="single"/>
                      <w:lang w:val="en-US" w:eastAsia="zh-CN" w:bidi="ar"/>
                    </w:rPr>
                    <w:t>273.75</w:t>
                  </w:r>
                </w:p>
              </w:tc>
              <w:tc>
                <w:tcPr>
                  <w:tcW w:w="1847" w:type="dxa"/>
                  <w:vAlign w:val="center"/>
                </w:tcPr>
                <w:p w14:paraId="0DF45717">
                  <w:pPr>
                    <w:pStyle w:val="445"/>
                    <w:spacing w:line="240" w:lineRule="auto"/>
                    <w:ind w:firstLine="0" w:firstLineChars="0"/>
                    <w:jc w:val="center"/>
                    <w:rPr>
                      <w:bCs/>
                      <w:sz w:val="21"/>
                      <w:szCs w:val="21"/>
                      <w:u w:val="single"/>
                    </w:rPr>
                  </w:pPr>
                  <w:r>
                    <w:rPr>
                      <w:rFonts w:hint="eastAsia"/>
                      <w:bCs/>
                      <w:sz w:val="21"/>
                      <w:szCs w:val="21"/>
                      <w:u w:val="single"/>
                    </w:rPr>
                    <w:t>0.</w:t>
                  </w:r>
                  <w:r>
                    <w:rPr>
                      <w:rFonts w:hint="eastAsia"/>
                      <w:bCs/>
                      <w:sz w:val="21"/>
                      <w:szCs w:val="21"/>
                      <w:u w:val="single"/>
                      <w:lang w:val="en-US" w:eastAsia="zh-CN"/>
                    </w:rPr>
                    <w:t>1</w:t>
                  </w:r>
                  <w:r>
                    <w:rPr>
                      <w:rFonts w:hint="eastAsia"/>
                      <w:bCs/>
                      <w:sz w:val="21"/>
                      <w:szCs w:val="21"/>
                      <w:u w:val="single"/>
                    </w:rPr>
                    <w:t>5m</w:t>
                  </w:r>
                  <w:r>
                    <w:rPr>
                      <w:rFonts w:hint="eastAsia"/>
                      <w:bCs/>
                      <w:sz w:val="21"/>
                      <w:szCs w:val="21"/>
                      <w:u w:val="single"/>
                      <w:vertAlign w:val="superscript"/>
                    </w:rPr>
                    <w:t>3</w:t>
                  </w:r>
                  <w:r>
                    <w:rPr>
                      <w:bCs/>
                      <w:sz w:val="21"/>
                      <w:szCs w:val="21"/>
                      <w:u w:val="single"/>
                    </w:rPr>
                    <w:t>/d</w:t>
                  </w:r>
                </w:p>
                <w:p w14:paraId="4973B84A">
                  <w:pPr>
                    <w:pStyle w:val="445"/>
                    <w:spacing w:line="240" w:lineRule="auto"/>
                    <w:ind w:firstLine="0" w:firstLineChars="0"/>
                    <w:jc w:val="center"/>
                    <w:rPr>
                      <w:bCs/>
                      <w:sz w:val="21"/>
                      <w:szCs w:val="21"/>
                      <w:u w:val="single"/>
                    </w:rPr>
                  </w:pPr>
                  <w:r>
                    <w:rPr>
                      <w:rFonts w:hint="eastAsia"/>
                      <w:bCs/>
                      <w:sz w:val="21"/>
                      <w:szCs w:val="21"/>
                      <w:u w:val="single"/>
                    </w:rPr>
                    <w:t>（</w:t>
                  </w:r>
                  <w:r>
                    <w:rPr>
                      <w:rFonts w:hint="eastAsia"/>
                      <w:bCs/>
                      <w:sz w:val="21"/>
                      <w:szCs w:val="21"/>
                      <w:u w:val="single"/>
                      <w:lang w:val="en-US" w:eastAsia="zh-CN"/>
                    </w:rPr>
                    <w:t>54.75</w:t>
                  </w:r>
                  <w:r>
                    <w:rPr>
                      <w:rFonts w:hint="eastAsia"/>
                      <w:bCs/>
                      <w:sz w:val="21"/>
                      <w:szCs w:val="21"/>
                      <w:u w:val="single"/>
                    </w:rPr>
                    <w:t>m</w:t>
                  </w:r>
                  <w:r>
                    <w:rPr>
                      <w:rFonts w:hint="eastAsia"/>
                      <w:bCs/>
                      <w:sz w:val="21"/>
                      <w:szCs w:val="21"/>
                      <w:u w:val="single"/>
                      <w:vertAlign w:val="superscript"/>
                    </w:rPr>
                    <w:t>3</w:t>
                  </w:r>
                  <w:r>
                    <w:rPr>
                      <w:bCs/>
                      <w:sz w:val="21"/>
                      <w:szCs w:val="21"/>
                      <w:u w:val="single"/>
                    </w:rPr>
                    <w:t>/a</w:t>
                  </w:r>
                  <w:r>
                    <w:rPr>
                      <w:rFonts w:hint="eastAsia"/>
                      <w:bCs/>
                      <w:sz w:val="21"/>
                      <w:szCs w:val="21"/>
                      <w:u w:val="single"/>
                    </w:rPr>
                    <w:t>）</w:t>
                  </w:r>
                </w:p>
              </w:tc>
              <w:tc>
                <w:tcPr>
                  <w:tcW w:w="713" w:type="dxa"/>
                  <w:vAlign w:val="center"/>
                </w:tcPr>
                <w:p w14:paraId="4C2C283B">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0.6</w:t>
                  </w:r>
                </w:p>
              </w:tc>
              <w:tc>
                <w:tcPr>
                  <w:tcW w:w="921" w:type="dxa"/>
                  <w:vAlign w:val="center"/>
                </w:tcPr>
                <w:p w14:paraId="62345BEE">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219</w:t>
                  </w:r>
                </w:p>
              </w:tc>
            </w:tr>
            <w:tr w14:paraId="3A3979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2" w:type="dxa"/>
                  <w:vAlign w:val="center"/>
                </w:tcPr>
                <w:p w14:paraId="7D414074">
                  <w:pPr>
                    <w:pStyle w:val="445"/>
                    <w:spacing w:line="240" w:lineRule="auto"/>
                    <w:ind w:firstLine="0" w:firstLineChars="0"/>
                    <w:jc w:val="center"/>
                    <w:rPr>
                      <w:bCs/>
                      <w:sz w:val="21"/>
                      <w:szCs w:val="21"/>
                      <w:u w:val="single"/>
                    </w:rPr>
                  </w:pPr>
                  <w:r>
                    <w:rPr>
                      <w:rFonts w:hint="eastAsia"/>
                      <w:bCs/>
                      <w:sz w:val="21"/>
                      <w:szCs w:val="21"/>
                      <w:u w:val="single"/>
                      <w:lang w:val="en-US" w:eastAsia="zh-CN"/>
                    </w:rPr>
                    <w:t>食堂</w:t>
                  </w:r>
                  <w:r>
                    <w:rPr>
                      <w:rFonts w:hint="eastAsia"/>
                      <w:bCs/>
                      <w:sz w:val="21"/>
                      <w:szCs w:val="21"/>
                      <w:u w:val="single"/>
                    </w:rPr>
                    <w:t>用水</w:t>
                  </w:r>
                </w:p>
              </w:tc>
              <w:tc>
                <w:tcPr>
                  <w:tcW w:w="800" w:type="dxa"/>
                  <w:vAlign w:val="center"/>
                </w:tcPr>
                <w:p w14:paraId="093E6FDD">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17.5</w:t>
                  </w:r>
                  <w:r>
                    <w:rPr>
                      <w:rFonts w:hint="eastAsia"/>
                      <w:bCs/>
                      <w:sz w:val="21"/>
                      <w:szCs w:val="21"/>
                      <w:u w:val="single"/>
                    </w:rPr>
                    <w:t>L</w:t>
                  </w:r>
                  <w:r>
                    <w:rPr>
                      <w:rFonts w:hint="eastAsia"/>
                      <w:bCs/>
                      <w:sz w:val="21"/>
                      <w:szCs w:val="21"/>
                      <w:u w:val="single"/>
                      <w:lang w:val="en-US" w:eastAsia="zh-CN"/>
                    </w:rPr>
                    <w:t>/人</w:t>
                  </w:r>
                </w:p>
              </w:tc>
              <w:tc>
                <w:tcPr>
                  <w:tcW w:w="763" w:type="dxa"/>
                  <w:vAlign w:val="center"/>
                </w:tcPr>
                <w:p w14:paraId="55EACBC6">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530人，3餐</w:t>
                  </w:r>
                </w:p>
              </w:tc>
              <w:tc>
                <w:tcPr>
                  <w:tcW w:w="689" w:type="dxa"/>
                  <w:vAlign w:val="center"/>
                </w:tcPr>
                <w:p w14:paraId="5AE0ACF5">
                  <w:pPr>
                    <w:pStyle w:val="445"/>
                    <w:spacing w:line="240" w:lineRule="auto"/>
                    <w:ind w:firstLine="0" w:firstLineChars="0"/>
                    <w:jc w:val="center"/>
                    <w:rPr>
                      <w:bCs/>
                      <w:sz w:val="21"/>
                      <w:szCs w:val="21"/>
                      <w:u w:val="single"/>
                    </w:rPr>
                  </w:pPr>
                  <w:r>
                    <w:rPr>
                      <w:rFonts w:hint="eastAsia"/>
                      <w:bCs/>
                      <w:sz w:val="21"/>
                      <w:szCs w:val="21"/>
                      <w:u w:val="single"/>
                    </w:rPr>
                    <w:t>365天</w:t>
                  </w:r>
                </w:p>
              </w:tc>
              <w:tc>
                <w:tcPr>
                  <w:tcW w:w="913" w:type="dxa"/>
                  <w:vAlign w:val="center"/>
                </w:tcPr>
                <w:p w14:paraId="04288C1C">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27.825</w:t>
                  </w:r>
                </w:p>
              </w:tc>
              <w:tc>
                <w:tcPr>
                  <w:tcW w:w="930" w:type="dxa"/>
                  <w:vAlign w:val="center"/>
                </w:tcPr>
                <w:p w14:paraId="477271BA">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10156.125</w:t>
                  </w:r>
                </w:p>
              </w:tc>
              <w:tc>
                <w:tcPr>
                  <w:tcW w:w="1847" w:type="dxa"/>
                  <w:vAlign w:val="center"/>
                </w:tcPr>
                <w:p w14:paraId="01809A9E">
                  <w:pPr>
                    <w:pStyle w:val="445"/>
                    <w:spacing w:line="240" w:lineRule="auto"/>
                    <w:ind w:firstLine="0" w:firstLineChars="0"/>
                    <w:jc w:val="center"/>
                    <w:rPr>
                      <w:bCs/>
                      <w:sz w:val="21"/>
                      <w:szCs w:val="21"/>
                      <w:u w:val="single"/>
                    </w:rPr>
                  </w:pPr>
                  <w:r>
                    <w:rPr>
                      <w:rFonts w:hint="eastAsia"/>
                      <w:bCs/>
                      <w:sz w:val="21"/>
                      <w:szCs w:val="21"/>
                      <w:u w:val="single"/>
                      <w:lang w:val="en-US" w:eastAsia="zh-CN"/>
                    </w:rPr>
                    <w:t>5.565</w:t>
                  </w:r>
                  <w:r>
                    <w:rPr>
                      <w:rFonts w:hint="eastAsia"/>
                      <w:bCs/>
                      <w:sz w:val="21"/>
                      <w:szCs w:val="21"/>
                      <w:u w:val="single"/>
                    </w:rPr>
                    <w:t>m</w:t>
                  </w:r>
                  <w:r>
                    <w:rPr>
                      <w:rFonts w:hint="eastAsia"/>
                      <w:bCs/>
                      <w:sz w:val="21"/>
                      <w:szCs w:val="21"/>
                      <w:u w:val="single"/>
                      <w:vertAlign w:val="superscript"/>
                    </w:rPr>
                    <w:t>3</w:t>
                  </w:r>
                  <w:r>
                    <w:rPr>
                      <w:bCs/>
                      <w:sz w:val="21"/>
                      <w:szCs w:val="21"/>
                      <w:u w:val="single"/>
                    </w:rPr>
                    <w:t>/d</w:t>
                  </w:r>
                </w:p>
                <w:p w14:paraId="4200F449">
                  <w:pPr>
                    <w:pStyle w:val="445"/>
                    <w:spacing w:line="240" w:lineRule="auto"/>
                    <w:ind w:firstLine="0" w:firstLineChars="0"/>
                    <w:jc w:val="center"/>
                    <w:rPr>
                      <w:bCs/>
                      <w:sz w:val="21"/>
                      <w:szCs w:val="21"/>
                      <w:u w:val="single"/>
                    </w:rPr>
                  </w:pPr>
                  <w:r>
                    <w:rPr>
                      <w:rFonts w:hint="eastAsia"/>
                      <w:bCs/>
                      <w:sz w:val="21"/>
                      <w:szCs w:val="21"/>
                      <w:u w:val="single"/>
                    </w:rPr>
                    <w:t>（</w:t>
                  </w:r>
                  <w:r>
                    <w:rPr>
                      <w:rFonts w:hint="eastAsia"/>
                      <w:bCs/>
                      <w:sz w:val="21"/>
                      <w:szCs w:val="21"/>
                      <w:u w:val="single"/>
                      <w:lang w:val="en-US" w:eastAsia="zh-CN"/>
                    </w:rPr>
                    <w:t>2031.225</w:t>
                  </w:r>
                  <w:r>
                    <w:rPr>
                      <w:rFonts w:hint="eastAsia"/>
                      <w:bCs/>
                      <w:sz w:val="21"/>
                      <w:szCs w:val="21"/>
                      <w:u w:val="single"/>
                    </w:rPr>
                    <w:t>m</w:t>
                  </w:r>
                  <w:r>
                    <w:rPr>
                      <w:rFonts w:hint="eastAsia"/>
                      <w:bCs/>
                      <w:sz w:val="21"/>
                      <w:szCs w:val="21"/>
                      <w:u w:val="single"/>
                      <w:vertAlign w:val="superscript"/>
                    </w:rPr>
                    <w:t>3</w:t>
                  </w:r>
                  <w:r>
                    <w:rPr>
                      <w:bCs/>
                      <w:sz w:val="21"/>
                      <w:szCs w:val="21"/>
                      <w:u w:val="single"/>
                    </w:rPr>
                    <w:t>/a</w:t>
                  </w:r>
                  <w:r>
                    <w:rPr>
                      <w:rFonts w:hint="eastAsia"/>
                      <w:bCs/>
                      <w:sz w:val="21"/>
                      <w:szCs w:val="21"/>
                      <w:u w:val="single"/>
                    </w:rPr>
                    <w:t>）</w:t>
                  </w:r>
                </w:p>
              </w:tc>
              <w:tc>
                <w:tcPr>
                  <w:tcW w:w="713" w:type="dxa"/>
                  <w:vAlign w:val="center"/>
                </w:tcPr>
                <w:p w14:paraId="34F91778">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22.26</w:t>
                  </w:r>
                </w:p>
              </w:tc>
              <w:tc>
                <w:tcPr>
                  <w:tcW w:w="921" w:type="dxa"/>
                  <w:vAlign w:val="center"/>
                </w:tcPr>
                <w:p w14:paraId="42EA850D">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8124.9</w:t>
                  </w:r>
                </w:p>
              </w:tc>
            </w:tr>
            <w:tr w14:paraId="5BC118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2" w:type="dxa"/>
                  <w:vAlign w:val="center"/>
                </w:tcPr>
                <w:p w14:paraId="104130E2">
                  <w:pPr>
                    <w:pStyle w:val="445"/>
                    <w:spacing w:line="240" w:lineRule="auto"/>
                    <w:ind w:firstLine="0" w:firstLineChars="0"/>
                    <w:jc w:val="center"/>
                    <w:rPr>
                      <w:bCs/>
                      <w:sz w:val="21"/>
                      <w:szCs w:val="21"/>
                      <w:u w:val="single"/>
                    </w:rPr>
                  </w:pPr>
                  <w:r>
                    <w:rPr>
                      <w:rFonts w:hint="eastAsia"/>
                      <w:bCs/>
                      <w:sz w:val="21"/>
                      <w:szCs w:val="21"/>
                      <w:u w:val="single"/>
                      <w:lang w:val="en-US" w:eastAsia="zh-CN"/>
                    </w:rPr>
                    <w:t>人员办公</w:t>
                  </w:r>
                  <w:r>
                    <w:rPr>
                      <w:rFonts w:hint="eastAsia"/>
                      <w:bCs/>
                      <w:sz w:val="21"/>
                      <w:szCs w:val="21"/>
                      <w:u w:val="single"/>
                    </w:rPr>
                    <w:t>用水</w:t>
                  </w:r>
                </w:p>
              </w:tc>
              <w:tc>
                <w:tcPr>
                  <w:tcW w:w="800" w:type="dxa"/>
                  <w:vAlign w:val="center"/>
                </w:tcPr>
                <w:p w14:paraId="08C7FBDC">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38m</w:t>
                  </w:r>
                  <w:r>
                    <w:rPr>
                      <w:rFonts w:hint="eastAsia"/>
                      <w:bCs/>
                      <w:sz w:val="21"/>
                      <w:szCs w:val="21"/>
                      <w:u w:val="single"/>
                      <w:vertAlign w:val="superscript"/>
                      <w:lang w:val="en-US" w:eastAsia="zh-CN"/>
                    </w:rPr>
                    <w:t>3</w:t>
                  </w:r>
                  <w:r>
                    <w:rPr>
                      <w:rFonts w:hint="eastAsia"/>
                      <w:bCs/>
                      <w:sz w:val="21"/>
                      <w:szCs w:val="21"/>
                      <w:u w:val="single"/>
                      <w:lang w:val="en-US" w:eastAsia="zh-CN"/>
                    </w:rPr>
                    <w:t>/人·a</w:t>
                  </w:r>
                </w:p>
              </w:tc>
              <w:tc>
                <w:tcPr>
                  <w:tcW w:w="763" w:type="dxa"/>
                  <w:vAlign w:val="center"/>
                </w:tcPr>
                <w:p w14:paraId="4CA7340D">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90人</w:t>
                  </w:r>
                </w:p>
              </w:tc>
              <w:tc>
                <w:tcPr>
                  <w:tcW w:w="689" w:type="dxa"/>
                  <w:vAlign w:val="center"/>
                </w:tcPr>
                <w:p w14:paraId="082DC9E2">
                  <w:pPr>
                    <w:pStyle w:val="445"/>
                    <w:spacing w:line="240" w:lineRule="auto"/>
                    <w:ind w:firstLine="0" w:firstLineChars="0"/>
                    <w:jc w:val="center"/>
                    <w:rPr>
                      <w:bCs/>
                      <w:sz w:val="21"/>
                      <w:szCs w:val="21"/>
                      <w:u w:val="single"/>
                    </w:rPr>
                  </w:pPr>
                  <w:r>
                    <w:rPr>
                      <w:rFonts w:hint="eastAsia"/>
                      <w:bCs/>
                      <w:sz w:val="21"/>
                      <w:szCs w:val="21"/>
                      <w:u w:val="single"/>
                    </w:rPr>
                    <w:t>365天</w:t>
                  </w:r>
                </w:p>
              </w:tc>
              <w:tc>
                <w:tcPr>
                  <w:tcW w:w="913" w:type="dxa"/>
                  <w:vAlign w:val="center"/>
                </w:tcPr>
                <w:p w14:paraId="64E126B0">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9.37</w:t>
                  </w:r>
                </w:p>
              </w:tc>
              <w:tc>
                <w:tcPr>
                  <w:tcW w:w="930" w:type="dxa"/>
                  <w:vAlign w:val="center"/>
                </w:tcPr>
                <w:p w14:paraId="4AC1DDDA">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3420</w:t>
                  </w:r>
                </w:p>
              </w:tc>
              <w:tc>
                <w:tcPr>
                  <w:tcW w:w="1847" w:type="dxa"/>
                  <w:vAlign w:val="center"/>
                </w:tcPr>
                <w:p w14:paraId="6967C4D9">
                  <w:pPr>
                    <w:pStyle w:val="445"/>
                    <w:spacing w:line="240" w:lineRule="auto"/>
                    <w:ind w:firstLine="0" w:firstLineChars="0"/>
                    <w:jc w:val="center"/>
                    <w:rPr>
                      <w:bCs/>
                      <w:sz w:val="21"/>
                      <w:szCs w:val="21"/>
                      <w:u w:val="single"/>
                    </w:rPr>
                  </w:pPr>
                  <w:r>
                    <w:rPr>
                      <w:rFonts w:hint="eastAsia"/>
                      <w:bCs/>
                      <w:sz w:val="21"/>
                      <w:szCs w:val="21"/>
                      <w:u w:val="single"/>
                      <w:lang w:val="en-US" w:eastAsia="zh-CN"/>
                    </w:rPr>
                    <w:t>1.87</w:t>
                  </w:r>
                  <w:r>
                    <w:rPr>
                      <w:rFonts w:hint="eastAsia"/>
                      <w:bCs/>
                      <w:sz w:val="21"/>
                      <w:szCs w:val="21"/>
                      <w:u w:val="single"/>
                    </w:rPr>
                    <w:t>m</w:t>
                  </w:r>
                  <w:r>
                    <w:rPr>
                      <w:rFonts w:hint="eastAsia"/>
                      <w:bCs/>
                      <w:sz w:val="21"/>
                      <w:szCs w:val="21"/>
                      <w:u w:val="single"/>
                      <w:vertAlign w:val="superscript"/>
                    </w:rPr>
                    <w:t>3</w:t>
                  </w:r>
                  <w:r>
                    <w:rPr>
                      <w:rFonts w:hint="eastAsia"/>
                      <w:bCs/>
                      <w:sz w:val="21"/>
                      <w:szCs w:val="21"/>
                      <w:u w:val="single"/>
                    </w:rPr>
                    <w:t>/d（</w:t>
                  </w:r>
                  <w:r>
                    <w:rPr>
                      <w:rFonts w:hint="eastAsia"/>
                      <w:bCs/>
                      <w:sz w:val="21"/>
                      <w:szCs w:val="21"/>
                      <w:u w:val="single"/>
                      <w:lang w:val="en-US" w:eastAsia="zh-CN"/>
                    </w:rPr>
                    <w:t>684</w:t>
                  </w:r>
                  <w:r>
                    <w:rPr>
                      <w:rFonts w:hint="eastAsia"/>
                      <w:bCs/>
                      <w:sz w:val="21"/>
                      <w:szCs w:val="21"/>
                      <w:u w:val="single"/>
                    </w:rPr>
                    <w:t>m</w:t>
                  </w:r>
                  <w:r>
                    <w:rPr>
                      <w:rFonts w:hint="eastAsia"/>
                      <w:bCs/>
                      <w:sz w:val="21"/>
                      <w:szCs w:val="21"/>
                      <w:u w:val="single"/>
                      <w:vertAlign w:val="superscript"/>
                    </w:rPr>
                    <w:t>3</w:t>
                  </w:r>
                  <w:r>
                    <w:rPr>
                      <w:bCs/>
                      <w:sz w:val="21"/>
                      <w:szCs w:val="21"/>
                      <w:u w:val="single"/>
                    </w:rPr>
                    <w:t>/a</w:t>
                  </w:r>
                  <w:r>
                    <w:rPr>
                      <w:rFonts w:hint="eastAsia"/>
                      <w:bCs/>
                      <w:sz w:val="21"/>
                      <w:szCs w:val="21"/>
                      <w:u w:val="single"/>
                    </w:rPr>
                    <w:t>）</w:t>
                  </w:r>
                </w:p>
              </w:tc>
              <w:tc>
                <w:tcPr>
                  <w:tcW w:w="713" w:type="dxa"/>
                  <w:vAlign w:val="center"/>
                </w:tcPr>
                <w:p w14:paraId="3D70BB1C">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7.5</w:t>
                  </w:r>
                </w:p>
              </w:tc>
              <w:tc>
                <w:tcPr>
                  <w:tcW w:w="921" w:type="dxa"/>
                  <w:vAlign w:val="center"/>
                </w:tcPr>
                <w:p w14:paraId="5BD97665">
                  <w:pPr>
                    <w:pStyle w:val="445"/>
                    <w:spacing w:line="240" w:lineRule="auto"/>
                    <w:ind w:firstLine="0" w:firstLineChars="0"/>
                    <w:jc w:val="center"/>
                    <w:rPr>
                      <w:rFonts w:hint="default" w:eastAsia="宋体"/>
                      <w:bCs/>
                      <w:sz w:val="21"/>
                      <w:szCs w:val="21"/>
                      <w:u w:val="single"/>
                      <w:lang w:val="en-US" w:eastAsia="zh-CN"/>
                    </w:rPr>
                  </w:pPr>
                  <w:r>
                    <w:rPr>
                      <w:rFonts w:hint="eastAsia"/>
                      <w:bCs/>
                      <w:sz w:val="21"/>
                      <w:szCs w:val="21"/>
                      <w:u w:val="single"/>
                      <w:lang w:val="en-US" w:eastAsia="zh-CN"/>
                    </w:rPr>
                    <w:t>2736</w:t>
                  </w:r>
                </w:p>
              </w:tc>
            </w:tr>
            <w:tr w14:paraId="46AE15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64" w:type="dxa"/>
                  <w:gridSpan w:val="4"/>
                  <w:vAlign w:val="center"/>
                </w:tcPr>
                <w:p w14:paraId="4D401B76">
                  <w:pPr>
                    <w:pStyle w:val="445"/>
                    <w:spacing w:line="240" w:lineRule="auto"/>
                    <w:ind w:firstLine="0" w:firstLineChars="0"/>
                    <w:jc w:val="center"/>
                    <w:rPr>
                      <w:bCs/>
                      <w:sz w:val="21"/>
                      <w:szCs w:val="21"/>
                      <w:u w:val="single"/>
                    </w:rPr>
                  </w:pPr>
                  <w:r>
                    <w:rPr>
                      <w:rFonts w:hint="eastAsia"/>
                      <w:bCs/>
                      <w:sz w:val="21"/>
                      <w:szCs w:val="21"/>
                      <w:u w:val="single"/>
                    </w:rPr>
                    <w:t>总计</w:t>
                  </w:r>
                </w:p>
              </w:tc>
              <w:tc>
                <w:tcPr>
                  <w:tcW w:w="913" w:type="dxa"/>
                  <w:vAlign w:val="center"/>
                </w:tcPr>
                <w:p w14:paraId="2FAD23FC">
                  <w:pPr>
                    <w:keepNext w:val="0"/>
                    <w:keepLines w:val="0"/>
                    <w:widowControl/>
                    <w:suppressLineNumbers w:val="0"/>
                    <w:jc w:val="center"/>
                    <w:textAlignment w:val="center"/>
                    <w:rPr>
                      <w:rFonts w:hint="default"/>
                      <w:bCs/>
                      <w:szCs w:val="21"/>
                      <w:u w:val="single"/>
                      <w:lang w:val="en-US"/>
                    </w:rPr>
                  </w:pPr>
                  <w:r>
                    <w:rPr>
                      <w:rFonts w:hint="default" w:ascii="Times New Roman" w:hAnsi="Times New Roman" w:eastAsia="宋体" w:cs="Times New Roman"/>
                      <w:i w:val="0"/>
                      <w:iCs w:val="0"/>
                      <w:color w:val="000000"/>
                      <w:kern w:val="0"/>
                      <w:sz w:val="21"/>
                      <w:szCs w:val="21"/>
                      <w:u w:val="single"/>
                      <w:lang w:val="en-US" w:eastAsia="zh-CN" w:bidi="ar"/>
                    </w:rPr>
                    <w:t>153.945</w:t>
                  </w:r>
                </w:p>
              </w:tc>
              <w:tc>
                <w:tcPr>
                  <w:tcW w:w="930" w:type="dxa"/>
                  <w:vAlign w:val="center"/>
                </w:tcPr>
                <w:p w14:paraId="5874570A">
                  <w:pPr>
                    <w:keepNext w:val="0"/>
                    <w:keepLines w:val="0"/>
                    <w:widowControl/>
                    <w:suppressLineNumbers w:val="0"/>
                    <w:jc w:val="center"/>
                    <w:textAlignment w:val="center"/>
                    <w:rPr>
                      <w:rFonts w:hint="default"/>
                      <w:bCs/>
                      <w:szCs w:val="21"/>
                      <w:u w:val="single"/>
                      <w:lang w:val="en-US"/>
                    </w:rPr>
                  </w:pPr>
                  <w:r>
                    <w:rPr>
                      <w:rFonts w:hint="default" w:ascii="Times New Roman" w:hAnsi="Times New Roman" w:eastAsia="宋体" w:cs="Times New Roman"/>
                      <w:i w:val="0"/>
                      <w:iCs w:val="0"/>
                      <w:color w:val="000000"/>
                      <w:kern w:val="0"/>
                      <w:sz w:val="21"/>
                      <w:szCs w:val="21"/>
                      <w:u w:val="single"/>
                      <w:lang w:val="en-US" w:eastAsia="zh-CN" w:bidi="ar"/>
                    </w:rPr>
                    <w:t>56189.875</w:t>
                  </w:r>
                </w:p>
              </w:tc>
              <w:tc>
                <w:tcPr>
                  <w:tcW w:w="1847" w:type="dxa"/>
                  <w:vAlign w:val="center"/>
                </w:tcPr>
                <w:p w14:paraId="40314D71">
                  <w:pPr>
                    <w:jc w:val="center"/>
                    <w:rPr>
                      <w:rFonts w:hint="default" w:eastAsia="宋体"/>
                      <w:bCs/>
                      <w:sz w:val="21"/>
                      <w:szCs w:val="21"/>
                      <w:u w:val="single"/>
                      <w:lang w:val="en-US" w:eastAsia="zh-CN"/>
                    </w:rPr>
                  </w:pPr>
                  <w:r>
                    <w:rPr>
                      <w:rFonts w:hint="eastAsia"/>
                      <w:bCs/>
                      <w:sz w:val="21"/>
                      <w:szCs w:val="21"/>
                      <w:u w:val="single"/>
                      <w:lang w:val="en-US" w:eastAsia="zh-CN"/>
                    </w:rPr>
                    <w:t>30.875</w:t>
                  </w:r>
                  <w:r>
                    <w:rPr>
                      <w:rFonts w:hint="eastAsia"/>
                      <w:bCs/>
                      <w:sz w:val="21"/>
                      <w:szCs w:val="21"/>
                      <w:u w:val="single"/>
                    </w:rPr>
                    <w:t>m</w:t>
                  </w:r>
                  <w:r>
                    <w:rPr>
                      <w:rFonts w:hint="eastAsia"/>
                      <w:bCs/>
                      <w:sz w:val="21"/>
                      <w:szCs w:val="21"/>
                      <w:u w:val="single"/>
                      <w:vertAlign w:val="superscript"/>
                    </w:rPr>
                    <w:t>3</w:t>
                  </w:r>
                  <w:r>
                    <w:rPr>
                      <w:rFonts w:hint="eastAsia"/>
                      <w:bCs/>
                      <w:sz w:val="21"/>
                      <w:szCs w:val="21"/>
                      <w:u w:val="single"/>
                    </w:rPr>
                    <w:t>/d</w:t>
                  </w:r>
                  <w:r>
                    <w:rPr>
                      <w:rFonts w:hint="eastAsia"/>
                      <w:bCs/>
                      <w:sz w:val="21"/>
                      <w:szCs w:val="21"/>
                      <w:u w:val="single"/>
                      <w:lang w:val="en-US" w:eastAsia="zh-CN"/>
                    </w:rPr>
                    <w:t>（11270.825</w:t>
                  </w:r>
                  <w:r>
                    <w:rPr>
                      <w:rFonts w:hint="eastAsia"/>
                      <w:bCs/>
                      <w:sz w:val="21"/>
                      <w:szCs w:val="21"/>
                      <w:u w:val="single"/>
                    </w:rPr>
                    <w:t>m</w:t>
                  </w:r>
                  <w:r>
                    <w:rPr>
                      <w:rFonts w:hint="eastAsia"/>
                      <w:bCs/>
                      <w:sz w:val="21"/>
                      <w:szCs w:val="21"/>
                      <w:u w:val="single"/>
                      <w:vertAlign w:val="superscript"/>
                    </w:rPr>
                    <w:t>3</w:t>
                  </w:r>
                  <w:r>
                    <w:rPr>
                      <w:bCs/>
                      <w:sz w:val="21"/>
                      <w:szCs w:val="21"/>
                      <w:u w:val="single"/>
                    </w:rPr>
                    <w:t>/a</w:t>
                  </w:r>
                  <w:r>
                    <w:rPr>
                      <w:rFonts w:hint="eastAsia"/>
                      <w:bCs/>
                      <w:sz w:val="21"/>
                      <w:szCs w:val="21"/>
                      <w:u w:val="single"/>
                      <w:lang w:val="en-US" w:eastAsia="zh-CN"/>
                    </w:rPr>
                    <w:t>）</w:t>
                  </w:r>
                </w:p>
              </w:tc>
              <w:tc>
                <w:tcPr>
                  <w:tcW w:w="713" w:type="dxa"/>
                  <w:vAlign w:val="center"/>
                </w:tcPr>
                <w:p w14:paraId="5C0F5B55">
                  <w:pPr>
                    <w:keepNext w:val="0"/>
                    <w:keepLines w:val="0"/>
                    <w:widowControl/>
                    <w:suppressLineNumbers w:val="0"/>
                    <w:jc w:val="center"/>
                    <w:textAlignment w:val="center"/>
                    <w:rPr>
                      <w:rFonts w:hint="default"/>
                      <w:bCs/>
                      <w:szCs w:val="21"/>
                      <w:u w:val="single"/>
                      <w:lang w:val="en-US"/>
                    </w:rPr>
                  </w:pPr>
                  <w:r>
                    <w:rPr>
                      <w:rFonts w:hint="default" w:ascii="Times New Roman" w:hAnsi="Times New Roman" w:eastAsia="宋体" w:cs="Times New Roman"/>
                      <w:i w:val="0"/>
                      <w:iCs w:val="0"/>
                      <w:color w:val="000000"/>
                      <w:kern w:val="0"/>
                      <w:sz w:val="21"/>
                      <w:szCs w:val="21"/>
                      <w:u w:val="single"/>
                      <w:lang w:val="en-US" w:eastAsia="zh-CN" w:bidi="ar"/>
                    </w:rPr>
                    <w:t>123.16</w:t>
                  </w:r>
                </w:p>
              </w:tc>
              <w:tc>
                <w:tcPr>
                  <w:tcW w:w="921" w:type="dxa"/>
                  <w:vAlign w:val="center"/>
                </w:tcPr>
                <w:p w14:paraId="448AF080">
                  <w:pPr>
                    <w:keepNext w:val="0"/>
                    <w:keepLines w:val="0"/>
                    <w:widowControl/>
                    <w:suppressLineNumbers w:val="0"/>
                    <w:jc w:val="center"/>
                    <w:textAlignment w:val="center"/>
                    <w:rPr>
                      <w:rFonts w:hint="default"/>
                      <w:bCs/>
                      <w:szCs w:val="21"/>
                      <w:u w:val="single"/>
                      <w:lang w:val="en-US"/>
                    </w:rPr>
                  </w:pPr>
                  <w:r>
                    <w:rPr>
                      <w:rFonts w:hint="default" w:ascii="Times New Roman" w:hAnsi="Times New Roman" w:eastAsia="宋体" w:cs="Times New Roman"/>
                      <w:i w:val="0"/>
                      <w:iCs w:val="0"/>
                      <w:color w:val="000000"/>
                      <w:kern w:val="0"/>
                      <w:sz w:val="21"/>
                      <w:szCs w:val="21"/>
                      <w:u w:val="single"/>
                      <w:lang w:val="en-US" w:eastAsia="zh-CN" w:bidi="ar"/>
                    </w:rPr>
                    <w:t>44951.9</w:t>
                  </w:r>
                </w:p>
              </w:tc>
            </w:tr>
          </w:tbl>
          <w:p w14:paraId="20C168B9">
            <w:pPr>
              <w:adjustRightInd w:val="0"/>
              <w:snapToGrid w:val="0"/>
              <w:spacing w:line="360" w:lineRule="auto"/>
              <w:jc w:val="center"/>
              <w:rPr>
                <w:bCs/>
                <w:color w:val="000000"/>
                <w:sz w:val="24"/>
                <w:szCs w:val="24"/>
              </w:rPr>
            </w:pPr>
            <w:r>
              <w:rPr>
                <w:bCs/>
                <w:color w:val="000000"/>
                <w:sz w:val="24"/>
                <w:szCs w:val="24"/>
              </w:rPr>
              <w:object>
                <v:shape id="_x0000_i1025" o:spt="75" type="#_x0000_t75" style="height:346pt;width:416.45pt;" o:ole="t" filled="f" o:preferrelative="t" stroked="f" coordsize="21600,21600">
                  <v:path/>
                  <v:fill on="f" focussize="0,0"/>
                  <v:stroke on="f"/>
                  <v:imagedata r:id="rId12" o:title=""/>
                  <o:lock v:ext="edit" aspectratio="f"/>
                  <w10:wrap type="none"/>
                  <w10:anchorlock/>
                </v:shape>
                <o:OLEObject Type="Embed" ProgID="Visio.Drawing.15" ShapeID="_x0000_i1025" DrawAspect="Content" ObjectID="_1468075725" r:id="rId11">
                  <o:LockedField>false</o:LockedField>
                </o:OLEObject>
              </w:object>
            </w:r>
          </w:p>
          <w:p w14:paraId="34D01D28">
            <w:pPr>
              <w:adjustRightInd w:val="0"/>
              <w:snapToGrid w:val="0"/>
              <w:spacing w:line="360" w:lineRule="auto"/>
              <w:jc w:val="center"/>
              <w:rPr>
                <w:rFonts w:hint="eastAsia"/>
                <w:b/>
                <w:color w:val="000000"/>
                <w:sz w:val="24"/>
                <w:szCs w:val="24"/>
                <w:u w:val="single"/>
              </w:rPr>
            </w:pPr>
            <w:r>
              <w:rPr>
                <w:b/>
                <w:color w:val="000000"/>
                <w:sz w:val="24"/>
                <w:szCs w:val="24"/>
                <w:u w:val="single"/>
              </w:rPr>
              <w:t>图2-1  水平衡分析图</w:t>
            </w:r>
            <w:r>
              <w:rPr>
                <w:rFonts w:hint="eastAsia"/>
                <w:b/>
                <w:color w:val="000000"/>
                <w:sz w:val="24"/>
                <w:szCs w:val="24"/>
                <w:u w:val="single"/>
              </w:rPr>
              <w:t>（m</w:t>
            </w:r>
            <w:r>
              <w:rPr>
                <w:rFonts w:hint="eastAsia"/>
                <w:b/>
                <w:color w:val="000000"/>
                <w:sz w:val="24"/>
                <w:szCs w:val="24"/>
                <w:u w:val="single"/>
                <w:vertAlign w:val="superscript"/>
              </w:rPr>
              <w:t>3</w:t>
            </w:r>
            <w:r>
              <w:rPr>
                <w:rFonts w:hint="eastAsia"/>
                <w:b/>
                <w:color w:val="000000"/>
                <w:sz w:val="24"/>
                <w:szCs w:val="24"/>
                <w:u w:val="single"/>
              </w:rPr>
              <w:t>/d）</w:t>
            </w:r>
          </w:p>
          <w:p w14:paraId="2E04A22B">
            <w:pPr>
              <w:pStyle w:val="2"/>
              <w:rPr>
                <w:rFonts w:hint="eastAsia"/>
              </w:rPr>
            </w:pPr>
          </w:p>
          <w:bookmarkEnd w:id="11"/>
          <w:p w14:paraId="2EFB554F">
            <w:pPr>
              <w:adjustRightInd w:val="0"/>
              <w:snapToGrid w:val="0"/>
              <w:spacing w:line="360" w:lineRule="auto"/>
              <w:rPr>
                <w:b/>
                <w:bCs/>
                <w:color w:val="000000"/>
                <w:sz w:val="24"/>
                <w:szCs w:val="24"/>
              </w:rPr>
            </w:pPr>
            <w:r>
              <w:rPr>
                <w:b/>
                <w:bCs/>
                <w:color w:val="000000"/>
                <w:sz w:val="24"/>
                <w:szCs w:val="24"/>
              </w:rPr>
              <w:t>6劳动定员及工作制度</w:t>
            </w:r>
          </w:p>
          <w:p w14:paraId="7B048B81">
            <w:pPr>
              <w:tabs>
                <w:tab w:val="left" w:pos="2160"/>
              </w:tabs>
              <w:adjustRightInd w:val="0"/>
              <w:snapToGrid w:val="0"/>
              <w:spacing w:line="360" w:lineRule="auto"/>
              <w:ind w:firstLine="480" w:firstLineChars="200"/>
              <w:rPr>
                <w:color w:val="000000"/>
                <w:sz w:val="24"/>
              </w:rPr>
            </w:pPr>
            <w:r>
              <w:rPr>
                <w:rFonts w:hint="eastAsia"/>
                <w:color w:val="000000"/>
                <w:sz w:val="24"/>
                <w:szCs w:val="24"/>
                <w:lang w:val="en-US" w:eastAsia="zh-CN"/>
              </w:rPr>
              <w:t>本项目</w:t>
            </w:r>
            <w:r>
              <w:rPr>
                <w:rFonts w:hint="eastAsia"/>
                <w:color w:val="000000"/>
                <w:sz w:val="24"/>
                <w:szCs w:val="24"/>
              </w:rPr>
              <w:t>对部门、岗位、人员配置进行优化调整。</w:t>
            </w:r>
            <w:r>
              <w:rPr>
                <w:color w:val="000000"/>
                <w:sz w:val="24"/>
                <w:szCs w:val="24"/>
              </w:rPr>
              <w:t>项目劳动定员约</w:t>
            </w:r>
            <w:r>
              <w:rPr>
                <w:rFonts w:hint="eastAsia"/>
                <w:color w:val="000000"/>
                <w:sz w:val="24"/>
                <w:szCs w:val="24"/>
                <w:lang w:val="en-US" w:eastAsia="zh-CN"/>
              </w:rPr>
              <w:t>90</w:t>
            </w:r>
            <w:r>
              <w:rPr>
                <w:color w:val="000000"/>
                <w:sz w:val="24"/>
                <w:szCs w:val="24"/>
              </w:rPr>
              <w:t>人，年工作</w:t>
            </w:r>
            <w:r>
              <w:rPr>
                <w:rFonts w:hint="eastAsia"/>
                <w:color w:val="000000"/>
                <w:sz w:val="24"/>
                <w:szCs w:val="24"/>
              </w:rPr>
              <w:t>365</w:t>
            </w:r>
            <w:r>
              <w:rPr>
                <w:color w:val="000000"/>
                <w:sz w:val="24"/>
                <w:szCs w:val="24"/>
              </w:rPr>
              <w:t>天，</w:t>
            </w:r>
            <w:r>
              <w:rPr>
                <w:rFonts w:hint="eastAsia"/>
                <w:color w:val="000000"/>
                <w:sz w:val="24"/>
                <w:szCs w:val="24"/>
              </w:rPr>
              <w:t>每天工作3班，每班</w:t>
            </w:r>
            <w:r>
              <w:rPr>
                <w:color w:val="000000"/>
                <w:sz w:val="24"/>
                <w:szCs w:val="24"/>
              </w:rPr>
              <w:t>工作</w:t>
            </w:r>
            <w:r>
              <w:rPr>
                <w:rFonts w:hint="eastAsia"/>
                <w:color w:val="000000"/>
                <w:sz w:val="24"/>
                <w:szCs w:val="24"/>
              </w:rPr>
              <w:t>8</w:t>
            </w:r>
            <w:r>
              <w:rPr>
                <w:color w:val="000000"/>
                <w:sz w:val="24"/>
                <w:szCs w:val="24"/>
              </w:rPr>
              <w:t>小时。</w:t>
            </w:r>
          </w:p>
          <w:p w14:paraId="7868C736">
            <w:pPr>
              <w:tabs>
                <w:tab w:val="left" w:pos="2160"/>
              </w:tabs>
              <w:adjustRightInd w:val="0"/>
              <w:snapToGrid w:val="0"/>
              <w:spacing w:line="360" w:lineRule="auto"/>
              <w:rPr>
                <w:color w:val="000000"/>
                <w:sz w:val="24"/>
              </w:rPr>
            </w:pPr>
            <w:r>
              <w:rPr>
                <w:b/>
                <w:bCs/>
                <w:color w:val="000000"/>
                <w:sz w:val="24"/>
                <w:szCs w:val="24"/>
              </w:rPr>
              <w:t>7</w:t>
            </w:r>
            <w:r>
              <w:rPr>
                <w:rFonts w:hint="eastAsia"/>
                <w:b/>
                <w:bCs/>
                <w:color w:val="000000"/>
                <w:sz w:val="24"/>
                <w:szCs w:val="24"/>
                <w:lang w:val="en-US" w:eastAsia="zh-CN"/>
              </w:rPr>
              <w:t>院</w:t>
            </w:r>
            <w:r>
              <w:rPr>
                <w:b/>
                <w:bCs/>
                <w:color w:val="000000"/>
                <w:sz w:val="24"/>
                <w:szCs w:val="24"/>
              </w:rPr>
              <w:t>区平面布置</w:t>
            </w:r>
          </w:p>
          <w:p w14:paraId="2B6FB9BB">
            <w:pPr>
              <w:pStyle w:val="445"/>
              <w:shd w:val="clear"/>
              <w:ind w:firstLine="480"/>
              <w:rPr>
                <w:rFonts w:hint="eastAsia"/>
                <w:highlight w:val="none"/>
                <w:lang w:eastAsia="zh-CN"/>
              </w:rPr>
            </w:pPr>
            <w:r>
              <w:rPr>
                <w:rFonts w:hint="eastAsia"/>
                <w:highlight w:val="none"/>
              </w:rPr>
              <w:t>本项目位于安化县东坪镇，本项目地块依山布局，依据功能划分为6组建筑单元：①食堂及医</w:t>
            </w:r>
            <w:r>
              <w:rPr>
                <w:rFonts w:hint="eastAsia"/>
                <w:highlight w:val="none"/>
                <w:lang w:val="en-US" w:eastAsia="zh-CN"/>
              </w:rPr>
              <w:t>疗</w:t>
            </w:r>
            <w:r>
              <w:rPr>
                <w:rFonts w:hint="eastAsia"/>
                <w:highlight w:val="none"/>
              </w:rPr>
              <w:t>综合楼、②综合楼、③健康养老服务中心及休闲场地、④日间照料中心、⑤养老公寓 1#、2#、⑥养老公寓3#、4#；配套布置自建污水处理站、医疗废物暂存间、生活污水处理设施、油烟排气筒等环保设施。场地顺应等高线布置，建筑沿山谷平缓地带布设，减少山体开挖；各功能分区相对独立、流线清晰</w:t>
            </w:r>
            <w:r>
              <w:rPr>
                <w:rFonts w:hint="eastAsia"/>
                <w:highlight w:val="none"/>
                <w:lang w:eastAsia="zh-CN"/>
              </w:rPr>
              <w:t>。</w:t>
            </w:r>
          </w:p>
          <w:p w14:paraId="642E211C">
            <w:pPr>
              <w:pStyle w:val="445"/>
              <w:ind w:firstLine="480"/>
              <w:rPr>
                <w:rFonts w:hint="eastAsia" w:cs="宋体"/>
                <w:kern w:val="2"/>
                <w:sz w:val="24"/>
                <w:szCs w:val="24"/>
                <w:highlight w:val="none"/>
                <w:lang w:val="en-US" w:eastAsia="zh-CN" w:bidi="ar-SA"/>
              </w:rPr>
            </w:pPr>
            <w:r>
              <w:rPr>
                <w:rFonts w:hint="eastAsia" w:cs="宋体"/>
                <w:kern w:val="2"/>
                <w:sz w:val="24"/>
                <w:szCs w:val="24"/>
                <w:highlight w:val="none"/>
                <w:lang w:val="en-US" w:eastAsia="zh-CN" w:bidi="ar-SA"/>
              </w:rPr>
              <w:t>③健康养老服务中心、⑤⑥养老公寓：养老公寓、健康养老服务中心为老人主要生活休憩区域，布置于场地西侧、西南侧山谷平缓区域，远离北侧食堂、医疗综合楼等产噪、产废气单元；地势环境安静，受食堂油烟、设备噪声干扰小；临近休闲活动场地，满足老年人户外活动需求；位于项目区域常年主导风向上风向，受内部污染源影响最低，平面布局适宜养老居住功能。</w:t>
            </w:r>
          </w:p>
          <w:p w14:paraId="04D62A76">
            <w:pPr>
              <w:pStyle w:val="445"/>
              <w:ind w:firstLine="480"/>
              <w:rPr>
                <w:rFonts w:hint="eastAsia" w:cs="宋体"/>
                <w:kern w:val="2"/>
                <w:sz w:val="24"/>
                <w:szCs w:val="24"/>
                <w:highlight w:val="none"/>
                <w:lang w:val="en-US" w:eastAsia="zh-CN" w:bidi="ar-SA"/>
              </w:rPr>
            </w:pPr>
            <w:r>
              <w:rPr>
                <w:rFonts w:hint="eastAsia" w:cs="宋体"/>
                <w:kern w:val="2"/>
                <w:sz w:val="24"/>
                <w:szCs w:val="24"/>
                <w:highlight w:val="none"/>
                <w:lang w:val="en-US" w:eastAsia="zh-CN" w:bidi="ar-SA"/>
              </w:rPr>
              <w:t>①食堂及医疗综合楼、②综合楼、④日间照料中心：①食堂及医疗综合楼、②综合楼、④日间照料中心集中布置于场地东北部，作为对外服务、集中配套组团；食堂集中设置，配套油烟净化装置与专用排气筒，产废气单元集中布局便于废气收集治理；医疗功能集中布置，配套医疗废物暂存间就近设置，医疗垃圾转运路线短，避免穿越养老居住片区。日间照料中心紧邻医疗综合楼，实现养老服务资源共享；人流车流集中在东北部出入口，与西侧安静养老居住组团有效分隔，实现动静分区。</w:t>
            </w:r>
          </w:p>
          <w:p w14:paraId="66AF6810">
            <w:pPr>
              <w:pStyle w:val="445"/>
              <w:ind w:firstLine="480"/>
              <w:rPr>
                <w:rFonts w:hint="eastAsia" w:ascii="宋体" w:hAnsi="宋体" w:eastAsia="宋体"/>
                <w:lang w:eastAsia="zh-CN"/>
              </w:rPr>
            </w:pPr>
            <w:r>
              <w:rPr>
                <w:rFonts w:ascii="宋体" w:hAnsi="宋体" w:eastAsia="宋体" w:cs="宋体"/>
                <w:sz w:val="24"/>
                <w:szCs w:val="24"/>
              </w:rPr>
              <w:t>项目总平面布置做到动静分区、污洁分流；养老居住区域与产生废气、噪声、污水、危废的配套设施合理分隔；各类环保设施就近服务产污单元，同时远离敏感养老建筑；场地利用地形合理布局，交通组织顺畅。在落实各项污染防治措施前提下，项目总平面布置总体合理。</w:t>
            </w:r>
            <w:r>
              <w:rPr>
                <w:rFonts w:hint="eastAsia" w:ascii="宋体" w:hAnsi="宋体" w:eastAsia="宋体" w:cs="宋体"/>
                <w:sz w:val="24"/>
                <w:szCs w:val="24"/>
              </w:rPr>
              <w:t>具体平面布局见附图</w:t>
            </w:r>
            <w:r>
              <w:rPr>
                <w:rFonts w:hint="default" w:ascii="Times New Roman" w:hAnsi="Times New Roman" w:eastAsia="宋体" w:cs="Times New Roman"/>
                <w:sz w:val="24"/>
                <w:szCs w:val="24"/>
                <w:lang w:val="en-US" w:eastAsia="zh-CN"/>
              </w:rPr>
              <w:t>3</w:t>
            </w:r>
            <w:r>
              <w:rPr>
                <w:rFonts w:hint="eastAsia" w:ascii="宋体" w:hAnsi="宋体" w:eastAsia="宋体" w:cs="宋体"/>
                <w:sz w:val="24"/>
                <w:szCs w:val="24"/>
                <w:lang w:eastAsia="zh-CN"/>
              </w:rPr>
              <w:t>。</w:t>
            </w:r>
          </w:p>
        </w:tc>
      </w:tr>
      <w:tr w14:paraId="35513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53" w:type="dxa"/>
            <w:vAlign w:val="center"/>
          </w:tcPr>
          <w:p w14:paraId="6D7001F9">
            <w:pPr>
              <w:pStyle w:val="44"/>
              <w:adjustRightInd w:val="0"/>
              <w:snapToGrid w:val="0"/>
              <w:spacing w:before="0" w:beforeAutospacing="0" w:after="0" w:afterAutospacing="0" w:line="360" w:lineRule="auto"/>
              <w:jc w:val="center"/>
              <w:rPr>
                <w:rFonts w:ascii="Times New Roman" w:hAnsi="Times New Roman"/>
                <w:color w:val="000000"/>
                <w:szCs w:val="24"/>
              </w:rPr>
            </w:pPr>
            <w:r>
              <w:rPr>
                <w:rFonts w:ascii="Times New Roman" w:hAnsi="Times New Roman"/>
                <w:color w:val="000000"/>
                <w:szCs w:val="24"/>
              </w:rPr>
              <w:t>工艺流程和产排污环节</w:t>
            </w:r>
          </w:p>
        </w:tc>
        <w:tc>
          <w:tcPr>
            <w:tcW w:w="8514" w:type="dxa"/>
            <w:vAlign w:val="center"/>
          </w:tcPr>
          <w:p w14:paraId="7D0891C8">
            <w:pPr>
              <w:adjustRightInd w:val="0"/>
              <w:snapToGrid w:val="0"/>
              <w:spacing w:line="360" w:lineRule="auto"/>
              <w:rPr>
                <w:b/>
                <w:bCs/>
                <w:color w:val="000000"/>
                <w:sz w:val="24"/>
                <w:szCs w:val="24"/>
              </w:rPr>
            </w:pPr>
            <w:r>
              <w:rPr>
                <w:b/>
                <w:bCs/>
                <w:color w:val="000000"/>
                <w:sz w:val="24"/>
                <w:szCs w:val="24"/>
              </w:rPr>
              <w:t>1施工期工艺流程及产污环节</w:t>
            </w:r>
          </w:p>
          <w:p w14:paraId="4CCDAE40">
            <w:pPr>
              <w:spacing w:line="360" w:lineRule="auto"/>
              <w:ind w:firstLine="480" w:firstLineChars="200"/>
              <w:rPr>
                <w:rFonts w:hint="eastAsia" w:eastAsia="宋体" w:cs="宋体"/>
                <w:bCs/>
                <w:sz w:val="24"/>
                <w:szCs w:val="24"/>
                <w:lang w:eastAsia="zh-CN" w:bidi="ar"/>
              </w:rPr>
            </w:pPr>
            <w:r>
              <w:rPr>
                <w:rFonts w:hint="eastAsia" w:cs="宋体"/>
                <w:bCs/>
                <w:sz w:val="24"/>
                <w:szCs w:val="24"/>
                <w:lang w:bidi="ar"/>
              </w:rPr>
              <w:t>本项目施工期主要包括工程红线规划用地范围内的场地平整、土方开挖、道路修筑、房屋建筑等活动。在项目建设期间，各项施工活动不可避免地将会对周围的环境造成破坏和产生影响，其中以粉尘和施工噪声最为明显。施工期工艺流程及产污环节见</w:t>
            </w:r>
            <w:r>
              <w:rPr>
                <w:rFonts w:hint="eastAsia" w:cs="宋体"/>
                <w:bCs/>
                <w:sz w:val="24"/>
                <w:szCs w:val="24"/>
                <w:lang w:val="en-US" w:eastAsia="zh-CN" w:bidi="ar"/>
              </w:rPr>
              <w:t>下</w:t>
            </w:r>
            <w:r>
              <w:rPr>
                <w:rFonts w:hint="eastAsia" w:cs="宋体"/>
                <w:bCs/>
                <w:sz w:val="24"/>
                <w:szCs w:val="24"/>
                <w:lang w:bidi="ar"/>
              </w:rPr>
              <w:t>图</w:t>
            </w:r>
            <w:r>
              <w:rPr>
                <w:rFonts w:hint="eastAsia" w:cs="宋体"/>
                <w:bCs/>
                <w:sz w:val="24"/>
                <w:szCs w:val="24"/>
                <w:lang w:eastAsia="zh-CN" w:bidi="ar"/>
              </w:rPr>
              <w:t>。</w:t>
            </w:r>
          </w:p>
          <w:p w14:paraId="1C4D8D9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s="宋体"/>
                <w:bCs/>
                <w:sz w:val="24"/>
                <w:szCs w:val="24"/>
                <w:lang w:bidi="ar"/>
              </w:rPr>
            </w:pPr>
            <w:r>
              <w:drawing>
                <wp:inline distT="0" distB="0" distL="114300" distR="114300">
                  <wp:extent cx="5352415" cy="1569085"/>
                  <wp:effectExtent l="0" t="0" r="635" b="12065"/>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3"/>
                          <a:stretch>
                            <a:fillRect/>
                          </a:stretch>
                        </pic:blipFill>
                        <pic:spPr>
                          <a:xfrm>
                            <a:off x="0" y="0"/>
                            <a:ext cx="5352415" cy="1569085"/>
                          </a:xfrm>
                          <a:prstGeom prst="rect">
                            <a:avLst/>
                          </a:prstGeom>
                          <a:noFill/>
                          <a:ln>
                            <a:noFill/>
                          </a:ln>
                        </pic:spPr>
                      </pic:pic>
                    </a:graphicData>
                  </a:graphic>
                </wp:inline>
              </w:drawing>
            </w:r>
          </w:p>
          <w:p w14:paraId="09A2AC30">
            <w:pPr>
              <w:kinsoku w:val="0"/>
              <w:overflowPunct w:val="0"/>
              <w:spacing w:line="360" w:lineRule="auto"/>
              <w:jc w:val="center"/>
              <w:rPr>
                <w:b/>
                <w:color w:val="000000"/>
                <w:sz w:val="24"/>
                <w:szCs w:val="24"/>
              </w:rPr>
            </w:pPr>
            <w:r>
              <w:rPr>
                <w:b/>
                <w:color w:val="000000"/>
                <w:sz w:val="24"/>
                <w:szCs w:val="24"/>
              </w:rPr>
              <w:t>图2-2  施工期工艺流程及产排污环节图</w:t>
            </w:r>
          </w:p>
          <w:p w14:paraId="598962E7">
            <w:pPr>
              <w:spacing w:line="360" w:lineRule="auto"/>
              <w:ind w:firstLine="482" w:firstLineChars="200"/>
              <w:rPr>
                <w:rFonts w:hint="eastAsia"/>
                <w:b/>
                <w:bCs w:val="0"/>
                <w:sz w:val="24"/>
                <w:szCs w:val="24"/>
              </w:rPr>
            </w:pPr>
          </w:p>
          <w:p w14:paraId="6D85D567">
            <w:pPr>
              <w:spacing w:line="360" w:lineRule="auto"/>
              <w:ind w:firstLine="482" w:firstLineChars="200"/>
              <w:rPr>
                <w:rFonts w:hint="eastAsia"/>
                <w:b/>
                <w:bCs w:val="0"/>
                <w:sz w:val="24"/>
                <w:szCs w:val="24"/>
              </w:rPr>
            </w:pPr>
            <w:r>
              <w:rPr>
                <w:rFonts w:hint="eastAsia"/>
                <w:b/>
                <w:bCs w:val="0"/>
                <w:sz w:val="24"/>
                <w:szCs w:val="24"/>
              </w:rPr>
              <w:t>工艺流程简述：</w:t>
            </w:r>
          </w:p>
          <w:p w14:paraId="0F970246">
            <w:pPr>
              <w:spacing w:line="360" w:lineRule="auto"/>
              <w:ind w:firstLine="480" w:firstLineChars="200"/>
              <w:rPr>
                <w:rFonts w:hint="eastAsia"/>
                <w:bCs/>
                <w:sz w:val="24"/>
                <w:szCs w:val="24"/>
              </w:rPr>
            </w:pPr>
            <w:r>
              <w:rPr>
                <w:rFonts w:hint="eastAsia"/>
                <w:bCs/>
                <w:sz w:val="24"/>
                <w:szCs w:val="24"/>
              </w:rPr>
              <w:t>①土石方工程</w:t>
            </w:r>
          </w:p>
          <w:p w14:paraId="2EBB2348">
            <w:pPr>
              <w:spacing w:line="360" w:lineRule="auto"/>
              <w:ind w:firstLine="480" w:firstLineChars="200"/>
              <w:rPr>
                <w:rFonts w:hint="eastAsia"/>
                <w:bCs/>
                <w:sz w:val="24"/>
                <w:szCs w:val="24"/>
              </w:rPr>
            </w:pPr>
            <w:r>
              <w:rPr>
                <w:rFonts w:hint="eastAsia"/>
                <w:bCs/>
                <w:sz w:val="24"/>
                <w:szCs w:val="24"/>
              </w:rPr>
              <w:t>包括基坑开挖、挖掘土石方等。该阶段产生的主要是施工弃土，其造成的影响更多的表现为水土流失。</w:t>
            </w:r>
          </w:p>
          <w:p w14:paraId="3D936E19">
            <w:pPr>
              <w:spacing w:line="360" w:lineRule="auto"/>
              <w:ind w:firstLine="480" w:firstLineChars="200"/>
              <w:rPr>
                <w:rFonts w:hint="eastAsia"/>
                <w:bCs/>
                <w:sz w:val="24"/>
                <w:szCs w:val="24"/>
              </w:rPr>
            </w:pPr>
            <w:r>
              <w:rPr>
                <w:rFonts w:hint="eastAsia"/>
                <w:bCs/>
                <w:sz w:val="24"/>
                <w:szCs w:val="24"/>
              </w:rPr>
              <w:t>②基础工程</w:t>
            </w:r>
          </w:p>
          <w:p w14:paraId="4ED2E9D6">
            <w:pPr>
              <w:spacing w:line="360" w:lineRule="auto"/>
              <w:ind w:firstLine="480" w:firstLineChars="200"/>
              <w:rPr>
                <w:rFonts w:hint="eastAsia"/>
                <w:bCs/>
                <w:sz w:val="24"/>
                <w:szCs w:val="24"/>
              </w:rPr>
            </w:pPr>
            <w:r>
              <w:rPr>
                <w:rFonts w:hint="eastAsia"/>
                <w:bCs/>
                <w:sz w:val="24"/>
                <w:szCs w:val="24"/>
              </w:rPr>
              <w:t>主要为建设场地的填土、平整和夯实。建设方将根据项目所在地的地势状况对场地进行填挖，然后采用静压桩施工。该工段主要污染物为施工机械产生的噪声、粉尘和排放的尾气。</w:t>
            </w:r>
          </w:p>
          <w:p w14:paraId="4FD8D9C4">
            <w:pPr>
              <w:spacing w:line="360" w:lineRule="auto"/>
              <w:ind w:firstLine="480" w:firstLineChars="200"/>
              <w:rPr>
                <w:rFonts w:hint="eastAsia"/>
                <w:bCs/>
                <w:sz w:val="24"/>
                <w:szCs w:val="24"/>
              </w:rPr>
            </w:pPr>
            <w:r>
              <w:rPr>
                <w:rFonts w:hint="eastAsia"/>
                <w:bCs/>
                <w:sz w:val="24"/>
                <w:szCs w:val="24"/>
              </w:rPr>
              <w:t>③结构工程</w:t>
            </w:r>
          </w:p>
          <w:p w14:paraId="5D8F2D25">
            <w:pPr>
              <w:spacing w:line="360" w:lineRule="auto"/>
              <w:ind w:firstLine="480" w:firstLineChars="200"/>
              <w:rPr>
                <w:rFonts w:hint="eastAsia"/>
                <w:bCs/>
                <w:sz w:val="24"/>
                <w:szCs w:val="24"/>
              </w:rPr>
            </w:pPr>
            <w:r>
              <w:rPr>
                <w:rFonts w:hint="eastAsia"/>
                <w:bCs/>
                <w:sz w:val="24"/>
                <w:szCs w:val="24"/>
              </w:rPr>
              <w:t>主要为钻孔灌注，现浇钢砼柱、梁，砖墙砌筑。建设方利用钻孔设备进行钻孔后，用钢筋混凝土浇灌。浇灌时注入预先拌制均匀的混凝土，随灌随振，振捣均匀，防止混凝土不实和素浆上浮。然后根据施工图纸，进行钢筋的配料和加工，安装于架好的模板之处，及时连续</w:t>
            </w:r>
            <w:r>
              <w:rPr>
                <w:rFonts w:hint="eastAsia"/>
                <w:bCs/>
                <w:sz w:val="24"/>
                <w:szCs w:val="24"/>
                <w:lang w:eastAsia="zh-CN"/>
              </w:rPr>
              <w:t>浇筑混凝土</w:t>
            </w:r>
            <w:r>
              <w:rPr>
                <w:rFonts w:hint="eastAsia"/>
                <w:bCs/>
                <w:sz w:val="24"/>
                <w:szCs w:val="24"/>
              </w:rPr>
              <w:t>，并捣实使混凝土成型。</w:t>
            </w:r>
          </w:p>
          <w:p w14:paraId="03DAECBF">
            <w:pPr>
              <w:spacing w:line="360" w:lineRule="auto"/>
              <w:ind w:firstLine="480" w:firstLineChars="200"/>
              <w:rPr>
                <w:rFonts w:hint="eastAsia"/>
                <w:bCs/>
                <w:sz w:val="24"/>
                <w:szCs w:val="24"/>
              </w:rPr>
            </w:pPr>
            <w:r>
              <w:rPr>
                <w:rFonts w:hint="eastAsia"/>
                <w:bCs/>
                <w:sz w:val="24"/>
                <w:szCs w:val="24"/>
              </w:rPr>
              <w:t>在砖墙砌筑时，利用预制水泥砂浆挂线砌筑。该工段工期较长，主要污染物为设备噪声、尾气，碎砖等固废。</w:t>
            </w:r>
          </w:p>
          <w:p w14:paraId="7FA73B56">
            <w:pPr>
              <w:spacing w:line="360" w:lineRule="auto"/>
              <w:ind w:firstLine="480" w:firstLineChars="200"/>
              <w:rPr>
                <w:rFonts w:hint="eastAsia"/>
                <w:bCs/>
                <w:sz w:val="24"/>
                <w:szCs w:val="24"/>
              </w:rPr>
            </w:pPr>
            <w:r>
              <w:rPr>
                <w:rFonts w:hint="eastAsia"/>
                <w:bCs/>
                <w:sz w:val="24"/>
                <w:szCs w:val="24"/>
              </w:rPr>
              <w:t>④装饰工程</w:t>
            </w:r>
          </w:p>
          <w:p w14:paraId="1A5EE33D">
            <w:pPr>
              <w:spacing w:line="360" w:lineRule="auto"/>
              <w:ind w:firstLine="480" w:firstLineChars="200"/>
              <w:rPr>
                <w:rFonts w:hint="eastAsia"/>
                <w:bCs/>
                <w:sz w:val="24"/>
                <w:szCs w:val="24"/>
                <w:lang w:eastAsia="zh-CN"/>
              </w:rPr>
            </w:pPr>
            <w:r>
              <w:rPr>
                <w:rFonts w:hint="eastAsia"/>
                <w:bCs/>
                <w:sz w:val="24"/>
                <w:szCs w:val="24"/>
              </w:rPr>
              <w:t>利用各种加工机械对木材、塑钢等按图进行加工，同时进行屋面制作，然后采用浅色环保型高级涂料和浅灰色仿石涂料喷刷，最后对外露的铁件进行油漆施工，本工段时间较短，且使用的涂料和油漆量较少，有少量的有机废气挥发，同时产生油漆、涂料等的包装废弃物</w:t>
            </w:r>
            <w:r>
              <w:rPr>
                <w:rFonts w:hint="eastAsia"/>
                <w:bCs/>
                <w:sz w:val="24"/>
                <w:szCs w:val="24"/>
                <w:lang w:eastAsia="zh-CN"/>
              </w:rPr>
              <w:t>。</w:t>
            </w:r>
          </w:p>
          <w:p w14:paraId="24748C41">
            <w:pPr>
              <w:pStyle w:val="2"/>
              <w:rPr>
                <w:rFonts w:hint="eastAsia"/>
                <w:lang w:eastAsia="zh-CN"/>
              </w:rPr>
            </w:pPr>
          </w:p>
          <w:p w14:paraId="50841466">
            <w:pPr>
              <w:adjustRightInd w:val="0"/>
              <w:snapToGrid w:val="0"/>
              <w:spacing w:line="360" w:lineRule="auto"/>
              <w:rPr>
                <w:b/>
                <w:bCs/>
                <w:color w:val="000000"/>
                <w:sz w:val="24"/>
                <w:szCs w:val="24"/>
              </w:rPr>
            </w:pPr>
            <w:r>
              <w:rPr>
                <w:b/>
                <w:bCs/>
                <w:color w:val="000000"/>
                <w:sz w:val="24"/>
                <w:szCs w:val="24"/>
              </w:rPr>
              <w:t>2营运期工艺流程及产污环节</w:t>
            </w:r>
          </w:p>
          <w:p w14:paraId="760F5EE0">
            <w:pPr>
              <w:adjustRightInd w:val="0"/>
              <w:snapToGrid w:val="0"/>
              <w:spacing w:line="360" w:lineRule="auto"/>
              <w:jc w:val="center"/>
              <w:rPr>
                <w:b/>
                <w:bCs/>
                <w:color w:val="000000"/>
                <w:sz w:val="24"/>
                <w:szCs w:val="24"/>
              </w:rPr>
            </w:pPr>
            <w:r>
              <w:rPr>
                <w:b/>
                <w:bCs/>
                <w:color w:val="000000"/>
                <w:sz w:val="24"/>
                <w:szCs w:val="24"/>
              </w:rPr>
              <w:object>
                <v:shape id="_x0000_i1026" o:spt="75" type="#_x0000_t75" style="height:212.95pt;width:420.7pt;" o:ole="t" filled="f" o:preferrelative="t" stroked="f" coordsize="21600,21600">
                  <v:path/>
                  <v:fill on="f" focussize="0,0"/>
                  <v:stroke on="f"/>
                  <v:imagedata r:id="rId15" o:title=""/>
                  <o:lock v:ext="edit" aspectratio="f"/>
                  <w10:wrap type="none"/>
                  <w10:anchorlock/>
                </v:shape>
                <o:OLEObject Type="Embed" ProgID="Visio.Drawing.15" ShapeID="_x0000_i1026" DrawAspect="Content" ObjectID="_1468075726" r:id="rId14">
                  <o:LockedField>false</o:LockedField>
                </o:OLEObject>
              </w:object>
            </w:r>
          </w:p>
          <w:p w14:paraId="46B79EB3">
            <w:pPr>
              <w:spacing w:line="360" w:lineRule="auto"/>
              <w:ind w:firstLine="482"/>
              <w:jc w:val="center"/>
              <w:rPr>
                <w:b/>
                <w:color w:val="000000"/>
                <w:sz w:val="24"/>
                <w:szCs w:val="24"/>
              </w:rPr>
            </w:pPr>
            <w:r>
              <w:rPr>
                <w:b/>
                <w:color w:val="000000"/>
                <w:sz w:val="24"/>
                <w:szCs w:val="24"/>
              </w:rPr>
              <w:t xml:space="preserve">图2-3  </w:t>
            </w:r>
            <w:r>
              <w:rPr>
                <w:rFonts w:hint="eastAsia"/>
                <w:b/>
                <w:color w:val="000000"/>
                <w:sz w:val="24"/>
                <w:szCs w:val="24"/>
              </w:rPr>
              <w:t>本项目生产</w:t>
            </w:r>
            <w:r>
              <w:rPr>
                <w:b/>
                <w:color w:val="000000"/>
                <w:sz w:val="24"/>
                <w:szCs w:val="24"/>
              </w:rPr>
              <w:t>工艺流程及产排污环节图</w:t>
            </w:r>
          </w:p>
          <w:p w14:paraId="0D502574">
            <w:pPr>
              <w:spacing w:line="360" w:lineRule="auto"/>
              <w:ind w:firstLine="482" w:firstLineChars="200"/>
              <w:rPr>
                <w:b/>
                <w:bCs/>
                <w:sz w:val="24"/>
                <w:szCs w:val="24"/>
              </w:rPr>
            </w:pPr>
            <w:r>
              <w:rPr>
                <w:b/>
                <w:bCs/>
                <w:sz w:val="24"/>
                <w:szCs w:val="24"/>
              </w:rPr>
              <w:t>工艺流程简述：</w:t>
            </w:r>
          </w:p>
          <w:p w14:paraId="3014CE0B">
            <w:pPr>
              <w:adjustRightInd w:val="0"/>
              <w:snapToGrid w:val="0"/>
              <w:spacing w:line="360" w:lineRule="auto"/>
              <w:ind w:firstLine="456" w:firstLineChars="200"/>
              <w:rPr>
                <w:rFonts w:hint="eastAsia"/>
                <w:color w:val="000000"/>
                <w:spacing w:val="-6"/>
                <w:sz w:val="24"/>
                <w:szCs w:val="24"/>
              </w:rPr>
            </w:pPr>
            <w:r>
              <w:rPr>
                <w:rFonts w:hint="eastAsia"/>
                <w:color w:val="000000"/>
                <w:spacing w:val="-6"/>
                <w:sz w:val="24"/>
                <w:szCs w:val="24"/>
              </w:rPr>
              <w:t>本项目主要提供养老和医疗服务，工作流程为：康复对象入院后首先进行评估诊断是否患有疾病：未患疾病的康复对象后续进行养老护理、日常生活活动及日常检查；患疾病的康复对象后续进行治疗，治疗康复后送至养老护理、日常生活活动及日常检查，直至协议期满后办理出院。</w:t>
            </w:r>
          </w:p>
          <w:p w14:paraId="4880C557">
            <w:pPr>
              <w:adjustRightInd w:val="0"/>
              <w:snapToGrid w:val="0"/>
              <w:spacing w:line="360" w:lineRule="auto"/>
              <w:ind w:firstLine="456" w:firstLineChars="200"/>
              <w:rPr>
                <w:rFonts w:hint="eastAsia"/>
                <w:color w:val="000000"/>
                <w:spacing w:val="-6"/>
                <w:sz w:val="24"/>
                <w:szCs w:val="24"/>
              </w:rPr>
            </w:pPr>
            <w:r>
              <w:rPr>
                <w:rFonts w:hint="eastAsia"/>
                <w:color w:val="000000"/>
                <w:spacing w:val="-6"/>
                <w:sz w:val="24"/>
                <w:szCs w:val="24"/>
              </w:rPr>
              <w:t>1、门诊医疗具体内容：主要服务项目为门诊及住院病人到医院就医，通过检查心率、血压、舌苔等方式判断患者的健康状态，医院主要收治普通老年病（心脑血管疾病及行动不便、迟缓）的患者，不收治传染病的患者。对于患者的检验检测</w:t>
            </w:r>
            <w:r>
              <w:rPr>
                <w:rFonts w:hint="eastAsia"/>
                <w:color w:val="000000"/>
                <w:spacing w:val="-6"/>
                <w:sz w:val="24"/>
                <w:szCs w:val="24"/>
                <w:lang w:val="en-US" w:eastAsia="zh-CN"/>
              </w:rPr>
              <w:t>均通过检验试剂盒</w:t>
            </w:r>
            <w:r>
              <w:rPr>
                <w:rFonts w:hint="eastAsia"/>
                <w:color w:val="000000"/>
                <w:spacing w:val="-6"/>
                <w:sz w:val="24"/>
                <w:szCs w:val="24"/>
              </w:rPr>
              <w:t>进行，因此本项目检验检测不会产生检验废水等污染物。</w:t>
            </w:r>
          </w:p>
          <w:p w14:paraId="727333CE">
            <w:pPr>
              <w:adjustRightInd w:val="0"/>
              <w:snapToGrid w:val="0"/>
              <w:spacing w:line="360" w:lineRule="auto"/>
              <w:ind w:firstLine="456" w:firstLineChars="200"/>
              <w:rPr>
                <w:color w:val="000000"/>
                <w:spacing w:val="-6"/>
                <w:sz w:val="24"/>
                <w:szCs w:val="24"/>
              </w:rPr>
            </w:pPr>
            <w:r>
              <w:rPr>
                <w:rFonts w:hint="eastAsia"/>
                <w:color w:val="000000"/>
                <w:spacing w:val="-6"/>
                <w:sz w:val="24"/>
                <w:szCs w:val="24"/>
              </w:rPr>
              <w:t>2、康复治疗具体内容：主要为蹲、坐、起、跳等运动康复及推拿等，不进行手术、配药、输液等治疗。</w:t>
            </w:r>
          </w:p>
          <w:p w14:paraId="1FA07E7E">
            <w:pPr>
              <w:adjustRightInd w:val="0"/>
              <w:snapToGrid w:val="0"/>
              <w:spacing w:line="360" w:lineRule="auto"/>
              <w:ind w:firstLine="456" w:firstLineChars="200"/>
              <w:rPr>
                <w:rFonts w:hint="eastAsia"/>
                <w:color w:val="000000"/>
                <w:spacing w:val="-6"/>
                <w:sz w:val="24"/>
                <w:szCs w:val="24"/>
              </w:rPr>
            </w:pPr>
            <w:r>
              <w:rPr>
                <w:rFonts w:hint="eastAsia"/>
                <w:color w:val="000000"/>
                <w:spacing w:val="-6"/>
                <w:sz w:val="24"/>
                <w:szCs w:val="24"/>
              </w:rPr>
              <w:t>3、养老护理具体内容：对未患疾病的老年人提供饮食、起居、清洁、睡眠等日常生活照料服务，协助老年人进行日常活动和康复锻炼。</w:t>
            </w:r>
          </w:p>
          <w:p w14:paraId="56B9803F">
            <w:pPr>
              <w:adjustRightInd w:val="0"/>
              <w:snapToGrid w:val="0"/>
              <w:spacing w:line="360" w:lineRule="auto"/>
              <w:ind w:firstLine="456" w:firstLineChars="200"/>
              <w:rPr>
                <w:color w:val="000000"/>
                <w:spacing w:val="-6"/>
                <w:sz w:val="24"/>
                <w:szCs w:val="24"/>
              </w:rPr>
            </w:pPr>
            <w:r>
              <w:rPr>
                <w:color w:val="000000"/>
                <w:spacing w:val="-6"/>
                <w:sz w:val="24"/>
                <w:szCs w:val="24"/>
              </w:rPr>
              <w:t>根据工艺流程及产排污环节图和工艺流程简述内容，本项目产排污情况如下表。</w:t>
            </w:r>
          </w:p>
          <w:p w14:paraId="2579D811">
            <w:pPr>
              <w:spacing w:line="360" w:lineRule="auto"/>
              <w:jc w:val="center"/>
              <w:rPr>
                <w:b/>
                <w:bCs/>
                <w:color w:val="000000"/>
                <w:kern w:val="0"/>
                <w:sz w:val="24"/>
                <w:szCs w:val="24"/>
              </w:rPr>
            </w:pPr>
            <w:r>
              <w:rPr>
                <w:b/>
                <w:bCs/>
                <w:color w:val="000000"/>
                <w:kern w:val="0"/>
                <w:sz w:val="24"/>
                <w:szCs w:val="24"/>
              </w:rPr>
              <w:t>表2-</w:t>
            </w:r>
            <w:r>
              <w:rPr>
                <w:rFonts w:hint="eastAsia"/>
                <w:b/>
                <w:bCs/>
                <w:color w:val="000000"/>
                <w:kern w:val="0"/>
                <w:sz w:val="24"/>
                <w:szCs w:val="24"/>
                <w:lang w:val="en-US" w:eastAsia="zh-CN"/>
              </w:rPr>
              <w:t>7</w:t>
            </w:r>
            <w:r>
              <w:rPr>
                <w:b/>
                <w:bCs/>
                <w:color w:val="000000"/>
                <w:kern w:val="0"/>
                <w:sz w:val="24"/>
                <w:szCs w:val="24"/>
              </w:rPr>
              <w:t xml:space="preserve">  产排污情况一览表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70"/>
              <w:gridCol w:w="664"/>
              <w:gridCol w:w="1540"/>
              <w:gridCol w:w="2554"/>
              <w:gridCol w:w="2884"/>
            </w:tblGrid>
            <w:tr w14:paraId="5A6370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jc w:val="center"/>
              </w:trPr>
              <w:tc>
                <w:tcPr>
                  <w:tcW w:w="403" w:type="pct"/>
                  <w:vAlign w:val="center"/>
                </w:tcPr>
                <w:p w14:paraId="3CDBAB74">
                  <w:pPr>
                    <w:adjustRightInd w:val="0"/>
                    <w:snapToGrid w:val="0"/>
                    <w:jc w:val="center"/>
                    <w:rPr>
                      <w:b/>
                      <w:bCs/>
                      <w:color w:val="000000"/>
                      <w:szCs w:val="21"/>
                    </w:rPr>
                  </w:pPr>
                  <w:r>
                    <w:rPr>
                      <w:b/>
                      <w:bCs/>
                      <w:color w:val="000000"/>
                      <w:szCs w:val="21"/>
                    </w:rPr>
                    <w:t>阶段</w:t>
                  </w:r>
                </w:p>
              </w:tc>
              <w:tc>
                <w:tcPr>
                  <w:tcW w:w="399" w:type="pct"/>
                  <w:vAlign w:val="center"/>
                </w:tcPr>
                <w:p w14:paraId="524D4553">
                  <w:pPr>
                    <w:adjustRightInd w:val="0"/>
                    <w:snapToGrid w:val="0"/>
                    <w:jc w:val="center"/>
                    <w:rPr>
                      <w:b/>
                      <w:bCs/>
                      <w:color w:val="000000"/>
                      <w:szCs w:val="21"/>
                    </w:rPr>
                  </w:pPr>
                  <w:r>
                    <w:rPr>
                      <w:b/>
                      <w:bCs/>
                      <w:color w:val="000000"/>
                      <w:szCs w:val="21"/>
                    </w:rPr>
                    <w:t>类别</w:t>
                  </w:r>
                </w:p>
              </w:tc>
              <w:tc>
                <w:tcPr>
                  <w:tcW w:w="926" w:type="pct"/>
                  <w:vAlign w:val="center"/>
                </w:tcPr>
                <w:p w14:paraId="7969663A">
                  <w:pPr>
                    <w:adjustRightInd w:val="0"/>
                    <w:snapToGrid w:val="0"/>
                    <w:jc w:val="center"/>
                    <w:rPr>
                      <w:b/>
                      <w:bCs/>
                      <w:color w:val="000000"/>
                      <w:szCs w:val="21"/>
                    </w:rPr>
                  </w:pPr>
                  <w:r>
                    <w:rPr>
                      <w:b/>
                      <w:bCs/>
                      <w:color w:val="000000"/>
                      <w:szCs w:val="21"/>
                    </w:rPr>
                    <w:t>主要生产单元名称</w:t>
                  </w:r>
                </w:p>
              </w:tc>
              <w:tc>
                <w:tcPr>
                  <w:tcW w:w="1536" w:type="pct"/>
                  <w:vAlign w:val="center"/>
                </w:tcPr>
                <w:p w14:paraId="5B83C08C">
                  <w:pPr>
                    <w:adjustRightInd w:val="0"/>
                    <w:snapToGrid w:val="0"/>
                    <w:jc w:val="center"/>
                    <w:rPr>
                      <w:b/>
                      <w:bCs/>
                      <w:color w:val="000000"/>
                      <w:szCs w:val="21"/>
                    </w:rPr>
                  </w:pPr>
                  <w:r>
                    <w:rPr>
                      <w:b/>
                      <w:bCs/>
                      <w:color w:val="000000"/>
                      <w:szCs w:val="21"/>
                    </w:rPr>
                    <w:t>产污环节</w:t>
                  </w:r>
                </w:p>
              </w:tc>
              <w:tc>
                <w:tcPr>
                  <w:tcW w:w="1734" w:type="pct"/>
                  <w:vAlign w:val="center"/>
                </w:tcPr>
                <w:p w14:paraId="687E8FE7">
                  <w:pPr>
                    <w:adjustRightInd w:val="0"/>
                    <w:snapToGrid w:val="0"/>
                    <w:jc w:val="center"/>
                    <w:rPr>
                      <w:b/>
                      <w:bCs/>
                      <w:color w:val="000000"/>
                      <w:szCs w:val="21"/>
                    </w:rPr>
                  </w:pPr>
                  <w:r>
                    <w:rPr>
                      <w:b/>
                      <w:bCs/>
                      <w:color w:val="000000"/>
                      <w:szCs w:val="21"/>
                    </w:rPr>
                    <w:t>主要污染物</w:t>
                  </w:r>
                </w:p>
              </w:tc>
            </w:tr>
            <w:tr w14:paraId="17AE91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restart"/>
                  <w:vAlign w:val="center"/>
                </w:tcPr>
                <w:p w14:paraId="6546EE1E">
                  <w:pPr>
                    <w:adjustRightInd w:val="0"/>
                    <w:snapToGrid w:val="0"/>
                    <w:jc w:val="center"/>
                    <w:rPr>
                      <w:color w:val="000000"/>
                      <w:szCs w:val="21"/>
                    </w:rPr>
                  </w:pPr>
                  <w:r>
                    <w:rPr>
                      <w:color w:val="000000"/>
                      <w:szCs w:val="21"/>
                    </w:rPr>
                    <w:t>施工期</w:t>
                  </w:r>
                </w:p>
              </w:tc>
              <w:tc>
                <w:tcPr>
                  <w:tcW w:w="399" w:type="pct"/>
                  <w:vMerge w:val="restart"/>
                  <w:vAlign w:val="center"/>
                </w:tcPr>
                <w:p w14:paraId="6D29E237">
                  <w:pPr>
                    <w:adjustRightInd w:val="0"/>
                    <w:snapToGrid w:val="0"/>
                    <w:jc w:val="center"/>
                    <w:rPr>
                      <w:color w:val="000000"/>
                      <w:szCs w:val="21"/>
                    </w:rPr>
                  </w:pPr>
                  <w:r>
                    <w:rPr>
                      <w:color w:val="000000"/>
                      <w:szCs w:val="21"/>
                    </w:rPr>
                    <w:t>废气</w:t>
                  </w:r>
                </w:p>
              </w:tc>
              <w:tc>
                <w:tcPr>
                  <w:tcW w:w="926" w:type="pct"/>
                  <w:vAlign w:val="center"/>
                </w:tcPr>
                <w:p w14:paraId="7AD858B4">
                  <w:pPr>
                    <w:adjustRightInd w:val="0"/>
                    <w:snapToGrid w:val="0"/>
                    <w:jc w:val="center"/>
                    <w:rPr>
                      <w:color w:val="000000"/>
                      <w:szCs w:val="21"/>
                    </w:rPr>
                  </w:pPr>
                  <w:r>
                    <w:rPr>
                      <w:color w:val="000000"/>
                      <w:szCs w:val="21"/>
                    </w:rPr>
                    <w:t>施工作业</w:t>
                  </w:r>
                </w:p>
              </w:tc>
              <w:tc>
                <w:tcPr>
                  <w:tcW w:w="1536" w:type="pct"/>
                  <w:vAlign w:val="center"/>
                </w:tcPr>
                <w:p w14:paraId="58CFF3FD">
                  <w:pPr>
                    <w:adjustRightInd w:val="0"/>
                    <w:snapToGrid w:val="0"/>
                    <w:jc w:val="center"/>
                    <w:rPr>
                      <w:color w:val="000000"/>
                      <w:szCs w:val="21"/>
                    </w:rPr>
                  </w:pPr>
                  <w:r>
                    <w:rPr>
                      <w:rFonts w:hint="eastAsia"/>
                      <w:color w:val="000000"/>
                      <w:szCs w:val="21"/>
                    </w:rPr>
                    <w:t>拆除、</w:t>
                  </w:r>
                  <w:r>
                    <w:rPr>
                      <w:color w:val="000000"/>
                      <w:szCs w:val="21"/>
                    </w:rPr>
                    <w:t>开挖、堆存、运输</w:t>
                  </w:r>
                </w:p>
              </w:tc>
              <w:tc>
                <w:tcPr>
                  <w:tcW w:w="1734" w:type="pct"/>
                  <w:vAlign w:val="center"/>
                </w:tcPr>
                <w:p w14:paraId="3CD021D4">
                  <w:pPr>
                    <w:adjustRightInd w:val="0"/>
                    <w:snapToGrid w:val="0"/>
                    <w:jc w:val="center"/>
                    <w:rPr>
                      <w:color w:val="000000"/>
                      <w:szCs w:val="21"/>
                    </w:rPr>
                  </w:pPr>
                  <w:r>
                    <w:rPr>
                      <w:color w:val="000000"/>
                      <w:szCs w:val="21"/>
                    </w:rPr>
                    <w:t>颗粒物</w:t>
                  </w:r>
                </w:p>
              </w:tc>
            </w:tr>
            <w:tr w14:paraId="027800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62B3EFCD">
                  <w:pPr>
                    <w:adjustRightInd w:val="0"/>
                    <w:snapToGrid w:val="0"/>
                    <w:jc w:val="center"/>
                    <w:rPr>
                      <w:color w:val="000000"/>
                      <w:szCs w:val="21"/>
                    </w:rPr>
                  </w:pPr>
                </w:p>
              </w:tc>
              <w:tc>
                <w:tcPr>
                  <w:tcW w:w="399" w:type="pct"/>
                  <w:vMerge w:val="continue"/>
                  <w:vAlign w:val="center"/>
                </w:tcPr>
                <w:p w14:paraId="2C03731A">
                  <w:pPr>
                    <w:adjustRightInd w:val="0"/>
                    <w:snapToGrid w:val="0"/>
                    <w:jc w:val="center"/>
                    <w:rPr>
                      <w:color w:val="000000"/>
                      <w:szCs w:val="21"/>
                    </w:rPr>
                  </w:pPr>
                </w:p>
              </w:tc>
              <w:tc>
                <w:tcPr>
                  <w:tcW w:w="926" w:type="pct"/>
                  <w:vAlign w:val="center"/>
                </w:tcPr>
                <w:p w14:paraId="1B6367F1">
                  <w:pPr>
                    <w:adjustRightInd w:val="0"/>
                    <w:snapToGrid w:val="0"/>
                    <w:jc w:val="center"/>
                    <w:rPr>
                      <w:color w:val="000000"/>
                      <w:szCs w:val="21"/>
                    </w:rPr>
                  </w:pPr>
                  <w:r>
                    <w:rPr>
                      <w:color w:val="000000"/>
                      <w:szCs w:val="21"/>
                    </w:rPr>
                    <w:t>施工作业</w:t>
                  </w:r>
                </w:p>
              </w:tc>
              <w:tc>
                <w:tcPr>
                  <w:tcW w:w="1536" w:type="pct"/>
                  <w:vAlign w:val="center"/>
                </w:tcPr>
                <w:p w14:paraId="4F974491">
                  <w:pPr>
                    <w:adjustRightInd w:val="0"/>
                    <w:snapToGrid w:val="0"/>
                    <w:jc w:val="center"/>
                    <w:rPr>
                      <w:color w:val="000000"/>
                      <w:szCs w:val="21"/>
                    </w:rPr>
                  </w:pPr>
                  <w:r>
                    <w:rPr>
                      <w:color w:val="000000"/>
                      <w:szCs w:val="21"/>
                    </w:rPr>
                    <w:t>机械尾气</w:t>
                  </w:r>
                </w:p>
              </w:tc>
              <w:tc>
                <w:tcPr>
                  <w:tcW w:w="1734" w:type="pct"/>
                  <w:vAlign w:val="center"/>
                </w:tcPr>
                <w:p w14:paraId="792E5B78">
                  <w:pPr>
                    <w:adjustRightInd w:val="0"/>
                    <w:snapToGrid w:val="0"/>
                    <w:jc w:val="center"/>
                    <w:rPr>
                      <w:color w:val="000000"/>
                      <w:szCs w:val="21"/>
                    </w:rPr>
                  </w:pPr>
                  <w:r>
                    <w:rPr>
                      <w:color w:val="000000"/>
                      <w:szCs w:val="21"/>
                    </w:rPr>
                    <w:t>CO、NO</w:t>
                  </w:r>
                  <w:r>
                    <w:rPr>
                      <w:color w:val="000000"/>
                      <w:szCs w:val="21"/>
                      <w:vertAlign w:val="subscript"/>
                    </w:rPr>
                    <w:t>x</w:t>
                  </w:r>
                  <w:r>
                    <w:rPr>
                      <w:color w:val="000000"/>
                      <w:szCs w:val="21"/>
                    </w:rPr>
                    <w:t>等</w:t>
                  </w:r>
                </w:p>
              </w:tc>
            </w:tr>
            <w:tr w14:paraId="6505A0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13F5E95B">
                  <w:pPr>
                    <w:adjustRightInd w:val="0"/>
                    <w:snapToGrid w:val="0"/>
                    <w:jc w:val="center"/>
                    <w:rPr>
                      <w:color w:val="000000"/>
                      <w:szCs w:val="21"/>
                    </w:rPr>
                  </w:pPr>
                </w:p>
              </w:tc>
              <w:tc>
                <w:tcPr>
                  <w:tcW w:w="399" w:type="pct"/>
                  <w:vMerge w:val="restart"/>
                  <w:vAlign w:val="center"/>
                </w:tcPr>
                <w:p w14:paraId="5C05F7B6">
                  <w:pPr>
                    <w:adjustRightInd w:val="0"/>
                    <w:snapToGrid w:val="0"/>
                    <w:jc w:val="center"/>
                    <w:rPr>
                      <w:color w:val="000000"/>
                      <w:szCs w:val="21"/>
                    </w:rPr>
                  </w:pPr>
                  <w:r>
                    <w:rPr>
                      <w:color w:val="000000"/>
                      <w:szCs w:val="21"/>
                    </w:rPr>
                    <w:t>废水</w:t>
                  </w:r>
                </w:p>
              </w:tc>
              <w:tc>
                <w:tcPr>
                  <w:tcW w:w="926" w:type="pct"/>
                  <w:vAlign w:val="center"/>
                </w:tcPr>
                <w:p w14:paraId="6BFCEF09">
                  <w:pPr>
                    <w:adjustRightInd w:val="0"/>
                    <w:snapToGrid w:val="0"/>
                    <w:jc w:val="center"/>
                    <w:rPr>
                      <w:color w:val="000000"/>
                      <w:szCs w:val="21"/>
                    </w:rPr>
                  </w:pPr>
                  <w:r>
                    <w:rPr>
                      <w:color w:val="000000"/>
                      <w:szCs w:val="21"/>
                    </w:rPr>
                    <w:t>施工作业</w:t>
                  </w:r>
                </w:p>
              </w:tc>
              <w:tc>
                <w:tcPr>
                  <w:tcW w:w="1536" w:type="pct"/>
                  <w:vAlign w:val="center"/>
                </w:tcPr>
                <w:p w14:paraId="616B1804">
                  <w:pPr>
                    <w:adjustRightInd w:val="0"/>
                    <w:snapToGrid w:val="0"/>
                    <w:jc w:val="center"/>
                    <w:rPr>
                      <w:color w:val="000000"/>
                      <w:szCs w:val="21"/>
                    </w:rPr>
                  </w:pPr>
                  <w:r>
                    <w:rPr>
                      <w:color w:val="000000"/>
                      <w:szCs w:val="21"/>
                    </w:rPr>
                    <w:t>机械冷却、洗涤</w:t>
                  </w:r>
                </w:p>
              </w:tc>
              <w:tc>
                <w:tcPr>
                  <w:tcW w:w="1734" w:type="pct"/>
                  <w:vAlign w:val="center"/>
                </w:tcPr>
                <w:p w14:paraId="64853315">
                  <w:pPr>
                    <w:adjustRightInd w:val="0"/>
                    <w:snapToGrid w:val="0"/>
                    <w:jc w:val="center"/>
                    <w:rPr>
                      <w:color w:val="000000"/>
                      <w:szCs w:val="21"/>
                    </w:rPr>
                  </w:pPr>
                  <w:r>
                    <w:rPr>
                      <w:rFonts w:hint="eastAsia"/>
                      <w:color w:val="000000"/>
                      <w:szCs w:val="21"/>
                    </w:rPr>
                    <w:t>pH、</w:t>
                  </w:r>
                  <w:r>
                    <w:rPr>
                      <w:color w:val="000000"/>
                      <w:szCs w:val="21"/>
                    </w:rPr>
                    <w:t>SS、石油类</w:t>
                  </w:r>
                </w:p>
              </w:tc>
            </w:tr>
            <w:tr w14:paraId="0A22A1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606B4127">
                  <w:pPr>
                    <w:adjustRightInd w:val="0"/>
                    <w:snapToGrid w:val="0"/>
                    <w:jc w:val="center"/>
                    <w:rPr>
                      <w:color w:val="000000"/>
                      <w:szCs w:val="21"/>
                    </w:rPr>
                  </w:pPr>
                </w:p>
              </w:tc>
              <w:tc>
                <w:tcPr>
                  <w:tcW w:w="399" w:type="pct"/>
                  <w:vMerge w:val="continue"/>
                  <w:vAlign w:val="center"/>
                </w:tcPr>
                <w:p w14:paraId="0DAF524F">
                  <w:pPr>
                    <w:adjustRightInd w:val="0"/>
                    <w:snapToGrid w:val="0"/>
                    <w:jc w:val="center"/>
                    <w:rPr>
                      <w:color w:val="000000"/>
                      <w:szCs w:val="21"/>
                    </w:rPr>
                  </w:pPr>
                </w:p>
              </w:tc>
              <w:tc>
                <w:tcPr>
                  <w:tcW w:w="926" w:type="pct"/>
                  <w:vAlign w:val="center"/>
                </w:tcPr>
                <w:p w14:paraId="19F54BB6">
                  <w:pPr>
                    <w:adjustRightInd w:val="0"/>
                    <w:snapToGrid w:val="0"/>
                    <w:jc w:val="center"/>
                    <w:rPr>
                      <w:color w:val="000000"/>
                      <w:szCs w:val="21"/>
                    </w:rPr>
                  </w:pPr>
                  <w:r>
                    <w:rPr>
                      <w:color w:val="000000"/>
                      <w:szCs w:val="21"/>
                    </w:rPr>
                    <w:t>施工作业</w:t>
                  </w:r>
                </w:p>
              </w:tc>
              <w:tc>
                <w:tcPr>
                  <w:tcW w:w="1536" w:type="pct"/>
                  <w:vAlign w:val="center"/>
                </w:tcPr>
                <w:p w14:paraId="726642A1">
                  <w:pPr>
                    <w:adjustRightInd w:val="0"/>
                    <w:snapToGrid w:val="0"/>
                    <w:jc w:val="center"/>
                    <w:rPr>
                      <w:color w:val="000000"/>
                      <w:szCs w:val="21"/>
                    </w:rPr>
                  </w:pPr>
                  <w:r>
                    <w:rPr>
                      <w:color w:val="000000"/>
                      <w:szCs w:val="21"/>
                    </w:rPr>
                    <w:t>人员工作</w:t>
                  </w:r>
                </w:p>
              </w:tc>
              <w:tc>
                <w:tcPr>
                  <w:tcW w:w="1734" w:type="pct"/>
                  <w:vAlign w:val="center"/>
                </w:tcPr>
                <w:p w14:paraId="58171F8F">
                  <w:pPr>
                    <w:adjustRightInd w:val="0"/>
                    <w:snapToGrid w:val="0"/>
                    <w:jc w:val="center"/>
                    <w:rPr>
                      <w:color w:val="000000"/>
                      <w:szCs w:val="21"/>
                    </w:rPr>
                  </w:pPr>
                  <w:r>
                    <w:rPr>
                      <w:color w:val="000000"/>
                      <w:szCs w:val="21"/>
                    </w:rPr>
                    <w:t xml:space="preserve">pH </w:t>
                  </w:r>
                  <w:r>
                    <w:rPr>
                      <w:rFonts w:hint="eastAsia"/>
                      <w:color w:val="000000"/>
                      <w:szCs w:val="21"/>
                    </w:rPr>
                    <w:t>、</w:t>
                  </w:r>
                  <w:r>
                    <w:rPr>
                      <w:color w:val="000000"/>
                      <w:szCs w:val="21"/>
                    </w:rPr>
                    <w:t>COD、BOD</w:t>
                  </w:r>
                  <w:r>
                    <w:rPr>
                      <w:color w:val="000000"/>
                      <w:szCs w:val="21"/>
                      <w:vertAlign w:val="subscript"/>
                    </w:rPr>
                    <w:t>5</w:t>
                  </w:r>
                  <w:r>
                    <w:rPr>
                      <w:color w:val="000000"/>
                      <w:szCs w:val="21"/>
                    </w:rPr>
                    <w:t>、SS、NH</w:t>
                  </w:r>
                  <w:r>
                    <w:rPr>
                      <w:color w:val="000000"/>
                      <w:szCs w:val="21"/>
                      <w:vertAlign w:val="subscript"/>
                    </w:rPr>
                    <w:t>3</w:t>
                  </w:r>
                  <w:r>
                    <w:rPr>
                      <w:color w:val="000000"/>
                      <w:szCs w:val="21"/>
                    </w:rPr>
                    <w:t>-N、动植物油等</w:t>
                  </w:r>
                </w:p>
              </w:tc>
            </w:tr>
            <w:tr w14:paraId="3FD815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3DBE663D">
                  <w:pPr>
                    <w:adjustRightInd w:val="0"/>
                    <w:snapToGrid w:val="0"/>
                    <w:jc w:val="center"/>
                    <w:rPr>
                      <w:color w:val="000000"/>
                      <w:szCs w:val="21"/>
                    </w:rPr>
                  </w:pPr>
                </w:p>
              </w:tc>
              <w:tc>
                <w:tcPr>
                  <w:tcW w:w="399" w:type="pct"/>
                  <w:vMerge w:val="restart"/>
                  <w:vAlign w:val="center"/>
                </w:tcPr>
                <w:p w14:paraId="4C64FF43">
                  <w:pPr>
                    <w:adjustRightInd w:val="0"/>
                    <w:snapToGrid w:val="0"/>
                    <w:jc w:val="center"/>
                    <w:rPr>
                      <w:color w:val="000000"/>
                      <w:szCs w:val="21"/>
                    </w:rPr>
                  </w:pPr>
                  <w:r>
                    <w:rPr>
                      <w:color w:val="000000"/>
                      <w:szCs w:val="21"/>
                    </w:rPr>
                    <w:t>固废</w:t>
                  </w:r>
                </w:p>
              </w:tc>
              <w:tc>
                <w:tcPr>
                  <w:tcW w:w="926" w:type="pct"/>
                  <w:vAlign w:val="center"/>
                </w:tcPr>
                <w:p w14:paraId="59A183A8">
                  <w:pPr>
                    <w:adjustRightInd w:val="0"/>
                    <w:snapToGrid w:val="0"/>
                    <w:jc w:val="center"/>
                    <w:rPr>
                      <w:color w:val="000000"/>
                      <w:szCs w:val="21"/>
                    </w:rPr>
                  </w:pPr>
                  <w:r>
                    <w:rPr>
                      <w:color w:val="000000"/>
                      <w:szCs w:val="21"/>
                    </w:rPr>
                    <w:t>施工作业</w:t>
                  </w:r>
                </w:p>
              </w:tc>
              <w:tc>
                <w:tcPr>
                  <w:tcW w:w="1536" w:type="pct"/>
                  <w:vAlign w:val="center"/>
                </w:tcPr>
                <w:p w14:paraId="2444A777">
                  <w:pPr>
                    <w:adjustRightInd w:val="0"/>
                    <w:snapToGrid w:val="0"/>
                    <w:jc w:val="center"/>
                    <w:rPr>
                      <w:color w:val="000000"/>
                      <w:szCs w:val="21"/>
                    </w:rPr>
                  </w:pPr>
                  <w:r>
                    <w:rPr>
                      <w:rFonts w:hint="eastAsia"/>
                      <w:color w:val="000000"/>
                      <w:szCs w:val="21"/>
                    </w:rPr>
                    <w:t>拆除、</w:t>
                  </w:r>
                  <w:r>
                    <w:rPr>
                      <w:color w:val="000000"/>
                      <w:szCs w:val="21"/>
                    </w:rPr>
                    <w:t>开挖</w:t>
                  </w:r>
                </w:p>
              </w:tc>
              <w:tc>
                <w:tcPr>
                  <w:tcW w:w="1734" w:type="pct"/>
                  <w:vAlign w:val="center"/>
                </w:tcPr>
                <w:p w14:paraId="78D93520">
                  <w:pPr>
                    <w:adjustRightInd w:val="0"/>
                    <w:snapToGrid w:val="0"/>
                    <w:jc w:val="center"/>
                    <w:rPr>
                      <w:color w:val="000000"/>
                      <w:szCs w:val="21"/>
                    </w:rPr>
                  </w:pPr>
                  <w:r>
                    <w:rPr>
                      <w:color w:val="000000"/>
                      <w:szCs w:val="21"/>
                    </w:rPr>
                    <w:t>建筑垃圾</w:t>
                  </w:r>
                </w:p>
              </w:tc>
            </w:tr>
            <w:tr w14:paraId="612BCF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3BAC79DC">
                  <w:pPr>
                    <w:adjustRightInd w:val="0"/>
                    <w:snapToGrid w:val="0"/>
                    <w:jc w:val="center"/>
                    <w:rPr>
                      <w:color w:val="000000"/>
                      <w:szCs w:val="21"/>
                    </w:rPr>
                  </w:pPr>
                </w:p>
              </w:tc>
              <w:tc>
                <w:tcPr>
                  <w:tcW w:w="399" w:type="pct"/>
                  <w:vMerge w:val="continue"/>
                  <w:vAlign w:val="center"/>
                </w:tcPr>
                <w:p w14:paraId="62CBBE5E">
                  <w:pPr>
                    <w:adjustRightInd w:val="0"/>
                    <w:snapToGrid w:val="0"/>
                    <w:jc w:val="center"/>
                    <w:rPr>
                      <w:color w:val="000000"/>
                      <w:szCs w:val="21"/>
                    </w:rPr>
                  </w:pPr>
                </w:p>
              </w:tc>
              <w:tc>
                <w:tcPr>
                  <w:tcW w:w="926" w:type="pct"/>
                  <w:vAlign w:val="center"/>
                </w:tcPr>
                <w:p w14:paraId="3D5306FF">
                  <w:pPr>
                    <w:adjustRightInd w:val="0"/>
                    <w:snapToGrid w:val="0"/>
                    <w:jc w:val="center"/>
                    <w:rPr>
                      <w:color w:val="000000"/>
                      <w:szCs w:val="21"/>
                    </w:rPr>
                  </w:pPr>
                  <w:r>
                    <w:rPr>
                      <w:color w:val="000000"/>
                      <w:szCs w:val="21"/>
                    </w:rPr>
                    <w:t>施工作业</w:t>
                  </w:r>
                </w:p>
              </w:tc>
              <w:tc>
                <w:tcPr>
                  <w:tcW w:w="1536" w:type="pct"/>
                  <w:vAlign w:val="center"/>
                </w:tcPr>
                <w:p w14:paraId="35403F3A">
                  <w:pPr>
                    <w:adjustRightInd w:val="0"/>
                    <w:snapToGrid w:val="0"/>
                    <w:jc w:val="center"/>
                    <w:rPr>
                      <w:color w:val="000000"/>
                      <w:szCs w:val="21"/>
                    </w:rPr>
                  </w:pPr>
                  <w:r>
                    <w:rPr>
                      <w:color w:val="000000"/>
                      <w:szCs w:val="21"/>
                    </w:rPr>
                    <w:t>人员工作</w:t>
                  </w:r>
                </w:p>
              </w:tc>
              <w:tc>
                <w:tcPr>
                  <w:tcW w:w="1734" w:type="pct"/>
                  <w:vAlign w:val="center"/>
                </w:tcPr>
                <w:p w14:paraId="7CC65EB2">
                  <w:pPr>
                    <w:adjustRightInd w:val="0"/>
                    <w:snapToGrid w:val="0"/>
                    <w:jc w:val="center"/>
                    <w:rPr>
                      <w:color w:val="000000"/>
                      <w:szCs w:val="21"/>
                    </w:rPr>
                  </w:pPr>
                  <w:r>
                    <w:rPr>
                      <w:color w:val="000000"/>
                      <w:szCs w:val="21"/>
                    </w:rPr>
                    <w:t>生活垃圾</w:t>
                  </w:r>
                </w:p>
              </w:tc>
            </w:tr>
            <w:tr w14:paraId="69FE03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restart"/>
                  <w:vAlign w:val="center"/>
                </w:tcPr>
                <w:p w14:paraId="3175AFDC">
                  <w:pPr>
                    <w:adjustRightInd w:val="0"/>
                    <w:snapToGrid w:val="0"/>
                    <w:jc w:val="center"/>
                    <w:rPr>
                      <w:color w:val="000000"/>
                      <w:szCs w:val="21"/>
                    </w:rPr>
                  </w:pPr>
                  <w:r>
                    <w:rPr>
                      <w:color w:val="000000"/>
                      <w:szCs w:val="21"/>
                    </w:rPr>
                    <w:t>营运期</w:t>
                  </w:r>
                </w:p>
              </w:tc>
              <w:tc>
                <w:tcPr>
                  <w:tcW w:w="399" w:type="pct"/>
                  <w:vMerge w:val="restart"/>
                  <w:vAlign w:val="center"/>
                </w:tcPr>
                <w:p w14:paraId="0AE86AE9">
                  <w:pPr>
                    <w:adjustRightInd w:val="0"/>
                    <w:snapToGrid w:val="0"/>
                    <w:jc w:val="center"/>
                    <w:rPr>
                      <w:color w:val="000000"/>
                      <w:szCs w:val="21"/>
                    </w:rPr>
                  </w:pPr>
                  <w:r>
                    <w:rPr>
                      <w:color w:val="000000"/>
                      <w:szCs w:val="21"/>
                    </w:rPr>
                    <w:t>废气</w:t>
                  </w:r>
                </w:p>
              </w:tc>
              <w:tc>
                <w:tcPr>
                  <w:tcW w:w="926" w:type="pct"/>
                  <w:vAlign w:val="center"/>
                </w:tcPr>
                <w:p w14:paraId="115A13E9">
                  <w:pPr>
                    <w:adjustRightInd w:val="0"/>
                    <w:snapToGrid w:val="0"/>
                    <w:jc w:val="center"/>
                    <w:rPr>
                      <w:color w:val="000000"/>
                      <w:szCs w:val="21"/>
                    </w:rPr>
                  </w:pPr>
                  <w:r>
                    <w:rPr>
                      <w:rFonts w:hint="eastAsia"/>
                      <w:color w:val="000000"/>
                      <w:szCs w:val="21"/>
                    </w:rPr>
                    <w:t>污水处理站废气</w:t>
                  </w:r>
                </w:p>
              </w:tc>
              <w:tc>
                <w:tcPr>
                  <w:tcW w:w="1536" w:type="pct"/>
                  <w:vAlign w:val="center"/>
                </w:tcPr>
                <w:p w14:paraId="47BA8C03">
                  <w:pPr>
                    <w:adjustRightInd w:val="0"/>
                    <w:snapToGrid w:val="0"/>
                    <w:jc w:val="center"/>
                    <w:rPr>
                      <w:color w:val="000000"/>
                      <w:szCs w:val="21"/>
                    </w:rPr>
                  </w:pPr>
                  <w:r>
                    <w:rPr>
                      <w:rFonts w:hint="eastAsia"/>
                      <w:color w:val="000000"/>
                      <w:szCs w:val="21"/>
                    </w:rPr>
                    <w:t>污水处理</w:t>
                  </w:r>
                </w:p>
              </w:tc>
              <w:tc>
                <w:tcPr>
                  <w:tcW w:w="1734" w:type="pct"/>
                  <w:vAlign w:val="center"/>
                </w:tcPr>
                <w:p w14:paraId="5A9A3C09">
                  <w:pPr>
                    <w:adjustRightInd w:val="0"/>
                    <w:snapToGrid w:val="0"/>
                    <w:jc w:val="center"/>
                    <w:rPr>
                      <w:rFonts w:hint="default" w:eastAsia="宋体"/>
                      <w:color w:val="000000"/>
                      <w:szCs w:val="21"/>
                      <w:lang w:val="en-US" w:eastAsia="zh-CN"/>
                    </w:rPr>
                  </w:pPr>
                  <w:r>
                    <w:rPr>
                      <w:rFonts w:hint="eastAsia"/>
                      <w:color w:val="000000"/>
                      <w:szCs w:val="21"/>
                    </w:rPr>
                    <w:t>硫化氢、氨、臭气浓度</w:t>
                  </w:r>
                  <w:r>
                    <w:rPr>
                      <w:rFonts w:hint="eastAsia"/>
                      <w:color w:val="000000"/>
                      <w:szCs w:val="21"/>
                      <w:lang w:eastAsia="zh-CN"/>
                    </w:rPr>
                    <w:t>、</w:t>
                  </w:r>
                  <w:r>
                    <w:rPr>
                      <w:rFonts w:hint="eastAsia"/>
                      <w:color w:val="000000"/>
                      <w:szCs w:val="21"/>
                      <w:lang w:val="en-US" w:eastAsia="zh-CN"/>
                    </w:rPr>
                    <w:t>甲烷</w:t>
                  </w:r>
                </w:p>
              </w:tc>
            </w:tr>
            <w:tr w14:paraId="08E443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22AE9434">
                  <w:pPr>
                    <w:adjustRightInd w:val="0"/>
                    <w:snapToGrid w:val="0"/>
                    <w:jc w:val="center"/>
                    <w:rPr>
                      <w:color w:val="000000"/>
                      <w:szCs w:val="21"/>
                    </w:rPr>
                  </w:pPr>
                </w:p>
              </w:tc>
              <w:tc>
                <w:tcPr>
                  <w:tcW w:w="399" w:type="pct"/>
                  <w:vMerge w:val="continue"/>
                  <w:vAlign w:val="center"/>
                </w:tcPr>
                <w:p w14:paraId="24205E0A">
                  <w:pPr>
                    <w:adjustRightInd w:val="0"/>
                    <w:snapToGrid w:val="0"/>
                    <w:jc w:val="center"/>
                    <w:rPr>
                      <w:color w:val="000000"/>
                      <w:szCs w:val="21"/>
                    </w:rPr>
                  </w:pPr>
                </w:p>
              </w:tc>
              <w:tc>
                <w:tcPr>
                  <w:tcW w:w="926" w:type="pct"/>
                  <w:vAlign w:val="center"/>
                </w:tcPr>
                <w:p w14:paraId="47FE0578">
                  <w:pPr>
                    <w:adjustRightInd w:val="0"/>
                    <w:snapToGrid w:val="0"/>
                    <w:jc w:val="center"/>
                    <w:rPr>
                      <w:rFonts w:hint="default" w:eastAsia="宋体"/>
                      <w:color w:val="000000"/>
                      <w:szCs w:val="21"/>
                      <w:lang w:val="en-US" w:eastAsia="zh-CN"/>
                    </w:rPr>
                  </w:pPr>
                  <w:r>
                    <w:rPr>
                      <w:rFonts w:hint="eastAsia"/>
                      <w:color w:val="000000"/>
                      <w:szCs w:val="21"/>
                      <w:lang w:val="en-US" w:eastAsia="zh-CN"/>
                    </w:rPr>
                    <w:t>危废暂存间废气</w:t>
                  </w:r>
                </w:p>
              </w:tc>
              <w:tc>
                <w:tcPr>
                  <w:tcW w:w="1536" w:type="pct"/>
                  <w:vAlign w:val="center"/>
                </w:tcPr>
                <w:p w14:paraId="6FB5EB06">
                  <w:pPr>
                    <w:adjustRightInd w:val="0"/>
                    <w:snapToGrid w:val="0"/>
                    <w:jc w:val="center"/>
                    <w:rPr>
                      <w:rFonts w:hint="default" w:eastAsia="宋体"/>
                      <w:color w:val="000000"/>
                      <w:szCs w:val="21"/>
                      <w:lang w:val="en-US" w:eastAsia="zh-CN"/>
                    </w:rPr>
                  </w:pPr>
                  <w:r>
                    <w:rPr>
                      <w:rFonts w:hint="eastAsia"/>
                      <w:color w:val="000000"/>
                      <w:szCs w:val="21"/>
                      <w:lang w:val="en-US" w:eastAsia="zh-CN"/>
                    </w:rPr>
                    <w:t>危废暂存</w:t>
                  </w:r>
                </w:p>
              </w:tc>
              <w:tc>
                <w:tcPr>
                  <w:tcW w:w="1734" w:type="pct"/>
                  <w:vAlign w:val="center"/>
                </w:tcPr>
                <w:p w14:paraId="4F4CBCAD">
                  <w:pPr>
                    <w:adjustRightInd w:val="0"/>
                    <w:snapToGrid w:val="0"/>
                    <w:jc w:val="center"/>
                    <w:rPr>
                      <w:rFonts w:hint="eastAsia"/>
                      <w:color w:val="000000"/>
                      <w:szCs w:val="21"/>
                    </w:rPr>
                  </w:pPr>
                  <w:r>
                    <w:rPr>
                      <w:rFonts w:hint="eastAsia"/>
                      <w:color w:val="000000"/>
                      <w:szCs w:val="21"/>
                    </w:rPr>
                    <w:t>臭气浓度</w:t>
                  </w:r>
                </w:p>
              </w:tc>
            </w:tr>
            <w:tr w14:paraId="3267F0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jc w:val="center"/>
              </w:trPr>
              <w:tc>
                <w:tcPr>
                  <w:tcW w:w="403" w:type="pct"/>
                  <w:vMerge w:val="continue"/>
                  <w:vAlign w:val="center"/>
                </w:tcPr>
                <w:p w14:paraId="6788FFD0">
                  <w:pPr>
                    <w:adjustRightInd w:val="0"/>
                    <w:snapToGrid w:val="0"/>
                    <w:jc w:val="center"/>
                    <w:rPr>
                      <w:color w:val="000000"/>
                      <w:szCs w:val="21"/>
                    </w:rPr>
                  </w:pPr>
                </w:p>
              </w:tc>
              <w:tc>
                <w:tcPr>
                  <w:tcW w:w="399" w:type="pct"/>
                  <w:vMerge w:val="continue"/>
                  <w:vAlign w:val="center"/>
                </w:tcPr>
                <w:p w14:paraId="527EE1E9">
                  <w:pPr>
                    <w:adjustRightInd w:val="0"/>
                    <w:snapToGrid w:val="0"/>
                    <w:jc w:val="center"/>
                    <w:rPr>
                      <w:color w:val="000000"/>
                      <w:szCs w:val="21"/>
                    </w:rPr>
                  </w:pPr>
                </w:p>
              </w:tc>
              <w:tc>
                <w:tcPr>
                  <w:tcW w:w="926" w:type="pct"/>
                  <w:vAlign w:val="center"/>
                </w:tcPr>
                <w:p w14:paraId="7D0CB477">
                  <w:pPr>
                    <w:adjustRightInd w:val="0"/>
                    <w:snapToGrid w:val="0"/>
                    <w:jc w:val="center"/>
                    <w:rPr>
                      <w:rFonts w:hint="eastAsia" w:eastAsia="宋体"/>
                      <w:color w:val="000000"/>
                      <w:szCs w:val="21"/>
                      <w:lang w:val="en-US" w:eastAsia="zh-CN"/>
                    </w:rPr>
                  </w:pPr>
                  <w:r>
                    <w:rPr>
                      <w:rFonts w:hint="eastAsia"/>
                      <w:color w:val="000000"/>
                      <w:szCs w:val="21"/>
                      <w:lang w:val="en-US" w:eastAsia="zh-CN"/>
                    </w:rPr>
                    <w:t>一般固废暂废气</w:t>
                  </w:r>
                </w:p>
              </w:tc>
              <w:tc>
                <w:tcPr>
                  <w:tcW w:w="1536" w:type="pct"/>
                  <w:vAlign w:val="center"/>
                </w:tcPr>
                <w:p w14:paraId="7BC91E53">
                  <w:pPr>
                    <w:adjustRightInd w:val="0"/>
                    <w:snapToGrid w:val="0"/>
                    <w:jc w:val="center"/>
                    <w:rPr>
                      <w:rFonts w:hint="default" w:eastAsia="宋体"/>
                      <w:color w:val="000000"/>
                      <w:szCs w:val="21"/>
                      <w:lang w:val="en-US" w:eastAsia="zh-CN"/>
                    </w:rPr>
                  </w:pPr>
                  <w:r>
                    <w:rPr>
                      <w:rFonts w:hint="eastAsia"/>
                      <w:color w:val="000000"/>
                      <w:szCs w:val="21"/>
                      <w:lang w:val="en-US" w:eastAsia="zh-CN"/>
                    </w:rPr>
                    <w:t>固废暂存</w:t>
                  </w:r>
                </w:p>
              </w:tc>
              <w:tc>
                <w:tcPr>
                  <w:tcW w:w="1734" w:type="pct"/>
                  <w:vAlign w:val="center"/>
                </w:tcPr>
                <w:p w14:paraId="5E5410E9">
                  <w:pPr>
                    <w:adjustRightInd w:val="0"/>
                    <w:snapToGrid w:val="0"/>
                    <w:jc w:val="center"/>
                    <w:rPr>
                      <w:rFonts w:hint="eastAsia"/>
                      <w:color w:val="000000"/>
                      <w:szCs w:val="21"/>
                    </w:rPr>
                  </w:pPr>
                  <w:r>
                    <w:rPr>
                      <w:rFonts w:hint="eastAsia"/>
                      <w:color w:val="000000"/>
                      <w:szCs w:val="21"/>
                    </w:rPr>
                    <w:t>臭气浓度</w:t>
                  </w:r>
                </w:p>
              </w:tc>
            </w:tr>
            <w:tr w14:paraId="3E7CB2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2E047AEC">
                  <w:pPr>
                    <w:adjustRightInd w:val="0"/>
                    <w:snapToGrid w:val="0"/>
                    <w:jc w:val="center"/>
                    <w:rPr>
                      <w:color w:val="000000"/>
                      <w:szCs w:val="21"/>
                    </w:rPr>
                  </w:pPr>
                </w:p>
              </w:tc>
              <w:tc>
                <w:tcPr>
                  <w:tcW w:w="399" w:type="pct"/>
                  <w:vMerge w:val="continue"/>
                  <w:vAlign w:val="center"/>
                </w:tcPr>
                <w:p w14:paraId="5548B6E9">
                  <w:pPr>
                    <w:adjustRightInd w:val="0"/>
                    <w:snapToGrid w:val="0"/>
                    <w:jc w:val="center"/>
                    <w:rPr>
                      <w:color w:val="000000"/>
                      <w:szCs w:val="21"/>
                    </w:rPr>
                  </w:pPr>
                </w:p>
              </w:tc>
              <w:tc>
                <w:tcPr>
                  <w:tcW w:w="926" w:type="pct"/>
                  <w:vAlign w:val="center"/>
                </w:tcPr>
                <w:p w14:paraId="39377A77">
                  <w:pPr>
                    <w:adjustRightInd w:val="0"/>
                    <w:snapToGrid w:val="0"/>
                    <w:jc w:val="center"/>
                    <w:rPr>
                      <w:rFonts w:hint="default"/>
                      <w:color w:val="000000"/>
                      <w:szCs w:val="21"/>
                      <w:lang w:val="en-US" w:eastAsia="zh-CN"/>
                    </w:rPr>
                  </w:pPr>
                  <w:r>
                    <w:rPr>
                      <w:rFonts w:hint="eastAsia"/>
                      <w:color w:val="000000"/>
                      <w:szCs w:val="21"/>
                      <w:lang w:val="en-US" w:eastAsia="zh-CN"/>
                    </w:rPr>
                    <w:t>消毒水异味</w:t>
                  </w:r>
                </w:p>
              </w:tc>
              <w:tc>
                <w:tcPr>
                  <w:tcW w:w="1536" w:type="pct"/>
                  <w:vAlign w:val="center"/>
                </w:tcPr>
                <w:p w14:paraId="0B99FCFB">
                  <w:pPr>
                    <w:adjustRightInd w:val="0"/>
                    <w:snapToGrid w:val="0"/>
                    <w:jc w:val="center"/>
                    <w:rPr>
                      <w:rFonts w:hint="default"/>
                      <w:color w:val="000000"/>
                      <w:szCs w:val="21"/>
                      <w:lang w:val="en-US" w:eastAsia="zh-CN"/>
                    </w:rPr>
                  </w:pPr>
                  <w:r>
                    <w:rPr>
                      <w:rFonts w:hint="eastAsia"/>
                      <w:color w:val="000000"/>
                      <w:szCs w:val="21"/>
                      <w:lang w:val="en-US" w:eastAsia="zh-CN"/>
                    </w:rPr>
                    <w:t>清洁消毒</w:t>
                  </w:r>
                </w:p>
              </w:tc>
              <w:tc>
                <w:tcPr>
                  <w:tcW w:w="1734" w:type="pct"/>
                  <w:vAlign w:val="center"/>
                </w:tcPr>
                <w:p w14:paraId="0BEEE249">
                  <w:pPr>
                    <w:adjustRightInd w:val="0"/>
                    <w:snapToGrid w:val="0"/>
                    <w:jc w:val="center"/>
                    <w:rPr>
                      <w:rFonts w:hint="eastAsia"/>
                      <w:color w:val="000000"/>
                      <w:szCs w:val="21"/>
                    </w:rPr>
                  </w:pPr>
                  <w:r>
                    <w:rPr>
                      <w:rFonts w:hint="eastAsia"/>
                      <w:color w:val="000000"/>
                      <w:szCs w:val="21"/>
                    </w:rPr>
                    <w:t>臭气浓度</w:t>
                  </w:r>
                </w:p>
              </w:tc>
            </w:tr>
            <w:tr w14:paraId="654763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3257CAFE">
                  <w:pPr>
                    <w:adjustRightInd w:val="0"/>
                    <w:snapToGrid w:val="0"/>
                    <w:jc w:val="center"/>
                    <w:rPr>
                      <w:color w:val="000000"/>
                      <w:szCs w:val="21"/>
                    </w:rPr>
                  </w:pPr>
                </w:p>
              </w:tc>
              <w:tc>
                <w:tcPr>
                  <w:tcW w:w="399" w:type="pct"/>
                  <w:vMerge w:val="continue"/>
                  <w:vAlign w:val="center"/>
                </w:tcPr>
                <w:p w14:paraId="08286677">
                  <w:pPr>
                    <w:adjustRightInd w:val="0"/>
                    <w:snapToGrid w:val="0"/>
                    <w:jc w:val="center"/>
                    <w:rPr>
                      <w:color w:val="000000"/>
                      <w:szCs w:val="21"/>
                    </w:rPr>
                  </w:pPr>
                </w:p>
              </w:tc>
              <w:tc>
                <w:tcPr>
                  <w:tcW w:w="1540" w:type="dxa"/>
                  <w:vAlign w:val="center"/>
                </w:tcPr>
                <w:p w14:paraId="584BB9A8">
                  <w:pPr>
                    <w:adjustRightInd w:val="0"/>
                    <w:snapToGrid w:val="0"/>
                    <w:jc w:val="center"/>
                    <w:rPr>
                      <w:rFonts w:hint="eastAsia"/>
                      <w:color w:val="000000"/>
                      <w:szCs w:val="21"/>
                      <w:lang w:val="en-US" w:eastAsia="zh-CN"/>
                    </w:rPr>
                  </w:pPr>
                  <w:r>
                    <w:rPr>
                      <w:rFonts w:hint="eastAsia"/>
                      <w:color w:val="000000"/>
                      <w:szCs w:val="21"/>
                      <w:lang w:val="en-US" w:eastAsia="zh-CN"/>
                    </w:rPr>
                    <w:t>汽车尾气</w:t>
                  </w:r>
                </w:p>
              </w:tc>
              <w:tc>
                <w:tcPr>
                  <w:tcW w:w="2554" w:type="dxa"/>
                  <w:vAlign w:val="center"/>
                </w:tcPr>
                <w:p w14:paraId="6B85DB71">
                  <w:pPr>
                    <w:adjustRightInd w:val="0"/>
                    <w:snapToGrid w:val="0"/>
                    <w:jc w:val="center"/>
                    <w:rPr>
                      <w:rFonts w:hint="eastAsia"/>
                      <w:color w:val="000000"/>
                      <w:szCs w:val="21"/>
                      <w:lang w:val="en-US" w:eastAsia="zh-CN"/>
                    </w:rPr>
                  </w:pPr>
                  <w:r>
                    <w:rPr>
                      <w:rFonts w:hint="eastAsia"/>
                      <w:color w:val="000000"/>
                      <w:szCs w:val="21"/>
                      <w:lang w:val="en-US" w:eastAsia="zh-CN"/>
                    </w:rPr>
                    <w:t>人员进出</w:t>
                  </w:r>
                </w:p>
              </w:tc>
              <w:tc>
                <w:tcPr>
                  <w:tcW w:w="2884" w:type="dxa"/>
                  <w:vAlign w:val="center"/>
                </w:tcPr>
                <w:p w14:paraId="41B91BCB">
                  <w:pPr>
                    <w:adjustRightInd w:val="0"/>
                    <w:snapToGrid w:val="0"/>
                    <w:jc w:val="center"/>
                    <w:rPr>
                      <w:rFonts w:hint="eastAsia"/>
                      <w:color w:val="000000"/>
                      <w:szCs w:val="21"/>
                    </w:rPr>
                  </w:pPr>
                  <w:r>
                    <w:rPr>
                      <w:rFonts w:hint="eastAsia"/>
                      <w:color w:val="000000"/>
                      <w:szCs w:val="21"/>
                    </w:rPr>
                    <w:t>CO、NOx</w:t>
                  </w:r>
                  <w:r>
                    <w:rPr>
                      <w:rFonts w:hint="eastAsia"/>
                      <w:color w:val="000000"/>
                      <w:szCs w:val="21"/>
                      <w:lang w:eastAsia="zh-CN"/>
                    </w:rPr>
                    <w:t>、</w:t>
                  </w:r>
                  <w:r>
                    <w:rPr>
                      <w:rFonts w:hint="eastAsia"/>
                      <w:color w:val="000000"/>
                      <w:szCs w:val="21"/>
                    </w:rPr>
                    <w:t>THC</w:t>
                  </w:r>
                </w:p>
              </w:tc>
            </w:tr>
            <w:tr w14:paraId="1A6F16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209F333B">
                  <w:pPr>
                    <w:adjustRightInd w:val="0"/>
                    <w:snapToGrid w:val="0"/>
                    <w:jc w:val="center"/>
                    <w:rPr>
                      <w:color w:val="000000"/>
                      <w:szCs w:val="21"/>
                    </w:rPr>
                  </w:pPr>
                </w:p>
              </w:tc>
              <w:tc>
                <w:tcPr>
                  <w:tcW w:w="399" w:type="pct"/>
                  <w:vMerge w:val="continue"/>
                  <w:vAlign w:val="center"/>
                </w:tcPr>
                <w:p w14:paraId="5FC12C4F">
                  <w:pPr>
                    <w:adjustRightInd w:val="0"/>
                    <w:snapToGrid w:val="0"/>
                    <w:jc w:val="center"/>
                    <w:rPr>
                      <w:color w:val="000000"/>
                      <w:szCs w:val="21"/>
                    </w:rPr>
                  </w:pPr>
                </w:p>
              </w:tc>
              <w:tc>
                <w:tcPr>
                  <w:tcW w:w="926" w:type="pct"/>
                  <w:vAlign w:val="center"/>
                </w:tcPr>
                <w:p w14:paraId="71BFA32C">
                  <w:pPr>
                    <w:adjustRightInd w:val="0"/>
                    <w:snapToGrid w:val="0"/>
                    <w:jc w:val="center"/>
                    <w:rPr>
                      <w:rFonts w:hint="default"/>
                      <w:color w:val="000000"/>
                      <w:szCs w:val="21"/>
                      <w:lang w:val="en-US" w:eastAsia="zh-CN"/>
                    </w:rPr>
                  </w:pPr>
                  <w:r>
                    <w:rPr>
                      <w:rFonts w:hint="eastAsia"/>
                      <w:color w:val="000000"/>
                      <w:szCs w:val="21"/>
                      <w:lang w:val="en-US" w:eastAsia="zh-CN"/>
                    </w:rPr>
                    <w:t>食堂油烟</w:t>
                  </w:r>
                </w:p>
              </w:tc>
              <w:tc>
                <w:tcPr>
                  <w:tcW w:w="1536" w:type="pct"/>
                  <w:vAlign w:val="center"/>
                </w:tcPr>
                <w:p w14:paraId="71DB4CFA">
                  <w:pPr>
                    <w:adjustRightInd w:val="0"/>
                    <w:snapToGrid w:val="0"/>
                    <w:jc w:val="center"/>
                    <w:rPr>
                      <w:rFonts w:hint="default"/>
                      <w:color w:val="000000"/>
                      <w:szCs w:val="21"/>
                      <w:lang w:val="en-US" w:eastAsia="zh-CN"/>
                    </w:rPr>
                  </w:pPr>
                  <w:r>
                    <w:rPr>
                      <w:rFonts w:hint="eastAsia"/>
                      <w:color w:val="000000"/>
                      <w:szCs w:val="21"/>
                      <w:lang w:val="en-US" w:eastAsia="zh-CN"/>
                    </w:rPr>
                    <w:t>食堂</w:t>
                  </w:r>
                </w:p>
              </w:tc>
              <w:tc>
                <w:tcPr>
                  <w:tcW w:w="1734" w:type="pct"/>
                  <w:vAlign w:val="center"/>
                </w:tcPr>
                <w:p w14:paraId="19A81928">
                  <w:pPr>
                    <w:adjustRightInd w:val="0"/>
                    <w:snapToGrid w:val="0"/>
                    <w:jc w:val="center"/>
                    <w:rPr>
                      <w:rFonts w:hint="eastAsia" w:eastAsia="宋体"/>
                      <w:color w:val="000000"/>
                      <w:szCs w:val="21"/>
                      <w:lang w:eastAsia="zh-CN"/>
                    </w:rPr>
                  </w:pPr>
                  <w:r>
                    <w:rPr>
                      <w:rFonts w:hint="eastAsia"/>
                      <w:color w:val="000000"/>
                      <w:szCs w:val="21"/>
                      <w:lang w:val="en-US" w:eastAsia="zh-CN"/>
                    </w:rPr>
                    <w:t>油烟</w:t>
                  </w:r>
                </w:p>
              </w:tc>
            </w:tr>
            <w:tr w14:paraId="524D7A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562DA705">
                  <w:pPr>
                    <w:adjustRightInd w:val="0"/>
                    <w:snapToGrid w:val="0"/>
                    <w:jc w:val="center"/>
                    <w:rPr>
                      <w:color w:val="000000"/>
                      <w:szCs w:val="21"/>
                    </w:rPr>
                  </w:pPr>
                </w:p>
              </w:tc>
              <w:tc>
                <w:tcPr>
                  <w:tcW w:w="399" w:type="pct"/>
                  <w:vMerge w:val="restart"/>
                  <w:vAlign w:val="center"/>
                </w:tcPr>
                <w:p w14:paraId="306D47A7">
                  <w:pPr>
                    <w:adjustRightInd w:val="0"/>
                    <w:snapToGrid w:val="0"/>
                    <w:jc w:val="center"/>
                    <w:rPr>
                      <w:color w:val="000000"/>
                      <w:szCs w:val="21"/>
                    </w:rPr>
                  </w:pPr>
                  <w:r>
                    <w:rPr>
                      <w:color w:val="000000"/>
                      <w:szCs w:val="21"/>
                    </w:rPr>
                    <w:t>废水</w:t>
                  </w:r>
                </w:p>
              </w:tc>
              <w:tc>
                <w:tcPr>
                  <w:tcW w:w="926" w:type="pct"/>
                  <w:vAlign w:val="center"/>
                </w:tcPr>
                <w:p w14:paraId="6B62AD87">
                  <w:pPr>
                    <w:adjustRightInd w:val="0"/>
                    <w:snapToGrid w:val="0"/>
                    <w:jc w:val="center"/>
                    <w:rPr>
                      <w:color w:val="000000"/>
                      <w:szCs w:val="21"/>
                    </w:rPr>
                  </w:pPr>
                  <w:r>
                    <w:rPr>
                      <w:color w:val="000000"/>
                      <w:szCs w:val="21"/>
                    </w:rPr>
                    <w:t>办公生活区</w:t>
                  </w:r>
                </w:p>
              </w:tc>
              <w:tc>
                <w:tcPr>
                  <w:tcW w:w="1536" w:type="pct"/>
                  <w:vAlign w:val="center"/>
                </w:tcPr>
                <w:p w14:paraId="43A80868">
                  <w:pPr>
                    <w:adjustRightInd w:val="0"/>
                    <w:snapToGrid w:val="0"/>
                    <w:jc w:val="center"/>
                    <w:rPr>
                      <w:rFonts w:hint="default" w:eastAsia="宋体"/>
                      <w:color w:val="000000"/>
                      <w:szCs w:val="21"/>
                      <w:lang w:val="en-US" w:eastAsia="zh-CN"/>
                    </w:rPr>
                  </w:pPr>
                  <w:r>
                    <w:rPr>
                      <w:rFonts w:hint="eastAsia"/>
                      <w:szCs w:val="21"/>
                      <w:lang w:val="en-US" w:eastAsia="zh-CN"/>
                    </w:rPr>
                    <w:t>养老公寓</w:t>
                  </w:r>
                  <w:r>
                    <w:rPr>
                      <w:rFonts w:hint="eastAsia"/>
                      <w:szCs w:val="21"/>
                    </w:rPr>
                    <w:t>、值班室</w:t>
                  </w:r>
                  <w:r>
                    <w:rPr>
                      <w:rFonts w:hint="eastAsia"/>
                      <w:szCs w:val="21"/>
                      <w:lang w:eastAsia="zh-CN"/>
                    </w:rPr>
                    <w:t>、</w:t>
                  </w:r>
                  <w:r>
                    <w:rPr>
                      <w:rFonts w:hint="eastAsia"/>
                      <w:szCs w:val="21"/>
                      <w:lang w:val="en-US" w:eastAsia="zh-CN"/>
                    </w:rPr>
                    <w:t>食堂</w:t>
                  </w:r>
                </w:p>
              </w:tc>
              <w:tc>
                <w:tcPr>
                  <w:tcW w:w="1734" w:type="pct"/>
                  <w:vAlign w:val="center"/>
                </w:tcPr>
                <w:p w14:paraId="20575B12">
                  <w:pPr>
                    <w:tabs>
                      <w:tab w:val="left" w:pos="1021"/>
                    </w:tabs>
                    <w:adjustRightInd w:val="0"/>
                    <w:snapToGrid w:val="0"/>
                    <w:jc w:val="center"/>
                    <w:rPr>
                      <w:color w:val="000000"/>
                      <w:szCs w:val="21"/>
                    </w:rPr>
                  </w:pPr>
                  <w:r>
                    <w:rPr>
                      <w:color w:val="000000"/>
                      <w:szCs w:val="21"/>
                    </w:rPr>
                    <w:t>pH、COD、BOD</w:t>
                  </w:r>
                  <w:r>
                    <w:rPr>
                      <w:color w:val="000000"/>
                      <w:szCs w:val="21"/>
                      <w:vertAlign w:val="subscript"/>
                    </w:rPr>
                    <w:t>5</w:t>
                  </w:r>
                  <w:r>
                    <w:rPr>
                      <w:color w:val="000000"/>
                      <w:szCs w:val="21"/>
                    </w:rPr>
                    <w:t>、SS、NH</w:t>
                  </w:r>
                  <w:r>
                    <w:rPr>
                      <w:color w:val="000000"/>
                      <w:szCs w:val="21"/>
                      <w:vertAlign w:val="subscript"/>
                    </w:rPr>
                    <w:t>3</w:t>
                  </w:r>
                  <w:r>
                    <w:rPr>
                      <w:color w:val="000000"/>
                      <w:szCs w:val="21"/>
                    </w:rPr>
                    <w:t>-N、动植物油</w:t>
                  </w:r>
                  <w:r>
                    <w:rPr>
                      <w:rFonts w:hint="eastAsia"/>
                      <w:color w:val="000000"/>
                      <w:szCs w:val="21"/>
                      <w:lang w:eastAsia="zh-CN"/>
                    </w:rPr>
                    <w:t>、</w:t>
                  </w:r>
                  <w:r>
                    <w:rPr>
                      <w:rFonts w:hint="eastAsia"/>
                      <w:color w:val="000000"/>
                      <w:szCs w:val="21"/>
                      <w:lang w:val="en-US" w:eastAsia="zh-CN"/>
                    </w:rPr>
                    <w:t>氯化物、LAS</w:t>
                  </w:r>
                  <w:r>
                    <w:rPr>
                      <w:color w:val="000000"/>
                      <w:szCs w:val="21"/>
                    </w:rPr>
                    <w:t>等</w:t>
                  </w:r>
                </w:p>
              </w:tc>
            </w:tr>
            <w:tr w14:paraId="0E13E1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78199308">
                  <w:pPr>
                    <w:adjustRightInd w:val="0"/>
                    <w:snapToGrid w:val="0"/>
                    <w:jc w:val="center"/>
                    <w:rPr>
                      <w:color w:val="000000"/>
                      <w:szCs w:val="21"/>
                    </w:rPr>
                  </w:pPr>
                </w:p>
              </w:tc>
              <w:tc>
                <w:tcPr>
                  <w:tcW w:w="399" w:type="pct"/>
                  <w:vMerge w:val="continue"/>
                  <w:vAlign w:val="center"/>
                </w:tcPr>
                <w:p w14:paraId="082A837C">
                  <w:pPr>
                    <w:adjustRightInd w:val="0"/>
                    <w:snapToGrid w:val="0"/>
                    <w:jc w:val="center"/>
                    <w:rPr>
                      <w:color w:val="000000"/>
                      <w:szCs w:val="21"/>
                    </w:rPr>
                  </w:pPr>
                </w:p>
              </w:tc>
              <w:tc>
                <w:tcPr>
                  <w:tcW w:w="926" w:type="pct"/>
                  <w:vAlign w:val="center"/>
                </w:tcPr>
                <w:p w14:paraId="6202E883">
                  <w:pPr>
                    <w:adjustRightInd w:val="0"/>
                    <w:snapToGrid w:val="0"/>
                    <w:jc w:val="center"/>
                    <w:rPr>
                      <w:szCs w:val="21"/>
                    </w:rPr>
                  </w:pPr>
                  <w:r>
                    <w:rPr>
                      <w:rFonts w:hint="eastAsia"/>
                      <w:szCs w:val="21"/>
                      <w:lang w:val="en-US" w:eastAsia="zh-CN"/>
                    </w:rPr>
                    <w:t>医疗</w:t>
                  </w:r>
                </w:p>
              </w:tc>
              <w:tc>
                <w:tcPr>
                  <w:tcW w:w="1536" w:type="pct"/>
                  <w:vAlign w:val="center"/>
                </w:tcPr>
                <w:p w14:paraId="249ED9D6">
                  <w:pPr>
                    <w:adjustRightInd w:val="0"/>
                    <w:snapToGrid w:val="0"/>
                    <w:jc w:val="center"/>
                    <w:rPr>
                      <w:rFonts w:hint="default" w:eastAsia="宋体"/>
                      <w:szCs w:val="21"/>
                      <w:lang w:val="en-US" w:eastAsia="zh-CN"/>
                    </w:rPr>
                  </w:pPr>
                  <w:r>
                    <w:rPr>
                      <w:rFonts w:hint="eastAsia"/>
                      <w:szCs w:val="21"/>
                    </w:rPr>
                    <w:t>医疗</w:t>
                  </w:r>
                  <w:r>
                    <w:rPr>
                      <w:rFonts w:hint="eastAsia"/>
                      <w:szCs w:val="21"/>
                      <w:lang w:eastAsia="zh-CN"/>
                    </w:rPr>
                    <w:t>、</w:t>
                  </w:r>
                  <w:r>
                    <w:rPr>
                      <w:rFonts w:hint="eastAsia"/>
                      <w:szCs w:val="21"/>
                      <w:lang w:val="en-US" w:eastAsia="zh-CN"/>
                    </w:rPr>
                    <w:t>门诊、检验</w:t>
                  </w:r>
                </w:p>
              </w:tc>
              <w:tc>
                <w:tcPr>
                  <w:tcW w:w="1734" w:type="pct"/>
                  <w:vAlign w:val="center"/>
                </w:tcPr>
                <w:p w14:paraId="7D179DF6">
                  <w:pPr>
                    <w:tabs>
                      <w:tab w:val="left" w:pos="1021"/>
                    </w:tabs>
                    <w:adjustRightInd w:val="0"/>
                    <w:snapToGrid w:val="0"/>
                    <w:jc w:val="center"/>
                    <w:rPr>
                      <w:szCs w:val="21"/>
                    </w:rPr>
                  </w:pPr>
                  <w:r>
                    <w:rPr>
                      <w:szCs w:val="21"/>
                    </w:rPr>
                    <w:t>pH、COD、BOD</w:t>
                  </w:r>
                  <w:r>
                    <w:rPr>
                      <w:szCs w:val="21"/>
                      <w:vertAlign w:val="subscript"/>
                    </w:rPr>
                    <w:t>5</w:t>
                  </w:r>
                  <w:r>
                    <w:rPr>
                      <w:szCs w:val="21"/>
                    </w:rPr>
                    <w:t>、SS、NH</w:t>
                  </w:r>
                  <w:r>
                    <w:rPr>
                      <w:szCs w:val="21"/>
                      <w:vertAlign w:val="subscript"/>
                    </w:rPr>
                    <w:t>3</w:t>
                  </w:r>
                  <w:r>
                    <w:rPr>
                      <w:szCs w:val="21"/>
                    </w:rPr>
                    <w:t>-N、</w:t>
                  </w:r>
                  <w:r>
                    <w:rPr>
                      <w:rFonts w:hint="eastAsia"/>
                      <w:szCs w:val="21"/>
                    </w:rPr>
                    <w:t>粪大肠菌群</w:t>
                  </w:r>
                  <w:r>
                    <w:rPr>
                      <w:szCs w:val="21"/>
                    </w:rPr>
                    <w:t>等</w:t>
                  </w:r>
                </w:p>
              </w:tc>
            </w:tr>
            <w:tr w14:paraId="2B9EE3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192EA8D6">
                  <w:pPr>
                    <w:adjustRightInd w:val="0"/>
                    <w:snapToGrid w:val="0"/>
                    <w:jc w:val="center"/>
                    <w:rPr>
                      <w:color w:val="000000"/>
                      <w:szCs w:val="21"/>
                    </w:rPr>
                  </w:pPr>
                </w:p>
              </w:tc>
              <w:tc>
                <w:tcPr>
                  <w:tcW w:w="399" w:type="pct"/>
                  <w:vAlign w:val="center"/>
                </w:tcPr>
                <w:p w14:paraId="2E0FCEDE">
                  <w:pPr>
                    <w:adjustRightInd w:val="0"/>
                    <w:snapToGrid w:val="0"/>
                    <w:jc w:val="center"/>
                    <w:rPr>
                      <w:color w:val="000000"/>
                      <w:szCs w:val="21"/>
                    </w:rPr>
                  </w:pPr>
                  <w:r>
                    <w:rPr>
                      <w:color w:val="000000"/>
                      <w:szCs w:val="21"/>
                    </w:rPr>
                    <w:t>噪声</w:t>
                  </w:r>
                </w:p>
              </w:tc>
              <w:tc>
                <w:tcPr>
                  <w:tcW w:w="926" w:type="pct"/>
                  <w:vAlign w:val="center"/>
                </w:tcPr>
                <w:p w14:paraId="2F7FEC2C">
                  <w:pPr>
                    <w:adjustRightInd w:val="0"/>
                    <w:snapToGrid w:val="0"/>
                    <w:jc w:val="center"/>
                    <w:rPr>
                      <w:color w:val="000000"/>
                      <w:szCs w:val="21"/>
                    </w:rPr>
                  </w:pPr>
                  <w:r>
                    <w:rPr>
                      <w:color w:val="000000"/>
                      <w:szCs w:val="21"/>
                    </w:rPr>
                    <w:t>设备</w:t>
                  </w:r>
                  <w:r>
                    <w:rPr>
                      <w:rFonts w:hint="eastAsia"/>
                      <w:color w:val="000000"/>
                      <w:szCs w:val="21"/>
                    </w:rPr>
                    <w:t>及门诊</w:t>
                  </w:r>
                </w:p>
              </w:tc>
              <w:tc>
                <w:tcPr>
                  <w:tcW w:w="1536" w:type="pct"/>
                  <w:vAlign w:val="center"/>
                </w:tcPr>
                <w:p w14:paraId="59941F70">
                  <w:pPr>
                    <w:adjustRightInd w:val="0"/>
                    <w:snapToGrid w:val="0"/>
                    <w:jc w:val="center"/>
                    <w:rPr>
                      <w:color w:val="000000"/>
                      <w:szCs w:val="21"/>
                    </w:rPr>
                  </w:pPr>
                  <w:r>
                    <w:rPr>
                      <w:rFonts w:hint="eastAsia"/>
                      <w:color w:val="000000"/>
                      <w:szCs w:val="21"/>
                    </w:rPr>
                    <w:t>水处理</w:t>
                  </w:r>
                  <w:r>
                    <w:rPr>
                      <w:color w:val="000000"/>
                      <w:szCs w:val="21"/>
                    </w:rPr>
                    <w:t>设备</w:t>
                  </w:r>
                  <w:r>
                    <w:rPr>
                      <w:rFonts w:hint="eastAsia"/>
                      <w:color w:val="000000"/>
                      <w:szCs w:val="21"/>
                    </w:rPr>
                    <w:t>噪声、门诊社会噪声、通风设备噪声</w:t>
                  </w:r>
                </w:p>
              </w:tc>
              <w:tc>
                <w:tcPr>
                  <w:tcW w:w="1734" w:type="pct"/>
                  <w:vAlign w:val="center"/>
                </w:tcPr>
                <w:p w14:paraId="2286E228">
                  <w:pPr>
                    <w:adjustRightInd w:val="0"/>
                    <w:snapToGrid w:val="0"/>
                    <w:jc w:val="center"/>
                    <w:rPr>
                      <w:color w:val="000000"/>
                      <w:szCs w:val="21"/>
                    </w:rPr>
                  </w:pPr>
                  <w:r>
                    <w:rPr>
                      <w:color w:val="000000"/>
                      <w:szCs w:val="21"/>
                    </w:rPr>
                    <w:t>等效A声级</w:t>
                  </w:r>
                </w:p>
              </w:tc>
            </w:tr>
            <w:tr w14:paraId="5325A1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3" w:hRule="atLeast"/>
                <w:jc w:val="center"/>
              </w:trPr>
              <w:tc>
                <w:tcPr>
                  <w:tcW w:w="403" w:type="pct"/>
                  <w:vMerge w:val="continue"/>
                  <w:vAlign w:val="center"/>
                </w:tcPr>
                <w:p w14:paraId="53FC161D">
                  <w:pPr>
                    <w:adjustRightInd w:val="0"/>
                    <w:snapToGrid w:val="0"/>
                    <w:jc w:val="center"/>
                    <w:rPr>
                      <w:color w:val="000000"/>
                      <w:szCs w:val="21"/>
                    </w:rPr>
                  </w:pPr>
                </w:p>
              </w:tc>
              <w:tc>
                <w:tcPr>
                  <w:tcW w:w="399" w:type="pct"/>
                  <w:vMerge w:val="restart"/>
                  <w:vAlign w:val="center"/>
                </w:tcPr>
                <w:p w14:paraId="08E92750">
                  <w:pPr>
                    <w:adjustRightInd w:val="0"/>
                    <w:snapToGrid w:val="0"/>
                    <w:jc w:val="center"/>
                    <w:rPr>
                      <w:color w:val="000000"/>
                      <w:szCs w:val="21"/>
                    </w:rPr>
                  </w:pPr>
                  <w:r>
                    <w:rPr>
                      <w:color w:val="000000"/>
                      <w:szCs w:val="21"/>
                    </w:rPr>
                    <w:t>固废</w:t>
                  </w:r>
                </w:p>
              </w:tc>
              <w:tc>
                <w:tcPr>
                  <w:tcW w:w="926" w:type="pct"/>
                  <w:vAlign w:val="center"/>
                </w:tcPr>
                <w:p w14:paraId="7395D431">
                  <w:pPr>
                    <w:adjustRightInd w:val="0"/>
                    <w:snapToGrid w:val="0"/>
                    <w:jc w:val="center"/>
                    <w:rPr>
                      <w:rFonts w:hint="default" w:eastAsia="宋体"/>
                      <w:color w:val="000000"/>
                      <w:szCs w:val="21"/>
                      <w:lang w:val="en-US" w:eastAsia="zh-CN"/>
                    </w:rPr>
                  </w:pPr>
                  <w:r>
                    <w:rPr>
                      <w:rFonts w:hint="eastAsia"/>
                      <w:color w:val="000000"/>
                      <w:szCs w:val="21"/>
                      <w:lang w:val="en-US" w:eastAsia="zh-CN"/>
                    </w:rPr>
                    <w:t>综合楼</w:t>
                  </w:r>
                </w:p>
              </w:tc>
              <w:tc>
                <w:tcPr>
                  <w:tcW w:w="1536" w:type="pct"/>
                  <w:vAlign w:val="center"/>
                </w:tcPr>
                <w:p w14:paraId="55FA5B7A">
                  <w:pPr>
                    <w:adjustRightInd w:val="0"/>
                    <w:snapToGrid w:val="0"/>
                    <w:jc w:val="center"/>
                    <w:rPr>
                      <w:color w:val="000000"/>
                      <w:szCs w:val="21"/>
                    </w:rPr>
                  </w:pPr>
                  <w:r>
                    <w:rPr>
                      <w:rFonts w:hint="eastAsia"/>
                      <w:color w:val="000000"/>
                      <w:szCs w:val="21"/>
                    </w:rPr>
                    <w:t>医疗废物</w:t>
                  </w:r>
                </w:p>
              </w:tc>
              <w:tc>
                <w:tcPr>
                  <w:tcW w:w="1734" w:type="pct"/>
                  <w:vAlign w:val="center"/>
                </w:tcPr>
                <w:p w14:paraId="009444F2">
                  <w:pPr>
                    <w:pStyle w:val="115"/>
                    <w:spacing w:beforeLines="0" w:line="240" w:lineRule="auto"/>
                    <w:rPr>
                      <w:rFonts w:ascii="Times New Roman" w:hAnsi="Times New Roman"/>
                      <w:color w:val="000000"/>
                      <w:szCs w:val="21"/>
                    </w:rPr>
                  </w:pPr>
                  <w:r>
                    <w:rPr>
                      <w:rFonts w:hint="eastAsia" w:ascii="Times New Roman" w:hAnsi="Times New Roman"/>
                      <w:color w:val="000000"/>
                      <w:szCs w:val="21"/>
                    </w:rPr>
                    <w:t>医疗废物</w:t>
                  </w:r>
                </w:p>
              </w:tc>
            </w:tr>
            <w:tr w14:paraId="7D321B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60D1EEF3">
                  <w:pPr>
                    <w:adjustRightInd w:val="0"/>
                    <w:snapToGrid w:val="0"/>
                    <w:jc w:val="center"/>
                    <w:rPr>
                      <w:color w:val="000000"/>
                      <w:szCs w:val="21"/>
                    </w:rPr>
                  </w:pPr>
                </w:p>
              </w:tc>
              <w:tc>
                <w:tcPr>
                  <w:tcW w:w="399" w:type="pct"/>
                  <w:vMerge w:val="continue"/>
                  <w:vAlign w:val="center"/>
                </w:tcPr>
                <w:p w14:paraId="476E49BA">
                  <w:pPr>
                    <w:adjustRightInd w:val="0"/>
                    <w:snapToGrid w:val="0"/>
                    <w:jc w:val="center"/>
                    <w:rPr>
                      <w:color w:val="000000"/>
                      <w:szCs w:val="21"/>
                    </w:rPr>
                  </w:pPr>
                </w:p>
              </w:tc>
              <w:tc>
                <w:tcPr>
                  <w:tcW w:w="926" w:type="pct"/>
                  <w:vAlign w:val="center"/>
                </w:tcPr>
                <w:p w14:paraId="580DF3CA">
                  <w:pPr>
                    <w:adjustRightInd w:val="0"/>
                    <w:snapToGrid w:val="0"/>
                    <w:jc w:val="center"/>
                    <w:rPr>
                      <w:rFonts w:hint="eastAsia" w:eastAsia="宋体"/>
                      <w:color w:val="FF0000"/>
                      <w:szCs w:val="21"/>
                      <w:lang w:val="en-US" w:eastAsia="zh-CN"/>
                    </w:rPr>
                  </w:pPr>
                  <w:r>
                    <w:rPr>
                      <w:rFonts w:hint="eastAsia"/>
                      <w:color w:val="000000"/>
                      <w:szCs w:val="21"/>
                      <w:lang w:val="en-US" w:eastAsia="zh-CN"/>
                    </w:rPr>
                    <w:t>综合楼</w:t>
                  </w:r>
                </w:p>
              </w:tc>
              <w:tc>
                <w:tcPr>
                  <w:tcW w:w="1536" w:type="pct"/>
                  <w:vAlign w:val="center"/>
                </w:tcPr>
                <w:p w14:paraId="73D40A73">
                  <w:pPr>
                    <w:pStyle w:val="115"/>
                    <w:spacing w:beforeLines="0" w:line="240" w:lineRule="auto"/>
                    <w:rPr>
                      <w:rFonts w:hint="eastAsia" w:ascii="Times New Roman" w:hAnsi="Times New Roman" w:eastAsia="宋体"/>
                      <w:color w:val="auto"/>
                      <w:szCs w:val="21"/>
                      <w:lang w:val="en-US" w:eastAsia="zh-CN"/>
                    </w:rPr>
                  </w:pPr>
                  <w:r>
                    <w:rPr>
                      <w:rFonts w:hint="eastAsia" w:ascii="Times New Roman" w:hAnsi="Times New Roman" w:eastAsia="宋体"/>
                      <w:color w:val="auto"/>
                      <w:szCs w:val="21"/>
                      <w:lang w:val="en-US" w:eastAsia="zh-CN"/>
                    </w:rPr>
                    <w:t>未被污染的输</w:t>
                  </w:r>
                </w:p>
                <w:p w14:paraId="38362687">
                  <w:pPr>
                    <w:adjustRightInd w:val="0"/>
                    <w:snapToGrid w:val="0"/>
                    <w:jc w:val="center"/>
                    <w:rPr>
                      <w:rFonts w:hint="eastAsia" w:eastAsia="宋体"/>
                      <w:color w:val="FF0000"/>
                      <w:szCs w:val="21"/>
                      <w:lang w:val="en-US" w:eastAsia="zh-CN"/>
                    </w:rPr>
                  </w:pPr>
                  <w:r>
                    <w:rPr>
                      <w:rFonts w:hint="eastAsia" w:ascii="Times New Roman" w:hAnsi="Times New Roman" w:eastAsia="宋体"/>
                      <w:color w:val="auto"/>
                      <w:szCs w:val="21"/>
                      <w:lang w:val="en-US" w:eastAsia="zh-CN"/>
                    </w:rPr>
                    <w:t>液瓶（袋）</w:t>
                  </w:r>
                </w:p>
              </w:tc>
              <w:tc>
                <w:tcPr>
                  <w:tcW w:w="1734" w:type="pct"/>
                  <w:vAlign w:val="center"/>
                </w:tcPr>
                <w:p w14:paraId="0AD26313">
                  <w:pPr>
                    <w:pStyle w:val="115"/>
                    <w:spacing w:beforeLines="0" w:line="240" w:lineRule="auto"/>
                    <w:rPr>
                      <w:rFonts w:hint="eastAsia" w:ascii="Times New Roman" w:hAnsi="Times New Roman" w:eastAsia="宋体"/>
                      <w:color w:val="auto"/>
                      <w:szCs w:val="21"/>
                      <w:lang w:val="en-US" w:eastAsia="zh-CN"/>
                    </w:rPr>
                  </w:pPr>
                  <w:r>
                    <w:rPr>
                      <w:rFonts w:hint="eastAsia" w:ascii="Times New Roman" w:hAnsi="Times New Roman" w:eastAsia="宋体"/>
                      <w:color w:val="auto"/>
                      <w:szCs w:val="21"/>
                      <w:lang w:val="en-US" w:eastAsia="zh-CN"/>
                    </w:rPr>
                    <w:t>未被污染的输</w:t>
                  </w:r>
                </w:p>
                <w:p w14:paraId="79852211">
                  <w:pPr>
                    <w:pStyle w:val="115"/>
                    <w:spacing w:beforeLines="0" w:line="240" w:lineRule="auto"/>
                    <w:rPr>
                      <w:rFonts w:hint="eastAsia" w:ascii="Times New Roman" w:hAnsi="Times New Roman" w:eastAsia="宋体"/>
                      <w:color w:val="FF0000"/>
                      <w:szCs w:val="21"/>
                      <w:lang w:val="en-US" w:eastAsia="zh-CN"/>
                    </w:rPr>
                  </w:pPr>
                  <w:r>
                    <w:rPr>
                      <w:rFonts w:hint="eastAsia" w:ascii="Times New Roman" w:hAnsi="Times New Roman" w:eastAsia="宋体"/>
                      <w:color w:val="auto"/>
                      <w:szCs w:val="21"/>
                      <w:lang w:val="en-US" w:eastAsia="zh-CN"/>
                    </w:rPr>
                    <w:t>液瓶（袋）</w:t>
                  </w:r>
                </w:p>
              </w:tc>
            </w:tr>
            <w:tr w14:paraId="37C36F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623C266B">
                  <w:pPr>
                    <w:adjustRightInd w:val="0"/>
                    <w:snapToGrid w:val="0"/>
                    <w:jc w:val="center"/>
                    <w:rPr>
                      <w:color w:val="000000"/>
                      <w:szCs w:val="21"/>
                    </w:rPr>
                  </w:pPr>
                </w:p>
              </w:tc>
              <w:tc>
                <w:tcPr>
                  <w:tcW w:w="399" w:type="pct"/>
                  <w:vMerge w:val="continue"/>
                  <w:vAlign w:val="center"/>
                </w:tcPr>
                <w:p w14:paraId="0F53E912">
                  <w:pPr>
                    <w:adjustRightInd w:val="0"/>
                    <w:snapToGrid w:val="0"/>
                    <w:jc w:val="center"/>
                    <w:rPr>
                      <w:color w:val="000000"/>
                      <w:szCs w:val="21"/>
                    </w:rPr>
                  </w:pPr>
                </w:p>
              </w:tc>
              <w:tc>
                <w:tcPr>
                  <w:tcW w:w="926" w:type="pct"/>
                  <w:vAlign w:val="center"/>
                </w:tcPr>
                <w:p w14:paraId="7351D071">
                  <w:pPr>
                    <w:adjustRightInd w:val="0"/>
                    <w:snapToGrid w:val="0"/>
                    <w:jc w:val="center"/>
                    <w:rPr>
                      <w:rFonts w:hint="default"/>
                      <w:color w:val="auto"/>
                      <w:szCs w:val="21"/>
                      <w:lang w:val="en-US" w:eastAsia="zh-CN"/>
                    </w:rPr>
                  </w:pPr>
                  <w:r>
                    <w:rPr>
                      <w:rFonts w:hint="default"/>
                      <w:color w:val="auto"/>
                      <w:szCs w:val="21"/>
                      <w:lang w:val="en-US" w:eastAsia="zh-CN"/>
                    </w:rPr>
                    <w:t>药房</w:t>
                  </w:r>
                  <w:r>
                    <w:rPr>
                      <w:rFonts w:hint="eastAsia"/>
                      <w:color w:val="auto"/>
                      <w:szCs w:val="21"/>
                      <w:lang w:val="en-US" w:eastAsia="zh-CN"/>
                    </w:rPr>
                    <w:t>、仓库</w:t>
                  </w:r>
                  <w:r>
                    <w:rPr>
                      <w:rFonts w:hint="default"/>
                      <w:color w:val="auto"/>
                      <w:szCs w:val="21"/>
                      <w:lang w:val="en-US" w:eastAsia="zh-CN"/>
                    </w:rPr>
                    <w:t>等</w:t>
                  </w:r>
                </w:p>
              </w:tc>
              <w:tc>
                <w:tcPr>
                  <w:tcW w:w="1536" w:type="pct"/>
                  <w:vAlign w:val="center"/>
                </w:tcPr>
                <w:p w14:paraId="6367CC5A">
                  <w:pPr>
                    <w:adjustRightInd w:val="0"/>
                    <w:snapToGrid w:val="0"/>
                    <w:jc w:val="center"/>
                    <w:rPr>
                      <w:rFonts w:hint="eastAsia"/>
                      <w:color w:val="auto"/>
                      <w:szCs w:val="21"/>
                      <w:lang w:val="en-US" w:eastAsia="zh-CN"/>
                    </w:rPr>
                  </w:pPr>
                  <w:r>
                    <w:rPr>
                      <w:rFonts w:hint="eastAsia" w:ascii="Times New Roman" w:hAnsi="Times New Roman"/>
                      <w:color w:val="auto"/>
                      <w:szCs w:val="21"/>
                      <w:lang w:val="en-US" w:eastAsia="zh-CN"/>
                    </w:rPr>
                    <w:t>包装材料</w:t>
                  </w:r>
                </w:p>
              </w:tc>
              <w:tc>
                <w:tcPr>
                  <w:tcW w:w="1734" w:type="pct"/>
                  <w:vAlign w:val="center"/>
                </w:tcPr>
                <w:p w14:paraId="63A6587B">
                  <w:pPr>
                    <w:pStyle w:val="115"/>
                    <w:spacing w:beforeLines="0" w:line="240" w:lineRule="auto"/>
                    <w:rPr>
                      <w:rFonts w:hint="default" w:ascii="Times New Roman" w:hAnsi="Times New Roman"/>
                      <w:color w:val="FF0000"/>
                      <w:szCs w:val="21"/>
                      <w:lang w:val="en-US" w:eastAsia="zh-CN"/>
                    </w:rPr>
                  </w:pPr>
                  <w:r>
                    <w:rPr>
                      <w:rFonts w:hint="eastAsia" w:ascii="Times New Roman" w:hAnsi="Times New Roman"/>
                      <w:color w:val="auto"/>
                      <w:szCs w:val="21"/>
                      <w:lang w:val="en-US" w:eastAsia="zh-CN"/>
                    </w:rPr>
                    <w:t>废包装材料</w:t>
                  </w:r>
                </w:p>
              </w:tc>
            </w:tr>
            <w:tr w14:paraId="47E43E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66C600CD">
                  <w:pPr>
                    <w:adjustRightInd w:val="0"/>
                    <w:snapToGrid w:val="0"/>
                    <w:jc w:val="center"/>
                    <w:rPr>
                      <w:color w:val="000000"/>
                      <w:szCs w:val="21"/>
                    </w:rPr>
                  </w:pPr>
                </w:p>
              </w:tc>
              <w:tc>
                <w:tcPr>
                  <w:tcW w:w="399" w:type="pct"/>
                  <w:vMerge w:val="continue"/>
                  <w:vAlign w:val="center"/>
                </w:tcPr>
                <w:p w14:paraId="224DD5CD">
                  <w:pPr>
                    <w:adjustRightInd w:val="0"/>
                    <w:snapToGrid w:val="0"/>
                    <w:jc w:val="center"/>
                    <w:rPr>
                      <w:color w:val="000000"/>
                      <w:szCs w:val="21"/>
                    </w:rPr>
                  </w:pPr>
                </w:p>
              </w:tc>
              <w:tc>
                <w:tcPr>
                  <w:tcW w:w="926" w:type="pct"/>
                  <w:vAlign w:val="center"/>
                </w:tcPr>
                <w:p w14:paraId="1F0FDC89">
                  <w:pPr>
                    <w:adjustRightInd w:val="0"/>
                    <w:snapToGrid w:val="0"/>
                    <w:jc w:val="center"/>
                    <w:rPr>
                      <w:color w:val="000000"/>
                      <w:szCs w:val="21"/>
                    </w:rPr>
                  </w:pPr>
                  <w:r>
                    <w:rPr>
                      <w:rFonts w:hint="eastAsia"/>
                      <w:color w:val="000000"/>
                      <w:szCs w:val="21"/>
                    </w:rPr>
                    <w:t>污水处理站</w:t>
                  </w:r>
                </w:p>
              </w:tc>
              <w:tc>
                <w:tcPr>
                  <w:tcW w:w="1536" w:type="pct"/>
                  <w:vAlign w:val="center"/>
                </w:tcPr>
                <w:p w14:paraId="3E8C3D0D">
                  <w:pPr>
                    <w:adjustRightInd w:val="0"/>
                    <w:snapToGrid w:val="0"/>
                    <w:jc w:val="center"/>
                    <w:rPr>
                      <w:color w:val="000000"/>
                      <w:szCs w:val="21"/>
                    </w:rPr>
                  </w:pPr>
                  <w:r>
                    <w:rPr>
                      <w:rFonts w:hint="eastAsia"/>
                      <w:color w:val="000000"/>
                      <w:szCs w:val="21"/>
                    </w:rPr>
                    <w:t>污水处理</w:t>
                  </w:r>
                </w:p>
              </w:tc>
              <w:tc>
                <w:tcPr>
                  <w:tcW w:w="1734" w:type="pct"/>
                  <w:vAlign w:val="center"/>
                </w:tcPr>
                <w:p w14:paraId="250EE7ED">
                  <w:pPr>
                    <w:pStyle w:val="115"/>
                    <w:spacing w:beforeLines="0" w:line="240" w:lineRule="auto"/>
                    <w:rPr>
                      <w:rFonts w:ascii="Times New Roman" w:hAnsi="Times New Roman"/>
                      <w:color w:val="000000"/>
                      <w:szCs w:val="21"/>
                    </w:rPr>
                  </w:pPr>
                  <w:r>
                    <w:rPr>
                      <w:rFonts w:hint="eastAsia"/>
                      <w:color w:val="000000"/>
                      <w:szCs w:val="21"/>
                    </w:rPr>
                    <w:t>污泥</w:t>
                  </w:r>
                </w:p>
              </w:tc>
            </w:tr>
            <w:tr w14:paraId="3E2A73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550BDE8E">
                  <w:pPr>
                    <w:adjustRightInd w:val="0"/>
                    <w:snapToGrid w:val="0"/>
                    <w:jc w:val="center"/>
                    <w:rPr>
                      <w:color w:val="000000"/>
                      <w:szCs w:val="21"/>
                    </w:rPr>
                  </w:pPr>
                </w:p>
              </w:tc>
              <w:tc>
                <w:tcPr>
                  <w:tcW w:w="399" w:type="pct"/>
                  <w:vMerge w:val="continue"/>
                  <w:vAlign w:val="center"/>
                </w:tcPr>
                <w:p w14:paraId="774552C4">
                  <w:pPr>
                    <w:adjustRightInd w:val="0"/>
                    <w:snapToGrid w:val="0"/>
                    <w:jc w:val="center"/>
                    <w:rPr>
                      <w:color w:val="000000"/>
                      <w:szCs w:val="21"/>
                    </w:rPr>
                  </w:pPr>
                </w:p>
              </w:tc>
              <w:tc>
                <w:tcPr>
                  <w:tcW w:w="926" w:type="pct"/>
                  <w:vAlign w:val="center"/>
                </w:tcPr>
                <w:p w14:paraId="18704F08">
                  <w:pPr>
                    <w:adjustRightInd w:val="0"/>
                    <w:snapToGrid w:val="0"/>
                    <w:jc w:val="center"/>
                    <w:rPr>
                      <w:rFonts w:hint="eastAsia" w:eastAsia="宋体"/>
                      <w:color w:val="000000"/>
                      <w:szCs w:val="21"/>
                      <w:lang w:val="en-US" w:eastAsia="zh-CN"/>
                    </w:rPr>
                  </w:pPr>
                  <w:r>
                    <w:rPr>
                      <w:rFonts w:hint="eastAsia"/>
                      <w:color w:val="000000"/>
                      <w:szCs w:val="21"/>
                      <w:lang w:val="en-US" w:eastAsia="zh-CN"/>
                    </w:rPr>
                    <w:t>隔油池</w:t>
                  </w:r>
                </w:p>
              </w:tc>
              <w:tc>
                <w:tcPr>
                  <w:tcW w:w="1536" w:type="pct"/>
                  <w:vAlign w:val="center"/>
                </w:tcPr>
                <w:p w14:paraId="567319A6">
                  <w:pPr>
                    <w:adjustRightInd w:val="0"/>
                    <w:snapToGrid w:val="0"/>
                    <w:jc w:val="center"/>
                    <w:rPr>
                      <w:rFonts w:hint="eastAsia"/>
                      <w:color w:val="000000"/>
                      <w:szCs w:val="21"/>
                    </w:rPr>
                  </w:pPr>
                  <w:r>
                    <w:rPr>
                      <w:rFonts w:hint="eastAsia"/>
                      <w:color w:val="000000"/>
                      <w:szCs w:val="21"/>
                    </w:rPr>
                    <w:t>污水处理</w:t>
                  </w:r>
                </w:p>
              </w:tc>
              <w:tc>
                <w:tcPr>
                  <w:tcW w:w="1734" w:type="pct"/>
                  <w:vAlign w:val="center"/>
                </w:tcPr>
                <w:p w14:paraId="095ED23A">
                  <w:pPr>
                    <w:pStyle w:val="115"/>
                    <w:spacing w:beforeLines="0" w:line="240" w:lineRule="auto"/>
                    <w:rPr>
                      <w:rFonts w:hint="eastAsia" w:eastAsia="宋体"/>
                      <w:color w:val="000000"/>
                      <w:szCs w:val="21"/>
                      <w:lang w:val="en-US" w:eastAsia="zh-CN"/>
                    </w:rPr>
                  </w:pPr>
                  <w:r>
                    <w:rPr>
                      <w:rFonts w:hint="eastAsia"/>
                      <w:color w:val="000000"/>
                      <w:szCs w:val="21"/>
                      <w:lang w:val="en-US" w:eastAsia="zh-CN"/>
                    </w:rPr>
                    <w:t>油脂</w:t>
                  </w:r>
                </w:p>
              </w:tc>
            </w:tr>
            <w:tr w14:paraId="58A954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01AB43C6">
                  <w:pPr>
                    <w:adjustRightInd w:val="0"/>
                    <w:snapToGrid w:val="0"/>
                    <w:jc w:val="center"/>
                    <w:rPr>
                      <w:color w:val="000000"/>
                      <w:szCs w:val="21"/>
                    </w:rPr>
                  </w:pPr>
                </w:p>
              </w:tc>
              <w:tc>
                <w:tcPr>
                  <w:tcW w:w="399" w:type="pct"/>
                  <w:vMerge w:val="continue"/>
                  <w:vAlign w:val="center"/>
                </w:tcPr>
                <w:p w14:paraId="29FE9C1B">
                  <w:pPr>
                    <w:adjustRightInd w:val="0"/>
                    <w:snapToGrid w:val="0"/>
                    <w:jc w:val="center"/>
                    <w:rPr>
                      <w:color w:val="000000"/>
                      <w:szCs w:val="21"/>
                    </w:rPr>
                  </w:pPr>
                </w:p>
              </w:tc>
              <w:tc>
                <w:tcPr>
                  <w:tcW w:w="926" w:type="pct"/>
                  <w:vAlign w:val="center"/>
                </w:tcPr>
                <w:p w14:paraId="27B77A59">
                  <w:pPr>
                    <w:adjustRightInd w:val="0"/>
                    <w:snapToGrid w:val="0"/>
                    <w:jc w:val="center"/>
                    <w:rPr>
                      <w:color w:val="000000"/>
                      <w:szCs w:val="21"/>
                    </w:rPr>
                  </w:pPr>
                  <w:r>
                    <w:rPr>
                      <w:rFonts w:hint="eastAsia"/>
                      <w:color w:val="000000"/>
                      <w:szCs w:val="21"/>
                      <w:lang w:val="en-US" w:eastAsia="zh-CN"/>
                    </w:rPr>
                    <w:t>养老公寓、日间照料中心、健康养老服务中心</w:t>
                  </w:r>
                </w:p>
              </w:tc>
              <w:tc>
                <w:tcPr>
                  <w:tcW w:w="1536" w:type="pct"/>
                  <w:vAlign w:val="center"/>
                </w:tcPr>
                <w:p w14:paraId="44DD6732">
                  <w:pPr>
                    <w:adjustRightInd w:val="0"/>
                    <w:snapToGrid w:val="0"/>
                    <w:jc w:val="center"/>
                    <w:rPr>
                      <w:color w:val="000000"/>
                      <w:szCs w:val="21"/>
                    </w:rPr>
                  </w:pPr>
                  <w:r>
                    <w:rPr>
                      <w:rFonts w:hint="eastAsia"/>
                      <w:color w:val="000000"/>
                      <w:szCs w:val="21"/>
                    </w:rPr>
                    <w:t>办公</w:t>
                  </w:r>
                  <w:r>
                    <w:rPr>
                      <w:rFonts w:hint="eastAsia"/>
                      <w:color w:val="000000"/>
                      <w:szCs w:val="21"/>
                      <w:lang w:eastAsia="zh-CN"/>
                    </w:rPr>
                    <w:t>、</w:t>
                  </w:r>
                  <w:r>
                    <w:rPr>
                      <w:rFonts w:hint="eastAsia"/>
                      <w:color w:val="000000"/>
                      <w:szCs w:val="21"/>
                    </w:rPr>
                    <w:t>生活</w:t>
                  </w:r>
                </w:p>
              </w:tc>
              <w:tc>
                <w:tcPr>
                  <w:tcW w:w="1734" w:type="pct"/>
                  <w:vAlign w:val="center"/>
                </w:tcPr>
                <w:p w14:paraId="7CCCD236">
                  <w:pPr>
                    <w:pStyle w:val="115"/>
                    <w:spacing w:beforeLines="0" w:line="240" w:lineRule="auto"/>
                    <w:rPr>
                      <w:rFonts w:ascii="Times New Roman" w:hAnsi="Times New Roman"/>
                      <w:color w:val="000000"/>
                      <w:szCs w:val="21"/>
                    </w:rPr>
                  </w:pPr>
                  <w:r>
                    <w:rPr>
                      <w:rFonts w:hint="eastAsia" w:ascii="Times New Roman" w:hAnsi="Times New Roman"/>
                      <w:color w:val="000000"/>
                      <w:szCs w:val="21"/>
                    </w:rPr>
                    <w:t>生活垃圾</w:t>
                  </w:r>
                </w:p>
              </w:tc>
            </w:tr>
            <w:tr w14:paraId="37D374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403" w:type="pct"/>
                  <w:vMerge w:val="continue"/>
                  <w:vAlign w:val="center"/>
                </w:tcPr>
                <w:p w14:paraId="30465597">
                  <w:pPr>
                    <w:adjustRightInd w:val="0"/>
                    <w:snapToGrid w:val="0"/>
                    <w:jc w:val="center"/>
                    <w:rPr>
                      <w:color w:val="000000"/>
                      <w:szCs w:val="21"/>
                    </w:rPr>
                  </w:pPr>
                </w:p>
              </w:tc>
              <w:tc>
                <w:tcPr>
                  <w:tcW w:w="399" w:type="pct"/>
                  <w:vMerge w:val="continue"/>
                  <w:vAlign w:val="center"/>
                </w:tcPr>
                <w:p w14:paraId="2AD27ACC">
                  <w:pPr>
                    <w:adjustRightInd w:val="0"/>
                    <w:snapToGrid w:val="0"/>
                    <w:jc w:val="center"/>
                    <w:rPr>
                      <w:color w:val="000000"/>
                      <w:szCs w:val="21"/>
                    </w:rPr>
                  </w:pPr>
                </w:p>
              </w:tc>
              <w:tc>
                <w:tcPr>
                  <w:tcW w:w="926" w:type="pct"/>
                  <w:vAlign w:val="center"/>
                </w:tcPr>
                <w:p w14:paraId="737F9B1F">
                  <w:pPr>
                    <w:adjustRightInd w:val="0"/>
                    <w:snapToGrid w:val="0"/>
                    <w:jc w:val="center"/>
                    <w:rPr>
                      <w:rFonts w:hint="default"/>
                      <w:color w:val="000000"/>
                      <w:szCs w:val="21"/>
                      <w:lang w:val="en-US" w:eastAsia="zh-CN"/>
                    </w:rPr>
                  </w:pPr>
                  <w:r>
                    <w:rPr>
                      <w:rFonts w:hint="eastAsia"/>
                      <w:color w:val="000000"/>
                      <w:szCs w:val="21"/>
                      <w:lang w:val="en-US" w:eastAsia="zh-CN"/>
                    </w:rPr>
                    <w:t>食堂</w:t>
                  </w:r>
                </w:p>
              </w:tc>
              <w:tc>
                <w:tcPr>
                  <w:tcW w:w="1536" w:type="pct"/>
                  <w:vAlign w:val="center"/>
                </w:tcPr>
                <w:p w14:paraId="33782D55">
                  <w:pPr>
                    <w:adjustRightInd w:val="0"/>
                    <w:snapToGrid w:val="0"/>
                    <w:jc w:val="center"/>
                    <w:rPr>
                      <w:rFonts w:hint="eastAsia" w:eastAsia="宋体"/>
                      <w:color w:val="000000"/>
                      <w:szCs w:val="21"/>
                      <w:lang w:val="en-US" w:eastAsia="zh-CN"/>
                    </w:rPr>
                  </w:pPr>
                  <w:r>
                    <w:rPr>
                      <w:rFonts w:hint="eastAsia"/>
                      <w:color w:val="000000"/>
                      <w:szCs w:val="21"/>
                      <w:lang w:val="en-US" w:eastAsia="zh-CN"/>
                    </w:rPr>
                    <w:t>食堂</w:t>
                  </w:r>
                </w:p>
              </w:tc>
              <w:tc>
                <w:tcPr>
                  <w:tcW w:w="1734" w:type="pct"/>
                  <w:vAlign w:val="center"/>
                </w:tcPr>
                <w:p w14:paraId="77D6BCD3">
                  <w:pPr>
                    <w:pStyle w:val="115"/>
                    <w:spacing w:beforeLines="0" w:line="240" w:lineRule="auto"/>
                    <w:rPr>
                      <w:rFonts w:hint="eastAsia" w:ascii="Times New Roman" w:hAnsi="Times New Roman" w:eastAsia="宋体"/>
                      <w:color w:val="000000"/>
                      <w:szCs w:val="21"/>
                      <w:lang w:val="en-US" w:eastAsia="zh-CN"/>
                    </w:rPr>
                  </w:pPr>
                  <w:r>
                    <w:rPr>
                      <w:rFonts w:hint="eastAsia" w:ascii="Times New Roman" w:hAnsi="Times New Roman"/>
                      <w:color w:val="000000"/>
                      <w:szCs w:val="21"/>
                      <w:lang w:val="en-US" w:eastAsia="zh-CN"/>
                    </w:rPr>
                    <w:t>厨余垃圾</w:t>
                  </w:r>
                </w:p>
              </w:tc>
            </w:tr>
          </w:tbl>
          <w:p w14:paraId="5552AB9E">
            <w:pPr>
              <w:spacing w:line="360" w:lineRule="auto"/>
              <w:rPr>
                <w:b/>
                <w:bCs/>
                <w:color w:val="000000"/>
                <w:kern w:val="0"/>
                <w:sz w:val="24"/>
                <w:szCs w:val="24"/>
              </w:rPr>
            </w:pPr>
          </w:p>
          <w:p w14:paraId="6675191C">
            <w:pPr>
              <w:spacing w:line="360" w:lineRule="auto"/>
              <w:rPr>
                <w:b/>
                <w:color w:val="FF0000"/>
                <w:sz w:val="24"/>
                <w:szCs w:val="24"/>
              </w:rPr>
            </w:pPr>
          </w:p>
          <w:p w14:paraId="491D5CE2">
            <w:pPr>
              <w:pStyle w:val="2"/>
              <w:rPr>
                <w:b/>
                <w:color w:val="FF0000"/>
                <w:sz w:val="24"/>
                <w:szCs w:val="24"/>
              </w:rPr>
            </w:pPr>
          </w:p>
          <w:p w14:paraId="749AD105">
            <w:pPr>
              <w:rPr>
                <w:b/>
                <w:color w:val="FF0000"/>
                <w:sz w:val="24"/>
                <w:szCs w:val="24"/>
              </w:rPr>
            </w:pPr>
          </w:p>
          <w:p w14:paraId="7FB5FF53">
            <w:pPr>
              <w:pStyle w:val="2"/>
              <w:rPr>
                <w:b/>
                <w:color w:val="FF0000"/>
                <w:sz w:val="24"/>
                <w:szCs w:val="24"/>
              </w:rPr>
            </w:pPr>
          </w:p>
          <w:p w14:paraId="17B9ECE8">
            <w:pPr>
              <w:rPr>
                <w:b/>
                <w:color w:val="FF0000"/>
                <w:sz w:val="24"/>
                <w:szCs w:val="24"/>
              </w:rPr>
            </w:pPr>
          </w:p>
          <w:p w14:paraId="29FD18DC">
            <w:pPr>
              <w:rPr>
                <w:rFonts w:hint="eastAsia" w:eastAsia="宋体"/>
                <w:lang w:val="en-US" w:eastAsia="zh-CN"/>
              </w:rPr>
            </w:pPr>
            <w:r>
              <w:rPr>
                <w:rFonts w:hint="eastAsia"/>
                <w:lang w:val="en-US" w:eastAsia="zh-CN"/>
              </w:rPr>
              <w:t xml:space="preserve"> </w:t>
            </w:r>
          </w:p>
        </w:tc>
      </w:tr>
      <w:tr w14:paraId="7A398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949" w:hRule="atLeast"/>
          <w:jc w:val="center"/>
        </w:trPr>
        <w:tc>
          <w:tcPr>
            <w:tcW w:w="453" w:type="dxa"/>
            <w:vAlign w:val="center"/>
          </w:tcPr>
          <w:p w14:paraId="08F86D63">
            <w:pPr>
              <w:pStyle w:val="44"/>
              <w:adjustRightInd w:val="0"/>
              <w:snapToGrid w:val="0"/>
              <w:spacing w:before="0" w:beforeAutospacing="0" w:after="0" w:afterAutospacing="0" w:line="280" w:lineRule="exact"/>
              <w:jc w:val="center"/>
              <w:rPr>
                <w:rFonts w:ascii="Times New Roman" w:hAnsi="Times New Roman"/>
                <w:color w:val="000000"/>
                <w:szCs w:val="24"/>
              </w:rPr>
            </w:pPr>
            <w:r>
              <w:rPr>
                <w:rFonts w:ascii="Times New Roman" w:hAnsi="Times New Roman"/>
                <w:bCs/>
                <w:color w:val="000000"/>
                <w:szCs w:val="24"/>
              </w:rPr>
              <w:t>与项目有关的原有环境污染问题</w:t>
            </w:r>
          </w:p>
        </w:tc>
        <w:tc>
          <w:tcPr>
            <w:tcW w:w="8514" w:type="dxa"/>
            <w:vAlign w:val="center"/>
          </w:tcPr>
          <w:p w14:paraId="73576138">
            <w:pPr>
              <w:adjustRightInd w:val="0"/>
              <w:snapToGrid w:val="0"/>
              <w:spacing w:line="360" w:lineRule="auto"/>
              <w:ind w:firstLine="480" w:firstLineChars="200"/>
              <w:rPr>
                <w:color w:val="000000"/>
              </w:rPr>
            </w:pPr>
            <w:r>
              <w:rPr>
                <w:rFonts w:hint="eastAsia"/>
                <w:color w:val="000000"/>
                <w:sz w:val="24"/>
                <w:szCs w:val="28"/>
              </w:rPr>
              <w:t>本项目为新建项目，场地为未开发空地，不存在场地原有污染问题。</w:t>
            </w:r>
          </w:p>
        </w:tc>
      </w:tr>
    </w:tbl>
    <w:p w14:paraId="0BE6B86D">
      <w:pPr>
        <w:pStyle w:val="44"/>
        <w:spacing w:line="360" w:lineRule="auto"/>
        <w:outlineLvl w:val="0"/>
        <w:rPr>
          <w:rFonts w:ascii="Times New Roman" w:hAnsi="Times New Roman"/>
          <w:snapToGrid w:val="0"/>
          <w:color w:val="FF0000"/>
          <w:szCs w:val="24"/>
        </w:rPr>
        <w:sectPr>
          <w:footerReference r:id="rId5" w:type="default"/>
          <w:pgSz w:w="11907" w:h="16840"/>
          <w:pgMar w:top="1701" w:right="1440" w:bottom="1701" w:left="1440" w:header="851" w:footer="851" w:gutter="0"/>
          <w:cols w:space="720" w:num="1"/>
        </w:sectPr>
      </w:pPr>
    </w:p>
    <w:p w14:paraId="2D3DE353">
      <w:pPr>
        <w:pStyle w:val="44"/>
        <w:spacing w:before="120" w:beforeLines="50" w:beforeAutospacing="0" w:after="120" w:afterLines="50" w:afterAutospacing="0"/>
        <w:jc w:val="center"/>
        <w:outlineLvl w:val="0"/>
        <w:rPr>
          <w:rFonts w:hint="eastAsia"/>
          <w:b/>
          <w:bCs/>
          <w:snapToGrid w:val="0"/>
          <w:color w:val="000000"/>
          <w:sz w:val="30"/>
          <w:szCs w:val="30"/>
        </w:rPr>
      </w:pPr>
      <w:bookmarkStart w:id="22" w:name="_GoBack"/>
      <w:bookmarkEnd w:id="22"/>
      <w:r>
        <w:rPr>
          <w:rFonts w:hint="eastAsia"/>
          <w:b/>
          <w:bCs/>
          <w:snapToGrid w:val="0"/>
          <w:color w:val="000000"/>
          <w:sz w:val="30"/>
          <w:szCs w:val="30"/>
        </w:rPr>
        <w:t>三</w:t>
      </w:r>
      <w:r>
        <w:rPr>
          <w:b/>
          <w:bCs/>
          <w:snapToGrid w:val="0"/>
          <w:color w:val="000000"/>
          <w:sz w:val="30"/>
          <w:szCs w:val="30"/>
        </w:rPr>
        <w:t>、区域环境质量现状、环境保护目标及评价标准</w:t>
      </w:r>
      <w:bookmarkEnd w:id="6"/>
    </w:p>
    <w:tbl>
      <w:tblPr>
        <w:tblStyle w:val="47"/>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69"/>
        <w:gridCol w:w="8603"/>
      </w:tblGrid>
      <w:tr w14:paraId="10A96F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469" w:type="dxa"/>
            <w:tcBorders>
              <w:top w:val="single" w:color="auto" w:sz="8" w:space="0"/>
              <w:left w:val="single" w:color="auto" w:sz="8" w:space="0"/>
              <w:bottom w:val="single" w:color="auto" w:sz="4" w:space="0"/>
              <w:right w:val="single" w:color="auto" w:sz="4" w:space="0"/>
            </w:tcBorders>
            <w:vAlign w:val="center"/>
          </w:tcPr>
          <w:p w14:paraId="3A46A3B2">
            <w:pPr>
              <w:adjustRightInd w:val="0"/>
              <w:snapToGrid w:val="0"/>
              <w:spacing w:line="360" w:lineRule="auto"/>
              <w:jc w:val="center"/>
              <w:rPr>
                <w:color w:val="000000"/>
                <w:kern w:val="0"/>
                <w:sz w:val="24"/>
                <w:szCs w:val="24"/>
              </w:rPr>
            </w:pPr>
            <w:r>
              <w:rPr>
                <w:color w:val="000000"/>
                <w:kern w:val="0"/>
                <w:sz w:val="24"/>
                <w:szCs w:val="24"/>
              </w:rPr>
              <w:t>区域环境质量现状</w:t>
            </w:r>
          </w:p>
        </w:tc>
        <w:tc>
          <w:tcPr>
            <w:tcW w:w="8603" w:type="dxa"/>
            <w:tcBorders>
              <w:top w:val="single" w:color="auto" w:sz="8" w:space="0"/>
              <w:left w:val="single" w:color="auto" w:sz="4" w:space="0"/>
              <w:bottom w:val="single" w:color="auto" w:sz="4" w:space="0"/>
              <w:right w:val="single" w:color="auto" w:sz="8" w:space="0"/>
            </w:tcBorders>
            <w:vAlign w:val="center"/>
          </w:tcPr>
          <w:p w14:paraId="4302B483">
            <w:pPr>
              <w:adjustRightInd w:val="0"/>
              <w:snapToGrid w:val="0"/>
              <w:spacing w:line="360" w:lineRule="auto"/>
              <w:rPr>
                <w:b/>
                <w:color w:val="000000"/>
                <w:sz w:val="24"/>
                <w:szCs w:val="24"/>
              </w:rPr>
            </w:pPr>
            <w:r>
              <w:rPr>
                <w:b/>
                <w:color w:val="000000"/>
                <w:sz w:val="24"/>
                <w:szCs w:val="24"/>
              </w:rPr>
              <w:t>1 环境空气质量现状</w:t>
            </w:r>
          </w:p>
          <w:p w14:paraId="59D3DF0E">
            <w:pPr>
              <w:widowControl/>
              <w:spacing w:line="360" w:lineRule="auto"/>
              <w:ind w:firstLine="482" w:firstLineChars="200"/>
              <w:rPr>
                <w:b/>
                <w:bCs/>
                <w:color w:val="000000"/>
                <w:sz w:val="24"/>
                <w:szCs w:val="24"/>
              </w:rPr>
            </w:pPr>
            <w:r>
              <w:rPr>
                <w:b/>
                <w:bCs/>
                <w:color w:val="000000"/>
                <w:sz w:val="24"/>
                <w:szCs w:val="24"/>
              </w:rPr>
              <w:t>常规监测因子</w:t>
            </w:r>
          </w:p>
          <w:p w14:paraId="7AD51EC9">
            <w:pPr>
              <w:pStyle w:val="18"/>
              <w:adjustRightInd w:val="0"/>
              <w:snapToGrid w:val="0"/>
              <w:spacing w:after="0" w:line="360" w:lineRule="auto"/>
              <w:ind w:firstLine="480" w:firstLineChars="200"/>
              <w:rPr>
                <w:sz w:val="24"/>
                <w:szCs w:val="28"/>
              </w:rPr>
            </w:pPr>
            <w:r>
              <w:rPr>
                <w:sz w:val="24"/>
                <w:szCs w:val="28"/>
              </w:rPr>
              <w:t>根据《建设项目环境影响报告表编制技术指南》（2021年版），常规污染物引用与建设项目距离近的有效数据，包括近3年的规划环境影响评价的监测数据，国家、地方环境空气质量监测网数据或生态环境主管部门公开发布的质量数据等。</w:t>
            </w:r>
          </w:p>
          <w:p w14:paraId="0AA399F3">
            <w:pPr>
              <w:pStyle w:val="18"/>
              <w:adjustRightInd w:val="0"/>
              <w:snapToGrid w:val="0"/>
              <w:spacing w:after="0" w:line="360" w:lineRule="auto"/>
              <w:ind w:firstLine="480" w:firstLineChars="200"/>
              <w:rPr>
                <w:rFonts w:hint="eastAsia"/>
                <w:sz w:val="24"/>
                <w:szCs w:val="28"/>
                <w:lang w:val="en-US" w:eastAsia="zh-CN"/>
              </w:rPr>
            </w:pPr>
            <w:r>
              <w:rPr>
                <w:rFonts w:hint="eastAsia"/>
                <w:sz w:val="24"/>
                <w:szCs w:val="28"/>
                <w:lang w:val="en-US" w:eastAsia="zh-CN"/>
              </w:rPr>
              <w:t>区域环境空气质量现状引用益阳市生态环境局公布的2025年安化县环境空气质量监测情况及其结论。《环境空气质量标准》(GB3095-2026)于2026年3月1 日正式实施，替代《环境空气质量标准》(GB3095-2012)。本次评价参照GB3095-2026中过渡阶段浓度限值开展分析。</w:t>
            </w:r>
          </w:p>
          <w:p w14:paraId="5D0AF7BC">
            <w:pPr>
              <w:spacing w:line="360" w:lineRule="auto"/>
              <w:jc w:val="center"/>
              <w:rPr>
                <w:b/>
                <w:sz w:val="24"/>
                <w:szCs w:val="28"/>
              </w:rPr>
            </w:pPr>
            <w:r>
              <w:rPr>
                <w:b/>
                <w:bCs/>
                <w:kern w:val="24"/>
                <w:sz w:val="24"/>
                <w:szCs w:val="28"/>
              </w:rPr>
              <w:t xml:space="preserve">表3-1  </w:t>
            </w:r>
            <w:r>
              <w:rPr>
                <w:b/>
                <w:sz w:val="24"/>
                <w:szCs w:val="28"/>
              </w:rPr>
              <w:t>202</w:t>
            </w:r>
            <w:r>
              <w:rPr>
                <w:rFonts w:hint="eastAsia"/>
                <w:b/>
                <w:sz w:val="24"/>
                <w:szCs w:val="28"/>
                <w:lang w:val="en-US" w:eastAsia="zh-CN"/>
              </w:rPr>
              <w:t>5</w:t>
            </w:r>
            <w:r>
              <w:rPr>
                <w:b/>
                <w:sz w:val="24"/>
                <w:szCs w:val="28"/>
              </w:rPr>
              <w:t>年</w:t>
            </w:r>
            <w:r>
              <w:rPr>
                <w:rFonts w:hint="eastAsia"/>
                <w:b/>
                <w:sz w:val="24"/>
                <w:szCs w:val="28"/>
                <w:lang w:val="en-US" w:eastAsia="zh-CN"/>
              </w:rPr>
              <w:t>安化县</w:t>
            </w:r>
            <w:r>
              <w:rPr>
                <w:b/>
                <w:sz w:val="24"/>
                <w:szCs w:val="28"/>
              </w:rPr>
              <w:t>环境空气质量状况  单位:μg/m</w:t>
            </w:r>
            <w:r>
              <w:rPr>
                <w:b/>
                <w:sz w:val="24"/>
                <w:szCs w:val="28"/>
                <w:vertAlign w:val="superscript"/>
              </w:rPr>
              <w:t>3</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59"/>
              <w:gridCol w:w="2480"/>
              <w:gridCol w:w="1234"/>
              <w:gridCol w:w="1211"/>
              <w:gridCol w:w="1016"/>
              <w:gridCol w:w="1157"/>
            </w:tblGrid>
            <w:tr w14:paraId="04D76B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3" w:type="pct"/>
                  <w:vMerge w:val="restart"/>
                  <w:vAlign w:val="center"/>
                </w:tcPr>
                <w:p w14:paraId="08CEC4BC">
                  <w:pPr>
                    <w:pStyle w:val="298"/>
                    <w:jc w:val="center"/>
                    <w:rPr>
                      <w:b/>
                      <w:bCs/>
                      <w:sz w:val="21"/>
                      <w:szCs w:val="21"/>
                    </w:rPr>
                  </w:pPr>
                  <w:r>
                    <w:rPr>
                      <w:b/>
                      <w:bCs/>
                      <w:sz w:val="21"/>
                      <w:szCs w:val="21"/>
                    </w:rPr>
                    <w:t>污染物</w:t>
                  </w:r>
                </w:p>
              </w:tc>
              <w:tc>
                <w:tcPr>
                  <w:tcW w:w="1483" w:type="pct"/>
                  <w:vMerge w:val="restart"/>
                  <w:vAlign w:val="center"/>
                </w:tcPr>
                <w:p w14:paraId="7F5E272D">
                  <w:pPr>
                    <w:pStyle w:val="298"/>
                    <w:jc w:val="center"/>
                    <w:rPr>
                      <w:b/>
                      <w:bCs/>
                      <w:sz w:val="21"/>
                      <w:szCs w:val="21"/>
                    </w:rPr>
                  </w:pPr>
                  <w:r>
                    <w:rPr>
                      <w:b/>
                      <w:bCs/>
                      <w:sz w:val="21"/>
                      <w:szCs w:val="21"/>
                    </w:rPr>
                    <w:t>年评价指标</w:t>
                  </w:r>
                </w:p>
              </w:tc>
              <w:tc>
                <w:tcPr>
                  <w:tcW w:w="738" w:type="pct"/>
                  <w:vMerge w:val="restart"/>
                  <w:vAlign w:val="center"/>
                </w:tcPr>
                <w:p w14:paraId="5A11E31B">
                  <w:pPr>
                    <w:pStyle w:val="298"/>
                    <w:jc w:val="center"/>
                    <w:rPr>
                      <w:b/>
                      <w:bCs/>
                      <w:sz w:val="21"/>
                      <w:szCs w:val="21"/>
                      <w:lang w:val="zh-CN"/>
                    </w:rPr>
                  </w:pPr>
                  <w:r>
                    <w:rPr>
                      <w:b/>
                      <w:bCs/>
                      <w:sz w:val="21"/>
                      <w:szCs w:val="21"/>
                      <w:lang w:val="zh-CN"/>
                    </w:rPr>
                    <w:t>现状浓度</w:t>
                  </w:r>
                </w:p>
              </w:tc>
              <w:tc>
                <w:tcPr>
                  <w:tcW w:w="2024" w:type="pct"/>
                  <w:gridSpan w:val="3"/>
                  <w:vAlign w:val="center"/>
                </w:tcPr>
                <w:p w14:paraId="3CE052DB">
                  <w:pPr>
                    <w:pStyle w:val="298"/>
                    <w:jc w:val="center"/>
                    <w:rPr>
                      <w:b/>
                      <w:bCs/>
                      <w:sz w:val="21"/>
                      <w:szCs w:val="21"/>
                    </w:rPr>
                  </w:pPr>
                  <w:r>
                    <w:rPr>
                      <w:b/>
                      <w:bCs/>
                      <w:kern w:val="0"/>
                      <w:sz w:val="21"/>
                      <w:szCs w:val="21"/>
                    </w:rPr>
                    <w:t>《环境空气质量标准》（GB3095-2026）</w:t>
                  </w:r>
                </w:p>
              </w:tc>
            </w:tr>
            <w:tr w14:paraId="6255C2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3" w:type="pct"/>
                  <w:vMerge w:val="continue"/>
                  <w:vAlign w:val="center"/>
                </w:tcPr>
                <w:p w14:paraId="574FAC47">
                  <w:pPr>
                    <w:pStyle w:val="298"/>
                    <w:jc w:val="center"/>
                    <w:rPr>
                      <w:b/>
                      <w:bCs/>
                      <w:sz w:val="21"/>
                      <w:szCs w:val="21"/>
                    </w:rPr>
                  </w:pPr>
                </w:p>
              </w:tc>
              <w:tc>
                <w:tcPr>
                  <w:tcW w:w="1483" w:type="pct"/>
                  <w:vMerge w:val="continue"/>
                  <w:vAlign w:val="center"/>
                </w:tcPr>
                <w:p w14:paraId="269115F5">
                  <w:pPr>
                    <w:pStyle w:val="298"/>
                    <w:jc w:val="center"/>
                    <w:rPr>
                      <w:b/>
                      <w:bCs/>
                      <w:sz w:val="21"/>
                      <w:szCs w:val="21"/>
                    </w:rPr>
                  </w:pPr>
                </w:p>
              </w:tc>
              <w:tc>
                <w:tcPr>
                  <w:tcW w:w="738" w:type="pct"/>
                  <w:vMerge w:val="continue"/>
                  <w:vAlign w:val="center"/>
                </w:tcPr>
                <w:p w14:paraId="27041CA4">
                  <w:pPr>
                    <w:pStyle w:val="298"/>
                    <w:jc w:val="center"/>
                    <w:rPr>
                      <w:b/>
                      <w:bCs/>
                      <w:sz w:val="21"/>
                      <w:szCs w:val="21"/>
                      <w:lang w:val="zh-CN"/>
                    </w:rPr>
                  </w:pPr>
                </w:p>
              </w:tc>
              <w:tc>
                <w:tcPr>
                  <w:tcW w:w="724" w:type="pct"/>
                  <w:vAlign w:val="center"/>
                </w:tcPr>
                <w:p w14:paraId="3E00D29E">
                  <w:pPr>
                    <w:pStyle w:val="298"/>
                    <w:jc w:val="center"/>
                    <w:rPr>
                      <w:b/>
                      <w:bCs/>
                      <w:sz w:val="21"/>
                      <w:szCs w:val="21"/>
                    </w:rPr>
                  </w:pPr>
                  <w:r>
                    <w:rPr>
                      <w:b/>
                      <w:bCs/>
                      <w:sz w:val="21"/>
                      <w:szCs w:val="21"/>
                    </w:rPr>
                    <w:t>标准浓度</w:t>
                  </w:r>
                </w:p>
              </w:tc>
              <w:tc>
                <w:tcPr>
                  <w:tcW w:w="607" w:type="pct"/>
                  <w:vAlign w:val="center"/>
                </w:tcPr>
                <w:p w14:paraId="409CC373">
                  <w:pPr>
                    <w:pStyle w:val="298"/>
                    <w:jc w:val="center"/>
                    <w:rPr>
                      <w:b/>
                      <w:bCs/>
                      <w:sz w:val="21"/>
                      <w:szCs w:val="21"/>
                    </w:rPr>
                  </w:pPr>
                  <w:r>
                    <w:rPr>
                      <w:b/>
                      <w:bCs/>
                      <w:sz w:val="21"/>
                      <w:szCs w:val="21"/>
                    </w:rPr>
                    <w:t>占标率</w:t>
                  </w:r>
                </w:p>
              </w:tc>
              <w:tc>
                <w:tcPr>
                  <w:tcW w:w="692" w:type="pct"/>
                  <w:vAlign w:val="center"/>
                </w:tcPr>
                <w:p w14:paraId="5902FAA0">
                  <w:pPr>
                    <w:pStyle w:val="298"/>
                    <w:jc w:val="center"/>
                    <w:rPr>
                      <w:b/>
                      <w:bCs/>
                      <w:sz w:val="21"/>
                      <w:szCs w:val="21"/>
                    </w:rPr>
                  </w:pPr>
                  <w:r>
                    <w:rPr>
                      <w:b/>
                      <w:bCs/>
                      <w:sz w:val="21"/>
                      <w:szCs w:val="21"/>
                    </w:rPr>
                    <w:t>达标情况</w:t>
                  </w:r>
                </w:p>
              </w:tc>
            </w:tr>
            <w:tr w14:paraId="1D2357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3" w:type="pct"/>
                  <w:vAlign w:val="center"/>
                </w:tcPr>
                <w:p w14:paraId="0F22547C">
                  <w:pPr>
                    <w:pStyle w:val="298"/>
                    <w:jc w:val="center"/>
                    <w:rPr>
                      <w:sz w:val="21"/>
                      <w:szCs w:val="21"/>
                    </w:rPr>
                  </w:pPr>
                  <w:r>
                    <w:rPr>
                      <w:sz w:val="21"/>
                      <w:szCs w:val="21"/>
                    </w:rPr>
                    <w:t>SO</w:t>
                  </w:r>
                  <w:r>
                    <w:rPr>
                      <w:sz w:val="21"/>
                      <w:szCs w:val="21"/>
                      <w:vertAlign w:val="subscript"/>
                    </w:rPr>
                    <w:t>2</w:t>
                  </w:r>
                </w:p>
              </w:tc>
              <w:tc>
                <w:tcPr>
                  <w:tcW w:w="1483" w:type="pct"/>
                  <w:vAlign w:val="center"/>
                </w:tcPr>
                <w:p w14:paraId="330FE09B">
                  <w:pPr>
                    <w:pStyle w:val="298"/>
                    <w:jc w:val="center"/>
                    <w:rPr>
                      <w:sz w:val="21"/>
                      <w:szCs w:val="21"/>
                    </w:rPr>
                  </w:pPr>
                  <w:r>
                    <w:rPr>
                      <w:sz w:val="21"/>
                      <w:szCs w:val="21"/>
                    </w:rPr>
                    <w:t>年平均质量浓度</w:t>
                  </w:r>
                </w:p>
              </w:tc>
              <w:tc>
                <w:tcPr>
                  <w:tcW w:w="738" w:type="pct"/>
                  <w:vAlign w:val="center"/>
                </w:tcPr>
                <w:p w14:paraId="03285FB2">
                  <w:pPr>
                    <w:pStyle w:val="298"/>
                    <w:jc w:val="center"/>
                    <w:rPr>
                      <w:rFonts w:hint="eastAsia" w:eastAsia="宋体"/>
                      <w:color w:val="auto"/>
                      <w:sz w:val="21"/>
                      <w:szCs w:val="21"/>
                      <w:lang w:val="zh-CN" w:eastAsia="zh-CN"/>
                    </w:rPr>
                  </w:pPr>
                  <w:r>
                    <w:rPr>
                      <w:rFonts w:hint="eastAsia"/>
                      <w:color w:val="auto"/>
                      <w:sz w:val="21"/>
                      <w:szCs w:val="21"/>
                      <w:lang w:val="en-US" w:eastAsia="zh-CN"/>
                    </w:rPr>
                    <w:t>5</w:t>
                  </w:r>
                </w:p>
              </w:tc>
              <w:tc>
                <w:tcPr>
                  <w:tcW w:w="724" w:type="pct"/>
                  <w:vAlign w:val="center"/>
                </w:tcPr>
                <w:p w14:paraId="14C3386F">
                  <w:pPr>
                    <w:pStyle w:val="298"/>
                    <w:jc w:val="center"/>
                    <w:rPr>
                      <w:color w:val="auto"/>
                      <w:sz w:val="21"/>
                      <w:szCs w:val="21"/>
                    </w:rPr>
                  </w:pPr>
                  <w:r>
                    <w:rPr>
                      <w:color w:val="auto"/>
                      <w:sz w:val="21"/>
                      <w:szCs w:val="21"/>
                      <w:lang w:val="zh-CN"/>
                    </w:rPr>
                    <w:t>60</w:t>
                  </w:r>
                </w:p>
              </w:tc>
              <w:tc>
                <w:tcPr>
                  <w:tcW w:w="607" w:type="pct"/>
                  <w:vAlign w:val="center"/>
                </w:tcPr>
                <w:p w14:paraId="2058C6FA">
                  <w:pPr>
                    <w:pStyle w:val="298"/>
                    <w:jc w:val="center"/>
                    <w:rPr>
                      <w:rFonts w:hint="default" w:eastAsia="宋体"/>
                      <w:color w:val="auto"/>
                      <w:sz w:val="21"/>
                      <w:szCs w:val="21"/>
                      <w:lang w:val="en-US" w:eastAsia="zh-CN"/>
                    </w:rPr>
                  </w:pPr>
                  <w:r>
                    <w:rPr>
                      <w:rFonts w:hint="eastAsia"/>
                      <w:color w:val="auto"/>
                      <w:sz w:val="21"/>
                      <w:szCs w:val="21"/>
                      <w:lang w:val="en-US" w:eastAsia="zh-CN"/>
                    </w:rPr>
                    <w:t>8.33</w:t>
                  </w:r>
                </w:p>
              </w:tc>
              <w:tc>
                <w:tcPr>
                  <w:tcW w:w="692" w:type="pct"/>
                  <w:vAlign w:val="center"/>
                </w:tcPr>
                <w:p w14:paraId="08D637B2">
                  <w:pPr>
                    <w:pStyle w:val="298"/>
                    <w:jc w:val="center"/>
                    <w:rPr>
                      <w:color w:val="auto"/>
                      <w:sz w:val="21"/>
                      <w:szCs w:val="21"/>
                    </w:rPr>
                  </w:pPr>
                  <w:r>
                    <w:rPr>
                      <w:color w:val="auto"/>
                      <w:sz w:val="21"/>
                      <w:szCs w:val="21"/>
                    </w:rPr>
                    <w:t>达标</w:t>
                  </w:r>
                </w:p>
              </w:tc>
            </w:tr>
            <w:tr w14:paraId="3F41BF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3" w:type="pct"/>
                  <w:vAlign w:val="center"/>
                </w:tcPr>
                <w:p w14:paraId="6FD10CBB">
                  <w:pPr>
                    <w:pStyle w:val="298"/>
                    <w:jc w:val="center"/>
                    <w:rPr>
                      <w:sz w:val="21"/>
                      <w:szCs w:val="21"/>
                    </w:rPr>
                  </w:pPr>
                  <w:r>
                    <w:rPr>
                      <w:sz w:val="21"/>
                      <w:szCs w:val="21"/>
                    </w:rPr>
                    <w:t>NO</w:t>
                  </w:r>
                  <w:r>
                    <w:rPr>
                      <w:sz w:val="21"/>
                      <w:szCs w:val="21"/>
                      <w:vertAlign w:val="subscript"/>
                    </w:rPr>
                    <w:t>2</w:t>
                  </w:r>
                </w:p>
              </w:tc>
              <w:tc>
                <w:tcPr>
                  <w:tcW w:w="1483" w:type="pct"/>
                  <w:vAlign w:val="center"/>
                </w:tcPr>
                <w:p w14:paraId="41E25A0B">
                  <w:pPr>
                    <w:pStyle w:val="298"/>
                    <w:jc w:val="center"/>
                    <w:rPr>
                      <w:sz w:val="21"/>
                      <w:szCs w:val="21"/>
                    </w:rPr>
                  </w:pPr>
                  <w:r>
                    <w:rPr>
                      <w:sz w:val="21"/>
                      <w:szCs w:val="21"/>
                    </w:rPr>
                    <w:t>年平均质量浓度</w:t>
                  </w:r>
                </w:p>
              </w:tc>
              <w:tc>
                <w:tcPr>
                  <w:tcW w:w="738" w:type="pct"/>
                  <w:vAlign w:val="center"/>
                </w:tcPr>
                <w:p w14:paraId="23A5386E">
                  <w:pPr>
                    <w:pStyle w:val="298"/>
                    <w:jc w:val="center"/>
                    <w:rPr>
                      <w:rFonts w:hint="eastAsia" w:eastAsia="宋体"/>
                      <w:color w:val="auto"/>
                      <w:sz w:val="21"/>
                      <w:szCs w:val="21"/>
                      <w:lang w:val="zh-CN" w:eastAsia="zh-CN"/>
                    </w:rPr>
                  </w:pPr>
                  <w:r>
                    <w:rPr>
                      <w:rFonts w:hint="eastAsia"/>
                      <w:color w:val="auto"/>
                      <w:sz w:val="21"/>
                      <w:szCs w:val="21"/>
                      <w:lang w:val="en-US" w:eastAsia="zh-CN"/>
                    </w:rPr>
                    <w:t>9</w:t>
                  </w:r>
                </w:p>
              </w:tc>
              <w:tc>
                <w:tcPr>
                  <w:tcW w:w="724" w:type="pct"/>
                  <w:vAlign w:val="center"/>
                </w:tcPr>
                <w:p w14:paraId="2E4920E2">
                  <w:pPr>
                    <w:pStyle w:val="298"/>
                    <w:jc w:val="center"/>
                    <w:rPr>
                      <w:color w:val="auto"/>
                      <w:sz w:val="21"/>
                      <w:szCs w:val="21"/>
                    </w:rPr>
                  </w:pPr>
                  <w:r>
                    <w:rPr>
                      <w:color w:val="auto"/>
                      <w:sz w:val="21"/>
                      <w:szCs w:val="21"/>
                      <w:lang w:val="zh-CN"/>
                    </w:rPr>
                    <w:t>40</w:t>
                  </w:r>
                </w:p>
              </w:tc>
              <w:tc>
                <w:tcPr>
                  <w:tcW w:w="607" w:type="pct"/>
                  <w:vAlign w:val="center"/>
                </w:tcPr>
                <w:p w14:paraId="467F3FE3">
                  <w:pPr>
                    <w:pStyle w:val="298"/>
                    <w:jc w:val="center"/>
                    <w:rPr>
                      <w:rFonts w:hint="default" w:eastAsia="宋体"/>
                      <w:color w:val="auto"/>
                      <w:sz w:val="21"/>
                      <w:szCs w:val="21"/>
                      <w:lang w:val="en-US" w:eastAsia="zh-CN"/>
                    </w:rPr>
                  </w:pPr>
                  <w:r>
                    <w:rPr>
                      <w:rFonts w:hint="eastAsia"/>
                      <w:color w:val="auto"/>
                      <w:sz w:val="21"/>
                      <w:szCs w:val="21"/>
                      <w:lang w:val="en-US" w:eastAsia="zh-CN"/>
                    </w:rPr>
                    <w:t>22.5</w:t>
                  </w:r>
                </w:p>
              </w:tc>
              <w:tc>
                <w:tcPr>
                  <w:tcW w:w="692" w:type="pct"/>
                  <w:vAlign w:val="center"/>
                </w:tcPr>
                <w:p w14:paraId="1AC2D3BD">
                  <w:pPr>
                    <w:pStyle w:val="298"/>
                    <w:jc w:val="center"/>
                    <w:rPr>
                      <w:color w:val="auto"/>
                      <w:sz w:val="21"/>
                      <w:szCs w:val="21"/>
                    </w:rPr>
                  </w:pPr>
                  <w:r>
                    <w:rPr>
                      <w:color w:val="auto"/>
                      <w:sz w:val="21"/>
                      <w:szCs w:val="21"/>
                    </w:rPr>
                    <w:t>达标</w:t>
                  </w:r>
                </w:p>
              </w:tc>
            </w:tr>
            <w:tr w14:paraId="4237FC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3" w:type="pct"/>
                  <w:vAlign w:val="center"/>
                </w:tcPr>
                <w:p w14:paraId="5850AA38">
                  <w:pPr>
                    <w:pStyle w:val="298"/>
                    <w:jc w:val="center"/>
                    <w:rPr>
                      <w:sz w:val="21"/>
                      <w:szCs w:val="21"/>
                    </w:rPr>
                  </w:pPr>
                  <w:r>
                    <w:rPr>
                      <w:sz w:val="21"/>
                      <w:szCs w:val="21"/>
                    </w:rPr>
                    <w:t>PM</w:t>
                  </w:r>
                  <w:r>
                    <w:rPr>
                      <w:sz w:val="21"/>
                      <w:szCs w:val="21"/>
                      <w:vertAlign w:val="subscript"/>
                    </w:rPr>
                    <w:t>10</w:t>
                  </w:r>
                </w:p>
              </w:tc>
              <w:tc>
                <w:tcPr>
                  <w:tcW w:w="1483" w:type="pct"/>
                  <w:vAlign w:val="center"/>
                </w:tcPr>
                <w:p w14:paraId="299F0401">
                  <w:pPr>
                    <w:pStyle w:val="298"/>
                    <w:jc w:val="center"/>
                    <w:rPr>
                      <w:sz w:val="21"/>
                      <w:szCs w:val="21"/>
                    </w:rPr>
                  </w:pPr>
                  <w:r>
                    <w:rPr>
                      <w:sz w:val="21"/>
                      <w:szCs w:val="21"/>
                    </w:rPr>
                    <w:t>年平均质量浓度</w:t>
                  </w:r>
                </w:p>
              </w:tc>
              <w:tc>
                <w:tcPr>
                  <w:tcW w:w="738" w:type="pct"/>
                  <w:vAlign w:val="center"/>
                </w:tcPr>
                <w:p w14:paraId="54697626">
                  <w:pPr>
                    <w:pStyle w:val="298"/>
                    <w:jc w:val="center"/>
                    <w:rPr>
                      <w:rFonts w:hint="default"/>
                      <w:color w:val="auto"/>
                      <w:sz w:val="21"/>
                      <w:szCs w:val="21"/>
                      <w:lang w:val="en-US" w:eastAsia="zh-CN"/>
                    </w:rPr>
                  </w:pPr>
                  <w:r>
                    <w:rPr>
                      <w:rFonts w:hint="eastAsia"/>
                      <w:color w:val="auto"/>
                      <w:sz w:val="21"/>
                      <w:szCs w:val="21"/>
                      <w:lang w:val="en-US" w:eastAsia="zh-CN"/>
                    </w:rPr>
                    <w:t>41</w:t>
                  </w:r>
                </w:p>
              </w:tc>
              <w:tc>
                <w:tcPr>
                  <w:tcW w:w="724" w:type="pct"/>
                  <w:vAlign w:val="center"/>
                </w:tcPr>
                <w:p w14:paraId="2505D89E">
                  <w:pPr>
                    <w:pStyle w:val="298"/>
                    <w:jc w:val="center"/>
                    <w:rPr>
                      <w:rFonts w:hint="eastAsia"/>
                      <w:color w:val="auto"/>
                      <w:sz w:val="21"/>
                      <w:szCs w:val="21"/>
                      <w:lang w:val="en-US" w:eastAsia="zh-CN"/>
                    </w:rPr>
                  </w:pPr>
                  <w:r>
                    <w:rPr>
                      <w:rFonts w:hint="eastAsia"/>
                      <w:color w:val="auto"/>
                      <w:sz w:val="21"/>
                      <w:szCs w:val="21"/>
                      <w:lang w:val="zh-CN" w:eastAsia="zh-CN"/>
                    </w:rPr>
                    <w:t>60</w:t>
                  </w:r>
                </w:p>
              </w:tc>
              <w:tc>
                <w:tcPr>
                  <w:tcW w:w="607" w:type="pct"/>
                  <w:vAlign w:val="center"/>
                </w:tcPr>
                <w:p w14:paraId="6C53EEC0">
                  <w:pPr>
                    <w:pStyle w:val="298"/>
                    <w:jc w:val="center"/>
                    <w:rPr>
                      <w:rFonts w:hint="default"/>
                      <w:color w:val="auto"/>
                      <w:sz w:val="21"/>
                      <w:szCs w:val="21"/>
                      <w:lang w:val="en-US" w:eastAsia="zh-CN"/>
                    </w:rPr>
                  </w:pPr>
                  <w:r>
                    <w:rPr>
                      <w:rFonts w:hint="eastAsia"/>
                      <w:color w:val="auto"/>
                      <w:sz w:val="21"/>
                      <w:szCs w:val="21"/>
                      <w:lang w:val="en-US" w:eastAsia="zh-CN"/>
                    </w:rPr>
                    <w:t>68.3</w:t>
                  </w:r>
                </w:p>
              </w:tc>
              <w:tc>
                <w:tcPr>
                  <w:tcW w:w="692" w:type="pct"/>
                  <w:vAlign w:val="center"/>
                </w:tcPr>
                <w:p w14:paraId="6AFB3548">
                  <w:pPr>
                    <w:pStyle w:val="298"/>
                    <w:jc w:val="center"/>
                    <w:rPr>
                      <w:rFonts w:hint="eastAsia"/>
                      <w:color w:val="auto"/>
                      <w:sz w:val="21"/>
                      <w:szCs w:val="21"/>
                      <w:lang w:val="en-US" w:eastAsia="zh-CN"/>
                    </w:rPr>
                  </w:pPr>
                  <w:r>
                    <w:rPr>
                      <w:rFonts w:hint="eastAsia"/>
                      <w:color w:val="auto"/>
                      <w:sz w:val="21"/>
                      <w:szCs w:val="21"/>
                      <w:lang w:val="en-US" w:eastAsia="zh-CN"/>
                    </w:rPr>
                    <w:t>达标</w:t>
                  </w:r>
                </w:p>
              </w:tc>
            </w:tr>
            <w:tr w14:paraId="0A68EB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3" w:type="pct"/>
                  <w:vAlign w:val="center"/>
                </w:tcPr>
                <w:p w14:paraId="78F0B2FF">
                  <w:pPr>
                    <w:pStyle w:val="298"/>
                    <w:jc w:val="center"/>
                    <w:rPr>
                      <w:sz w:val="21"/>
                      <w:szCs w:val="21"/>
                    </w:rPr>
                  </w:pPr>
                  <w:r>
                    <w:rPr>
                      <w:sz w:val="21"/>
                      <w:szCs w:val="21"/>
                    </w:rPr>
                    <w:t>PM</w:t>
                  </w:r>
                  <w:r>
                    <w:rPr>
                      <w:sz w:val="21"/>
                      <w:szCs w:val="21"/>
                      <w:vertAlign w:val="subscript"/>
                    </w:rPr>
                    <w:t>2.5</w:t>
                  </w:r>
                </w:p>
              </w:tc>
              <w:tc>
                <w:tcPr>
                  <w:tcW w:w="1483" w:type="pct"/>
                  <w:vAlign w:val="center"/>
                </w:tcPr>
                <w:p w14:paraId="450FD8F9">
                  <w:pPr>
                    <w:pStyle w:val="298"/>
                    <w:jc w:val="center"/>
                    <w:rPr>
                      <w:sz w:val="21"/>
                      <w:szCs w:val="21"/>
                    </w:rPr>
                  </w:pPr>
                  <w:r>
                    <w:rPr>
                      <w:sz w:val="21"/>
                      <w:szCs w:val="21"/>
                    </w:rPr>
                    <w:t>年平均质量浓度</w:t>
                  </w:r>
                </w:p>
              </w:tc>
              <w:tc>
                <w:tcPr>
                  <w:tcW w:w="738" w:type="pct"/>
                  <w:vAlign w:val="center"/>
                </w:tcPr>
                <w:p w14:paraId="0C039783">
                  <w:pPr>
                    <w:pStyle w:val="298"/>
                    <w:jc w:val="center"/>
                    <w:rPr>
                      <w:rFonts w:hint="default"/>
                      <w:color w:val="auto"/>
                      <w:sz w:val="21"/>
                      <w:szCs w:val="21"/>
                      <w:lang w:val="en-US" w:eastAsia="zh-CN"/>
                    </w:rPr>
                  </w:pPr>
                  <w:r>
                    <w:rPr>
                      <w:rFonts w:hint="eastAsia"/>
                      <w:color w:val="auto"/>
                      <w:sz w:val="21"/>
                      <w:szCs w:val="21"/>
                      <w:lang w:val="en-US" w:eastAsia="zh-CN"/>
                    </w:rPr>
                    <w:t>28.5</w:t>
                  </w:r>
                </w:p>
              </w:tc>
              <w:tc>
                <w:tcPr>
                  <w:tcW w:w="724" w:type="pct"/>
                  <w:vAlign w:val="center"/>
                </w:tcPr>
                <w:p w14:paraId="3A9F4926">
                  <w:pPr>
                    <w:pStyle w:val="298"/>
                    <w:jc w:val="center"/>
                    <w:rPr>
                      <w:rFonts w:hint="eastAsia"/>
                      <w:color w:val="auto"/>
                      <w:sz w:val="21"/>
                      <w:szCs w:val="21"/>
                      <w:lang w:val="en-US" w:eastAsia="zh-CN"/>
                    </w:rPr>
                  </w:pPr>
                  <w:r>
                    <w:rPr>
                      <w:rFonts w:hint="eastAsia"/>
                      <w:color w:val="auto"/>
                      <w:sz w:val="21"/>
                      <w:szCs w:val="21"/>
                      <w:lang w:val="zh-CN" w:eastAsia="zh-CN"/>
                    </w:rPr>
                    <w:t>30</w:t>
                  </w:r>
                </w:p>
              </w:tc>
              <w:tc>
                <w:tcPr>
                  <w:tcW w:w="607" w:type="pct"/>
                  <w:vAlign w:val="center"/>
                </w:tcPr>
                <w:p w14:paraId="0BC60EED">
                  <w:pPr>
                    <w:pStyle w:val="298"/>
                    <w:jc w:val="center"/>
                    <w:rPr>
                      <w:rFonts w:hint="default"/>
                      <w:color w:val="auto"/>
                      <w:sz w:val="21"/>
                      <w:szCs w:val="21"/>
                      <w:lang w:val="en-US" w:eastAsia="zh-CN"/>
                    </w:rPr>
                  </w:pPr>
                  <w:r>
                    <w:rPr>
                      <w:rFonts w:hint="eastAsia"/>
                      <w:color w:val="auto"/>
                      <w:sz w:val="21"/>
                      <w:szCs w:val="21"/>
                      <w:lang w:val="en-US" w:eastAsia="zh-CN"/>
                    </w:rPr>
                    <w:t>95</w:t>
                  </w:r>
                </w:p>
              </w:tc>
              <w:tc>
                <w:tcPr>
                  <w:tcW w:w="692" w:type="pct"/>
                  <w:vAlign w:val="center"/>
                </w:tcPr>
                <w:p w14:paraId="48373E96">
                  <w:pPr>
                    <w:pStyle w:val="298"/>
                    <w:jc w:val="center"/>
                    <w:rPr>
                      <w:rFonts w:hint="eastAsia"/>
                      <w:color w:val="auto"/>
                      <w:sz w:val="21"/>
                      <w:szCs w:val="21"/>
                      <w:lang w:val="en-US" w:eastAsia="zh-CN"/>
                    </w:rPr>
                  </w:pPr>
                  <w:r>
                    <w:rPr>
                      <w:rFonts w:hint="eastAsia"/>
                      <w:color w:val="auto"/>
                      <w:sz w:val="21"/>
                      <w:szCs w:val="21"/>
                      <w:lang w:val="en-US" w:eastAsia="zh-CN"/>
                    </w:rPr>
                    <w:t>达标</w:t>
                  </w:r>
                </w:p>
              </w:tc>
            </w:tr>
            <w:tr w14:paraId="21E361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3" w:type="pct"/>
                  <w:vAlign w:val="center"/>
                </w:tcPr>
                <w:p w14:paraId="76304228">
                  <w:pPr>
                    <w:pStyle w:val="298"/>
                    <w:jc w:val="center"/>
                    <w:rPr>
                      <w:sz w:val="21"/>
                      <w:szCs w:val="21"/>
                    </w:rPr>
                  </w:pPr>
                  <w:r>
                    <w:rPr>
                      <w:sz w:val="21"/>
                      <w:szCs w:val="21"/>
                    </w:rPr>
                    <w:t>CO</w:t>
                  </w:r>
                </w:p>
              </w:tc>
              <w:tc>
                <w:tcPr>
                  <w:tcW w:w="1483" w:type="pct"/>
                  <w:vAlign w:val="center"/>
                </w:tcPr>
                <w:p w14:paraId="3466EEEB">
                  <w:pPr>
                    <w:pStyle w:val="298"/>
                    <w:jc w:val="center"/>
                    <w:rPr>
                      <w:sz w:val="21"/>
                      <w:szCs w:val="21"/>
                    </w:rPr>
                  </w:pPr>
                  <w:r>
                    <w:rPr>
                      <w:sz w:val="21"/>
                      <w:szCs w:val="21"/>
                    </w:rPr>
                    <w:t>24小时平均第95百分位数浓度</w:t>
                  </w:r>
                </w:p>
              </w:tc>
              <w:tc>
                <w:tcPr>
                  <w:tcW w:w="738" w:type="pct"/>
                  <w:vAlign w:val="center"/>
                </w:tcPr>
                <w:p w14:paraId="6BE886E8">
                  <w:pPr>
                    <w:pStyle w:val="298"/>
                    <w:jc w:val="center"/>
                    <w:rPr>
                      <w:color w:val="auto"/>
                      <w:sz w:val="21"/>
                      <w:szCs w:val="21"/>
                      <w:lang w:val="zh-CN"/>
                    </w:rPr>
                  </w:pPr>
                  <w:r>
                    <w:rPr>
                      <w:rFonts w:hint="eastAsia"/>
                      <w:color w:val="auto"/>
                      <w:sz w:val="21"/>
                      <w:szCs w:val="21"/>
                      <w:lang w:val="en-US" w:eastAsia="zh-CN"/>
                    </w:rPr>
                    <w:t>11</w:t>
                  </w:r>
                  <w:r>
                    <w:rPr>
                      <w:color w:val="auto"/>
                      <w:sz w:val="21"/>
                      <w:szCs w:val="21"/>
                      <w:lang w:val="zh-CN"/>
                    </w:rPr>
                    <w:t>00</w:t>
                  </w:r>
                </w:p>
              </w:tc>
              <w:tc>
                <w:tcPr>
                  <w:tcW w:w="724" w:type="pct"/>
                  <w:vAlign w:val="center"/>
                </w:tcPr>
                <w:p w14:paraId="1B5AE23E">
                  <w:pPr>
                    <w:pStyle w:val="298"/>
                    <w:jc w:val="center"/>
                    <w:rPr>
                      <w:color w:val="auto"/>
                      <w:sz w:val="21"/>
                      <w:szCs w:val="21"/>
                    </w:rPr>
                  </w:pPr>
                  <w:r>
                    <w:rPr>
                      <w:color w:val="auto"/>
                      <w:sz w:val="21"/>
                      <w:szCs w:val="21"/>
                      <w:lang w:val="zh-CN"/>
                    </w:rPr>
                    <w:t>4000</w:t>
                  </w:r>
                </w:p>
              </w:tc>
              <w:tc>
                <w:tcPr>
                  <w:tcW w:w="607" w:type="pct"/>
                  <w:vAlign w:val="center"/>
                </w:tcPr>
                <w:p w14:paraId="08A61E86">
                  <w:pPr>
                    <w:pStyle w:val="298"/>
                    <w:jc w:val="center"/>
                    <w:rPr>
                      <w:rFonts w:hint="default" w:eastAsia="宋体"/>
                      <w:color w:val="auto"/>
                      <w:sz w:val="21"/>
                      <w:szCs w:val="21"/>
                      <w:lang w:val="en-US" w:eastAsia="zh-CN"/>
                    </w:rPr>
                  </w:pPr>
                  <w:r>
                    <w:rPr>
                      <w:rFonts w:hint="eastAsia"/>
                      <w:color w:val="auto"/>
                      <w:sz w:val="21"/>
                      <w:szCs w:val="21"/>
                      <w:lang w:val="en-US" w:eastAsia="zh-CN"/>
                    </w:rPr>
                    <w:t>27.5</w:t>
                  </w:r>
                </w:p>
              </w:tc>
              <w:tc>
                <w:tcPr>
                  <w:tcW w:w="692" w:type="pct"/>
                  <w:vAlign w:val="center"/>
                </w:tcPr>
                <w:p w14:paraId="67ED9E6B">
                  <w:pPr>
                    <w:pStyle w:val="298"/>
                    <w:jc w:val="center"/>
                    <w:rPr>
                      <w:color w:val="auto"/>
                      <w:sz w:val="21"/>
                      <w:szCs w:val="21"/>
                    </w:rPr>
                  </w:pPr>
                  <w:r>
                    <w:rPr>
                      <w:color w:val="auto"/>
                      <w:sz w:val="21"/>
                      <w:szCs w:val="21"/>
                    </w:rPr>
                    <w:t>达标</w:t>
                  </w:r>
                </w:p>
              </w:tc>
            </w:tr>
            <w:tr w14:paraId="27EE42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753" w:type="pct"/>
                  <w:vAlign w:val="center"/>
                </w:tcPr>
                <w:p w14:paraId="2B1AF53E">
                  <w:pPr>
                    <w:pStyle w:val="298"/>
                    <w:jc w:val="center"/>
                    <w:rPr>
                      <w:sz w:val="21"/>
                      <w:szCs w:val="21"/>
                    </w:rPr>
                  </w:pPr>
                  <w:r>
                    <w:rPr>
                      <w:sz w:val="21"/>
                      <w:szCs w:val="21"/>
                    </w:rPr>
                    <w:t>O</w:t>
                  </w:r>
                  <w:r>
                    <w:rPr>
                      <w:sz w:val="21"/>
                      <w:szCs w:val="21"/>
                      <w:vertAlign w:val="subscript"/>
                    </w:rPr>
                    <w:t>3</w:t>
                  </w:r>
                </w:p>
              </w:tc>
              <w:tc>
                <w:tcPr>
                  <w:tcW w:w="1483" w:type="pct"/>
                  <w:vAlign w:val="center"/>
                </w:tcPr>
                <w:p w14:paraId="443F17CD">
                  <w:pPr>
                    <w:pStyle w:val="298"/>
                    <w:jc w:val="center"/>
                    <w:rPr>
                      <w:sz w:val="21"/>
                      <w:szCs w:val="21"/>
                    </w:rPr>
                  </w:pPr>
                  <w:r>
                    <w:rPr>
                      <w:sz w:val="21"/>
                      <w:szCs w:val="21"/>
                    </w:rPr>
                    <w:t>8小时平均第90百分位数浓度</w:t>
                  </w:r>
                </w:p>
              </w:tc>
              <w:tc>
                <w:tcPr>
                  <w:tcW w:w="738" w:type="pct"/>
                  <w:vAlign w:val="center"/>
                </w:tcPr>
                <w:p w14:paraId="4380E9DD">
                  <w:pPr>
                    <w:pStyle w:val="298"/>
                    <w:jc w:val="center"/>
                    <w:rPr>
                      <w:rFonts w:hint="default" w:eastAsia="宋体"/>
                      <w:color w:val="auto"/>
                      <w:sz w:val="21"/>
                      <w:szCs w:val="21"/>
                      <w:lang w:val="en-US" w:eastAsia="zh-CN"/>
                    </w:rPr>
                  </w:pPr>
                  <w:r>
                    <w:rPr>
                      <w:color w:val="auto"/>
                      <w:sz w:val="21"/>
                      <w:szCs w:val="21"/>
                      <w:lang w:val="zh-CN"/>
                    </w:rPr>
                    <w:t>1</w:t>
                  </w:r>
                  <w:r>
                    <w:rPr>
                      <w:rFonts w:hint="eastAsia"/>
                      <w:color w:val="auto"/>
                      <w:sz w:val="21"/>
                      <w:szCs w:val="21"/>
                      <w:lang w:val="en-US" w:eastAsia="zh-CN"/>
                    </w:rPr>
                    <w:t>13</w:t>
                  </w:r>
                </w:p>
              </w:tc>
              <w:tc>
                <w:tcPr>
                  <w:tcW w:w="724" w:type="pct"/>
                  <w:vAlign w:val="center"/>
                </w:tcPr>
                <w:p w14:paraId="3D2A8A09">
                  <w:pPr>
                    <w:pStyle w:val="298"/>
                    <w:jc w:val="center"/>
                    <w:rPr>
                      <w:color w:val="auto"/>
                      <w:sz w:val="21"/>
                      <w:szCs w:val="21"/>
                    </w:rPr>
                  </w:pPr>
                  <w:r>
                    <w:rPr>
                      <w:color w:val="auto"/>
                      <w:sz w:val="21"/>
                      <w:szCs w:val="21"/>
                      <w:lang w:val="zh-CN"/>
                    </w:rPr>
                    <w:t>160</w:t>
                  </w:r>
                </w:p>
              </w:tc>
              <w:tc>
                <w:tcPr>
                  <w:tcW w:w="607" w:type="pct"/>
                  <w:vAlign w:val="center"/>
                </w:tcPr>
                <w:p w14:paraId="23FE625F">
                  <w:pPr>
                    <w:pStyle w:val="298"/>
                    <w:jc w:val="center"/>
                    <w:rPr>
                      <w:rFonts w:hint="default" w:eastAsia="宋体"/>
                      <w:color w:val="auto"/>
                      <w:sz w:val="21"/>
                      <w:szCs w:val="21"/>
                      <w:lang w:val="en-US" w:eastAsia="zh-CN"/>
                    </w:rPr>
                  </w:pPr>
                  <w:r>
                    <w:rPr>
                      <w:rFonts w:hint="eastAsia"/>
                      <w:color w:val="auto"/>
                      <w:sz w:val="21"/>
                      <w:szCs w:val="21"/>
                      <w:lang w:val="en-US" w:eastAsia="zh-CN"/>
                    </w:rPr>
                    <w:t>70.63</w:t>
                  </w:r>
                </w:p>
              </w:tc>
              <w:tc>
                <w:tcPr>
                  <w:tcW w:w="692" w:type="pct"/>
                  <w:vAlign w:val="center"/>
                </w:tcPr>
                <w:p w14:paraId="7110ADF3">
                  <w:pPr>
                    <w:pStyle w:val="298"/>
                    <w:jc w:val="center"/>
                    <w:rPr>
                      <w:color w:val="auto"/>
                      <w:sz w:val="21"/>
                      <w:szCs w:val="21"/>
                    </w:rPr>
                  </w:pPr>
                  <w:r>
                    <w:rPr>
                      <w:color w:val="auto"/>
                      <w:sz w:val="21"/>
                      <w:szCs w:val="21"/>
                    </w:rPr>
                    <w:t>达标</w:t>
                  </w:r>
                </w:p>
              </w:tc>
            </w:tr>
          </w:tbl>
          <w:p w14:paraId="3DF0B69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sz w:val="24"/>
                <w:szCs w:val="24"/>
              </w:rPr>
            </w:pPr>
            <w:r>
              <w:rPr>
                <w:rFonts w:hint="eastAsia"/>
                <w:sz w:val="24"/>
                <w:szCs w:val="24"/>
              </w:rPr>
              <w:t>由上表可知，2025年安化县大气环境质量主要指标中SO</w:t>
            </w:r>
            <w:r>
              <w:rPr>
                <w:rFonts w:hint="eastAsia"/>
                <w:sz w:val="24"/>
                <w:szCs w:val="24"/>
                <w:vertAlign w:val="subscript"/>
              </w:rPr>
              <w:t>2</w:t>
            </w:r>
            <w:r>
              <w:rPr>
                <w:rFonts w:hint="eastAsia"/>
                <w:sz w:val="24"/>
                <w:szCs w:val="24"/>
              </w:rPr>
              <w:t>年均浓度、NO</w:t>
            </w:r>
            <w:r>
              <w:rPr>
                <w:rFonts w:hint="eastAsia"/>
                <w:sz w:val="24"/>
                <w:szCs w:val="24"/>
                <w:vertAlign w:val="subscript"/>
              </w:rPr>
              <w:t>2</w:t>
            </w:r>
            <w:r>
              <w:rPr>
                <w:rFonts w:hint="eastAsia"/>
                <w:sz w:val="24"/>
                <w:szCs w:val="24"/>
              </w:rPr>
              <w:t>年均浓度、PM</w:t>
            </w:r>
            <w:r>
              <w:rPr>
                <w:rFonts w:hint="eastAsia"/>
                <w:sz w:val="24"/>
                <w:szCs w:val="24"/>
                <w:vertAlign w:val="subscript"/>
              </w:rPr>
              <w:t>10</w:t>
            </w:r>
            <w:r>
              <w:rPr>
                <w:rFonts w:hint="eastAsia"/>
                <w:sz w:val="24"/>
                <w:szCs w:val="24"/>
              </w:rPr>
              <w:t>、PM</w:t>
            </w:r>
            <w:r>
              <w:rPr>
                <w:rFonts w:hint="eastAsia"/>
                <w:sz w:val="24"/>
                <w:szCs w:val="24"/>
                <w:vertAlign w:val="subscript"/>
              </w:rPr>
              <w:t>2.5</w:t>
            </w:r>
            <w:r>
              <w:rPr>
                <w:rFonts w:hint="eastAsia"/>
                <w:sz w:val="24"/>
                <w:szCs w:val="24"/>
              </w:rPr>
              <w:t>年平均质量浓度、CO24小时平均第95百分位数浓度、O</w:t>
            </w:r>
            <w:r>
              <w:rPr>
                <w:rFonts w:hint="eastAsia"/>
                <w:sz w:val="24"/>
                <w:szCs w:val="24"/>
                <w:vertAlign w:val="subscript"/>
              </w:rPr>
              <w:t>3</w:t>
            </w:r>
            <w:r>
              <w:rPr>
                <w:rFonts w:hint="eastAsia"/>
                <w:sz w:val="24"/>
                <w:szCs w:val="24"/>
              </w:rPr>
              <w:t>8小时平均第90百分位数浓度均能满足《环境空气质量标准》（GB3095-2026）过渡阶段的二级标准，本项目所在区域为环境空气质量达标区。</w:t>
            </w:r>
          </w:p>
          <w:p w14:paraId="569A664C">
            <w:pPr>
              <w:spacing w:line="360" w:lineRule="auto"/>
              <w:textAlignment w:val="baseline"/>
              <w:rPr>
                <w:b/>
                <w:color w:val="000000"/>
                <w:spacing w:val="8"/>
                <w:sz w:val="24"/>
                <w:szCs w:val="24"/>
              </w:rPr>
            </w:pPr>
            <w:r>
              <w:rPr>
                <w:b/>
                <w:color w:val="000000"/>
                <w:spacing w:val="8"/>
                <w:sz w:val="24"/>
                <w:szCs w:val="24"/>
              </w:rPr>
              <w:t>2 地表水环境质量现状</w:t>
            </w:r>
          </w:p>
          <w:p w14:paraId="7C535376">
            <w:pPr>
              <w:pStyle w:val="178"/>
              <w:spacing w:line="360" w:lineRule="auto"/>
              <w:ind w:firstLine="480"/>
              <w:rPr>
                <w:color w:val="000000"/>
                <w:sz w:val="24"/>
              </w:rPr>
            </w:pPr>
            <w:r>
              <w:rPr>
                <w:color w:val="000000"/>
                <w:sz w:val="24"/>
              </w:rPr>
              <w:t>根据</w:t>
            </w:r>
            <w:r>
              <w:rPr>
                <w:bCs/>
                <w:color w:val="000000"/>
                <w:sz w:val="24"/>
              </w:rPr>
              <w:t>《建设项目环境影响报告表编制技术指</w:t>
            </w:r>
            <w:r>
              <w:rPr>
                <w:rFonts w:ascii="宋体" w:hAnsi="宋体"/>
                <w:bCs/>
                <w:color w:val="000000"/>
                <w:sz w:val="24"/>
              </w:rPr>
              <w:t>南(污染影响类)(试行)</w:t>
            </w:r>
            <w:r>
              <w:rPr>
                <w:bCs/>
                <w:color w:val="000000"/>
                <w:sz w:val="24"/>
              </w:rPr>
              <w:t>》</w:t>
            </w:r>
            <w:r>
              <w:rPr>
                <w:color w:val="000000"/>
                <w:sz w:val="24"/>
              </w:rPr>
              <w:t>，地表水环境质量现状调查可引用与建设项目距离近的有效数据，包括近3年的规划环境影响评价的监测数据，所在流域控制单元内国家、地方控制断面监测数据，生态环境主管部门发布的水环境质量数据或地表水达标情况的结论。本评价引用益阳市生态环境局202</w:t>
            </w:r>
            <w:r>
              <w:rPr>
                <w:rFonts w:hint="eastAsia"/>
                <w:color w:val="000000"/>
                <w:sz w:val="24"/>
              </w:rPr>
              <w:t>5</w:t>
            </w:r>
            <w:r>
              <w:rPr>
                <w:color w:val="000000"/>
                <w:sz w:val="24"/>
              </w:rPr>
              <w:t>年1月-202</w:t>
            </w:r>
            <w:r>
              <w:rPr>
                <w:rFonts w:hint="eastAsia"/>
                <w:color w:val="000000"/>
                <w:sz w:val="24"/>
              </w:rPr>
              <w:t>5</w:t>
            </w:r>
            <w:r>
              <w:rPr>
                <w:color w:val="000000"/>
                <w:sz w:val="24"/>
              </w:rPr>
              <w:t>年12月全年全市环境质量状况的通报中关于本项目区域纳污</w:t>
            </w:r>
            <w:r>
              <w:rPr>
                <w:color w:val="000000"/>
                <w:sz w:val="24"/>
                <w:highlight w:val="none"/>
              </w:rPr>
              <w:t>河段</w:t>
            </w:r>
            <w:r>
              <w:rPr>
                <w:rFonts w:hint="eastAsia"/>
                <w:color w:val="000000"/>
                <w:sz w:val="24"/>
                <w:highlight w:val="none"/>
                <w:lang w:val="en-US" w:eastAsia="zh-CN"/>
              </w:rPr>
              <w:t>资江干流株溪口</w:t>
            </w:r>
            <w:r>
              <w:rPr>
                <w:color w:val="000000"/>
                <w:sz w:val="24"/>
                <w:highlight w:val="none"/>
              </w:rPr>
              <w:t>监测</w:t>
            </w:r>
            <w:r>
              <w:rPr>
                <w:color w:val="000000"/>
                <w:sz w:val="24"/>
              </w:rPr>
              <w:t>断面水质情况。</w:t>
            </w:r>
          </w:p>
          <w:p w14:paraId="23B5DE9D">
            <w:pPr>
              <w:pStyle w:val="141"/>
              <w:spacing w:line="360" w:lineRule="auto"/>
              <w:ind w:left="420" w:leftChars="200"/>
              <w:rPr>
                <w:rFonts w:ascii="Times New Roman" w:hAnsi="Times New Roman" w:cs="Times New Roman"/>
                <w:color w:val="000000"/>
                <w:szCs w:val="24"/>
              </w:rPr>
            </w:pPr>
            <w:r>
              <w:rPr>
                <w:rFonts w:ascii="Times New Roman" w:hAnsi="Times New Roman" w:cs="Times New Roman"/>
                <w:color w:val="000000"/>
                <w:szCs w:val="24"/>
              </w:rPr>
              <w:t>表3-2  地表水监测工作内容一览表  单位：（除pH为无量纲外，mg/L）</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047"/>
              <w:gridCol w:w="4310"/>
            </w:tblGrid>
            <w:tr w14:paraId="415421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Merge w:val="restart"/>
                  <w:vAlign w:val="center"/>
                </w:tcPr>
                <w:p w14:paraId="1329F38C">
                  <w:pPr>
                    <w:pStyle w:val="147"/>
                    <w:ind w:firstLine="0" w:firstLineChars="0"/>
                    <w:jc w:val="center"/>
                    <w:rPr>
                      <w:b/>
                      <w:bCs/>
                      <w:szCs w:val="21"/>
                    </w:rPr>
                  </w:pPr>
                  <w:r>
                    <w:rPr>
                      <w:b/>
                      <w:bCs/>
                      <w:szCs w:val="21"/>
                    </w:rPr>
                    <w:t>监测时间</w:t>
                  </w:r>
                </w:p>
              </w:tc>
              <w:tc>
                <w:tcPr>
                  <w:tcW w:w="2878" w:type="dxa"/>
                  <w:vAlign w:val="center"/>
                </w:tcPr>
                <w:p w14:paraId="4B70F26A">
                  <w:pPr>
                    <w:pStyle w:val="147"/>
                    <w:ind w:firstLine="0" w:firstLineChars="0"/>
                    <w:jc w:val="center"/>
                    <w:rPr>
                      <w:b/>
                      <w:bCs/>
                      <w:szCs w:val="21"/>
                    </w:rPr>
                  </w:pPr>
                  <w:r>
                    <w:rPr>
                      <w:b/>
                      <w:bCs/>
                      <w:szCs w:val="21"/>
                    </w:rPr>
                    <w:t>监测断面</w:t>
                  </w:r>
                </w:p>
              </w:tc>
            </w:tr>
            <w:tr w14:paraId="37FA0C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Merge w:val="continue"/>
                  <w:vAlign w:val="center"/>
                </w:tcPr>
                <w:p w14:paraId="631589A9">
                  <w:pPr>
                    <w:pStyle w:val="147"/>
                    <w:ind w:firstLine="0" w:firstLineChars="0"/>
                    <w:jc w:val="center"/>
                    <w:rPr>
                      <w:b/>
                      <w:bCs/>
                      <w:szCs w:val="21"/>
                    </w:rPr>
                  </w:pPr>
                </w:p>
              </w:tc>
              <w:tc>
                <w:tcPr>
                  <w:tcW w:w="2878" w:type="dxa"/>
                  <w:vAlign w:val="center"/>
                </w:tcPr>
                <w:p w14:paraId="4C4EFE5F">
                  <w:pPr>
                    <w:pStyle w:val="147"/>
                    <w:ind w:firstLine="0" w:firstLineChars="0"/>
                    <w:jc w:val="center"/>
                    <w:rPr>
                      <w:rFonts w:hint="eastAsia" w:eastAsia="宋体"/>
                      <w:b/>
                      <w:bCs/>
                      <w:szCs w:val="21"/>
                      <w:lang w:eastAsia="zh-CN"/>
                    </w:rPr>
                  </w:pPr>
                  <w:r>
                    <w:rPr>
                      <w:rFonts w:hint="eastAsia"/>
                      <w:b/>
                      <w:bCs/>
                      <w:szCs w:val="21"/>
                      <w:lang w:val="en-US" w:eastAsia="zh-CN"/>
                    </w:rPr>
                    <w:t>株溪口</w:t>
                  </w:r>
                </w:p>
              </w:tc>
            </w:tr>
            <w:tr w14:paraId="50A709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0EB597A0">
                  <w:pPr>
                    <w:pStyle w:val="147"/>
                    <w:ind w:firstLine="0" w:firstLineChars="0"/>
                    <w:jc w:val="center"/>
                    <w:rPr>
                      <w:szCs w:val="21"/>
                      <w:highlight w:val="none"/>
                    </w:rPr>
                  </w:pPr>
                  <w:r>
                    <w:rPr>
                      <w:szCs w:val="21"/>
                      <w:highlight w:val="none"/>
                    </w:rPr>
                    <w:t>202</w:t>
                  </w:r>
                  <w:r>
                    <w:rPr>
                      <w:rFonts w:hint="eastAsia"/>
                      <w:szCs w:val="21"/>
                      <w:highlight w:val="none"/>
                    </w:rPr>
                    <w:t>5</w:t>
                  </w:r>
                  <w:r>
                    <w:rPr>
                      <w:szCs w:val="21"/>
                      <w:highlight w:val="none"/>
                    </w:rPr>
                    <w:t>.01</w:t>
                  </w:r>
                </w:p>
              </w:tc>
              <w:tc>
                <w:tcPr>
                  <w:tcW w:w="2878" w:type="dxa"/>
                  <w:vAlign w:val="center"/>
                </w:tcPr>
                <w:p w14:paraId="67867F75">
                  <w:pPr>
                    <w:pStyle w:val="147"/>
                    <w:ind w:firstLine="0" w:firstLineChars="0"/>
                    <w:jc w:val="center"/>
                    <w:rPr>
                      <w:szCs w:val="21"/>
                      <w:highlight w:val="none"/>
                    </w:rPr>
                  </w:pPr>
                  <w:r>
                    <w:rPr>
                      <w:szCs w:val="21"/>
                      <w:highlight w:val="none"/>
                    </w:rPr>
                    <w:t>II类</w:t>
                  </w:r>
                </w:p>
              </w:tc>
            </w:tr>
            <w:tr w14:paraId="1F11EC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3315FDDF">
                  <w:pPr>
                    <w:pStyle w:val="147"/>
                    <w:ind w:firstLine="0" w:firstLineChars="0"/>
                    <w:jc w:val="center"/>
                    <w:rPr>
                      <w:szCs w:val="21"/>
                      <w:highlight w:val="none"/>
                    </w:rPr>
                  </w:pPr>
                  <w:r>
                    <w:rPr>
                      <w:szCs w:val="21"/>
                      <w:highlight w:val="none"/>
                    </w:rPr>
                    <w:t>202</w:t>
                  </w:r>
                  <w:r>
                    <w:rPr>
                      <w:rFonts w:hint="eastAsia"/>
                      <w:szCs w:val="21"/>
                      <w:highlight w:val="none"/>
                    </w:rPr>
                    <w:t>5</w:t>
                  </w:r>
                  <w:r>
                    <w:rPr>
                      <w:szCs w:val="21"/>
                      <w:highlight w:val="none"/>
                    </w:rPr>
                    <w:t>.02</w:t>
                  </w:r>
                </w:p>
              </w:tc>
              <w:tc>
                <w:tcPr>
                  <w:tcW w:w="2878" w:type="dxa"/>
                  <w:vAlign w:val="center"/>
                </w:tcPr>
                <w:p w14:paraId="6DB92768">
                  <w:pPr>
                    <w:jc w:val="center"/>
                    <w:rPr>
                      <w:highlight w:val="none"/>
                    </w:rPr>
                  </w:pPr>
                  <w:r>
                    <w:rPr>
                      <w:szCs w:val="21"/>
                      <w:highlight w:val="none"/>
                    </w:rPr>
                    <w:t>II类</w:t>
                  </w:r>
                </w:p>
              </w:tc>
            </w:tr>
            <w:tr w14:paraId="0CBF65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0DA87F80">
                  <w:pPr>
                    <w:pStyle w:val="147"/>
                    <w:ind w:firstLine="0" w:firstLineChars="0"/>
                    <w:jc w:val="center"/>
                    <w:rPr>
                      <w:szCs w:val="21"/>
                      <w:highlight w:val="none"/>
                    </w:rPr>
                  </w:pPr>
                  <w:r>
                    <w:rPr>
                      <w:szCs w:val="21"/>
                      <w:highlight w:val="none"/>
                    </w:rPr>
                    <w:t>202</w:t>
                  </w:r>
                  <w:r>
                    <w:rPr>
                      <w:rFonts w:hint="eastAsia"/>
                      <w:szCs w:val="21"/>
                      <w:highlight w:val="none"/>
                    </w:rPr>
                    <w:t>5</w:t>
                  </w:r>
                  <w:r>
                    <w:rPr>
                      <w:szCs w:val="21"/>
                      <w:highlight w:val="none"/>
                    </w:rPr>
                    <w:t>.03</w:t>
                  </w:r>
                </w:p>
              </w:tc>
              <w:tc>
                <w:tcPr>
                  <w:tcW w:w="2878" w:type="dxa"/>
                  <w:vAlign w:val="center"/>
                </w:tcPr>
                <w:p w14:paraId="142FF9D0">
                  <w:pPr>
                    <w:jc w:val="center"/>
                    <w:rPr>
                      <w:highlight w:val="none"/>
                    </w:rPr>
                  </w:pPr>
                  <w:r>
                    <w:rPr>
                      <w:szCs w:val="21"/>
                      <w:highlight w:val="none"/>
                    </w:rPr>
                    <w:t>II类</w:t>
                  </w:r>
                </w:p>
              </w:tc>
            </w:tr>
            <w:tr w14:paraId="535CCD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25A3F646">
                  <w:pPr>
                    <w:pStyle w:val="147"/>
                    <w:ind w:firstLine="0" w:firstLineChars="0"/>
                    <w:jc w:val="center"/>
                    <w:rPr>
                      <w:szCs w:val="21"/>
                      <w:highlight w:val="none"/>
                    </w:rPr>
                  </w:pPr>
                  <w:r>
                    <w:rPr>
                      <w:szCs w:val="21"/>
                      <w:highlight w:val="none"/>
                    </w:rPr>
                    <w:t>202</w:t>
                  </w:r>
                  <w:r>
                    <w:rPr>
                      <w:rFonts w:hint="eastAsia"/>
                      <w:szCs w:val="21"/>
                      <w:highlight w:val="none"/>
                    </w:rPr>
                    <w:t>5</w:t>
                  </w:r>
                  <w:r>
                    <w:rPr>
                      <w:szCs w:val="21"/>
                      <w:highlight w:val="none"/>
                    </w:rPr>
                    <w:t>.04</w:t>
                  </w:r>
                </w:p>
              </w:tc>
              <w:tc>
                <w:tcPr>
                  <w:tcW w:w="2878" w:type="dxa"/>
                  <w:vAlign w:val="center"/>
                </w:tcPr>
                <w:p w14:paraId="1E2B9AD2">
                  <w:pPr>
                    <w:jc w:val="center"/>
                    <w:rPr>
                      <w:highlight w:val="none"/>
                    </w:rPr>
                  </w:pPr>
                  <w:r>
                    <w:rPr>
                      <w:szCs w:val="21"/>
                      <w:highlight w:val="none"/>
                    </w:rPr>
                    <w:t>II类</w:t>
                  </w:r>
                </w:p>
              </w:tc>
            </w:tr>
            <w:tr w14:paraId="129BD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2A4A165F">
                  <w:pPr>
                    <w:pStyle w:val="147"/>
                    <w:ind w:firstLine="0" w:firstLineChars="0"/>
                    <w:jc w:val="center"/>
                    <w:rPr>
                      <w:szCs w:val="21"/>
                      <w:highlight w:val="none"/>
                    </w:rPr>
                  </w:pPr>
                  <w:r>
                    <w:rPr>
                      <w:szCs w:val="21"/>
                      <w:highlight w:val="none"/>
                    </w:rPr>
                    <w:t>202</w:t>
                  </w:r>
                  <w:r>
                    <w:rPr>
                      <w:rFonts w:hint="eastAsia"/>
                      <w:szCs w:val="21"/>
                      <w:highlight w:val="none"/>
                    </w:rPr>
                    <w:t>5</w:t>
                  </w:r>
                  <w:r>
                    <w:rPr>
                      <w:szCs w:val="21"/>
                      <w:highlight w:val="none"/>
                    </w:rPr>
                    <w:t>.05</w:t>
                  </w:r>
                </w:p>
              </w:tc>
              <w:tc>
                <w:tcPr>
                  <w:tcW w:w="2878" w:type="dxa"/>
                  <w:vAlign w:val="center"/>
                </w:tcPr>
                <w:p w14:paraId="774915C5">
                  <w:pPr>
                    <w:jc w:val="center"/>
                    <w:rPr>
                      <w:highlight w:val="none"/>
                    </w:rPr>
                  </w:pPr>
                  <w:r>
                    <w:rPr>
                      <w:szCs w:val="21"/>
                      <w:highlight w:val="none"/>
                    </w:rPr>
                    <w:t>II类</w:t>
                  </w:r>
                </w:p>
              </w:tc>
            </w:tr>
            <w:tr w14:paraId="266F1F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7F5BC514">
                  <w:pPr>
                    <w:pStyle w:val="147"/>
                    <w:ind w:firstLine="0" w:firstLineChars="0"/>
                    <w:jc w:val="center"/>
                    <w:rPr>
                      <w:szCs w:val="21"/>
                      <w:highlight w:val="none"/>
                    </w:rPr>
                  </w:pPr>
                  <w:r>
                    <w:rPr>
                      <w:szCs w:val="21"/>
                      <w:highlight w:val="none"/>
                    </w:rPr>
                    <w:t>202</w:t>
                  </w:r>
                  <w:r>
                    <w:rPr>
                      <w:rFonts w:hint="eastAsia"/>
                      <w:szCs w:val="21"/>
                      <w:highlight w:val="none"/>
                    </w:rPr>
                    <w:t>5</w:t>
                  </w:r>
                  <w:r>
                    <w:rPr>
                      <w:szCs w:val="21"/>
                      <w:highlight w:val="none"/>
                    </w:rPr>
                    <w:t>.06</w:t>
                  </w:r>
                </w:p>
              </w:tc>
              <w:tc>
                <w:tcPr>
                  <w:tcW w:w="2878" w:type="dxa"/>
                  <w:vAlign w:val="center"/>
                </w:tcPr>
                <w:p w14:paraId="7EA48813">
                  <w:pPr>
                    <w:jc w:val="center"/>
                    <w:rPr>
                      <w:highlight w:val="none"/>
                    </w:rPr>
                  </w:pPr>
                  <w:r>
                    <w:rPr>
                      <w:szCs w:val="21"/>
                      <w:highlight w:val="none"/>
                    </w:rPr>
                    <w:t>II类</w:t>
                  </w:r>
                </w:p>
              </w:tc>
            </w:tr>
            <w:tr w14:paraId="6391AC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10100100">
                  <w:pPr>
                    <w:pStyle w:val="147"/>
                    <w:ind w:firstLine="0" w:firstLineChars="0"/>
                    <w:jc w:val="center"/>
                    <w:rPr>
                      <w:szCs w:val="21"/>
                      <w:highlight w:val="none"/>
                    </w:rPr>
                  </w:pPr>
                  <w:r>
                    <w:rPr>
                      <w:szCs w:val="21"/>
                      <w:highlight w:val="none"/>
                    </w:rPr>
                    <w:t>202</w:t>
                  </w:r>
                  <w:r>
                    <w:rPr>
                      <w:rFonts w:hint="eastAsia"/>
                      <w:szCs w:val="21"/>
                      <w:highlight w:val="none"/>
                    </w:rPr>
                    <w:t>5</w:t>
                  </w:r>
                  <w:r>
                    <w:rPr>
                      <w:szCs w:val="21"/>
                      <w:highlight w:val="none"/>
                    </w:rPr>
                    <w:t>.07</w:t>
                  </w:r>
                </w:p>
              </w:tc>
              <w:tc>
                <w:tcPr>
                  <w:tcW w:w="2878" w:type="dxa"/>
                  <w:vAlign w:val="center"/>
                </w:tcPr>
                <w:p w14:paraId="5103096F">
                  <w:pPr>
                    <w:jc w:val="center"/>
                    <w:rPr>
                      <w:szCs w:val="21"/>
                      <w:highlight w:val="none"/>
                    </w:rPr>
                  </w:pPr>
                  <w:r>
                    <w:rPr>
                      <w:szCs w:val="21"/>
                      <w:highlight w:val="none"/>
                    </w:rPr>
                    <w:t>II类</w:t>
                  </w:r>
                </w:p>
              </w:tc>
            </w:tr>
            <w:tr w14:paraId="2B9285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66A46AFF">
                  <w:pPr>
                    <w:pStyle w:val="147"/>
                    <w:ind w:firstLine="0" w:firstLineChars="0"/>
                    <w:jc w:val="center"/>
                    <w:rPr>
                      <w:szCs w:val="21"/>
                      <w:highlight w:val="none"/>
                    </w:rPr>
                  </w:pPr>
                  <w:r>
                    <w:rPr>
                      <w:szCs w:val="21"/>
                      <w:highlight w:val="none"/>
                    </w:rPr>
                    <w:t>202</w:t>
                  </w:r>
                  <w:r>
                    <w:rPr>
                      <w:rFonts w:hint="eastAsia"/>
                      <w:szCs w:val="21"/>
                      <w:highlight w:val="none"/>
                    </w:rPr>
                    <w:t>5</w:t>
                  </w:r>
                  <w:r>
                    <w:rPr>
                      <w:szCs w:val="21"/>
                      <w:highlight w:val="none"/>
                    </w:rPr>
                    <w:t>.08</w:t>
                  </w:r>
                </w:p>
              </w:tc>
              <w:tc>
                <w:tcPr>
                  <w:tcW w:w="2878" w:type="dxa"/>
                  <w:vAlign w:val="center"/>
                </w:tcPr>
                <w:p w14:paraId="4CA9A37C">
                  <w:pPr>
                    <w:jc w:val="center"/>
                    <w:rPr>
                      <w:szCs w:val="21"/>
                      <w:highlight w:val="none"/>
                    </w:rPr>
                  </w:pPr>
                  <w:r>
                    <w:rPr>
                      <w:szCs w:val="21"/>
                      <w:highlight w:val="none"/>
                    </w:rPr>
                    <w:t>II类</w:t>
                  </w:r>
                </w:p>
              </w:tc>
            </w:tr>
            <w:tr w14:paraId="642DD9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2F258603">
                  <w:pPr>
                    <w:pStyle w:val="147"/>
                    <w:ind w:firstLine="0" w:firstLineChars="0"/>
                    <w:jc w:val="center"/>
                    <w:rPr>
                      <w:szCs w:val="21"/>
                      <w:highlight w:val="none"/>
                    </w:rPr>
                  </w:pPr>
                  <w:r>
                    <w:rPr>
                      <w:szCs w:val="21"/>
                      <w:highlight w:val="none"/>
                    </w:rPr>
                    <w:t>202</w:t>
                  </w:r>
                  <w:r>
                    <w:rPr>
                      <w:rFonts w:hint="eastAsia"/>
                      <w:szCs w:val="21"/>
                      <w:highlight w:val="none"/>
                    </w:rPr>
                    <w:t>5</w:t>
                  </w:r>
                  <w:r>
                    <w:rPr>
                      <w:szCs w:val="21"/>
                      <w:highlight w:val="none"/>
                    </w:rPr>
                    <w:t>.09</w:t>
                  </w:r>
                </w:p>
              </w:tc>
              <w:tc>
                <w:tcPr>
                  <w:tcW w:w="2878" w:type="dxa"/>
                  <w:vAlign w:val="center"/>
                </w:tcPr>
                <w:p w14:paraId="4D92F310">
                  <w:pPr>
                    <w:jc w:val="center"/>
                    <w:rPr>
                      <w:highlight w:val="none"/>
                    </w:rPr>
                  </w:pPr>
                  <w:r>
                    <w:rPr>
                      <w:szCs w:val="21"/>
                      <w:highlight w:val="none"/>
                    </w:rPr>
                    <w:t>III类</w:t>
                  </w:r>
                </w:p>
              </w:tc>
            </w:tr>
            <w:tr w14:paraId="353219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4DF32CF5">
                  <w:pPr>
                    <w:pStyle w:val="147"/>
                    <w:ind w:firstLine="0" w:firstLineChars="0"/>
                    <w:jc w:val="center"/>
                    <w:rPr>
                      <w:szCs w:val="21"/>
                      <w:highlight w:val="none"/>
                    </w:rPr>
                  </w:pPr>
                  <w:r>
                    <w:rPr>
                      <w:szCs w:val="21"/>
                      <w:highlight w:val="none"/>
                    </w:rPr>
                    <w:t>202</w:t>
                  </w:r>
                  <w:r>
                    <w:rPr>
                      <w:rFonts w:hint="eastAsia"/>
                      <w:szCs w:val="21"/>
                      <w:highlight w:val="none"/>
                    </w:rPr>
                    <w:t>5</w:t>
                  </w:r>
                  <w:r>
                    <w:rPr>
                      <w:szCs w:val="21"/>
                      <w:highlight w:val="none"/>
                    </w:rPr>
                    <w:t>.10</w:t>
                  </w:r>
                </w:p>
              </w:tc>
              <w:tc>
                <w:tcPr>
                  <w:tcW w:w="2878" w:type="dxa"/>
                  <w:vAlign w:val="center"/>
                </w:tcPr>
                <w:p w14:paraId="05109743">
                  <w:pPr>
                    <w:jc w:val="center"/>
                    <w:rPr>
                      <w:highlight w:val="none"/>
                    </w:rPr>
                  </w:pPr>
                  <w:r>
                    <w:rPr>
                      <w:szCs w:val="21"/>
                      <w:highlight w:val="none"/>
                    </w:rPr>
                    <w:t>II类</w:t>
                  </w:r>
                </w:p>
              </w:tc>
            </w:tr>
            <w:tr w14:paraId="3D5C9E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5E004800">
                  <w:pPr>
                    <w:pStyle w:val="147"/>
                    <w:ind w:firstLine="0" w:firstLineChars="0"/>
                    <w:jc w:val="center"/>
                    <w:rPr>
                      <w:szCs w:val="21"/>
                    </w:rPr>
                  </w:pPr>
                  <w:r>
                    <w:rPr>
                      <w:szCs w:val="21"/>
                    </w:rPr>
                    <w:t>202</w:t>
                  </w:r>
                  <w:r>
                    <w:rPr>
                      <w:rFonts w:hint="eastAsia"/>
                      <w:szCs w:val="21"/>
                    </w:rPr>
                    <w:t>5</w:t>
                  </w:r>
                  <w:r>
                    <w:rPr>
                      <w:szCs w:val="21"/>
                    </w:rPr>
                    <w:t>.11</w:t>
                  </w:r>
                </w:p>
              </w:tc>
              <w:tc>
                <w:tcPr>
                  <w:tcW w:w="2878" w:type="dxa"/>
                  <w:vAlign w:val="center"/>
                </w:tcPr>
                <w:p w14:paraId="4BD72355">
                  <w:pPr>
                    <w:jc w:val="center"/>
                  </w:pPr>
                  <w:r>
                    <w:rPr>
                      <w:szCs w:val="21"/>
                    </w:rPr>
                    <w:t>II类</w:t>
                  </w:r>
                </w:p>
              </w:tc>
            </w:tr>
            <w:tr w14:paraId="773F6B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03" w:type="dxa"/>
                  <w:vAlign w:val="center"/>
                </w:tcPr>
                <w:p w14:paraId="25454770">
                  <w:pPr>
                    <w:pStyle w:val="147"/>
                    <w:ind w:firstLine="0" w:firstLineChars="0"/>
                    <w:jc w:val="center"/>
                    <w:rPr>
                      <w:szCs w:val="21"/>
                    </w:rPr>
                  </w:pPr>
                  <w:r>
                    <w:rPr>
                      <w:szCs w:val="21"/>
                    </w:rPr>
                    <w:t>202</w:t>
                  </w:r>
                  <w:r>
                    <w:rPr>
                      <w:rFonts w:hint="eastAsia"/>
                      <w:szCs w:val="21"/>
                    </w:rPr>
                    <w:t>5</w:t>
                  </w:r>
                  <w:r>
                    <w:rPr>
                      <w:szCs w:val="21"/>
                    </w:rPr>
                    <w:t>.12</w:t>
                  </w:r>
                </w:p>
              </w:tc>
              <w:tc>
                <w:tcPr>
                  <w:tcW w:w="2878" w:type="dxa"/>
                  <w:vAlign w:val="center"/>
                </w:tcPr>
                <w:p w14:paraId="6DD25E2A">
                  <w:pPr>
                    <w:jc w:val="center"/>
                  </w:pPr>
                  <w:r>
                    <w:rPr>
                      <w:szCs w:val="21"/>
                    </w:rPr>
                    <w:t>II类</w:t>
                  </w:r>
                </w:p>
              </w:tc>
            </w:tr>
          </w:tbl>
          <w:p w14:paraId="57067D8A">
            <w:pPr>
              <w:pStyle w:val="178"/>
              <w:spacing w:line="360" w:lineRule="auto"/>
              <w:ind w:firstLine="512"/>
              <w:rPr>
                <w:color w:val="000000"/>
                <w:sz w:val="24"/>
                <w:u w:val="single"/>
              </w:rPr>
            </w:pPr>
            <w:r>
              <w:rPr>
                <w:bCs/>
                <w:color w:val="000000"/>
                <w:spacing w:val="8"/>
                <w:sz w:val="24"/>
              </w:rPr>
              <w:t>监测结果分析表明</w:t>
            </w:r>
            <w:r>
              <w:rPr>
                <w:color w:val="000000"/>
                <w:sz w:val="24"/>
              </w:rPr>
              <w:t>，项目所在地地表水环境质量现状满足《地表水环境质量标准》（GB3838—2002）中的III类标准。</w:t>
            </w:r>
          </w:p>
          <w:p w14:paraId="2F0AFE29">
            <w:pPr>
              <w:spacing w:line="360" w:lineRule="auto"/>
              <w:textAlignment w:val="baseline"/>
              <w:rPr>
                <w:b/>
                <w:color w:val="000000"/>
                <w:spacing w:val="8"/>
                <w:sz w:val="24"/>
                <w:szCs w:val="24"/>
              </w:rPr>
            </w:pPr>
            <w:r>
              <w:rPr>
                <w:b/>
                <w:color w:val="000000"/>
                <w:spacing w:val="8"/>
                <w:sz w:val="24"/>
                <w:szCs w:val="24"/>
              </w:rPr>
              <w:t>3 声环境质量现状</w:t>
            </w:r>
          </w:p>
          <w:p w14:paraId="53C53B5E">
            <w:pPr>
              <w:spacing w:line="360" w:lineRule="auto"/>
              <w:ind w:firstLine="480" w:firstLineChars="200"/>
              <w:textAlignment w:val="baseline"/>
              <w:rPr>
                <w:color w:val="000000"/>
                <w:kern w:val="0"/>
                <w:sz w:val="24"/>
                <w:szCs w:val="24"/>
                <w:highlight w:val="none"/>
              </w:rPr>
            </w:pPr>
            <w:r>
              <w:rPr>
                <w:color w:val="000000"/>
                <w:kern w:val="0"/>
                <w:sz w:val="24"/>
                <w:szCs w:val="24"/>
                <w:highlight w:val="none"/>
              </w:rPr>
              <w:t>根据</w:t>
            </w:r>
            <w:r>
              <w:rPr>
                <w:bCs/>
                <w:color w:val="000000"/>
                <w:sz w:val="24"/>
                <w:szCs w:val="24"/>
                <w:highlight w:val="none"/>
              </w:rPr>
              <w:t>《建设项目环境影响报告表编制技术指</w:t>
            </w:r>
            <w:r>
              <w:rPr>
                <w:rFonts w:ascii="宋体" w:hAnsi="宋体"/>
                <w:bCs/>
                <w:color w:val="000000"/>
                <w:sz w:val="24"/>
                <w:szCs w:val="24"/>
                <w:highlight w:val="none"/>
              </w:rPr>
              <w:t>南(污染影响类)(试行)</w:t>
            </w:r>
            <w:r>
              <w:rPr>
                <w:bCs/>
                <w:color w:val="000000"/>
                <w:sz w:val="24"/>
                <w:szCs w:val="24"/>
                <w:highlight w:val="none"/>
              </w:rPr>
              <w:t>》</w:t>
            </w:r>
            <w:r>
              <w:rPr>
                <w:color w:val="000000"/>
                <w:kern w:val="0"/>
                <w:sz w:val="24"/>
                <w:szCs w:val="24"/>
                <w:highlight w:val="none"/>
              </w:rPr>
              <w:t>，厂界外周边50米范围内存在声环境保护目标的建设项目，应监测保护目标声环境质量现状并评价达标情况。各点位应监测昼夜间噪声，监测时间不少于1天。本项目厂界外50米范围内</w:t>
            </w:r>
            <w:r>
              <w:rPr>
                <w:rFonts w:hint="eastAsia"/>
                <w:color w:val="000000"/>
                <w:kern w:val="0"/>
                <w:sz w:val="24"/>
                <w:szCs w:val="24"/>
                <w:highlight w:val="none"/>
                <w:lang w:val="en-US" w:eastAsia="zh-CN"/>
              </w:rPr>
              <w:t>无</w:t>
            </w:r>
            <w:r>
              <w:rPr>
                <w:color w:val="000000"/>
                <w:kern w:val="0"/>
                <w:sz w:val="24"/>
                <w:szCs w:val="24"/>
                <w:highlight w:val="none"/>
              </w:rPr>
              <w:t>声环境敏感点，</w:t>
            </w:r>
            <w:r>
              <w:rPr>
                <w:rFonts w:hint="eastAsia"/>
                <w:color w:val="000000"/>
                <w:kern w:val="0"/>
                <w:sz w:val="24"/>
                <w:szCs w:val="24"/>
                <w:highlight w:val="none"/>
                <w:lang w:val="en-US" w:eastAsia="zh-CN"/>
              </w:rPr>
              <w:t>因此，本项目无需进行声环境质量现状监测与评价</w:t>
            </w:r>
            <w:r>
              <w:rPr>
                <w:color w:val="000000"/>
                <w:kern w:val="0"/>
                <w:sz w:val="24"/>
                <w:szCs w:val="24"/>
                <w:highlight w:val="none"/>
              </w:rPr>
              <w:t>。</w:t>
            </w:r>
          </w:p>
          <w:p w14:paraId="18416678">
            <w:pPr>
              <w:adjustRightInd w:val="0"/>
              <w:snapToGrid w:val="0"/>
              <w:spacing w:line="360" w:lineRule="auto"/>
              <w:textAlignment w:val="baseline"/>
              <w:rPr>
                <w:b/>
                <w:color w:val="000000"/>
                <w:spacing w:val="8"/>
                <w:sz w:val="24"/>
                <w:szCs w:val="24"/>
              </w:rPr>
            </w:pPr>
            <w:r>
              <w:rPr>
                <w:b/>
                <w:color w:val="000000"/>
                <w:spacing w:val="8"/>
                <w:sz w:val="24"/>
                <w:szCs w:val="24"/>
              </w:rPr>
              <w:t>4 生态环境现状</w:t>
            </w:r>
          </w:p>
          <w:p w14:paraId="2004C012">
            <w:pPr>
              <w:autoSpaceDE w:val="0"/>
              <w:autoSpaceDN w:val="0"/>
              <w:adjustRightInd w:val="0"/>
              <w:snapToGrid w:val="0"/>
              <w:spacing w:line="360" w:lineRule="auto"/>
              <w:ind w:firstLine="480" w:firstLineChars="200"/>
              <w:textAlignment w:val="baseline"/>
              <w:rPr>
                <w:color w:val="000000"/>
                <w:kern w:val="0"/>
                <w:sz w:val="24"/>
                <w:szCs w:val="24"/>
              </w:rPr>
            </w:pPr>
            <w:r>
              <w:rPr>
                <w:color w:val="000000"/>
                <w:kern w:val="0"/>
                <w:sz w:val="24"/>
                <w:szCs w:val="24"/>
              </w:rPr>
              <w:t>项目位于</w:t>
            </w:r>
            <w:r>
              <w:rPr>
                <w:rFonts w:hint="eastAsia"/>
                <w:color w:val="000000"/>
                <w:spacing w:val="-6"/>
                <w:sz w:val="24"/>
                <w:szCs w:val="24"/>
                <w:lang w:val="en-US" w:eastAsia="zh-CN"/>
              </w:rPr>
              <w:t>安化县东坪镇城南区城南社区连台片</w:t>
            </w:r>
            <w:r>
              <w:rPr>
                <w:color w:val="000000"/>
                <w:kern w:val="0"/>
                <w:sz w:val="24"/>
                <w:szCs w:val="24"/>
              </w:rPr>
              <w:t>，</w:t>
            </w:r>
            <w:r>
              <w:rPr>
                <w:rFonts w:hint="eastAsia"/>
                <w:color w:val="000000"/>
                <w:kern w:val="0"/>
                <w:sz w:val="24"/>
                <w:szCs w:val="24"/>
              </w:rPr>
              <w:t>根据现场踏勘结果表明：本项目场内无原始植被生长和珍贵野生动物活动，区域生态系统敏感程度较低。项目区域内现只存在次生植被，次生植被以灌木、草丛为主，主要野生动物是田鼠、青蛙、山雀等常见物种为主。区域内未见国家法定保护的野生动植物。</w:t>
            </w:r>
            <w:r>
              <w:rPr>
                <w:color w:val="000000"/>
                <w:kern w:val="0"/>
                <w:sz w:val="24"/>
                <w:szCs w:val="24"/>
              </w:rPr>
              <w:t>用地范围内不涉及生态环境保护目标，根据《建设项目环境影响报告表编制技术指</w:t>
            </w:r>
            <w:r>
              <w:rPr>
                <w:rFonts w:ascii="宋体" w:hAnsi="宋体"/>
                <w:color w:val="000000"/>
                <w:kern w:val="0"/>
                <w:sz w:val="24"/>
                <w:szCs w:val="24"/>
              </w:rPr>
              <w:t>南(污染影响类)(</w:t>
            </w:r>
            <w:r>
              <w:rPr>
                <w:color w:val="000000"/>
                <w:kern w:val="0"/>
                <w:sz w:val="24"/>
                <w:szCs w:val="24"/>
              </w:rPr>
              <w:t>试行</w:t>
            </w:r>
            <w:r>
              <w:rPr>
                <w:rFonts w:ascii="宋体" w:hAnsi="宋体"/>
                <w:color w:val="000000"/>
                <w:kern w:val="0"/>
                <w:sz w:val="24"/>
                <w:szCs w:val="24"/>
              </w:rPr>
              <w:t>)》</w:t>
            </w:r>
            <w:r>
              <w:rPr>
                <w:color w:val="000000"/>
                <w:kern w:val="0"/>
                <w:sz w:val="24"/>
                <w:szCs w:val="24"/>
              </w:rPr>
              <w:t>，本项目无需进行生态现状调查。</w:t>
            </w:r>
          </w:p>
          <w:p w14:paraId="71492809">
            <w:pPr>
              <w:adjustRightInd w:val="0"/>
              <w:snapToGrid w:val="0"/>
              <w:spacing w:line="360" w:lineRule="auto"/>
              <w:textAlignment w:val="baseline"/>
              <w:rPr>
                <w:b/>
                <w:color w:val="000000"/>
                <w:spacing w:val="8"/>
                <w:sz w:val="24"/>
                <w:szCs w:val="24"/>
              </w:rPr>
            </w:pPr>
            <w:r>
              <w:rPr>
                <w:b/>
                <w:color w:val="000000"/>
                <w:spacing w:val="8"/>
                <w:sz w:val="24"/>
                <w:szCs w:val="24"/>
              </w:rPr>
              <w:t>5 地下水、土壤环境质量现状</w:t>
            </w:r>
          </w:p>
          <w:p w14:paraId="42137504">
            <w:pPr>
              <w:adjustRightInd w:val="0"/>
              <w:snapToGrid w:val="0"/>
              <w:spacing w:line="360" w:lineRule="auto"/>
              <w:ind w:firstLine="480" w:firstLineChars="200"/>
              <w:textAlignment w:val="baseline"/>
              <w:rPr>
                <w:color w:val="000000"/>
                <w:kern w:val="0"/>
                <w:sz w:val="24"/>
                <w:szCs w:val="24"/>
              </w:rPr>
            </w:pPr>
            <w:r>
              <w:rPr>
                <w:rFonts w:ascii="宋体" w:hAnsi="宋体" w:eastAsia="宋体" w:cs="宋体"/>
                <w:sz w:val="24"/>
                <w:szCs w:val="24"/>
              </w:rPr>
              <w:t>根据生态环境部办</w:t>
            </w:r>
            <w:r>
              <w:rPr>
                <w:rFonts w:hint="default" w:ascii="Times New Roman" w:hAnsi="Times New Roman" w:eastAsia="宋体" w:cs="Times New Roman"/>
                <w:sz w:val="24"/>
                <w:szCs w:val="24"/>
              </w:rPr>
              <w:t>公厅2020年12月24日印</w:t>
            </w:r>
            <w:r>
              <w:rPr>
                <w:rFonts w:ascii="宋体" w:hAnsi="宋体" w:eastAsia="宋体" w:cs="宋体"/>
                <w:sz w:val="24"/>
                <w:szCs w:val="24"/>
              </w:rPr>
              <w:t>发的《建设项目环境影响报告表编制技术指南（污染影响类）（试行）》中具体编制要求“原则上不开展环境质量现状调查。建设项目存在土壤、地下水环境污染途径的，应结合污染源、保护目标分布情况开展现状调查以留作背景值。”结合项目工艺，本项目营运过程产生的废气、废水、固废均可得到有效处理处置，且地面进行水泥硬化，采取防渗措施；项目不存在土壤、地下水环境污染途径，因此不开展土壤、地下水环境质量现状调查</w:t>
            </w:r>
            <w:r>
              <w:rPr>
                <w:color w:val="000000"/>
                <w:kern w:val="0"/>
                <w:sz w:val="24"/>
                <w:szCs w:val="24"/>
              </w:rPr>
              <w:t>。</w:t>
            </w:r>
          </w:p>
        </w:tc>
      </w:tr>
      <w:tr w14:paraId="7BE0E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469" w:type="dxa"/>
            <w:tcBorders>
              <w:top w:val="single" w:color="auto" w:sz="4" w:space="0"/>
              <w:left w:val="single" w:color="auto" w:sz="8" w:space="0"/>
              <w:bottom w:val="single" w:color="auto" w:sz="4" w:space="0"/>
              <w:right w:val="single" w:color="auto" w:sz="4" w:space="0"/>
            </w:tcBorders>
            <w:vAlign w:val="center"/>
          </w:tcPr>
          <w:p w14:paraId="4F1514D1">
            <w:pPr>
              <w:spacing w:line="360" w:lineRule="auto"/>
              <w:jc w:val="center"/>
              <w:rPr>
                <w:color w:val="000000"/>
                <w:kern w:val="0"/>
                <w:sz w:val="24"/>
                <w:szCs w:val="24"/>
              </w:rPr>
            </w:pPr>
            <w:r>
              <w:rPr>
                <w:color w:val="000000"/>
                <w:kern w:val="0"/>
                <w:sz w:val="24"/>
                <w:szCs w:val="24"/>
              </w:rPr>
              <w:t>环境保护目标</w:t>
            </w:r>
          </w:p>
        </w:tc>
        <w:tc>
          <w:tcPr>
            <w:tcW w:w="8603" w:type="dxa"/>
            <w:tcBorders>
              <w:top w:val="single" w:color="auto" w:sz="4" w:space="0"/>
              <w:left w:val="single" w:color="auto" w:sz="4" w:space="0"/>
              <w:bottom w:val="single" w:color="auto" w:sz="4" w:space="0"/>
              <w:right w:val="single" w:color="auto" w:sz="8" w:space="0"/>
            </w:tcBorders>
            <w:vAlign w:val="center"/>
          </w:tcPr>
          <w:p w14:paraId="76CC7562">
            <w:pPr>
              <w:autoSpaceDE w:val="0"/>
              <w:autoSpaceDN w:val="0"/>
              <w:adjustRightInd w:val="0"/>
              <w:spacing w:line="360" w:lineRule="auto"/>
              <w:textAlignment w:val="baseline"/>
              <w:rPr>
                <w:b/>
                <w:bCs/>
                <w:color w:val="000000"/>
                <w:kern w:val="0"/>
                <w:sz w:val="24"/>
                <w:szCs w:val="24"/>
              </w:rPr>
            </w:pPr>
            <w:r>
              <w:rPr>
                <w:b/>
                <w:bCs/>
                <w:color w:val="000000"/>
                <w:kern w:val="0"/>
                <w:sz w:val="24"/>
                <w:szCs w:val="24"/>
              </w:rPr>
              <w:t>1 大气环境</w:t>
            </w:r>
          </w:p>
          <w:p w14:paraId="1CC01A2E">
            <w:pPr>
              <w:tabs>
                <w:tab w:val="left" w:pos="2196"/>
              </w:tabs>
              <w:spacing w:line="360" w:lineRule="auto"/>
              <w:jc w:val="center"/>
              <w:rPr>
                <w:b/>
                <w:color w:val="FF0000"/>
                <w:sz w:val="24"/>
                <w:szCs w:val="24"/>
                <w:u w:val="single"/>
              </w:rPr>
            </w:pPr>
            <w:r>
              <w:rPr>
                <w:b/>
                <w:color w:val="000000"/>
                <w:sz w:val="24"/>
                <w:szCs w:val="24"/>
                <w:u w:val="single"/>
              </w:rPr>
              <w:t>表3-</w:t>
            </w:r>
            <w:r>
              <w:rPr>
                <w:rFonts w:hint="eastAsia"/>
                <w:b/>
                <w:color w:val="000000"/>
                <w:sz w:val="24"/>
                <w:szCs w:val="24"/>
                <w:u w:val="single"/>
                <w:lang w:val="en-US" w:eastAsia="zh-CN"/>
              </w:rPr>
              <w:t>3</w:t>
            </w:r>
            <w:r>
              <w:rPr>
                <w:b/>
                <w:color w:val="000000"/>
                <w:sz w:val="24"/>
                <w:szCs w:val="24"/>
                <w:u w:val="single"/>
              </w:rPr>
              <w:t xml:space="preserve">  大气环境保护目标一览表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89"/>
              <w:gridCol w:w="436"/>
              <w:gridCol w:w="1023"/>
              <w:gridCol w:w="1559"/>
              <w:gridCol w:w="1454"/>
              <w:gridCol w:w="897"/>
              <w:gridCol w:w="519"/>
              <w:gridCol w:w="413"/>
              <w:gridCol w:w="654"/>
              <w:gridCol w:w="913"/>
            </w:tblGrid>
            <w:tr w14:paraId="4371F9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9" w:type="dxa"/>
                  <w:vMerge w:val="restart"/>
                  <w:vAlign w:val="center"/>
                </w:tcPr>
                <w:p w14:paraId="10B907A4">
                  <w:pPr>
                    <w:jc w:val="center"/>
                    <w:rPr>
                      <w:b/>
                      <w:color w:val="000000"/>
                      <w:szCs w:val="21"/>
                      <w:highlight w:val="none"/>
                      <w:u w:val="single"/>
                    </w:rPr>
                  </w:pPr>
                  <w:r>
                    <w:rPr>
                      <w:b/>
                      <w:color w:val="000000"/>
                      <w:szCs w:val="21"/>
                      <w:highlight w:val="none"/>
                      <w:u w:val="single"/>
                    </w:rPr>
                    <w:t>序号</w:t>
                  </w:r>
                </w:p>
              </w:tc>
              <w:tc>
                <w:tcPr>
                  <w:tcW w:w="436" w:type="dxa"/>
                  <w:vMerge w:val="restart"/>
                  <w:vAlign w:val="center"/>
                </w:tcPr>
                <w:p w14:paraId="2566E982">
                  <w:pPr>
                    <w:jc w:val="center"/>
                    <w:rPr>
                      <w:b/>
                      <w:color w:val="000000"/>
                      <w:szCs w:val="21"/>
                      <w:highlight w:val="none"/>
                      <w:u w:val="single"/>
                    </w:rPr>
                  </w:pPr>
                  <w:r>
                    <w:rPr>
                      <w:b/>
                      <w:color w:val="000000"/>
                      <w:szCs w:val="21"/>
                      <w:highlight w:val="none"/>
                      <w:u w:val="single"/>
                    </w:rPr>
                    <w:t>项目</w:t>
                  </w:r>
                </w:p>
              </w:tc>
              <w:tc>
                <w:tcPr>
                  <w:tcW w:w="1023" w:type="dxa"/>
                  <w:vMerge w:val="restart"/>
                  <w:vAlign w:val="center"/>
                </w:tcPr>
                <w:p w14:paraId="7818EC47">
                  <w:pPr>
                    <w:jc w:val="center"/>
                    <w:rPr>
                      <w:b/>
                      <w:color w:val="000000"/>
                      <w:szCs w:val="21"/>
                      <w:highlight w:val="none"/>
                      <w:u w:val="single"/>
                    </w:rPr>
                  </w:pPr>
                  <w:r>
                    <w:rPr>
                      <w:b/>
                      <w:color w:val="000000"/>
                      <w:szCs w:val="21"/>
                      <w:highlight w:val="none"/>
                      <w:u w:val="single"/>
                    </w:rPr>
                    <w:t>名称</w:t>
                  </w:r>
                </w:p>
              </w:tc>
              <w:tc>
                <w:tcPr>
                  <w:tcW w:w="3013" w:type="dxa"/>
                  <w:gridSpan w:val="2"/>
                  <w:vAlign w:val="center"/>
                </w:tcPr>
                <w:p w14:paraId="6F2D47A4">
                  <w:pPr>
                    <w:jc w:val="center"/>
                    <w:rPr>
                      <w:b/>
                      <w:color w:val="000000"/>
                      <w:szCs w:val="21"/>
                      <w:highlight w:val="none"/>
                      <w:u w:val="single"/>
                    </w:rPr>
                  </w:pPr>
                  <w:r>
                    <w:rPr>
                      <w:b/>
                      <w:color w:val="000000"/>
                      <w:szCs w:val="21"/>
                      <w:highlight w:val="none"/>
                      <w:u w:val="single"/>
                    </w:rPr>
                    <w:t>坐标</w:t>
                  </w:r>
                </w:p>
              </w:tc>
              <w:tc>
                <w:tcPr>
                  <w:tcW w:w="897" w:type="dxa"/>
                  <w:vMerge w:val="restart"/>
                  <w:vAlign w:val="center"/>
                </w:tcPr>
                <w:p w14:paraId="3722557D">
                  <w:pPr>
                    <w:jc w:val="center"/>
                    <w:rPr>
                      <w:b/>
                      <w:color w:val="000000"/>
                      <w:szCs w:val="21"/>
                      <w:highlight w:val="none"/>
                      <w:u w:val="single"/>
                    </w:rPr>
                  </w:pPr>
                  <w:r>
                    <w:rPr>
                      <w:b/>
                      <w:color w:val="000000"/>
                      <w:szCs w:val="21"/>
                      <w:highlight w:val="none"/>
                      <w:u w:val="single"/>
                    </w:rPr>
                    <w:t>保护对象</w:t>
                  </w:r>
                </w:p>
              </w:tc>
              <w:tc>
                <w:tcPr>
                  <w:tcW w:w="519" w:type="dxa"/>
                  <w:vMerge w:val="restart"/>
                  <w:vAlign w:val="center"/>
                </w:tcPr>
                <w:p w14:paraId="3B368071">
                  <w:pPr>
                    <w:jc w:val="center"/>
                    <w:rPr>
                      <w:b/>
                      <w:color w:val="000000"/>
                      <w:szCs w:val="21"/>
                      <w:highlight w:val="none"/>
                      <w:u w:val="single"/>
                    </w:rPr>
                  </w:pPr>
                  <w:r>
                    <w:rPr>
                      <w:b/>
                      <w:color w:val="000000"/>
                      <w:szCs w:val="21"/>
                      <w:highlight w:val="none"/>
                      <w:u w:val="single"/>
                    </w:rPr>
                    <w:t>保护</w:t>
                  </w:r>
                </w:p>
                <w:p w14:paraId="34EA3556">
                  <w:pPr>
                    <w:jc w:val="center"/>
                    <w:rPr>
                      <w:b/>
                      <w:color w:val="000000"/>
                      <w:szCs w:val="21"/>
                      <w:highlight w:val="none"/>
                      <w:u w:val="single"/>
                    </w:rPr>
                  </w:pPr>
                  <w:r>
                    <w:rPr>
                      <w:b/>
                      <w:color w:val="000000"/>
                      <w:szCs w:val="21"/>
                      <w:highlight w:val="none"/>
                      <w:u w:val="single"/>
                    </w:rPr>
                    <w:t>内容</w:t>
                  </w:r>
                </w:p>
              </w:tc>
              <w:tc>
                <w:tcPr>
                  <w:tcW w:w="413" w:type="dxa"/>
                  <w:vMerge w:val="restart"/>
                  <w:vAlign w:val="center"/>
                </w:tcPr>
                <w:p w14:paraId="180CE642">
                  <w:pPr>
                    <w:jc w:val="center"/>
                    <w:rPr>
                      <w:b/>
                      <w:color w:val="000000"/>
                      <w:szCs w:val="21"/>
                      <w:highlight w:val="none"/>
                      <w:u w:val="single"/>
                    </w:rPr>
                  </w:pPr>
                  <w:r>
                    <w:rPr>
                      <w:b/>
                      <w:color w:val="000000"/>
                      <w:szCs w:val="21"/>
                      <w:highlight w:val="none"/>
                      <w:u w:val="single"/>
                    </w:rPr>
                    <w:t>环境功能区</w:t>
                  </w:r>
                </w:p>
              </w:tc>
              <w:tc>
                <w:tcPr>
                  <w:tcW w:w="654" w:type="dxa"/>
                  <w:vMerge w:val="restart"/>
                  <w:vAlign w:val="center"/>
                </w:tcPr>
                <w:p w14:paraId="41EA266D">
                  <w:pPr>
                    <w:jc w:val="center"/>
                    <w:rPr>
                      <w:b/>
                      <w:color w:val="000000"/>
                      <w:szCs w:val="21"/>
                      <w:highlight w:val="none"/>
                      <w:u w:val="single"/>
                    </w:rPr>
                  </w:pPr>
                  <w:r>
                    <w:rPr>
                      <w:b/>
                      <w:color w:val="000000"/>
                      <w:szCs w:val="21"/>
                      <w:highlight w:val="none"/>
                      <w:u w:val="single"/>
                    </w:rPr>
                    <w:t>相对厂址方位</w:t>
                  </w:r>
                </w:p>
              </w:tc>
              <w:tc>
                <w:tcPr>
                  <w:tcW w:w="913" w:type="dxa"/>
                  <w:vMerge w:val="restart"/>
                  <w:vAlign w:val="center"/>
                </w:tcPr>
                <w:p w14:paraId="4ED10321">
                  <w:pPr>
                    <w:jc w:val="center"/>
                    <w:rPr>
                      <w:b/>
                      <w:color w:val="000000"/>
                      <w:szCs w:val="21"/>
                      <w:highlight w:val="none"/>
                      <w:u w:val="single"/>
                    </w:rPr>
                  </w:pPr>
                  <w:r>
                    <w:rPr>
                      <w:b/>
                      <w:color w:val="000000"/>
                      <w:szCs w:val="21"/>
                      <w:highlight w:val="none"/>
                      <w:u w:val="single"/>
                    </w:rPr>
                    <w:t>相对院界距离/m</w:t>
                  </w:r>
                </w:p>
              </w:tc>
            </w:tr>
            <w:tr w14:paraId="6CCFDA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9" w:type="dxa"/>
                  <w:vMerge w:val="continue"/>
                  <w:vAlign w:val="center"/>
                </w:tcPr>
                <w:p w14:paraId="067EA981">
                  <w:pPr>
                    <w:jc w:val="center"/>
                    <w:rPr>
                      <w:b/>
                      <w:color w:val="000000"/>
                      <w:szCs w:val="21"/>
                      <w:highlight w:val="none"/>
                      <w:u w:val="single"/>
                    </w:rPr>
                  </w:pPr>
                </w:p>
              </w:tc>
              <w:tc>
                <w:tcPr>
                  <w:tcW w:w="436" w:type="dxa"/>
                  <w:vMerge w:val="continue"/>
                  <w:vAlign w:val="center"/>
                </w:tcPr>
                <w:p w14:paraId="44397E33">
                  <w:pPr>
                    <w:jc w:val="center"/>
                    <w:rPr>
                      <w:b/>
                      <w:color w:val="000000"/>
                      <w:szCs w:val="21"/>
                      <w:highlight w:val="none"/>
                      <w:u w:val="single"/>
                    </w:rPr>
                  </w:pPr>
                </w:p>
              </w:tc>
              <w:tc>
                <w:tcPr>
                  <w:tcW w:w="1023" w:type="dxa"/>
                  <w:vMerge w:val="continue"/>
                  <w:vAlign w:val="center"/>
                </w:tcPr>
                <w:p w14:paraId="6CAB372D">
                  <w:pPr>
                    <w:jc w:val="center"/>
                    <w:rPr>
                      <w:b/>
                      <w:color w:val="000000"/>
                      <w:szCs w:val="21"/>
                      <w:highlight w:val="none"/>
                      <w:u w:val="single"/>
                    </w:rPr>
                  </w:pPr>
                </w:p>
              </w:tc>
              <w:tc>
                <w:tcPr>
                  <w:tcW w:w="1559" w:type="dxa"/>
                  <w:vAlign w:val="center"/>
                </w:tcPr>
                <w:p w14:paraId="7F70B294">
                  <w:pPr>
                    <w:jc w:val="center"/>
                    <w:rPr>
                      <w:b/>
                      <w:color w:val="000000"/>
                      <w:szCs w:val="21"/>
                      <w:highlight w:val="none"/>
                      <w:u w:val="single"/>
                    </w:rPr>
                  </w:pPr>
                  <w:r>
                    <w:rPr>
                      <w:b/>
                      <w:color w:val="000000"/>
                      <w:szCs w:val="21"/>
                      <w:highlight w:val="none"/>
                      <w:u w:val="single"/>
                    </w:rPr>
                    <w:t>东经</w:t>
                  </w:r>
                </w:p>
              </w:tc>
              <w:tc>
                <w:tcPr>
                  <w:tcW w:w="1454" w:type="dxa"/>
                  <w:vAlign w:val="center"/>
                </w:tcPr>
                <w:p w14:paraId="217FD413">
                  <w:pPr>
                    <w:jc w:val="center"/>
                    <w:rPr>
                      <w:b/>
                      <w:color w:val="000000"/>
                      <w:szCs w:val="21"/>
                      <w:highlight w:val="none"/>
                      <w:u w:val="single"/>
                    </w:rPr>
                  </w:pPr>
                  <w:r>
                    <w:rPr>
                      <w:b/>
                      <w:color w:val="000000"/>
                      <w:szCs w:val="21"/>
                      <w:highlight w:val="none"/>
                      <w:u w:val="single"/>
                    </w:rPr>
                    <w:t>北纬</w:t>
                  </w:r>
                </w:p>
              </w:tc>
              <w:tc>
                <w:tcPr>
                  <w:tcW w:w="897" w:type="dxa"/>
                  <w:vMerge w:val="continue"/>
                  <w:vAlign w:val="center"/>
                </w:tcPr>
                <w:p w14:paraId="3FF79D91">
                  <w:pPr>
                    <w:jc w:val="center"/>
                    <w:rPr>
                      <w:b/>
                      <w:color w:val="000000"/>
                      <w:szCs w:val="21"/>
                      <w:highlight w:val="none"/>
                      <w:u w:val="single"/>
                    </w:rPr>
                  </w:pPr>
                </w:p>
              </w:tc>
              <w:tc>
                <w:tcPr>
                  <w:tcW w:w="519" w:type="dxa"/>
                  <w:vMerge w:val="continue"/>
                  <w:vAlign w:val="center"/>
                </w:tcPr>
                <w:p w14:paraId="19649427">
                  <w:pPr>
                    <w:jc w:val="center"/>
                    <w:rPr>
                      <w:b/>
                      <w:color w:val="000000"/>
                      <w:szCs w:val="21"/>
                      <w:highlight w:val="none"/>
                      <w:u w:val="single"/>
                    </w:rPr>
                  </w:pPr>
                </w:p>
              </w:tc>
              <w:tc>
                <w:tcPr>
                  <w:tcW w:w="413" w:type="dxa"/>
                  <w:vMerge w:val="continue"/>
                  <w:vAlign w:val="center"/>
                </w:tcPr>
                <w:p w14:paraId="429452CA">
                  <w:pPr>
                    <w:jc w:val="center"/>
                    <w:rPr>
                      <w:b/>
                      <w:color w:val="000000"/>
                      <w:szCs w:val="21"/>
                      <w:highlight w:val="none"/>
                      <w:u w:val="single"/>
                    </w:rPr>
                  </w:pPr>
                </w:p>
              </w:tc>
              <w:tc>
                <w:tcPr>
                  <w:tcW w:w="654" w:type="dxa"/>
                  <w:vMerge w:val="continue"/>
                  <w:vAlign w:val="center"/>
                </w:tcPr>
                <w:p w14:paraId="4F38F92E">
                  <w:pPr>
                    <w:jc w:val="center"/>
                    <w:rPr>
                      <w:b/>
                      <w:color w:val="000000"/>
                      <w:szCs w:val="21"/>
                      <w:highlight w:val="none"/>
                      <w:u w:val="single"/>
                    </w:rPr>
                  </w:pPr>
                </w:p>
              </w:tc>
              <w:tc>
                <w:tcPr>
                  <w:tcW w:w="913" w:type="dxa"/>
                  <w:vMerge w:val="continue"/>
                  <w:vAlign w:val="center"/>
                </w:tcPr>
                <w:p w14:paraId="57BC45D5">
                  <w:pPr>
                    <w:jc w:val="center"/>
                    <w:rPr>
                      <w:b/>
                      <w:color w:val="000000"/>
                      <w:szCs w:val="21"/>
                      <w:highlight w:val="none"/>
                      <w:u w:val="single"/>
                    </w:rPr>
                  </w:pPr>
                </w:p>
              </w:tc>
            </w:tr>
            <w:tr w14:paraId="1BCD3C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9" w:type="dxa"/>
                  <w:vAlign w:val="center"/>
                </w:tcPr>
                <w:p w14:paraId="7CF80CE6">
                  <w:pPr>
                    <w:jc w:val="center"/>
                    <w:rPr>
                      <w:color w:val="000000"/>
                      <w:szCs w:val="21"/>
                      <w:highlight w:val="none"/>
                      <w:u w:val="single"/>
                    </w:rPr>
                  </w:pPr>
                  <w:r>
                    <w:rPr>
                      <w:color w:val="000000"/>
                      <w:szCs w:val="21"/>
                      <w:highlight w:val="none"/>
                      <w:u w:val="single"/>
                    </w:rPr>
                    <w:t>1</w:t>
                  </w:r>
                </w:p>
              </w:tc>
              <w:tc>
                <w:tcPr>
                  <w:tcW w:w="436" w:type="dxa"/>
                  <w:vMerge w:val="restart"/>
                  <w:vAlign w:val="center"/>
                </w:tcPr>
                <w:p w14:paraId="5313D6E7">
                  <w:pPr>
                    <w:jc w:val="center"/>
                    <w:rPr>
                      <w:color w:val="000000"/>
                      <w:szCs w:val="21"/>
                      <w:highlight w:val="none"/>
                      <w:u w:val="single"/>
                    </w:rPr>
                  </w:pPr>
                  <w:r>
                    <w:rPr>
                      <w:color w:val="000000"/>
                      <w:szCs w:val="21"/>
                      <w:highlight w:val="none"/>
                      <w:u w:val="single"/>
                    </w:rPr>
                    <w:t>环境空气</w:t>
                  </w:r>
                </w:p>
              </w:tc>
              <w:tc>
                <w:tcPr>
                  <w:tcW w:w="1023" w:type="dxa"/>
                  <w:vAlign w:val="center"/>
                </w:tcPr>
                <w:p w14:paraId="3B2845CB">
                  <w:pPr>
                    <w:pStyle w:val="133"/>
                    <w:spacing w:line="240" w:lineRule="auto"/>
                    <w:jc w:val="center"/>
                    <w:rPr>
                      <w:color w:val="000000"/>
                      <w:sz w:val="21"/>
                      <w:highlight w:val="none"/>
                      <w:u w:val="single"/>
                    </w:rPr>
                  </w:pPr>
                  <w:r>
                    <w:rPr>
                      <w:sz w:val="21"/>
                      <w:highlight w:val="none"/>
                      <w:u w:val="single"/>
                    </w:rPr>
                    <w:t>项目东侧居民点</w:t>
                  </w:r>
                </w:p>
              </w:tc>
              <w:tc>
                <w:tcPr>
                  <w:tcW w:w="1559" w:type="dxa"/>
                  <w:vAlign w:val="center"/>
                </w:tcPr>
                <w:p w14:paraId="130A497A">
                  <w:pPr>
                    <w:jc w:val="center"/>
                    <w:rPr>
                      <w:rFonts w:hint="default" w:ascii="Times New Roman" w:hAnsi="Times New Roman" w:cs="Times New Roman"/>
                      <w:color w:val="000000"/>
                      <w:szCs w:val="21"/>
                      <w:highlight w:val="none"/>
                      <w:u w:val="single"/>
                    </w:rPr>
                  </w:pPr>
                  <w:r>
                    <w:rPr>
                      <w:rFonts w:hint="default" w:ascii="Times New Roman" w:hAnsi="Times New Roman" w:cs="Times New Roman"/>
                      <w:color w:val="000000"/>
                      <w:szCs w:val="21"/>
                      <w:highlight w:val="none"/>
                      <w:u w:val="single"/>
                    </w:rPr>
                    <w:t>111°11′41.092″</w:t>
                  </w:r>
                </w:p>
              </w:tc>
              <w:tc>
                <w:tcPr>
                  <w:tcW w:w="1454" w:type="dxa"/>
                  <w:vAlign w:val="center"/>
                </w:tcPr>
                <w:p w14:paraId="0CB180CD">
                  <w:pPr>
                    <w:jc w:val="center"/>
                    <w:rPr>
                      <w:rFonts w:hint="default" w:ascii="Times New Roman" w:hAnsi="Times New Roman" w:cs="Times New Roman"/>
                      <w:color w:val="000000"/>
                      <w:szCs w:val="21"/>
                      <w:highlight w:val="none"/>
                      <w:u w:val="single"/>
                    </w:rPr>
                  </w:pPr>
                  <w:r>
                    <w:rPr>
                      <w:rFonts w:hint="default" w:ascii="Times New Roman" w:hAnsi="Times New Roman" w:cs="Times New Roman"/>
                      <w:color w:val="000000"/>
                      <w:szCs w:val="21"/>
                      <w:highlight w:val="none"/>
                      <w:u w:val="single"/>
                    </w:rPr>
                    <w:t>28°22′11.594″</w:t>
                  </w:r>
                </w:p>
              </w:tc>
              <w:tc>
                <w:tcPr>
                  <w:tcW w:w="897" w:type="dxa"/>
                  <w:vAlign w:val="center"/>
                </w:tcPr>
                <w:p w14:paraId="10A6E3C9">
                  <w:pPr>
                    <w:jc w:val="center"/>
                    <w:rPr>
                      <w:rFonts w:hint="default" w:eastAsia="宋体"/>
                      <w:color w:val="000000"/>
                      <w:szCs w:val="21"/>
                      <w:highlight w:val="none"/>
                      <w:u w:val="single"/>
                      <w:lang w:val="en-US" w:eastAsia="zh-CN"/>
                    </w:rPr>
                  </w:pPr>
                  <w:r>
                    <w:rPr>
                      <w:color w:val="000000"/>
                      <w:szCs w:val="21"/>
                      <w:highlight w:val="none"/>
                      <w:u w:val="single"/>
                    </w:rPr>
                    <w:t>居住区，约</w:t>
                  </w:r>
                  <w:r>
                    <w:rPr>
                      <w:rFonts w:hint="eastAsia"/>
                      <w:color w:val="000000"/>
                      <w:szCs w:val="21"/>
                      <w:highlight w:val="none"/>
                      <w:u w:val="single"/>
                      <w:lang w:val="en-US" w:eastAsia="zh-CN"/>
                    </w:rPr>
                    <w:t>11户</w:t>
                  </w:r>
                </w:p>
              </w:tc>
              <w:tc>
                <w:tcPr>
                  <w:tcW w:w="519" w:type="dxa"/>
                  <w:vMerge w:val="restart"/>
                  <w:vAlign w:val="center"/>
                </w:tcPr>
                <w:p w14:paraId="6D7D490B">
                  <w:pPr>
                    <w:jc w:val="center"/>
                    <w:rPr>
                      <w:color w:val="000000"/>
                      <w:szCs w:val="21"/>
                      <w:highlight w:val="none"/>
                      <w:u w:val="single"/>
                    </w:rPr>
                  </w:pPr>
                  <w:r>
                    <w:rPr>
                      <w:color w:val="000000"/>
                      <w:szCs w:val="21"/>
                      <w:highlight w:val="none"/>
                      <w:u w:val="single"/>
                    </w:rPr>
                    <w:t>环境空气质量</w:t>
                  </w:r>
                </w:p>
              </w:tc>
              <w:tc>
                <w:tcPr>
                  <w:tcW w:w="413" w:type="dxa"/>
                  <w:vMerge w:val="restart"/>
                  <w:vAlign w:val="center"/>
                </w:tcPr>
                <w:p w14:paraId="7A681F95">
                  <w:pPr>
                    <w:jc w:val="center"/>
                    <w:rPr>
                      <w:color w:val="000000"/>
                      <w:szCs w:val="21"/>
                      <w:highlight w:val="none"/>
                      <w:u w:val="single"/>
                    </w:rPr>
                  </w:pPr>
                  <w:r>
                    <w:rPr>
                      <w:color w:val="000000"/>
                      <w:szCs w:val="21"/>
                      <w:highlight w:val="none"/>
                      <w:u w:val="single"/>
                    </w:rPr>
                    <w:t>二级</w:t>
                  </w:r>
                </w:p>
              </w:tc>
              <w:tc>
                <w:tcPr>
                  <w:tcW w:w="654" w:type="dxa"/>
                  <w:vAlign w:val="center"/>
                </w:tcPr>
                <w:p w14:paraId="07908940">
                  <w:pPr>
                    <w:jc w:val="center"/>
                    <w:rPr>
                      <w:color w:val="000000"/>
                      <w:szCs w:val="21"/>
                      <w:highlight w:val="none"/>
                      <w:u w:val="single"/>
                    </w:rPr>
                  </w:pPr>
                  <w:r>
                    <w:rPr>
                      <w:color w:val="000000"/>
                      <w:szCs w:val="21"/>
                      <w:highlight w:val="none"/>
                      <w:u w:val="single"/>
                    </w:rPr>
                    <w:t>东</w:t>
                  </w:r>
                </w:p>
              </w:tc>
              <w:tc>
                <w:tcPr>
                  <w:tcW w:w="913" w:type="dxa"/>
                  <w:vAlign w:val="center"/>
                </w:tcPr>
                <w:p w14:paraId="4EEE01F0">
                  <w:pPr>
                    <w:jc w:val="center"/>
                    <w:rPr>
                      <w:rFonts w:hint="default" w:eastAsia="宋体"/>
                      <w:color w:val="000000"/>
                      <w:szCs w:val="21"/>
                      <w:highlight w:val="none"/>
                      <w:u w:val="single"/>
                      <w:lang w:val="en-US" w:eastAsia="zh-CN"/>
                    </w:rPr>
                  </w:pPr>
                  <w:r>
                    <w:rPr>
                      <w:rFonts w:hint="eastAsia"/>
                      <w:color w:val="000000"/>
                      <w:szCs w:val="21"/>
                      <w:highlight w:val="none"/>
                      <w:u w:val="single"/>
                      <w:lang w:val="en-US" w:eastAsia="zh-CN"/>
                    </w:rPr>
                    <w:t>55-500</w:t>
                  </w:r>
                </w:p>
              </w:tc>
            </w:tr>
            <w:tr w14:paraId="0FB005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9" w:type="dxa"/>
                  <w:vAlign w:val="center"/>
                </w:tcPr>
                <w:p w14:paraId="2B851C08">
                  <w:pPr>
                    <w:jc w:val="center"/>
                    <w:rPr>
                      <w:color w:val="000000"/>
                      <w:szCs w:val="21"/>
                      <w:highlight w:val="none"/>
                      <w:u w:val="single"/>
                    </w:rPr>
                  </w:pPr>
                  <w:r>
                    <w:rPr>
                      <w:color w:val="000000"/>
                      <w:szCs w:val="21"/>
                      <w:highlight w:val="none"/>
                      <w:u w:val="single"/>
                    </w:rPr>
                    <w:t>2</w:t>
                  </w:r>
                </w:p>
              </w:tc>
              <w:tc>
                <w:tcPr>
                  <w:tcW w:w="436" w:type="dxa"/>
                  <w:vMerge w:val="continue"/>
                  <w:vAlign w:val="center"/>
                </w:tcPr>
                <w:p w14:paraId="2C9134ED">
                  <w:pPr>
                    <w:jc w:val="center"/>
                    <w:rPr>
                      <w:color w:val="000000"/>
                      <w:szCs w:val="21"/>
                      <w:highlight w:val="none"/>
                      <w:u w:val="single"/>
                    </w:rPr>
                  </w:pPr>
                </w:p>
              </w:tc>
              <w:tc>
                <w:tcPr>
                  <w:tcW w:w="1023" w:type="dxa"/>
                  <w:vAlign w:val="center"/>
                </w:tcPr>
                <w:p w14:paraId="59A82FA7">
                  <w:pPr>
                    <w:pStyle w:val="133"/>
                    <w:spacing w:line="240" w:lineRule="auto"/>
                    <w:jc w:val="center"/>
                    <w:rPr>
                      <w:rFonts w:hint="default" w:eastAsia="宋体"/>
                      <w:color w:val="000000"/>
                      <w:sz w:val="21"/>
                      <w:highlight w:val="none"/>
                      <w:u w:val="single"/>
                      <w:lang w:val="en-US" w:eastAsia="zh-CN"/>
                    </w:rPr>
                  </w:pPr>
                  <w:r>
                    <w:rPr>
                      <w:sz w:val="21"/>
                      <w:highlight w:val="none"/>
                      <w:u w:val="single"/>
                    </w:rPr>
                    <w:t>项目</w:t>
                  </w:r>
                  <w:r>
                    <w:rPr>
                      <w:rFonts w:hint="eastAsia"/>
                      <w:sz w:val="21"/>
                      <w:highlight w:val="none"/>
                      <w:u w:val="single"/>
                      <w:lang w:val="en-US" w:eastAsia="zh-CN"/>
                    </w:rPr>
                    <w:t>东</w:t>
                  </w:r>
                  <w:r>
                    <w:rPr>
                      <w:sz w:val="21"/>
                      <w:highlight w:val="none"/>
                      <w:u w:val="single"/>
                    </w:rPr>
                    <w:t>侧</w:t>
                  </w:r>
                  <w:r>
                    <w:rPr>
                      <w:rFonts w:hint="eastAsia"/>
                      <w:sz w:val="21"/>
                      <w:highlight w:val="none"/>
                      <w:u w:val="single"/>
                      <w:lang w:val="en-US" w:eastAsia="zh-CN"/>
                    </w:rPr>
                    <w:t>散户居民</w:t>
                  </w:r>
                </w:p>
              </w:tc>
              <w:tc>
                <w:tcPr>
                  <w:tcW w:w="1559" w:type="dxa"/>
                  <w:vAlign w:val="center"/>
                </w:tcPr>
                <w:p w14:paraId="2439056B">
                  <w:pPr>
                    <w:jc w:val="center"/>
                    <w:rPr>
                      <w:rFonts w:hint="default" w:ascii="Times New Roman" w:hAnsi="Times New Roman" w:cs="Times New Roman"/>
                      <w:color w:val="000000"/>
                      <w:szCs w:val="21"/>
                      <w:highlight w:val="none"/>
                      <w:u w:val="single"/>
                    </w:rPr>
                  </w:pPr>
                  <w:r>
                    <w:rPr>
                      <w:rFonts w:hint="default" w:ascii="Times New Roman" w:hAnsi="Times New Roman" w:cs="Times New Roman"/>
                      <w:u w:val="single"/>
                    </w:rPr>
                    <w:t>111°11′21.35</w:t>
                  </w:r>
                  <w:r>
                    <w:rPr>
                      <w:rFonts w:hint="default" w:ascii="Times New Roman" w:hAnsi="Times New Roman" w:cs="Times New Roman"/>
                      <w:u w:val="single"/>
                      <w:lang w:val="en-US" w:eastAsia="zh-CN"/>
                    </w:rPr>
                    <w:t>6</w:t>
                  </w:r>
                  <w:r>
                    <w:rPr>
                      <w:rFonts w:hint="default" w:ascii="Times New Roman" w:hAnsi="Times New Roman" w:cs="Times New Roman"/>
                      <w:u w:val="single"/>
                    </w:rPr>
                    <w:t>″</w:t>
                  </w:r>
                </w:p>
              </w:tc>
              <w:tc>
                <w:tcPr>
                  <w:tcW w:w="1454" w:type="dxa"/>
                  <w:vAlign w:val="center"/>
                </w:tcPr>
                <w:p w14:paraId="3A9194FD">
                  <w:pPr>
                    <w:jc w:val="center"/>
                    <w:rPr>
                      <w:rFonts w:hint="default" w:ascii="Times New Roman" w:hAnsi="Times New Roman" w:cs="Times New Roman"/>
                      <w:color w:val="000000"/>
                      <w:szCs w:val="21"/>
                      <w:highlight w:val="none"/>
                      <w:u w:val="single"/>
                    </w:rPr>
                  </w:pPr>
                  <w:r>
                    <w:rPr>
                      <w:rFonts w:hint="default" w:ascii="Times New Roman" w:hAnsi="Times New Roman" w:cs="Times New Roman"/>
                      <w:u w:val="single"/>
                    </w:rPr>
                    <w:t>28°21′53.870″</w:t>
                  </w:r>
                </w:p>
              </w:tc>
              <w:tc>
                <w:tcPr>
                  <w:tcW w:w="897" w:type="dxa"/>
                  <w:vAlign w:val="center"/>
                </w:tcPr>
                <w:p w14:paraId="7E0D93CF">
                  <w:pPr>
                    <w:jc w:val="center"/>
                    <w:rPr>
                      <w:rFonts w:hint="default" w:eastAsia="宋体"/>
                      <w:color w:val="000000"/>
                      <w:szCs w:val="21"/>
                      <w:highlight w:val="none"/>
                      <w:u w:val="single"/>
                      <w:lang w:val="en-US" w:eastAsia="zh-CN"/>
                    </w:rPr>
                  </w:pPr>
                  <w:r>
                    <w:rPr>
                      <w:color w:val="000000"/>
                      <w:szCs w:val="21"/>
                      <w:highlight w:val="none"/>
                      <w:u w:val="single"/>
                    </w:rPr>
                    <w:t>约</w:t>
                  </w:r>
                  <w:r>
                    <w:rPr>
                      <w:rFonts w:hint="eastAsia"/>
                      <w:color w:val="000000"/>
                      <w:szCs w:val="21"/>
                      <w:highlight w:val="none"/>
                      <w:u w:val="single"/>
                      <w:lang w:val="en-US" w:eastAsia="zh-CN"/>
                    </w:rPr>
                    <w:t>3户</w:t>
                  </w:r>
                </w:p>
              </w:tc>
              <w:tc>
                <w:tcPr>
                  <w:tcW w:w="519" w:type="dxa"/>
                  <w:vMerge w:val="continue"/>
                  <w:vAlign w:val="center"/>
                </w:tcPr>
                <w:p w14:paraId="69EC6D99">
                  <w:pPr>
                    <w:jc w:val="center"/>
                    <w:rPr>
                      <w:color w:val="000000"/>
                      <w:szCs w:val="21"/>
                      <w:highlight w:val="none"/>
                      <w:u w:val="single"/>
                    </w:rPr>
                  </w:pPr>
                </w:p>
              </w:tc>
              <w:tc>
                <w:tcPr>
                  <w:tcW w:w="413" w:type="dxa"/>
                  <w:vMerge w:val="continue"/>
                  <w:vAlign w:val="center"/>
                </w:tcPr>
                <w:p w14:paraId="2E357B19">
                  <w:pPr>
                    <w:jc w:val="center"/>
                    <w:rPr>
                      <w:color w:val="000000"/>
                      <w:szCs w:val="21"/>
                      <w:highlight w:val="none"/>
                      <w:u w:val="single"/>
                    </w:rPr>
                  </w:pPr>
                </w:p>
              </w:tc>
              <w:tc>
                <w:tcPr>
                  <w:tcW w:w="654" w:type="dxa"/>
                  <w:vAlign w:val="center"/>
                </w:tcPr>
                <w:p w14:paraId="54C032DE">
                  <w:pPr>
                    <w:jc w:val="center"/>
                    <w:rPr>
                      <w:rFonts w:hint="eastAsia" w:eastAsia="宋体"/>
                      <w:color w:val="000000"/>
                      <w:szCs w:val="21"/>
                      <w:highlight w:val="none"/>
                      <w:u w:val="single"/>
                      <w:lang w:eastAsia="zh-CN"/>
                    </w:rPr>
                  </w:pPr>
                  <w:r>
                    <w:rPr>
                      <w:rFonts w:hint="eastAsia"/>
                      <w:color w:val="000000"/>
                      <w:szCs w:val="21"/>
                      <w:highlight w:val="none"/>
                      <w:u w:val="single"/>
                      <w:lang w:val="en-US" w:eastAsia="zh-CN"/>
                    </w:rPr>
                    <w:t>东</w:t>
                  </w:r>
                </w:p>
              </w:tc>
              <w:tc>
                <w:tcPr>
                  <w:tcW w:w="913" w:type="dxa"/>
                  <w:vAlign w:val="center"/>
                </w:tcPr>
                <w:p w14:paraId="6C6C3EBF">
                  <w:pPr>
                    <w:jc w:val="center"/>
                    <w:rPr>
                      <w:rFonts w:hint="default" w:eastAsia="宋体"/>
                      <w:color w:val="000000"/>
                      <w:szCs w:val="21"/>
                      <w:highlight w:val="none"/>
                      <w:u w:val="single"/>
                      <w:lang w:val="en-US" w:eastAsia="zh-CN"/>
                    </w:rPr>
                  </w:pPr>
                  <w:r>
                    <w:rPr>
                      <w:rFonts w:hint="eastAsia"/>
                      <w:color w:val="000000"/>
                      <w:szCs w:val="21"/>
                      <w:highlight w:val="none"/>
                      <w:u w:val="single"/>
                      <w:lang w:val="en-US" w:eastAsia="zh-CN"/>
                    </w:rPr>
                    <w:t>65-220</w:t>
                  </w:r>
                </w:p>
              </w:tc>
            </w:tr>
            <w:tr w14:paraId="24A092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9" w:type="dxa"/>
                  <w:vAlign w:val="center"/>
                </w:tcPr>
                <w:p w14:paraId="6EDEFA3B">
                  <w:pPr>
                    <w:jc w:val="center"/>
                    <w:rPr>
                      <w:color w:val="000000"/>
                      <w:szCs w:val="21"/>
                      <w:highlight w:val="none"/>
                      <w:u w:val="single"/>
                    </w:rPr>
                  </w:pPr>
                  <w:r>
                    <w:rPr>
                      <w:color w:val="000000"/>
                      <w:szCs w:val="21"/>
                      <w:highlight w:val="none"/>
                      <w:u w:val="single"/>
                    </w:rPr>
                    <w:t>3</w:t>
                  </w:r>
                </w:p>
              </w:tc>
              <w:tc>
                <w:tcPr>
                  <w:tcW w:w="436" w:type="dxa"/>
                  <w:vMerge w:val="continue"/>
                  <w:vAlign w:val="center"/>
                </w:tcPr>
                <w:p w14:paraId="7B3293AE">
                  <w:pPr>
                    <w:jc w:val="center"/>
                    <w:rPr>
                      <w:color w:val="000000"/>
                      <w:szCs w:val="21"/>
                      <w:highlight w:val="none"/>
                      <w:u w:val="single"/>
                    </w:rPr>
                  </w:pPr>
                </w:p>
              </w:tc>
              <w:tc>
                <w:tcPr>
                  <w:tcW w:w="1023" w:type="dxa"/>
                  <w:vAlign w:val="center"/>
                </w:tcPr>
                <w:p w14:paraId="5E5869ED">
                  <w:pPr>
                    <w:pStyle w:val="133"/>
                    <w:spacing w:line="240" w:lineRule="auto"/>
                    <w:jc w:val="center"/>
                    <w:rPr>
                      <w:color w:val="000000"/>
                      <w:sz w:val="21"/>
                      <w:highlight w:val="none"/>
                      <w:u w:val="single"/>
                    </w:rPr>
                  </w:pPr>
                  <w:r>
                    <w:rPr>
                      <w:sz w:val="21"/>
                      <w:highlight w:val="none"/>
                      <w:u w:val="single"/>
                    </w:rPr>
                    <w:t>项目西侧居民点</w:t>
                  </w:r>
                </w:p>
              </w:tc>
              <w:tc>
                <w:tcPr>
                  <w:tcW w:w="1559" w:type="dxa"/>
                  <w:vAlign w:val="center"/>
                </w:tcPr>
                <w:p w14:paraId="00E4A2B6">
                  <w:pPr>
                    <w:jc w:val="center"/>
                    <w:rPr>
                      <w:rFonts w:hint="default" w:ascii="Times New Roman" w:hAnsi="Times New Roman" w:cs="Times New Roman"/>
                      <w:color w:val="000000"/>
                      <w:szCs w:val="21"/>
                      <w:highlight w:val="none"/>
                      <w:u w:val="single"/>
                    </w:rPr>
                  </w:pPr>
                  <w:r>
                    <w:rPr>
                      <w:rFonts w:hint="default" w:ascii="Times New Roman" w:hAnsi="Times New Roman" w:cs="Times New Roman"/>
                      <w:color w:val="000000"/>
                      <w:szCs w:val="21"/>
                      <w:highlight w:val="none"/>
                      <w:u w:val="single"/>
                    </w:rPr>
                    <w:t>111°11′6.466″</w:t>
                  </w:r>
                </w:p>
              </w:tc>
              <w:tc>
                <w:tcPr>
                  <w:tcW w:w="1454" w:type="dxa"/>
                  <w:vAlign w:val="center"/>
                </w:tcPr>
                <w:p w14:paraId="5E42CC06">
                  <w:pPr>
                    <w:jc w:val="center"/>
                    <w:rPr>
                      <w:rFonts w:hint="default" w:ascii="Times New Roman" w:hAnsi="Times New Roman" w:cs="Times New Roman"/>
                      <w:color w:val="000000"/>
                      <w:szCs w:val="21"/>
                      <w:highlight w:val="none"/>
                      <w:u w:val="single"/>
                    </w:rPr>
                  </w:pPr>
                  <w:r>
                    <w:rPr>
                      <w:rFonts w:hint="default" w:ascii="Times New Roman" w:hAnsi="Times New Roman" w:cs="Times New Roman"/>
                      <w:color w:val="000000"/>
                      <w:szCs w:val="21"/>
                      <w:highlight w:val="none"/>
                      <w:u w:val="single"/>
                    </w:rPr>
                    <w:t>28°22′3.709″</w:t>
                  </w:r>
                </w:p>
              </w:tc>
              <w:tc>
                <w:tcPr>
                  <w:tcW w:w="897" w:type="dxa"/>
                  <w:vAlign w:val="center"/>
                </w:tcPr>
                <w:p w14:paraId="4399ECF4">
                  <w:pPr>
                    <w:jc w:val="center"/>
                    <w:rPr>
                      <w:rFonts w:hint="default" w:eastAsia="宋体"/>
                      <w:color w:val="000000"/>
                      <w:szCs w:val="21"/>
                      <w:highlight w:val="none"/>
                      <w:u w:val="single"/>
                      <w:lang w:val="en-US" w:eastAsia="zh-CN"/>
                    </w:rPr>
                  </w:pPr>
                  <w:r>
                    <w:rPr>
                      <w:color w:val="000000"/>
                      <w:szCs w:val="21"/>
                      <w:highlight w:val="none"/>
                      <w:u w:val="single"/>
                    </w:rPr>
                    <w:t>约</w:t>
                  </w:r>
                  <w:r>
                    <w:rPr>
                      <w:rFonts w:hint="eastAsia"/>
                      <w:color w:val="000000"/>
                      <w:szCs w:val="21"/>
                      <w:highlight w:val="none"/>
                      <w:u w:val="single"/>
                      <w:lang w:val="en-US" w:eastAsia="zh-CN"/>
                    </w:rPr>
                    <w:t>25户</w:t>
                  </w:r>
                </w:p>
              </w:tc>
              <w:tc>
                <w:tcPr>
                  <w:tcW w:w="519" w:type="dxa"/>
                  <w:vMerge w:val="continue"/>
                  <w:vAlign w:val="center"/>
                </w:tcPr>
                <w:p w14:paraId="03242BBB">
                  <w:pPr>
                    <w:jc w:val="center"/>
                    <w:rPr>
                      <w:color w:val="000000"/>
                      <w:szCs w:val="21"/>
                      <w:highlight w:val="none"/>
                      <w:u w:val="single"/>
                    </w:rPr>
                  </w:pPr>
                </w:p>
              </w:tc>
              <w:tc>
                <w:tcPr>
                  <w:tcW w:w="413" w:type="dxa"/>
                  <w:vMerge w:val="continue"/>
                  <w:vAlign w:val="center"/>
                </w:tcPr>
                <w:p w14:paraId="1DAE454E">
                  <w:pPr>
                    <w:jc w:val="center"/>
                    <w:rPr>
                      <w:color w:val="000000"/>
                      <w:szCs w:val="21"/>
                      <w:highlight w:val="none"/>
                      <w:u w:val="single"/>
                    </w:rPr>
                  </w:pPr>
                </w:p>
              </w:tc>
              <w:tc>
                <w:tcPr>
                  <w:tcW w:w="654" w:type="dxa"/>
                  <w:vAlign w:val="center"/>
                </w:tcPr>
                <w:p w14:paraId="41A586CC">
                  <w:pPr>
                    <w:jc w:val="center"/>
                    <w:rPr>
                      <w:color w:val="000000"/>
                      <w:szCs w:val="21"/>
                      <w:highlight w:val="none"/>
                      <w:u w:val="single"/>
                    </w:rPr>
                  </w:pPr>
                  <w:r>
                    <w:rPr>
                      <w:color w:val="000000"/>
                      <w:szCs w:val="21"/>
                      <w:highlight w:val="none"/>
                      <w:u w:val="single"/>
                    </w:rPr>
                    <w:t>西</w:t>
                  </w:r>
                </w:p>
              </w:tc>
              <w:tc>
                <w:tcPr>
                  <w:tcW w:w="913" w:type="dxa"/>
                  <w:vAlign w:val="center"/>
                </w:tcPr>
                <w:p w14:paraId="06311934">
                  <w:pPr>
                    <w:jc w:val="center"/>
                    <w:rPr>
                      <w:rFonts w:hint="default" w:eastAsia="宋体"/>
                      <w:color w:val="000000"/>
                      <w:szCs w:val="21"/>
                      <w:highlight w:val="none"/>
                      <w:u w:val="single"/>
                      <w:lang w:val="en-US" w:eastAsia="zh-CN"/>
                    </w:rPr>
                  </w:pPr>
                  <w:r>
                    <w:rPr>
                      <w:rFonts w:hint="eastAsia"/>
                      <w:color w:val="000000"/>
                      <w:szCs w:val="21"/>
                      <w:highlight w:val="none"/>
                      <w:u w:val="single"/>
                      <w:lang w:val="en-US" w:eastAsia="zh-CN"/>
                    </w:rPr>
                    <w:t>100-480</w:t>
                  </w:r>
                </w:p>
              </w:tc>
            </w:tr>
            <w:tr w14:paraId="787B3A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9" w:type="dxa"/>
                  <w:vAlign w:val="center"/>
                </w:tcPr>
                <w:p w14:paraId="3F1730C3">
                  <w:pPr>
                    <w:jc w:val="center"/>
                    <w:rPr>
                      <w:color w:val="000000"/>
                      <w:szCs w:val="21"/>
                      <w:highlight w:val="none"/>
                      <w:u w:val="single"/>
                    </w:rPr>
                  </w:pPr>
                  <w:r>
                    <w:rPr>
                      <w:color w:val="000000"/>
                      <w:szCs w:val="21"/>
                      <w:highlight w:val="none"/>
                      <w:u w:val="single"/>
                    </w:rPr>
                    <w:t>4</w:t>
                  </w:r>
                </w:p>
              </w:tc>
              <w:tc>
                <w:tcPr>
                  <w:tcW w:w="436" w:type="dxa"/>
                  <w:vMerge w:val="continue"/>
                  <w:vAlign w:val="center"/>
                </w:tcPr>
                <w:p w14:paraId="77B67351">
                  <w:pPr>
                    <w:jc w:val="center"/>
                    <w:rPr>
                      <w:color w:val="000000"/>
                      <w:szCs w:val="21"/>
                      <w:highlight w:val="none"/>
                      <w:u w:val="single"/>
                    </w:rPr>
                  </w:pPr>
                </w:p>
              </w:tc>
              <w:tc>
                <w:tcPr>
                  <w:tcW w:w="1023" w:type="dxa"/>
                  <w:vAlign w:val="center"/>
                </w:tcPr>
                <w:p w14:paraId="2D72D965">
                  <w:pPr>
                    <w:pStyle w:val="133"/>
                    <w:spacing w:line="240" w:lineRule="auto"/>
                    <w:jc w:val="center"/>
                    <w:rPr>
                      <w:color w:val="000000"/>
                      <w:sz w:val="21"/>
                      <w:highlight w:val="none"/>
                      <w:u w:val="single"/>
                    </w:rPr>
                  </w:pPr>
                  <w:r>
                    <w:rPr>
                      <w:sz w:val="21"/>
                      <w:highlight w:val="none"/>
                      <w:u w:val="single"/>
                    </w:rPr>
                    <w:t>项目北侧居民点</w:t>
                  </w:r>
                </w:p>
              </w:tc>
              <w:tc>
                <w:tcPr>
                  <w:tcW w:w="1559" w:type="dxa"/>
                  <w:vAlign w:val="center"/>
                </w:tcPr>
                <w:p w14:paraId="2A0AD1FB">
                  <w:pPr>
                    <w:jc w:val="center"/>
                    <w:rPr>
                      <w:rFonts w:hint="default" w:ascii="Times New Roman" w:hAnsi="Times New Roman" w:cs="Times New Roman"/>
                      <w:color w:val="000000"/>
                      <w:szCs w:val="21"/>
                      <w:highlight w:val="none"/>
                      <w:u w:val="single"/>
                    </w:rPr>
                  </w:pPr>
                  <w:r>
                    <w:rPr>
                      <w:rFonts w:hint="default" w:ascii="Times New Roman" w:hAnsi="Times New Roman" w:cs="Times New Roman"/>
                      <w:u w:val="single"/>
                    </w:rPr>
                    <w:t>111°11′29.737″</w:t>
                  </w:r>
                </w:p>
              </w:tc>
              <w:tc>
                <w:tcPr>
                  <w:tcW w:w="1454" w:type="dxa"/>
                  <w:vAlign w:val="center"/>
                </w:tcPr>
                <w:p w14:paraId="7C265F4C">
                  <w:pPr>
                    <w:jc w:val="center"/>
                    <w:rPr>
                      <w:rFonts w:hint="default" w:ascii="Times New Roman" w:hAnsi="Times New Roman" w:cs="Times New Roman"/>
                      <w:color w:val="000000"/>
                      <w:szCs w:val="21"/>
                      <w:highlight w:val="none"/>
                      <w:u w:val="single"/>
                    </w:rPr>
                  </w:pPr>
                  <w:r>
                    <w:rPr>
                      <w:rFonts w:hint="default" w:ascii="Times New Roman" w:hAnsi="Times New Roman" w:cs="Times New Roman"/>
                      <w:u w:val="single"/>
                    </w:rPr>
                    <w:t>28°22′18.187″</w:t>
                  </w:r>
                </w:p>
              </w:tc>
              <w:tc>
                <w:tcPr>
                  <w:tcW w:w="897" w:type="dxa"/>
                  <w:vAlign w:val="center"/>
                </w:tcPr>
                <w:p w14:paraId="6722F3FF">
                  <w:pPr>
                    <w:jc w:val="center"/>
                    <w:rPr>
                      <w:rFonts w:hint="default" w:eastAsia="宋体"/>
                      <w:color w:val="000000"/>
                      <w:szCs w:val="21"/>
                      <w:highlight w:val="none"/>
                      <w:u w:val="single"/>
                      <w:lang w:val="en-US" w:eastAsia="zh-CN"/>
                    </w:rPr>
                  </w:pPr>
                  <w:r>
                    <w:rPr>
                      <w:color w:val="000000"/>
                      <w:szCs w:val="21"/>
                      <w:highlight w:val="none"/>
                      <w:u w:val="single"/>
                    </w:rPr>
                    <w:t>约</w:t>
                  </w:r>
                  <w:r>
                    <w:rPr>
                      <w:rFonts w:hint="eastAsia"/>
                      <w:color w:val="000000"/>
                      <w:szCs w:val="21"/>
                      <w:highlight w:val="none"/>
                      <w:u w:val="single"/>
                      <w:lang w:val="en-US" w:eastAsia="zh-CN"/>
                    </w:rPr>
                    <w:t>65户</w:t>
                  </w:r>
                </w:p>
              </w:tc>
              <w:tc>
                <w:tcPr>
                  <w:tcW w:w="519" w:type="dxa"/>
                  <w:vMerge w:val="continue"/>
                  <w:vAlign w:val="center"/>
                </w:tcPr>
                <w:p w14:paraId="42F7748C">
                  <w:pPr>
                    <w:jc w:val="center"/>
                    <w:rPr>
                      <w:color w:val="000000"/>
                      <w:szCs w:val="21"/>
                      <w:highlight w:val="none"/>
                      <w:u w:val="single"/>
                    </w:rPr>
                  </w:pPr>
                </w:p>
              </w:tc>
              <w:tc>
                <w:tcPr>
                  <w:tcW w:w="413" w:type="dxa"/>
                  <w:vMerge w:val="continue"/>
                  <w:vAlign w:val="center"/>
                </w:tcPr>
                <w:p w14:paraId="2A3F02D1">
                  <w:pPr>
                    <w:jc w:val="center"/>
                    <w:rPr>
                      <w:color w:val="000000"/>
                      <w:szCs w:val="21"/>
                      <w:highlight w:val="none"/>
                      <w:u w:val="single"/>
                    </w:rPr>
                  </w:pPr>
                </w:p>
              </w:tc>
              <w:tc>
                <w:tcPr>
                  <w:tcW w:w="654" w:type="dxa"/>
                  <w:vAlign w:val="center"/>
                </w:tcPr>
                <w:p w14:paraId="4E5BCB3D">
                  <w:pPr>
                    <w:jc w:val="center"/>
                    <w:rPr>
                      <w:color w:val="000000"/>
                      <w:szCs w:val="21"/>
                      <w:highlight w:val="none"/>
                      <w:u w:val="single"/>
                    </w:rPr>
                  </w:pPr>
                  <w:r>
                    <w:rPr>
                      <w:color w:val="000000"/>
                      <w:szCs w:val="21"/>
                      <w:highlight w:val="none"/>
                      <w:u w:val="single"/>
                    </w:rPr>
                    <w:t>北</w:t>
                  </w:r>
                </w:p>
              </w:tc>
              <w:tc>
                <w:tcPr>
                  <w:tcW w:w="913" w:type="dxa"/>
                  <w:vAlign w:val="center"/>
                </w:tcPr>
                <w:p w14:paraId="3290CFA8">
                  <w:pPr>
                    <w:jc w:val="center"/>
                    <w:rPr>
                      <w:rFonts w:hint="default" w:eastAsia="宋体"/>
                      <w:color w:val="000000"/>
                      <w:szCs w:val="21"/>
                      <w:highlight w:val="none"/>
                      <w:u w:val="single"/>
                      <w:lang w:val="en-US" w:eastAsia="zh-CN"/>
                    </w:rPr>
                  </w:pPr>
                  <w:r>
                    <w:rPr>
                      <w:rFonts w:hint="eastAsia"/>
                      <w:color w:val="000000"/>
                      <w:szCs w:val="21"/>
                      <w:highlight w:val="none"/>
                      <w:u w:val="single"/>
                      <w:lang w:val="en-US" w:eastAsia="zh-CN"/>
                    </w:rPr>
                    <w:t>80-500</w:t>
                  </w:r>
                </w:p>
              </w:tc>
            </w:tr>
          </w:tbl>
          <w:p w14:paraId="68215822">
            <w:pPr>
              <w:wordWrap w:val="0"/>
              <w:autoSpaceDE w:val="0"/>
              <w:autoSpaceDN w:val="0"/>
              <w:adjustRightInd w:val="0"/>
              <w:spacing w:line="360" w:lineRule="auto"/>
              <w:textAlignment w:val="baseline"/>
              <w:rPr>
                <w:b/>
                <w:bCs/>
                <w:color w:val="000000"/>
                <w:kern w:val="0"/>
                <w:sz w:val="24"/>
                <w:szCs w:val="24"/>
                <w:u w:val="single"/>
              </w:rPr>
            </w:pPr>
            <w:r>
              <w:rPr>
                <w:b/>
                <w:bCs/>
                <w:color w:val="000000"/>
                <w:kern w:val="0"/>
                <w:sz w:val="24"/>
                <w:szCs w:val="24"/>
                <w:u w:val="single"/>
              </w:rPr>
              <w:t>2 声环境</w:t>
            </w:r>
          </w:p>
          <w:p w14:paraId="49BA9BC6">
            <w:pPr>
              <w:keepNext w:val="0"/>
              <w:keepLines w:val="0"/>
              <w:pageBreakBefore w:val="0"/>
              <w:widowControl w:val="0"/>
              <w:kinsoku/>
              <w:wordWrap w:val="0"/>
              <w:overflowPunct/>
              <w:topLinePunct w:val="0"/>
              <w:autoSpaceDE w:val="0"/>
              <w:autoSpaceDN w:val="0"/>
              <w:bidi w:val="0"/>
              <w:adjustRightInd w:val="0"/>
              <w:snapToGrid/>
              <w:spacing w:line="360" w:lineRule="auto"/>
              <w:ind w:firstLine="480" w:firstLineChars="200"/>
              <w:textAlignment w:val="baseline"/>
              <w:rPr>
                <w:rFonts w:hint="eastAsia"/>
                <w:b w:val="0"/>
                <w:bCs/>
                <w:color w:val="000000"/>
                <w:sz w:val="24"/>
                <w:szCs w:val="24"/>
                <w:u w:val="single"/>
                <w:lang w:bidi="ar"/>
              </w:rPr>
            </w:pPr>
            <w:r>
              <w:rPr>
                <w:rFonts w:hint="eastAsia"/>
                <w:b w:val="0"/>
                <w:bCs/>
                <w:color w:val="000000"/>
                <w:sz w:val="24"/>
                <w:szCs w:val="24"/>
                <w:u w:val="single"/>
                <w:lang w:bidi="ar"/>
              </w:rPr>
              <w:t>根据《建设项目环境影响报告表编制技术指南》（污染影响类）（试行），声环境保护目标明确厂界外50米范围内声环境保护目标。根据现场踏勘，本项目厂界四周50m范围内无居民点存在。</w:t>
            </w:r>
          </w:p>
          <w:p w14:paraId="338D42DF">
            <w:pPr>
              <w:pStyle w:val="2"/>
              <w:rPr>
                <w:rFonts w:hint="eastAsia"/>
                <w:b w:val="0"/>
                <w:bCs/>
                <w:color w:val="000000"/>
                <w:sz w:val="24"/>
                <w:szCs w:val="24"/>
                <w:lang w:bidi="ar"/>
              </w:rPr>
            </w:pPr>
          </w:p>
          <w:p w14:paraId="3CCCAC05">
            <w:pPr>
              <w:rPr>
                <w:rFonts w:hint="eastAsia"/>
              </w:rPr>
            </w:pPr>
          </w:p>
          <w:p w14:paraId="176CE058">
            <w:pPr>
              <w:wordWrap w:val="0"/>
              <w:autoSpaceDE w:val="0"/>
              <w:autoSpaceDN w:val="0"/>
              <w:adjustRightInd w:val="0"/>
              <w:spacing w:line="360" w:lineRule="auto"/>
              <w:textAlignment w:val="baseline"/>
              <w:rPr>
                <w:b/>
                <w:bCs/>
                <w:color w:val="000000"/>
                <w:kern w:val="0"/>
                <w:sz w:val="24"/>
                <w:szCs w:val="24"/>
              </w:rPr>
            </w:pPr>
            <w:r>
              <w:rPr>
                <w:rFonts w:hint="eastAsia"/>
                <w:b/>
                <w:bCs/>
                <w:color w:val="000000"/>
                <w:kern w:val="0"/>
                <w:sz w:val="24"/>
                <w:szCs w:val="24"/>
              </w:rPr>
              <w:t>3</w:t>
            </w:r>
            <w:r>
              <w:rPr>
                <w:b/>
                <w:bCs/>
                <w:color w:val="000000"/>
                <w:kern w:val="0"/>
                <w:sz w:val="24"/>
                <w:szCs w:val="24"/>
              </w:rPr>
              <w:t xml:space="preserve"> </w:t>
            </w:r>
            <w:r>
              <w:rPr>
                <w:rFonts w:hint="eastAsia"/>
                <w:b/>
                <w:bCs/>
                <w:color w:val="000000"/>
                <w:kern w:val="0"/>
                <w:sz w:val="24"/>
                <w:szCs w:val="24"/>
              </w:rPr>
              <w:t>地表水</w:t>
            </w:r>
          </w:p>
          <w:p w14:paraId="46E7543A">
            <w:pPr>
              <w:wordWrap w:val="0"/>
              <w:autoSpaceDE w:val="0"/>
              <w:autoSpaceDN w:val="0"/>
              <w:adjustRightInd w:val="0"/>
              <w:spacing w:line="360" w:lineRule="auto"/>
              <w:jc w:val="center"/>
              <w:textAlignment w:val="baseline"/>
              <w:rPr>
                <w:b/>
                <w:bCs/>
                <w:kern w:val="0"/>
                <w:sz w:val="24"/>
                <w:szCs w:val="24"/>
              </w:rPr>
            </w:pPr>
            <w:r>
              <w:rPr>
                <w:b/>
                <w:bCs/>
                <w:kern w:val="0"/>
                <w:sz w:val="24"/>
                <w:szCs w:val="24"/>
              </w:rPr>
              <w:t>表3-</w:t>
            </w:r>
            <w:r>
              <w:rPr>
                <w:rFonts w:hint="eastAsia"/>
                <w:b/>
                <w:bCs/>
                <w:kern w:val="0"/>
                <w:sz w:val="24"/>
                <w:szCs w:val="24"/>
                <w:lang w:val="en-US" w:eastAsia="zh-CN"/>
              </w:rPr>
              <w:t>4</w:t>
            </w:r>
            <w:r>
              <w:rPr>
                <w:b/>
                <w:bCs/>
                <w:kern w:val="0"/>
                <w:sz w:val="24"/>
                <w:szCs w:val="24"/>
              </w:rPr>
              <w:t xml:space="preserve">  地表水环境保护目标一览表</w:t>
            </w:r>
          </w:p>
          <w:tbl>
            <w:tblPr>
              <w:tblStyle w:val="4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6"/>
              <w:gridCol w:w="1107"/>
              <w:gridCol w:w="1220"/>
              <w:gridCol w:w="1221"/>
              <w:gridCol w:w="1808"/>
              <w:gridCol w:w="1162"/>
              <w:gridCol w:w="1203"/>
            </w:tblGrid>
            <w:tr w14:paraId="385251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6" w:type="dxa"/>
                  <w:vAlign w:val="center"/>
                </w:tcPr>
                <w:p w14:paraId="3397211E">
                  <w:pPr>
                    <w:wordWrap w:val="0"/>
                    <w:autoSpaceDE w:val="0"/>
                    <w:autoSpaceDN w:val="0"/>
                    <w:adjustRightInd w:val="0"/>
                    <w:jc w:val="center"/>
                    <w:textAlignment w:val="baseline"/>
                    <w:rPr>
                      <w:b/>
                      <w:bCs/>
                      <w:kern w:val="0"/>
                      <w:szCs w:val="21"/>
                    </w:rPr>
                  </w:pPr>
                  <w:r>
                    <w:rPr>
                      <w:b/>
                      <w:bCs/>
                      <w:kern w:val="0"/>
                      <w:szCs w:val="21"/>
                    </w:rPr>
                    <w:t>名称</w:t>
                  </w:r>
                </w:p>
              </w:tc>
              <w:tc>
                <w:tcPr>
                  <w:tcW w:w="1107" w:type="dxa"/>
                  <w:vAlign w:val="center"/>
                </w:tcPr>
                <w:p w14:paraId="47DE52E4">
                  <w:pPr>
                    <w:wordWrap w:val="0"/>
                    <w:autoSpaceDE w:val="0"/>
                    <w:autoSpaceDN w:val="0"/>
                    <w:adjustRightInd w:val="0"/>
                    <w:jc w:val="center"/>
                    <w:textAlignment w:val="baseline"/>
                    <w:rPr>
                      <w:b/>
                      <w:bCs/>
                      <w:kern w:val="0"/>
                      <w:szCs w:val="21"/>
                    </w:rPr>
                  </w:pPr>
                  <w:r>
                    <w:rPr>
                      <w:b/>
                      <w:bCs/>
                      <w:kern w:val="0"/>
                      <w:szCs w:val="21"/>
                    </w:rPr>
                    <w:t>坐标</w:t>
                  </w:r>
                </w:p>
              </w:tc>
              <w:tc>
                <w:tcPr>
                  <w:tcW w:w="1220" w:type="dxa"/>
                  <w:vAlign w:val="center"/>
                </w:tcPr>
                <w:p w14:paraId="371ECA3F">
                  <w:pPr>
                    <w:wordWrap w:val="0"/>
                    <w:autoSpaceDE w:val="0"/>
                    <w:autoSpaceDN w:val="0"/>
                    <w:adjustRightInd w:val="0"/>
                    <w:jc w:val="center"/>
                    <w:textAlignment w:val="baseline"/>
                    <w:rPr>
                      <w:b/>
                      <w:bCs/>
                      <w:kern w:val="0"/>
                      <w:szCs w:val="21"/>
                    </w:rPr>
                  </w:pPr>
                  <w:r>
                    <w:rPr>
                      <w:b/>
                      <w:bCs/>
                      <w:kern w:val="0"/>
                      <w:szCs w:val="21"/>
                    </w:rPr>
                    <w:t>保护对象</w:t>
                  </w:r>
                </w:p>
              </w:tc>
              <w:tc>
                <w:tcPr>
                  <w:tcW w:w="1221" w:type="dxa"/>
                  <w:vAlign w:val="center"/>
                </w:tcPr>
                <w:p w14:paraId="3341AF6D">
                  <w:pPr>
                    <w:wordWrap w:val="0"/>
                    <w:autoSpaceDE w:val="0"/>
                    <w:autoSpaceDN w:val="0"/>
                    <w:adjustRightInd w:val="0"/>
                    <w:jc w:val="center"/>
                    <w:textAlignment w:val="baseline"/>
                    <w:rPr>
                      <w:b/>
                      <w:bCs/>
                      <w:kern w:val="0"/>
                      <w:szCs w:val="21"/>
                    </w:rPr>
                  </w:pPr>
                  <w:r>
                    <w:rPr>
                      <w:b/>
                      <w:bCs/>
                      <w:kern w:val="0"/>
                      <w:szCs w:val="21"/>
                    </w:rPr>
                    <w:t>保护内容</w:t>
                  </w:r>
                </w:p>
              </w:tc>
              <w:tc>
                <w:tcPr>
                  <w:tcW w:w="1808" w:type="dxa"/>
                  <w:vAlign w:val="center"/>
                </w:tcPr>
                <w:p w14:paraId="79F3A895">
                  <w:pPr>
                    <w:wordWrap w:val="0"/>
                    <w:autoSpaceDE w:val="0"/>
                    <w:autoSpaceDN w:val="0"/>
                    <w:adjustRightInd w:val="0"/>
                    <w:jc w:val="center"/>
                    <w:textAlignment w:val="baseline"/>
                    <w:rPr>
                      <w:b/>
                      <w:bCs/>
                      <w:kern w:val="0"/>
                      <w:szCs w:val="21"/>
                    </w:rPr>
                  </w:pPr>
                  <w:r>
                    <w:rPr>
                      <w:b/>
                      <w:bCs/>
                      <w:kern w:val="0"/>
                      <w:szCs w:val="21"/>
                    </w:rPr>
                    <w:t>环境功能区</w:t>
                  </w:r>
                </w:p>
              </w:tc>
              <w:tc>
                <w:tcPr>
                  <w:tcW w:w="1162" w:type="dxa"/>
                  <w:vAlign w:val="center"/>
                </w:tcPr>
                <w:p w14:paraId="139760FB">
                  <w:pPr>
                    <w:wordWrap w:val="0"/>
                    <w:autoSpaceDE w:val="0"/>
                    <w:autoSpaceDN w:val="0"/>
                    <w:adjustRightInd w:val="0"/>
                    <w:jc w:val="center"/>
                    <w:textAlignment w:val="baseline"/>
                    <w:rPr>
                      <w:b/>
                      <w:szCs w:val="21"/>
                    </w:rPr>
                  </w:pPr>
                  <w:r>
                    <w:rPr>
                      <w:b/>
                      <w:szCs w:val="21"/>
                    </w:rPr>
                    <w:t>相对厂址方位</w:t>
                  </w:r>
                </w:p>
              </w:tc>
              <w:tc>
                <w:tcPr>
                  <w:tcW w:w="1203" w:type="dxa"/>
                  <w:vAlign w:val="center"/>
                </w:tcPr>
                <w:p w14:paraId="3170329C">
                  <w:pPr>
                    <w:wordWrap w:val="0"/>
                    <w:autoSpaceDE w:val="0"/>
                    <w:autoSpaceDN w:val="0"/>
                    <w:adjustRightInd w:val="0"/>
                    <w:jc w:val="center"/>
                    <w:textAlignment w:val="baseline"/>
                    <w:rPr>
                      <w:kern w:val="0"/>
                      <w:szCs w:val="21"/>
                    </w:rPr>
                  </w:pPr>
                  <w:r>
                    <w:rPr>
                      <w:b/>
                      <w:szCs w:val="21"/>
                    </w:rPr>
                    <w:t>相对厂界距离/m</w:t>
                  </w:r>
                </w:p>
              </w:tc>
            </w:tr>
            <w:tr w14:paraId="4A2033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56" w:type="dxa"/>
                  <w:vAlign w:val="center"/>
                </w:tcPr>
                <w:p w14:paraId="491547B9">
                  <w:pPr>
                    <w:wordWrap w:val="0"/>
                    <w:autoSpaceDE w:val="0"/>
                    <w:autoSpaceDN w:val="0"/>
                    <w:adjustRightInd w:val="0"/>
                    <w:jc w:val="center"/>
                    <w:textAlignment w:val="baseline"/>
                    <w:rPr>
                      <w:kern w:val="0"/>
                      <w:szCs w:val="21"/>
                    </w:rPr>
                  </w:pPr>
                  <w:r>
                    <w:rPr>
                      <w:kern w:val="0"/>
                      <w:szCs w:val="21"/>
                    </w:rPr>
                    <w:t>资江</w:t>
                  </w:r>
                </w:p>
              </w:tc>
              <w:tc>
                <w:tcPr>
                  <w:tcW w:w="1107" w:type="dxa"/>
                  <w:vAlign w:val="center"/>
                </w:tcPr>
                <w:p w14:paraId="506D5C2C">
                  <w:pPr>
                    <w:wordWrap w:val="0"/>
                    <w:autoSpaceDE w:val="0"/>
                    <w:autoSpaceDN w:val="0"/>
                    <w:adjustRightInd w:val="0"/>
                    <w:jc w:val="center"/>
                    <w:textAlignment w:val="baseline"/>
                    <w:rPr>
                      <w:kern w:val="0"/>
                      <w:szCs w:val="21"/>
                    </w:rPr>
                  </w:pPr>
                  <w:r>
                    <w:rPr>
                      <w:kern w:val="0"/>
                      <w:szCs w:val="21"/>
                    </w:rPr>
                    <w:t>/</w:t>
                  </w:r>
                </w:p>
              </w:tc>
              <w:tc>
                <w:tcPr>
                  <w:tcW w:w="2441" w:type="dxa"/>
                  <w:gridSpan w:val="2"/>
                  <w:vAlign w:val="center"/>
                </w:tcPr>
                <w:p w14:paraId="0E75E745">
                  <w:pPr>
                    <w:wordWrap w:val="0"/>
                    <w:autoSpaceDE w:val="0"/>
                    <w:autoSpaceDN w:val="0"/>
                    <w:adjustRightInd w:val="0"/>
                    <w:jc w:val="center"/>
                    <w:textAlignment w:val="baseline"/>
                    <w:rPr>
                      <w:kern w:val="0"/>
                      <w:szCs w:val="21"/>
                    </w:rPr>
                  </w:pPr>
                  <w:r>
                    <w:rPr>
                      <w:kern w:val="0"/>
                      <w:szCs w:val="21"/>
                    </w:rPr>
                    <w:t>大河、饮用水、渔业用水区</w:t>
                  </w:r>
                </w:p>
              </w:tc>
              <w:tc>
                <w:tcPr>
                  <w:tcW w:w="1808" w:type="dxa"/>
                  <w:vAlign w:val="center"/>
                </w:tcPr>
                <w:p w14:paraId="5C35E907">
                  <w:pPr>
                    <w:wordWrap w:val="0"/>
                    <w:autoSpaceDE w:val="0"/>
                    <w:autoSpaceDN w:val="0"/>
                    <w:adjustRightInd w:val="0"/>
                    <w:jc w:val="center"/>
                    <w:textAlignment w:val="baseline"/>
                    <w:rPr>
                      <w:kern w:val="0"/>
                      <w:szCs w:val="21"/>
                    </w:rPr>
                  </w:pPr>
                  <w:r>
                    <w:rPr>
                      <w:kern w:val="0"/>
                      <w:szCs w:val="21"/>
                    </w:rPr>
                    <w:t>GB3838-2002</w:t>
                  </w:r>
                </w:p>
                <w:p w14:paraId="1B399CC5">
                  <w:pPr>
                    <w:wordWrap w:val="0"/>
                    <w:autoSpaceDE w:val="0"/>
                    <w:autoSpaceDN w:val="0"/>
                    <w:adjustRightInd w:val="0"/>
                    <w:jc w:val="center"/>
                    <w:textAlignment w:val="baseline"/>
                    <w:rPr>
                      <w:kern w:val="0"/>
                      <w:szCs w:val="21"/>
                    </w:rPr>
                  </w:pPr>
                  <w:r>
                    <w:rPr>
                      <w:kern w:val="0"/>
                      <w:szCs w:val="21"/>
                    </w:rPr>
                    <w:t>III类标准</w:t>
                  </w:r>
                </w:p>
              </w:tc>
              <w:tc>
                <w:tcPr>
                  <w:tcW w:w="1162" w:type="dxa"/>
                  <w:vAlign w:val="center"/>
                </w:tcPr>
                <w:p w14:paraId="0C3FE246">
                  <w:pPr>
                    <w:wordWrap w:val="0"/>
                    <w:autoSpaceDE w:val="0"/>
                    <w:autoSpaceDN w:val="0"/>
                    <w:adjustRightInd w:val="0"/>
                    <w:jc w:val="center"/>
                    <w:textAlignment w:val="baseline"/>
                    <w:rPr>
                      <w:kern w:val="0"/>
                      <w:szCs w:val="21"/>
                    </w:rPr>
                  </w:pPr>
                  <w:r>
                    <w:rPr>
                      <w:rFonts w:hint="eastAsia"/>
                      <w:kern w:val="0"/>
                      <w:szCs w:val="21"/>
                    </w:rPr>
                    <w:t>北</w:t>
                  </w:r>
                </w:p>
              </w:tc>
              <w:tc>
                <w:tcPr>
                  <w:tcW w:w="1203" w:type="dxa"/>
                  <w:vAlign w:val="center"/>
                </w:tcPr>
                <w:p w14:paraId="09D84D75">
                  <w:pPr>
                    <w:wordWrap w:val="0"/>
                    <w:autoSpaceDE w:val="0"/>
                    <w:autoSpaceDN w:val="0"/>
                    <w:adjustRightInd w:val="0"/>
                    <w:jc w:val="center"/>
                    <w:textAlignment w:val="baseline"/>
                    <w:rPr>
                      <w:rFonts w:hint="default" w:eastAsia="宋体"/>
                      <w:kern w:val="0"/>
                      <w:szCs w:val="21"/>
                      <w:lang w:val="en-US" w:eastAsia="zh-CN"/>
                    </w:rPr>
                  </w:pPr>
                  <w:r>
                    <w:rPr>
                      <w:rFonts w:hint="eastAsia"/>
                      <w:kern w:val="0"/>
                      <w:szCs w:val="21"/>
                      <w:highlight w:val="none"/>
                      <w:lang w:val="en-US" w:eastAsia="zh-CN"/>
                    </w:rPr>
                    <w:t>200</w:t>
                  </w:r>
                </w:p>
              </w:tc>
            </w:tr>
          </w:tbl>
          <w:p w14:paraId="0F469907">
            <w:pPr>
              <w:wordWrap w:val="0"/>
              <w:autoSpaceDE w:val="0"/>
              <w:autoSpaceDN w:val="0"/>
              <w:adjustRightInd w:val="0"/>
              <w:spacing w:line="360" w:lineRule="auto"/>
              <w:textAlignment w:val="baseline"/>
              <w:rPr>
                <w:b/>
                <w:bCs/>
                <w:color w:val="000000"/>
                <w:kern w:val="0"/>
                <w:sz w:val="24"/>
                <w:szCs w:val="24"/>
              </w:rPr>
            </w:pPr>
            <w:r>
              <w:rPr>
                <w:rFonts w:hint="eastAsia"/>
                <w:b/>
                <w:bCs/>
                <w:color w:val="000000"/>
                <w:kern w:val="0"/>
                <w:sz w:val="24"/>
                <w:szCs w:val="24"/>
              </w:rPr>
              <w:t xml:space="preserve">4 </w:t>
            </w:r>
            <w:r>
              <w:rPr>
                <w:b/>
                <w:bCs/>
                <w:color w:val="000000"/>
                <w:kern w:val="0"/>
                <w:sz w:val="24"/>
                <w:szCs w:val="24"/>
              </w:rPr>
              <w:t>地下水环境</w:t>
            </w:r>
          </w:p>
          <w:p w14:paraId="226968A7">
            <w:pPr>
              <w:wordWrap w:val="0"/>
              <w:autoSpaceDE w:val="0"/>
              <w:autoSpaceDN w:val="0"/>
              <w:adjustRightInd w:val="0"/>
              <w:spacing w:line="360" w:lineRule="auto"/>
              <w:ind w:firstLine="480" w:firstLineChars="200"/>
              <w:textAlignment w:val="baseline"/>
              <w:rPr>
                <w:color w:val="000000"/>
                <w:kern w:val="0"/>
                <w:sz w:val="24"/>
                <w:szCs w:val="24"/>
              </w:rPr>
            </w:pPr>
            <w:r>
              <w:rPr>
                <w:color w:val="000000"/>
                <w:kern w:val="0"/>
                <w:sz w:val="24"/>
                <w:szCs w:val="24"/>
              </w:rPr>
              <w:t>本项目</w:t>
            </w:r>
            <w:r>
              <w:rPr>
                <w:rFonts w:hint="eastAsia"/>
                <w:color w:val="000000"/>
                <w:kern w:val="0"/>
                <w:sz w:val="24"/>
                <w:szCs w:val="24"/>
              </w:rPr>
              <w:t>院界</w:t>
            </w:r>
            <w:r>
              <w:rPr>
                <w:color w:val="000000"/>
                <w:kern w:val="0"/>
                <w:sz w:val="24"/>
                <w:szCs w:val="24"/>
              </w:rPr>
              <w:t>外500米范围内无地下水集中式饮用水水源和热水、矿泉水、温泉等特殊地下水资源。</w:t>
            </w:r>
          </w:p>
          <w:p w14:paraId="40E0909B">
            <w:pPr>
              <w:wordWrap w:val="0"/>
              <w:autoSpaceDE w:val="0"/>
              <w:autoSpaceDN w:val="0"/>
              <w:adjustRightInd w:val="0"/>
              <w:spacing w:line="360" w:lineRule="auto"/>
              <w:textAlignment w:val="baseline"/>
              <w:rPr>
                <w:b/>
                <w:bCs/>
                <w:color w:val="000000"/>
                <w:kern w:val="0"/>
                <w:sz w:val="24"/>
                <w:szCs w:val="24"/>
              </w:rPr>
            </w:pPr>
            <w:r>
              <w:rPr>
                <w:rFonts w:hint="eastAsia"/>
                <w:b/>
                <w:bCs/>
                <w:color w:val="000000"/>
                <w:kern w:val="0"/>
                <w:sz w:val="24"/>
                <w:szCs w:val="24"/>
              </w:rPr>
              <w:t>4</w:t>
            </w:r>
            <w:r>
              <w:rPr>
                <w:b/>
                <w:bCs/>
                <w:color w:val="000000"/>
                <w:kern w:val="0"/>
                <w:sz w:val="24"/>
                <w:szCs w:val="24"/>
              </w:rPr>
              <w:t xml:space="preserve"> 生态环境</w:t>
            </w:r>
          </w:p>
          <w:p w14:paraId="02185E28">
            <w:pPr>
              <w:wordWrap w:val="0"/>
              <w:autoSpaceDE w:val="0"/>
              <w:autoSpaceDN w:val="0"/>
              <w:adjustRightInd w:val="0"/>
              <w:spacing w:line="360" w:lineRule="auto"/>
              <w:ind w:firstLine="480" w:firstLineChars="200"/>
              <w:textAlignment w:val="baseline"/>
              <w:rPr>
                <w:color w:val="000000"/>
                <w:kern w:val="0"/>
                <w:sz w:val="24"/>
                <w:szCs w:val="24"/>
              </w:rPr>
            </w:pPr>
            <w:r>
              <w:rPr>
                <w:color w:val="000000"/>
                <w:kern w:val="0"/>
                <w:sz w:val="24"/>
                <w:szCs w:val="24"/>
              </w:rPr>
              <w:t>本项目用地范围内无生态环境保护目标。</w:t>
            </w:r>
          </w:p>
        </w:tc>
      </w:tr>
      <w:tr w14:paraId="24B279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9" w:type="dxa"/>
            <w:tcBorders>
              <w:top w:val="single" w:color="auto" w:sz="4" w:space="0"/>
              <w:left w:val="single" w:color="auto" w:sz="8" w:space="0"/>
              <w:bottom w:val="single" w:color="auto" w:sz="4" w:space="0"/>
              <w:right w:val="single" w:color="auto" w:sz="4" w:space="0"/>
            </w:tcBorders>
            <w:vAlign w:val="center"/>
          </w:tcPr>
          <w:p w14:paraId="7D442575">
            <w:pPr>
              <w:spacing w:line="360" w:lineRule="auto"/>
              <w:jc w:val="center"/>
              <w:rPr>
                <w:color w:val="000000"/>
                <w:kern w:val="0"/>
                <w:sz w:val="24"/>
                <w:szCs w:val="24"/>
              </w:rPr>
            </w:pPr>
            <w:r>
              <w:rPr>
                <w:color w:val="000000"/>
                <w:kern w:val="0"/>
                <w:sz w:val="24"/>
                <w:szCs w:val="24"/>
              </w:rPr>
              <w:t>污染物排放控制标准</w:t>
            </w:r>
          </w:p>
        </w:tc>
        <w:tc>
          <w:tcPr>
            <w:tcW w:w="8603" w:type="dxa"/>
            <w:tcBorders>
              <w:top w:val="single" w:color="auto" w:sz="4" w:space="0"/>
              <w:left w:val="single" w:color="auto" w:sz="4" w:space="0"/>
              <w:bottom w:val="single" w:color="auto" w:sz="4" w:space="0"/>
              <w:right w:val="single" w:color="auto" w:sz="8" w:space="0"/>
            </w:tcBorders>
            <w:vAlign w:val="center"/>
          </w:tcPr>
          <w:p w14:paraId="3A5DE720">
            <w:pPr>
              <w:autoSpaceDE w:val="0"/>
              <w:autoSpaceDN w:val="0"/>
              <w:adjustRightInd w:val="0"/>
              <w:spacing w:line="360" w:lineRule="auto"/>
              <w:textAlignment w:val="baseline"/>
              <w:rPr>
                <w:b/>
                <w:bCs/>
                <w:color w:val="000000"/>
                <w:kern w:val="0"/>
                <w:sz w:val="24"/>
                <w:szCs w:val="24"/>
              </w:rPr>
            </w:pPr>
            <w:r>
              <w:rPr>
                <w:b/>
                <w:bCs/>
                <w:color w:val="000000"/>
                <w:kern w:val="0"/>
                <w:sz w:val="24"/>
                <w:szCs w:val="24"/>
              </w:rPr>
              <w:t>1 大气污染物</w:t>
            </w:r>
          </w:p>
          <w:p w14:paraId="3F788693">
            <w:pPr>
              <w:spacing w:line="360" w:lineRule="auto"/>
              <w:ind w:firstLine="480" w:firstLineChars="200"/>
              <w:rPr>
                <w:color w:val="000000"/>
                <w:sz w:val="24"/>
                <w:szCs w:val="24"/>
              </w:rPr>
            </w:pPr>
            <w:r>
              <w:rPr>
                <w:rStyle w:val="87"/>
                <w:rFonts w:hint="eastAsia"/>
                <w:color w:val="000000"/>
                <w:szCs w:val="24"/>
              </w:rPr>
              <w:t>污水处理站排出的废气执行《医疗机构水污染物排放标准》（</w:t>
            </w:r>
            <w:r>
              <w:rPr>
                <w:rStyle w:val="87"/>
                <w:rFonts w:ascii="Times New Roman" w:hAnsi="Times New Roman"/>
                <w:color w:val="000000"/>
                <w:szCs w:val="24"/>
              </w:rPr>
              <w:t>GB18466-2005</w:t>
            </w:r>
            <w:r>
              <w:rPr>
                <w:rStyle w:val="87"/>
                <w:rFonts w:hint="eastAsia"/>
                <w:color w:val="000000"/>
                <w:szCs w:val="24"/>
                <w:lang w:eastAsia="zh-CN"/>
              </w:rPr>
              <w:t>（</w:t>
            </w:r>
            <w:r>
              <w:rPr>
                <w:rStyle w:val="87"/>
                <w:rFonts w:hint="eastAsia"/>
                <w:color w:val="000000"/>
                <w:szCs w:val="24"/>
                <w:lang w:val="en-US" w:eastAsia="zh-CN"/>
              </w:rPr>
              <w:t>含</w:t>
            </w:r>
            <w:r>
              <w:rPr>
                <w:rStyle w:val="87"/>
                <w:rFonts w:hint="default" w:ascii="Times New Roman" w:hAnsi="Times New Roman" w:cs="Times New Roman"/>
                <w:color w:val="000000"/>
                <w:szCs w:val="24"/>
                <w:lang w:val="en-US" w:eastAsia="zh-CN"/>
              </w:rPr>
              <w:t>2026</w:t>
            </w:r>
            <w:r>
              <w:rPr>
                <w:rStyle w:val="87"/>
                <w:rFonts w:hint="eastAsia"/>
                <w:color w:val="000000"/>
                <w:szCs w:val="24"/>
                <w:lang w:val="en-US" w:eastAsia="zh-CN"/>
              </w:rPr>
              <w:t>年修改单</w:t>
            </w:r>
            <w:r>
              <w:rPr>
                <w:rStyle w:val="87"/>
                <w:rFonts w:hint="eastAsia"/>
                <w:color w:val="000000"/>
                <w:szCs w:val="24"/>
                <w:lang w:eastAsia="zh-CN"/>
              </w:rPr>
              <w:t>）</w:t>
            </w:r>
            <w:r>
              <w:rPr>
                <w:rStyle w:val="87"/>
                <w:rFonts w:hint="eastAsia"/>
                <w:color w:val="000000"/>
                <w:szCs w:val="24"/>
              </w:rPr>
              <w:t>）表</w:t>
            </w:r>
            <w:r>
              <w:rPr>
                <w:rStyle w:val="87"/>
                <w:rFonts w:ascii="Times New Roman" w:hAnsi="Times New Roman"/>
                <w:color w:val="000000"/>
                <w:szCs w:val="24"/>
              </w:rPr>
              <w:t>3</w:t>
            </w:r>
            <w:r>
              <w:rPr>
                <w:rStyle w:val="87"/>
                <w:rFonts w:hint="eastAsia"/>
                <w:color w:val="000000"/>
                <w:szCs w:val="24"/>
              </w:rPr>
              <w:t>中污水处理站周边大气污染物最高允许浓度。</w:t>
            </w:r>
            <w:r>
              <w:rPr>
                <w:rStyle w:val="87"/>
                <w:rFonts w:hint="eastAsia"/>
                <w:color w:val="000000"/>
                <w:highlight w:val="none"/>
                <w:lang w:eastAsia="zh-CN"/>
              </w:rPr>
              <w:t>医疗废物暂存废气、</w:t>
            </w:r>
            <w:r>
              <w:rPr>
                <w:rStyle w:val="87"/>
                <w:rFonts w:hint="eastAsia"/>
                <w:color w:val="000000"/>
                <w:highlight w:val="none"/>
                <w:lang w:val="en-US" w:eastAsia="zh-CN"/>
              </w:rPr>
              <w:t>一般固废暂存废气</w:t>
            </w:r>
            <w:r>
              <w:rPr>
                <w:rStyle w:val="87"/>
                <w:rFonts w:hint="eastAsia"/>
                <w:color w:val="000000"/>
                <w:highlight w:val="none"/>
                <w:lang w:eastAsia="zh-CN"/>
              </w:rPr>
              <w:t>、消毒水异味</w:t>
            </w:r>
            <w:r>
              <w:rPr>
                <w:rStyle w:val="87"/>
                <w:rFonts w:hint="eastAsia"/>
                <w:color w:val="000000"/>
                <w:highlight w:val="none"/>
                <w:lang w:val="en-US" w:eastAsia="zh-CN"/>
              </w:rPr>
              <w:t>执行《恶臭污染物排放标准》（</w:t>
            </w:r>
            <w:r>
              <w:rPr>
                <w:rStyle w:val="87"/>
                <w:rFonts w:hint="eastAsia" w:ascii="Times New Roman" w:hAnsi="Times New Roman" w:eastAsia="宋体" w:cs="Times New Roman"/>
                <w:color w:val="000000"/>
                <w:szCs w:val="24"/>
                <w:lang w:val="en-US" w:eastAsia="zh-CN"/>
              </w:rPr>
              <w:t>GB14554-93</w:t>
            </w:r>
            <w:r>
              <w:rPr>
                <w:rStyle w:val="87"/>
                <w:rFonts w:hint="eastAsia"/>
                <w:color w:val="000000"/>
                <w:highlight w:val="none"/>
                <w:lang w:val="en-US" w:eastAsia="zh-CN"/>
              </w:rPr>
              <w:t>）表</w:t>
            </w:r>
            <w:r>
              <w:rPr>
                <w:rStyle w:val="87"/>
                <w:rFonts w:hint="eastAsia" w:ascii="Times New Roman" w:hAnsi="Times New Roman" w:eastAsia="宋体" w:cs="Times New Roman"/>
                <w:color w:val="000000"/>
                <w:szCs w:val="24"/>
                <w:lang w:val="en-US" w:eastAsia="zh-CN"/>
              </w:rPr>
              <w:t>1中</w:t>
            </w:r>
            <w:r>
              <w:rPr>
                <w:rStyle w:val="87"/>
                <w:rFonts w:hint="eastAsia"/>
                <w:color w:val="000000"/>
                <w:highlight w:val="none"/>
                <w:lang w:val="en-US" w:eastAsia="zh-CN"/>
              </w:rPr>
              <w:t>二级新改扩建限值</w:t>
            </w:r>
            <w:r>
              <w:rPr>
                <w:rStyle w:val="87"/>
                <w:rFonts w:hint="eastAsia"/>
                <w:color w:val="000000"/>
                <w:highlight w:val="none"/>
                <w:lang w:eastAsia="zh-CN"/>
              </w:rPr>
              <w:t>；</w:t>
            </w:r>
            <w:r>
              <w:rPr>
                <w:rStyle w:val="87"/>
                <w:rFonts w:hint="eastAsia"/>
                <w:color w:val="000000"/>
                <w:highlight w:val="none"/>
                <w:lang w:val="en-US" w:eastAsia="zh-CN"/>
              </w:rPr>
              <w:t>食堂油烟参照执行《饮食业油烟排放标准（试行）》（</w:t>
            </w:r>
            <w:r>
              <w:rPr>
                <w:rStyle w:val="87"/>
                <w:rFonts w:hint="eastAsia" w:ascii="Times New Roman" w:hAnsi="Times New Roman" w:eastAsia="宋体" w:cs="Times New Roman"/>
                <w:color w:val="000000"/>
                <w:szCs w:val="24"/>
                <w:lang w:val="en-US" w:eastAsia="zh-CN"/>
              </w:rPr>
              <w:t>GB18483-2001</w:t>
            </w:r>
            <w:r>
              <w:rPr>
                <w:rStyle w:val="87"/>
                <w:rFonts w:hint="eastAsia"/>
                <w:color w:val="000000"/>
                <w:highlight w:val="none"/>
                <w:lang w:val="en-US" w:eastAsia="zh-CN"/>
              </w:rPr>
              <w:t>）标准。</w:t>
            </w:r>
          </w:p>
          <w:p w14:paraId="0DCF87FA">
            <w:pPr>
              <w:tabs>
                <w:tab w:val="left" w:pos="2196"/>
              </w:tabs>
              <w:spacing w:line="360" w:lineRule="auto"/>
              <w:jc w:val="center"/>
              <w:rPr>
                <w:b/>
                <w:color w:val="000000"/>
                <w:sz w:val="24"/>
                <w:szCs w:val="24"/>
              </w:rPr>
            </w:pPr>
            <w:r>
              <w:rPr>
                <w:b/>
                <w:color w:val="000000"/>
                <w:sz w:val="24"/>
                <w:szCs w:val="24"/>
              </w:rPr>
              <w:t>表3-</w:t>
            </w:r>
            <w:r>
              <w:rPr>
                <w:rFonts w:hint="eastAsia"/>
                <w:b/>
                <w:color w:val="000000"/>
                <w:sz w:val="24"/>
                <w:szCs w:val="24"/>
                <w:lang w:val="en-US" w:eastAsia="zh-CN"/>
              </w:rPr>
              <w:t>5</w:t>
            </w:r>
            <w:r>
              <w:rPr>
                <w:b/>
                <w:color w:val="000000"/>
                <w:sz w:val="24"/>
                <w:szCs w:val="24"/>
              </w:rPr>
              <w:t xml:space="preserve">  </w:t>
            </w:r>
            <w:r>
              <w:rPr>
                <w:rFonts w:hint="eastAsia"/>
                <w:b/>
                <w:color w:val="000000"/>
                <w:sz w:val="24"/>
                <w:szCs w:val="24"/>
              </w:rPr>
              <w:t>《医疗机构水污染物排放标准》</w:t>
            </w:r>
            <w:r>
              <w:rPr>
                <w:b/>
                <w:color w:val="000000"/>
                <w:sz w:val="24"/>
                <w:szCs w:val="24"/>
              </w:rPr>
              <w:t>（摘要）</w:t>
            </w:r>
          </w:p>
          <w:tbl>
            <w:tblPr>
              <w:tblStyle w:val="4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82"/>
              <w:gridCol w:w="3889"/>
              <w:gridCol w:w="2786"/>
            </w:tblGrid>
            <w:tr w14:paraId="3D3897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2" w:type="dxa"/>
                  <w:vAlign w:val="center"/>
                </w:tcPr>
                <w:p w14:paraId="6DA03BBD">
                  <w:pPr>
                    <w:tabs>
                      <w:tab w:val="left" w:pos="2196"/>
                    </w:tabs>
                    <w:jc w:val="center"/>
                    <w:rPr>
                      <w:b/>
                      <w:color w:val="000000"/>
                      <w:szCs w:val="21"/>
                    </w:rPr>
                  </w:pPr>
                  <w:r>
                    <w:rPr>
                      <w:rFonts w:hint="eastAsia"/>
                      <w:b/>
                      <w:color w:val="000000"/>
                      <w:szCs w:val="21"/>
                    </w:rPr>
                    <w:t>序号</w:t>
                  </w:r>
                </w:p>
              </w:tc>
              <w:tc>
                <w:tcPr>
                  <w:tcW w:w="3889" w:type="dxa"/>
                  <w:vAlign w:val="center"/>
                </w:tcPr>
                <w:p w14:paraId="3720AB29">
                  <w:pPr>
                    <w:tabs>
                      <w:tab w:val="left" w:pos="2196"/>
                    </w:tabs>
                    <w:jc w:val="center"/>
                    <w:rPr>
                      <w:b/>
                      <w:color w:val="000000"/>
                      <w:szCs w:val="21"/>
                    </w:rPr>
                  </w:pPr>
                  <w:r>
                    <w:rPr>
                      <w:rFonts w:hint="eastAsia"/>
                      <w:b/>
                      <w:color w:val="000000"/>
                      <w:szCs w:val="21"/>
                    </w:rPr>
                    <w:t>控制项目</w:t>
                  </w:r>
                </w:p>
              </w:tc>
              <w:tc>
                <w:tcPr>
                  <w:tcW w:w="2786" w:type="dxa"/>
                  <w:vAlign w:val="center"/>
                </w:tcPr>
                <w:p w14:paraId="7B531424">
                  <w:pPr>
                    <w:tabs>
                      <w:tab w:val="left" w:pos="2196"/>
                    </w:tabs>
                    <w:jc w:val="center"/>
                    <w:rPr>
                      <w:b/>
                      <w:color w:val="000000"/>
                      <w:szCs w:val="21"/>
                    </w:rPr>
                  </w:pPr>
                  <w:r>
                    <w:rPr>
                      <w:rFonts w:hint="eastAsia"/>
                      <w:b/>
                      <w:color w:val="000000"/>
                      <w:szCs w:val="21"/>
                    </w:rPr>
                    <w:t>标准值</w:t>
                  </w:r>
                </w:p>
              </w:tc>
            </w:tr>
            <w:tr w14:paraId="5863B8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2" w:type="dxa"/>
                  <w:vAlign w:val="center"/>
                </w:tcPr>
                <w:p w14:paraId="3F19BFA1">
                  <w:pPr>
                    <w:tabs>
                      <w:tab w:val="left" w:pos="2196"/>
                    </w:tabs>
                    <w:jc w:val="center"/>
                    <w:rPr>
                      <w:bCs/>
                      <w:color w:val="000000"/>
                      <w:szCs w:val="21"/>
                    </w:rPr>
                  </w:pPr>
                  <w:r>
                    <w:rPr>
                      <w:rFonts w:hint="eastAsia"/>
                      <w:bCs/>
                      <w:color w:val="000000"/>
                      <w:szCs w:val="21"/>
                    </w:rPr>
                    <w:t>1</w:t>
                  </w:r>
                </w:p>
              </w:tc>
              <w:tc>
                <w:tcPr>
                  <w:tcW w:w="3889" w:type="dxa"/>
                  <w:vAlign w:val="center"/>
                </w:tcPr>
                <w:p w14:paraId="59D9560F">
                  <w:pPr>
                    <w:tabs>
                      <w:tab w:val="left" w:pos="2196"/>
                    </w:tabs>
                    <w:jc w:val="center"/>
                    <w:rPr>
                      <w:bCs/>
                      <w:color w:val="000000"/>
                      <w:szCs w:val="21"/>
                    </w:rPr>
                  </w:pPr>
                  <w:r>
                    <w:rPr>
                      <w:rFonts w:hint="eastAsia"/>
                      <w:bCs/>
                      <w:color w:val="000000"/>
                      <w:szCs w:val="21"/>
                    </w:rPr>
                    <w:t>氨/（mg/m</w:t>
                  </w:r>
                  <w:r>
                    <w:rPr>
                      <w:rFonts w:hint="eastAsia"/>
                      <w:bCs/>
                      <w:color w:val="000000"/>
                      <w:szCs w:val="21"/>
                      <w:vertAlign w:val="superscript"/>
                    </w:rPr>
                    <w:t>3</w:t>
                  </w:r>
                  <w:r>
                    <w:rPr>
                      <w:rFonts w:hint="eastAsia"/>
                      <w:bCs/>
                      <w:color w:val="000000"/>
                      <w:szCs w:val="21"/>
                    </w:rPr>
                    <w:t>）</w:t>
                  </w:r>
                </w:p>
              </w:tc>
              <w:tc>
                <w:tcPr>
                  <w:tcW w:w="2786" w:type="dxa"/>
                  <w:vAlign w:val="center"/>
                </w:tcPr>
                <w:p w14:paraId="01C75DBC">
                  <w:pPr>
                    <w:tabs>
                      <w:tab w:val="left" w:pos="2196"/>
                    </w:tabs>
                    <w:jc w:val="center"/>
                    <w:rPr>
                      <w:bCs/>
                      <w:color w:val="000000"/>
                      <w:szCs w:val="21"/>
                    </w:rPr>
                  </w:pPr>
                  <w:r>
                    <w:rPr>
                      <w:rFonts w:hint="eastAsia"/>
                      <w:bCs/>
                      <w:color w:val="000000"/>
                      <w:szCs w:val="21"/>
                    </w:rPr>
                    <w:t>1.0</w:t>
                  </w:r>
                </w:p>
              </w:tc>
            </w:tr>
            <w:tr w14:paraId="161992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2" w:type="dxa"/>
                  <w:vAlign w:val="center"/>
                </w:tcPr>
                <w:p w14:paraId="04A74A94">
                  <w:pPr>
                    <w:tabs>
                      <w:tab w:val="left" w:pos="2196"/>
                    </w:tabs>
                    <w:jc w:val="center"/>
                    <w:rPr>
                      <w:bCs/>
                      <w:color w:val="000000"/>
                      <w:szCs w:val="21"/>
                    </w:rPr>
                  </w:pPr>
                  <w:r>
                    <w:rPr>
                      <w:rFonts w:hint="eastAsia"/>
                      <w:bCs/>
                      <w:color w:val="000000"/>
                      <w:szCs w:val="21"/>
                    </w:rPr>
                    <w:t>2</w:t>
                  </w:r>
                </w:p>
              </w:tc>
              <w:tc>
                <w:tcPr>
                  <w:tcW w:w="3889" w:type="dxa"/>
                  <w:vAlign w:val="center"/>
                </w:tcPr>
                <w:p w14:paraId="20E4C87D">
                  <w:pPr>
                    <w:tabs>
                      <w:tab w:val="left" w:pos="2196"/>
                    </w:tabs>
                    <w:jc w:val="center"/>
                    <w:rPr>
                      <w:bCs/>
                      <w:color w:val="000000"/>
                      <w:szCs w:val="21"/>
                    </w:rPr>
                  </w:pPr>
                  <w:r>
                    <w:rPr>
                      <w:rFonts w:hint="eastAsia"/>
                      <w:bCs/>
                      <w:color w:val="000000"/>
                      <w:szCs w:val="21"/>
                    </w:rPr>
                    <w:t>硫化氢/（mg/m</w:t>
                  </w:r>
                  <w:r>
                    <w:rPr>
                      <w:rFonts w:hint="eastAsia"/>
                      <w:bCs/>
                      <w:color w:val="000000"/>
                      <w:szCs w:val="21"/>
                      <w:vertAlign w:val="superscript"/>
                    </w:rPr>
                    <w:t>3</w:t>
                  </w:r>
                  <w:r>
                    <w:rPr>
                      <w:rFonts w:hint="eastAsia"/>
                      <w:bCs/>
                      <w:color w:val="000000"/>
                      <w:szCs w:val="21"/>
                    </w:rPr>
                    <w:t>）</w:t>
                  </w:r>
                </w:p>
              </w:tc>
              <w:tc>
                <w:tcPr>
                  <w:tcW w:w="2786" w:type="dxa"/>
                  <w:vAlign w:val="center"/>
                </w:tcPr>
                <w:p w14:paraId="03EC2A25">
                  <w:pPr>
                    <w:tabs>
                      <w:tab w:val="left" w:pos="2196"/>
                    </w:tabs>
                    <w:jc w:val="center"/>
                    <w:rPr>
                      <w:bCs/>
                      <w:color w:val="000000"/>
                      <w:szCs w:val="21"/>
                    </w:rPr>
                  </w:pPr>
                  <w:r>
                    <w:rPr>
                      <w:rFonts w:hint="eastAsia"/>
                      <w:bCs/>
                      <w:color w:val="000000"/>
                      <w:szCs w:val="21"/>
                    </w:rPr>
                    <w:t>0.03</w:t>
                  </w:r>
                </w:p>
              </w:tc>
            </w:tr>
            <w:tr w14:paraId="3FB1E3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2" w:type="dxa"/>
                  <w:vAlign w:val="center"/>
                </w:tcPr>
                <w:p w14:paraId="6E256A01">
                  <w:pPr>
                    <w:tabs>
                      <w:tab w:val="left" w:pos="2196"/>
                    </w:tabs>
                    <w:jc w:val="center"/>
                    <w:rPr>
                      <w:bCs/>
                      <w:color w:val="000000"/>
                      <w:szCs w:val="21"/>
                    </w:rPr>
                  </w:pPr>
                  <w:r>
                    <w:rPr>
                      <w:rFonts w:hint="eastAsia"/>
                      <w:bCs/>
                      <w:color w:val="000000"/>
                      <w:szCs w:val="21"/>
                    </w:rPr>
                    <w:t>3</w:t>
                  </w:r>
                </w:p>
              </w:tc>
              <w:tc>
                <w:tcPr>
                  <w:tcW w:w="3889" w:type="dxa"/>
                  <w:vAlign w:val="center"/>
                </w:tcPr>
                <w:p w14:paraId="2C608A25">
                  <w:pPr>
                    <w:tabs>
                      <w:tab w:val="left" w:pos="2196"/>
                    </w:tabs>
                    <w:jc w:val="center"/>
                    <w:rPr>
                      <w:bCs/>
                      <w:color w:val="000000"/>
                      <w:szCs w:val="21"/>
                    </w:rPr>
                  </w:pPr>
                  <w:r>
                    <w:rPr>
                      <w:rFonts w:hint="eastAsia"/>
                      <w:bCs/>
                      <w:color w:val="000000"/>
                      <w:szCs w:val="21"/>
                    </w:rPr>
                    <w:t>臭气浓度（无量纲）</w:t>
                  </w:r>
                </w:p>
              </w:tc>
              <w:tc>
                <w:tcPr>
                  <w:tcW w:w="2786" w:type="dxa"/>
                  <w:vAlign w:val="center"/>
                </w:tcPr>
                <w:p w14:paraId="0EA088EF">
                  <w:pPr>
                    <w:tabs>
                      <w:tab w:val="left" w:pos="2196"/>
                    </w:tabs>
                    <w:jc w:val="center"/>
                    <w:rPr>
                      <w:bCs/>
                      <w:color w:val="000000"/>
                      <w:szCs w:val="21"/>
                    </w:rPr>
                  </w:pPr>
                  <w:r>
                    <w:rPr>
                      <w:rFonts w:hint="eastAsia"/>
                      <w:bCs/>
                      <w:color w:val="000000"/>
                      <w:szCs w:val="21"/>
                    </w:rPr>
                    <w:t>10</w:t>
                  </w:r>
                </w:p>
              </w:tc>
            </w:tr>
            <w:tr w14:paraId="3F0BD2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82" w:type="dxa"/>
                  <w:vAlign w:val="center"/>
                </w:tcPr>
                <w:p w14:paraId="26840600">
                  <w:pPr>
                    <w:tabs>
                      <w:tab w:val="left" w:pos="2196"/>
                    </w:tabs>
                    <w:jc w:val="center"/>
                    <w:rPr>
                      <w:bCs/>
                      <w:color w:val="000000"/>
                      <w:szCs w:val="21"/>
                    </w:rPr>
                  </w:pPr>
                  <w:r>
                    <w:rPr>
                      <w:rFonts w:hint="eastAsia"/>
                      <w:bCs/>
                      <w:color w:val="000000"/>
                      <w:szCs w:val="21"/>
                    </w:rPr>
                    <w:t>4</w:t>
                  </w:r>
                </w:p>
              </w:tc>
              <w:tc>
                <w:tcPr>
                  <w:tcW w:w="3889" w:type="dxa"/>
                  <w:vAlign w:val="center"/>
                </w:tcPr>
                <w:p w14:paraId="31E70478">
                  <w:pPr>
                    <w:tabs>
                      <w:tab w:val="left" w:pos="2196"/>
                    </w:tabs>
                    <w:jc w:val="center"/>
                    <w:rPr>
                      <w:bCs/>
                      <w:color w:val="000000"/>
                      <w:szCs w:val="21"/>
                    </w:rPr>
                  </w:pPr>
                  <w:r>
                    <w:rPr>
                      <w:rFonts w:hint="eastAsia"/>
                      <w:bCs/>
                      <w:color w:val="000000"/>
                      <w:szCs w:val="21"/>
                    </w:rPr>
                    <w:t>甲烷（指处理站内最高体积百分数/%）</w:t>
                  </w:r>
                </w:p>
              </w:tc>
              <w:tc>
                <w:tcPr>
                  <w:tcW w:w="2786" w:type="dxa"/>
                  <w:vAlign w:val="center"/>
                </w:tcPr>
                <w:p w14:paraId="06A33A9A">
                  <w:pPr>
                    <w:tabs>
                      <w:tab w:val="left" w:pos="2196"/>
                    </w:tabs>
                    <w:jc w:val="center"/>
                    <w:rPr>
                      <w:bCs/>
                      <w:color w:val="000000"/>
                      <w:szCs w:val="21"/>
                    </w:rPr>
                  </w:pPr>
                  <w:r>
                    <w:rPr>
                      <w:rFonts w:hint="eastAsia"/>
                      <w:bCs/>
                      <w:color w:val="000000"/>
                      <w:szCs w:val="21"/>
                    </w:rPr>
                    <w:t>1</w:t>
                  </w:r>
                </w:p>
              </w:tc>
            </w:tr>
          </w:tbl>
          <w:p w14:paraId="6B285841">
            <w:pPr>
              <w:tabs>
                <w:tab w:val="left" w:pos="2196"/>
              </w:tabs>
              <w:spacing w:line="360" w:lineRule="auto"/>
              <w:jc w:val="center"/>
              <w:rPr>
                <w:b/>
                <w:sz w:val="24"/>
                <w:szCs w:val="24"/>
                <w:lang w:bidi="ar"/>
              </w:rPr>
            </w:pPr>
            <w:r>
              <w:rPr>
                <w:rFonts w:hint="eastAsia"/>
                <w:b/>
                <w:sz w:val="24"/>
                <w:szCs w:val="24"/>
                <w:lang w:bidi="ar"/>
              </w:rPr>
              <w:t>表3-</w:t>
            </w:r>
            <w:r>
              <w:rPr>
                <w:rFonts w:hint="eastAsia"/>
                <w:b/>
                <w:sz w:val="24"/>
                <w:szCs w:val="24"/>
                <w:lang w:val="en-US" w:eastAsia="zh-CN" w:bidi="ar"/>
              </w:rPr>
              <w:t>6</w:t>
            </w:r>
            <w:r>
              <w:rPr>
                <w:rFonts w:hint="eastAsia"/>
                <w:b/>
                <w:sz w:val="24"/>
                <w:szCs w:val="24"/>
                <w:lang w:bidi="ar"/>
              </w:rPr>
              <w:t xml:space="preserve"> </w:t>
            </w:r>
            <w:r>
              <w:rPr>
                <w:b/>
                <w:sz w:val="24"/>
                <w:szCs w:val="24"/>
                <w:lang w:bidi="ar"/>
              </w:rPr>
              <w:t xml:space="preserve"> </w:t>
            </w:r>
            <w:r>
              <w:rPr>
                <w:b/>
                <w:color w:val="000000"/>
                <w:sz w:val="24"/>
                <w:szCs w:val="24"/>
              </w:rPr>
              <w:t>《</w:t>
            </w:r>
            <w:r>
              <w:rPr>
                <w:rFonts w:hint="eastAsia"/>
                <w:b/>
                <w:color w:val="000000"/>
                <w:sz w:val="24"/>
                <w:szCs w:val="24"/>
              </w:rPr>
              <w:t>恶臭污染物排放标准</w:t>
            </w:r>
            <w:r>
              <w:rPr>
                <w:b/>
                <w:color w:val="000000"/>
                <w:sz w:val="24"/>
                <w:szCs w:val="24"/>
              </w:rPr>
              <w:t>》（摘要）</w:t>
            </w:r>
          </w:p>
          <w:tbl>
            <w:tblPr>
              <w:tblStyle w:val="4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2505"/>
              <w:gridCol w:w="2089"/>
              <w:gridCol w:w="2091"/>
            </w:tblGrid>
            <w:tr w14:paraId="1577F1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72" w:type="dxa"/>
                  <w:vMerge w:val="restart"/>
                  <w:vAlign w:val="center"/>
                </w:tcPr>
                <w:p w14:paraId="05CEB54C">
                  <w:pPr>
                    <w:wordWrap w:val="0"/>
                    <w:autoSpaceDE w:val="0"/>
                    <w:autoSpaceDN w:val="0"/>
                    <w:adjustRightInd w:val="0"/>
                    <w:jc w:val="center"/>
                    <w:textAlignment w:val="baseline"/>
                    <w:rPr>
                      <w:b/>
                      <w:bCs/>
                      <w:color w:val="000000"/>
                      <w:kern w:val="0"/>
                      <w:szCs w:val="21"/>
                    </w:rPr>
                  </w:pPr>
                  <w:r>
                    <w:rPr>
                      <w:rFonts w:hint="eastAsia"/>
                      <w:b/>
                      <w:bCs/>
                      <w:color w:val="000000"/>
                      <w:kern w:val="0"/>
                      <w:szCs w:val="21"/>
                    </w:rPr>
                    <w:t>序号</w:t>
                  </w:r>
                </w:p>
              </w:tc>
              <w:tc>
                <w:tcPr>
                  <w:tcW w:w="2505" w:type="dxa"/>
                  <w:vMerge w:val="restart"/>
                  <w:vAlign w:val="center"/>
                </w:tcPr>
                <w:p w14:paraId="660DC580">
                  <w:pPr>
                    <w:wordWrap w:val="0"/>
                    <w:autoSpaceDE w:val="0"/>
                    <w:autoSpaceDN w:val="0"/>
                    <w:adjustRightInd w:val="0"/>
                    <w:jc w:val="center"/>
                    <w:textAlignment w:val="baseline"/>
                    <w:rPr>
                      <w:b/>
                      <w:bCs/>
                      <w:color w:val="000000"/>
                      <w:kern w:val="0"/>
                      <w:szCs w:val="21"/>
                    </w:rPr>
                  </w:pPr>
                  <w:r>
                    <w:rPr>
                      <w:rFonts w:hint="eastAsia"/>
                      <w:b/>
                      <w:bCs/>
                      <w:color w:val="000000"/>
                      <w:kern w:val="0"/>
                      <w:szCs w:val="21"/>
                    </w:rPr>
                    <w:t>控制项目</w:t>
                  </w:r>
                </w:p>
              </w:tc>
              <w:tc>
                <w:tcPr>
                  <w:tcW w:w="2089" w:type="dxa"/>
                  <w:vMerge w:val="restart"/>
                  <w:vAlign w:val="center"/>
                </w:tcPr>
                <w:p w14:paraId="395EB5BD">
                  <w:pPr>
                    <w:wordWrap w:val="0"/>
                    <w:autoSpaceDE w:val="0"/>
                    <w:autoSpaceDN w:val="0"/>
                    <w:adjustRightInd w:val="0"/>
                    <w:jc w:val="center"/>
                    <w:textAlignment w:val="baseline"/>
                    <w:rPr>
                      <w:b/>
                      <w:bCs/>
                      <w:color w:val="000000"/>
                      <w:kern w:val="0"/>
                      <w:szCs w:val="21"/>
                    </w:rPr>
                  </w:pPr>
                  <w:r>
                    <w:rPr>
                      <w:rFonts w:hint="eastAsia"/>
                      <w:b/>
                      <w:bCs/>
                      <w:color w:val="000000"/>
                      <w:kern w:val="0"/>
                      <w:szCs w:val="21"/>
                    </w:rPr>
                    <w:t>单位</w:t>
                  </w:r>
                </w:p>
              </w:tc>
              <w:tc>
                <w:tcPr>
                  <w:tcW w:w="2091" w:type="dxa"/>
                  <w:vAlign w:val="center"/>
                </w:tcPr>
                <w:p w14:paraId="016EDF44">
                  <w:pPr>
                    <w:wordWrap w:val="0"/>
                    <w:autoSpaceDE w:val="0"/>
                    <w:autoSpaceDN w:val="0"/>
                    <w:adjustRightInd w:val="0"/>
                    <w:jc w:val="center"/>
                    <w:textAlignment w:val="baseline"/>
                    <w:rPr>
                      <w:b/>
                      <w:bCs/>
                      <w:color w:val="000000"/>
                      <w:kern w:val="0"/>
                      <w:szCs w:val="21"/>
                    </w:rPr>
                  </w:pPr>
                  <w:r>
                    <w:rPr>
                      <w:rFonts w:hint="eastAsia"/>
                      <w:b/>
                      <w:bCs/>
                      <w:color w:val="000000"/>
                      <w:kern w:val="0"/>
                      <w:szCs w:val="21"/>
                    </w:rPr>
                    <w:t>二级</w:t>
                  </w:r>
                </w:p>
              </w:tc>
            </w:tr>
            <w:tr w14:paraId="7DD87E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72" w:type="dxa"/>
                  <w:vMerge w:val="continue"/>
                  <w:vAlign w:val="center"/>
                </w:tcPr>
                <w:p w14:paraId="3581EF26">
                  <w:pPr>
                    <w:wordWrap w:val="0"/>
                    <w:autoSpaceDE w:val="0"/>
                    <w:autoSpaceDN w:val="0"/>
                    <w:adjustRightInd w:val="0"/>
                    <w:jc w:val="center"/>
                    <w:textAlignment w:val="baseline"/>
                    <w:rPr>
                      <w:b/>
                      <w:bCs/>
                      <w:color w:val="000000"/>
                      <w:kern w:val="0"/>
                      <w:szCs w:val="21"/>
                    </w:rPr>
                  </w:pPr>
                </w:p>
              </w:tc>
              <w:tc>
                <w:tcPr>
                  <w:tcW w:w="2505" w:type="dxa"/>
                  <w:vMerge w:val="continue"/>
                  <w:vAlign w:val="center"/>
                </w:tcPr>
                <w:p w14:paraId="54C06413">
                  <w:pPr>
                    <w:wordWrap w:val="0"/>
                    <w:autoSpaceDE w:val="0"/>
                    <w:autoSpaceDN w:val="0"/>
                    <w:adjustRightInd w:val="0"/>
                    <w:jc w:val="center"/>
                    <w:textAlignment w:val="baseline"/>
                    <w:rPr>
                      <w:b/>
                      <w:bCs/>
                      <w:color w:val="000000"/>
                      <w:kern w:val="0"/>
                      <w:szCs w:val="21"/>
                    </w:rPr>
                  </w:pPr>
                </w:p>
              </w:tc>
              <w:tc>
                <w:tcPr>
                  <w:tcW w:w="2089" w:type="dxa"/>
                  <w:vMerge w:val="continue"/>
                  <w:vAlign w:val="center"/>
                </w:tcPr>
                <w:p w14:paraId="73CC1832">
                  <w:pPr>
                    <w:wordWrap w:val="0"/>
                    <w:autoSpaceDE w:val="0"/>
                    <w:autoSpaceDN w:val="0"/>
                    <w:adjustRightInd w:val="0"/>
                    <w:jc w:val="center"/>
                    <w:textAlignment w:val="baseline"/>
                    <w:rPr>
                      <w:b/>
                      <w:bCs/>
                      <w:color w:val="000000"/>
                      <w:kern w:val="0"/>
                      <w:szCs w:val="21"/>
                    </w:rPr>
                  </w:pPr>
                </w:p>
              </w:tc>
              <w:tc>
                <w:tcPr>
                  <w:tcW w:w="2091" w:type="dxa"/>
                  <w:vAlign w:val="center"/>
                </w:tcPr>
                <w:p w14:paraId="77C93A8F">
                  <w:pPr>
                    <w:wordWrap w:val="0"/>
                    <w:autoSpaceDE w:val="0"/>
                    <w:autoSpaceDN w:val="0"/>
                    <w:adjustRightInd w:val="0"/>
                    <w:jc w:val="center"/>
                    <w:textAlignment w:val="baseline"/>
                    <w:rPr>
                      <w:b/>
                      <w:bCs/>
                      <w:color w:val="000000"/>
                      <w:kern w:val="0"/>
                      <w:szCs w:val="21"/>
                    </w:rPr>
                  </w:pPr>
                  <w:r>
                    <w:rPr>
                      <w:rFonts w:hint="eastAsia"/>
                      <w:b/>
                      <w:bCs/>
                      <w:color w:val="000000"/>
                      <w:kern w:val="0"/>
                      <w:szCs w:val="21"/>
                    </w:rPr>
                    <w:t>新改扩建</w:t>
                  </w:r>
                </w:p>
              </w:tc>
            </w:tr>
            <w:tr w14:paraId="2E9F9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72" w:type="dxa"/>
                  <w:vAlign w:val="center"/>
                </w:tcPr>
                <w:p w14:paraId="757FAC80">
                  <w:pPr>
                    <w:wordWrap w:val="0"/>
                    <w:autoSpaceDE w:val="0"/>
                    <w:autoSpaceDN w:val="0"/>
                    <w:adjustRightInd w:val="0"/>
                    <w:jc w:val="center"/>
                    <w:textAlignment w:val="baseline"/>
                    <w:rPr>
                      <w:color w:val="000000"/>
                      <w:kern w:val="0"/>
                      <w:szCs w:val="21"/>
                    </w:rPr>
                  </w:pPr>
                  <w:r>
                    <w:rPr>
                      <w:rFonts w:hint="eastAsia"/>
                      <w:color w:val="000000"/>
                      <w:kern w:val="0"/>
                      <w:szCs w:val="21"/>
                    </w:rPr>
                    <w:t>1</w:t>
                  </w:r>
                </w:p>
              </w:tc>
              <w:tc>
                <w:tcPr>
                  <w:tcW w:w="2505" w:type="dxa"/>
                  <w:vAlign w:val="center"/>
                </w:tcPr>
                <w:p w14:paraId="3E0990A1">
                  <w:pPr>
                    <w:wordWrap w:val="0"/>
                    <w:autoSpaceDE w:val="0"/>
                    <w:autoSpaceDN w:val="0"/>
                    <w:adjustRightInd w:val="0"/>
                    <w:jc w:val="center"/>
                    <w:textAlignment w:val="baseline"/>
                    <w:rPr>
                      <w:color w:val="000000"/>
                      <w:kern w:val="0"/>
                      <w:szCs w:val="21"/>
                    </w:rPr>
                  </w:pPr>
                  <w:r>
                    <w:rPr>
                      <w:rFonts w:hint="eastAsia"/>
                      <w:color w:val="000000"/>
                      <w:kern w:val="0"/>
                      <w:szCs w:val="21"/>
                    </w:rPr>
                    <w:t>氨</w:t>
                  </w:r>
                </w:p>
              </w:tc>
              <w:tc>
                <w:tcPr>
                  <w:tcW w:w="2089" w:type="dxa"/>
                  <w:vAlign w:val="center"/>
                </w:tcPr>
                <w:p w14:paraId="0FFE3A25">
                  <w:pPr>
                    <w:wordWrap w:val="0"/>
                    <w:autoSpaceDE w:val="0"/>
                    <w:autoSpaceDN w:val="0"/>
                    <w:adjustRightInd w:val="0"/>
                    <w:jc w:val="center"/>
                    <w:textAlignment w:val="baseline"/>
                    <w:rPr>
                      <w:color w:val="000000"/>
                      <w:kern w:val="0"/>
                      <w:szCs w:val="21"/>
                    </w:rPr>
                  </w:pPr>
                  <w:r>
                    <w:rPr>
                      <w:rFonts w:hint="eastAsia"/>
                      <w:bCs/>
                      <w:color w:val="000000"/>
                      <w:szCs w:val="21"/>
                    </w:rPr>
                    <w:t>mg/m</w:t>
                  </w:r>
                  <w:r>
                    <w:rPr>
                      <w:rFonts w:hint="eastAsia"/>
                      <w:bCs/>
                      <w:color w:val="000000"/>
                      <w:szCs w:val="21"/>
                      <w:vertAlign w:val="superscript"/>
                    </w:rPr>
                    <w:t>3</w:t>
                  </w:r>
                </w:p>
              </w:tc>
              <w:tc>
                <w:tcPr>
                  <w:tcW w:w="2091" w:type="dxa"/>
                  <w:vAlign w:val="center"/>
                </w:tcPr>
                <w:p w14:paraId="27096620">
                  <w:pPr>
                    <w:wordWrap w:val="0"/>
                    <w:autoSpaceDE w:val="0"/>
                    <w:autoSpaceDN w:val="0"/>
                    <w:adjustRightInd w:val="0"/>
                    <w:jc w:val="center"/>
                    <w:textAlignment w:val="baseline"/>
                    <w:rPr>
                      <w:color w:val="000000"/>
                      <w:kern w:val="0"/>
                      <w:szCs w:val="21"/>
                    </w:rPr>
                  </w:pPr>
                  <w:r>
                    <w:rPr>
                      <w:rFonts w:hint="eastAsia"/>
                      <w:color w:val="000000"/>
                      <w:kern w:val="0"/>
                      <w:szCs w:val="21"/>
                    </w:rPr>
                    <w:t>1.5</w:t>
                  </w:r>
                </w:p>
              </w:tc>
            </w:tr>
            <w:tr w14:paraId="6B824A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72" w:type="dxa"/>
                  <w:vAlign w:val="center"/>
                </w:tcPr>
                <w:p w14:paraId="3B0EA372">
                  <w:pPr>
                    <w:wordWrap w:val="0"/>
                    <w:autoSpaceDE w:val="0"/>
                    <w:autoSpaceDN w:val="0"/>
                    <w:adjustRightInd w:val="0"/>
                    <w:jc w:val="center"/>
                    <w:textAlignment w:val="baseline"/>
                    <w:rPr>
                      <w:color w:val="000000"/>
                      <w:kern w:val="0"/>
                      <w:szCs w:val="21"/>
                    </w:rPr>
                  </w:pPr>
                  <w:r>
                    <w:rPr>
                      <w:rFonts w:hint="eastAsia"/>
                      <w:color w:val="000000"/>
                      <w:kern w:val="0"/>
                      <w:szCs w:val="21"/>
                    </w:rPr>
                    <w:t>2</w:t>
                  </w:r>
                </w:p>
              </w:tc>
              <w:tc>
                <w:tcPr>
                  <w:tcW w:w="2505" w:type="dxa"/>
                  <w:vAlign w:val="center"/>
                </w:tcPr>
                <w:p w14:paraId="3BA11193">
                  <w:pPr>
                    <w:wordWrap w:val="0"/>
                    <w:autoSpaceDE w:val="0"/>
                    <w:autoSpaceDN w:val="0"/>
                    <w:adjustRightInd w:val="0"/>
                    <w:jc w:val="center"/>
                    <w:textAlignment w:val="baseline"/>
                    <w:rPr>
                      <w:color w:val="000000"/>
                      <w:kern w:val="0"/>
                      <w:szCs w:val="21"/>
                    </w:rPr>
                  </w:pPr>
                  <w:r>
                    <w:rPr>
                      <w:rFonts w:hint="eastAsia"/>
                      <w:color w:val="000000"/>
                      <w:kern w:val="0"/>
                      <w:szCs w:val="21"/>
                    </w:rPr>
                    <w:t>硫化氢</w:t>
                  </w:r>
                </w:p>
              </w:tc>
              <w:tc>
                <w:tcPr>
                  <w:tcW w:w="2089" w:type="dxa"/>
                  <w:vAlign w:val="center"/>
                </w:tcPr>
                <w:p w14:paraId="2D2C00FB">
                  <w:pPr>
                    <w:wordWrap w:val="0"/>
                    <w:autoSpaceDE w:val="0"/>
                    <w:autoSpaceDN w:val="0"/>
                    <w:adjustRightInd w:val="0"/>
                    <w:jc w:val="center"/>
                    <w:textAlignment w:val="baseline"/>
                    <w:rPr>
                      <w:color w:val="000000"/>
                      <w:kern w:val="0"/>
                      <w:szCs w:val="21"/>
                    </w:rPr>
                  </w:pPr>
                  <w:r>
                    <w:rPr>
                      <w:rFonts w:hint="eastAsia"/>
                      <w:bCs/>
                      <w:color w:val="000000"/>
                      <w:szCs w:val="21"/>
                    </w:rPr>
                    <w:t>mg/m</w:t>
                  </w:r>
                  <w:r>
                    <w:rPr>
                      <w:rFonts w:hint="eastAsia"/>
                      <w:bCs/>
                      <w:color w:val="000000"/>
                      <w:szCs w:val="21"/>
                      <w:vertAlign w:val="superscript"/>
                    </w:rPr>
                    <w:t>3</w:t>
                  </w:r>
                </w:p>
              </w:tc>
              <w:tc>
                <w:tcPr>
                  <w:tcW w:w="2091" w:type="dxa"/>
                  <w:vAlign w:val="center"/>
                </w:tcPr>
                <w:p w14:paraId="0C2E6917">
                  <w:pPr>
                    <w:wordWrap w:val="0"/>
                    <w:autoSpaceDE w:val="0"/>
                    <w:autoSpaceDN w:val="0"/>
                    <w:adjustRightInd w:val="0"/>
                    <w:jc w:val="center"/>
                    <w:textAlignment w:val="baseline"/>
                    <w:rPr>
                      <w:color w:val="000000"/>
                      <w:kern w:val="0"/>
                      <w:szCs w:val="21"/>
                    </w:rPr>
                  </w:pPr>
                  <w:r>
                    <w:rPr>
                      <w:rFonts w:hint="eastAsia"/>
                      <w:color w:val="000000"/>
                      <w:kern w:val="0"/>
                      <w:szCs w:val="21"/>
                    </w:rPr>
                    <w:t>0.06</w:t>
                  </w:r>
                </w:p>
              </w:tc>
            </w:tr>
            <w:tr w14:paraId="532007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72" w:type="dxa"/>
                  <w:vAlign w:val="center"/>
                </w:tcPr>
                <w:p w14:paraId="00807EED">
                  <w:pPr>
                    <w:wordWrap w:val="0"/>
                    <w:autoSpaceDE w:val="0"/>
                    <w:autoSpaceDN w:val="0"/>
                    <w:adjustRightInd w:val="0"/>
                    <w:jc w:val="center"/>
                    <w:textAlignment w:val="baseline"/>
                    <w:rPr>
                      <w:color w:val="000000"/>
                      <w:kern w:val="0"/>
                      <w:szCs w:val="21"/>
                    </w:rPr>
                  </w:pPr>
                  <w:r>
                    <w:rPr>
                      <w:rFonts w:hint="eastAsia"/>
                      <w:color w:val="000000"/>
                      <w:kern w:val="0"/>
                      <w:szCs w:val="21"/>
                    </w:rPr>
                    <w:t>3</w:t>
                  </w:r>
                </w:p>
              </w:tc>
              <w:tc>
                <w:tcPr>
                  <w:tcW w:w="2505" w:type="dxa"/>
                  <w:vAlign w:val="center"/>
                </w:tcPr>
                <w:p w14:paraId="5C91F914">
                  <w:pPr>
                    <w:wordWrap w:val="0"/>
                    <w:autoSpaceDE w:val="0"/>
                    <w:autoSpaceDN w:val="0"/>
                    <w:adjustRightInd w:val="0"/>
                    <w:jc w:val="center"/>
                    <w:textAlignment w:val="baseline"/>
                    <w:rPr>
                      <w:color w:val="000000"/>
                      <w:kern w:val="0"/>
                      <w:szCs w:val="21"/>
                    </w:rPr>
                  </w:pPr>
                  <w:r>
                    <w:rPr>
                      <w:rFonts w:hint="eastAsia"/>
                      <w:color w:val="000000"/>
                      <w:kern w:val="0"/>
                      <w:szCs w:val="21"/>
                    </w:rPr>
                    <w:t>臭气浓度</w:t>
                  </w:r>
                </w:p>
              </w:tc>
              <w:tc>
                <w:tcPr>
                  <w:tcW w:w="2089" w:type="dxa"/>
                  <w:vAlign w:val="center"/>
                </w:tcPr>
                <w:p w14:paraId="670D49D5">
                  <w:pPr>
                    <w:wordWrap w:val="0"/>
                    <w:autoSpaceDE w:val="0"/>
                    <w:autoSpaceDN w:val="0"/>
                    <w:adjustRightInd w:val="0"/>
                    <w:jc w:val="center"/>
                    <w:textAlignment w:val="baseline"/>
                    <w:rPr>
                      <w:color w:val="000000"/>
                      <w:kern w:val="0"/>
                      <w:szCs w:val="21"/>
                    </w:rPr>
                  </w:pPr>
                  <w:r>
                    <w:rPr>
                      <w:rFonts w:hint="eastAsia"/>
                      <w:color w:val="000000"/>
                      <w:kern w:val="0"/>
                      <w:szCs w:val="21"/>
                    </w:rPr>
                    <w:t>无量纲</w:t>
                  </w:r>
                </w:p>
              </w:tc>
              <w:tc>
                <w:tcPr>
                  <w:tcW w:w="2091" w:type="dxa"/>
                  <w:vAlign w:val="center"/>
                </w:tcPr>
                <w:p w14:paraId="03D66652">
                  <w:pPr>
                    <w:wordWrap w:val="0"/>
                    <w:autoSpaceDE w:val="0"/>
                    <w:autoSpaceDN w:val="0"/>
                    <w:adjustRightInd w:val="0"/>
                    <w:jc w:val="center"/>
                    <w:textAlignment w:val="baseline"/>
                    <w:rPr>
                      <w:color w:val="000000"/>
                      <w:kern w:val="0"/>
                      <w:szCs w:val="21"/>
                    </w:rPr>
                  </w:pPr>
                  <w:r>
                    <w:rPr>
                      <w:rFonts w:hint="eastAsia"/>
                      <w:color w:val="000000"/>
                      <w:kern w:val="0"/>
                      <w:szCs w:val="21"/>
                    </w:rPr>
                    <w:t>20</w:t>
                  </w:r>
                </w:p>
              </w:tc>
            </w:tr>
          </w:tbl>
          <w:p w14:paraId="590FA58D">
            <w:pPr>
              <w:tabs>
                <w:tab w:val="left" w:pos="2196"/>
              </w:tabs>
              <w:spacing w:line="360" w:lineRule="auto"/>
              <w:jc w:val="center"/>
              <w:rPr>
                <w:rFonts w:hint="eastAsia"/>
                <w:b/>
                <w:sz w:val="24"/>
                <w:szCs w:val="24"/>
                <w:lang w:bidi="ar"/>
              </w:rPr>
            </w:pPr>
          </w:p>
          <w:p w14:paraId="7298889D">
            <w:pPr>
              <w:tabs>
                <w:tab w:val="left" w:pos="2196"/>
              </w:tabs>
              <w:spacing w:line="360" w:lineRule="auto"/>
              <w:jc w:val="center"/>
              <w:rPr>
                <w:rFonts w:hint="eastAsia"/>
                <w:b/>
                <w:sz w:val="24"/>
                <w:szCs w:val="24"/>
                <w:lang w:bidi="ar"/>
              </w:rPr>
            </w:pPr>
          </w:p>
          <w:p w14:paraId="45257E96">
            <w:pPr>
              <w:tabs>
                <w:tab w:val="left" w:pos="2196"/>
              </w:tabs>
              <w:spacing w:line="360" w:lineRule="auto"/>
              <w:jc w:val="center"/>
              <w:rPr>
                <w:rFonts w:ascii="Times New Roman" w:hAnsi="Times New Roman" w:cs="Times New Roman"/>
                <w:b/>
                <w:sz w:val="24"/>
                <w:szCs w:val="24"/>
              </w:rPr>
            </w:pPr>
            <w:r>
              <w:rPr>
                <w:rFonts w:hint="eastAsia"/>
                <w:b/>
                <w:sz w:val="24"/>
                <w:szCs w:val="24"/>
                <w:lang w:bidi="ar"/>
              </w:rPr>
              <w:t>表3-</w:t>
            </w:r>
            <w:r>
              <w:rPr>
                <w:rFonts w:hint="eastAsia"/>
                <w:b/>
                <w:sz w:val="24"/>
                <w:szCs w:val="24"/>
                <w:lang w:val="en-US" w:eastAsia="zh-CN" w:bidi="ar"/>
              </w:rPr>
              <w:t>7</w:t>
            </w:r>
            <w:r>
              <w:rPr>
                <w:rFonts w:hint="eastAsia"/>
                <w:b/>
                <w:sz w:val="24"/>
                <w:szCs w:val="24"/>
                <w:lang w:bidi="ar"/>
              </w:rPr>
              <w:t xml:space="preserve"> </w:t>
            </w:r>
            <w:r>
              <w:rPr>
                <w:b/>
                <w:sz w:val="24"/>
                <w:szCs w:val="24"/>
                <w:lang w:bidi="ar"/>
              </w:rPr>
              <w:t xml:space="preserve"> </w:t>
            </w:r>
            <w:r>
              <w:rPr>
                <w:rFonts w:ascii="Times New Roman" w:hAnsi="Times New Roman" w:cs="Times New Roman"/>
                <w:b/>
                <w:sz w:val="24"/>
                <w:szCs w:val="24"/>
              </w:rPr>
              <w:t>《饮食业油烟排放标准（试行）》（摘要）</w:t>
            </w:r>
          </w:p>
          <w:tbl>
            <w:tblPr>
              <w:tblStyle w:val="47"/>
              <w:tblW w:w="4998" w:type="pct"/>
              <w:jc w:val="center"/>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Layout w:type="fixed"/>
              <w:tblCellMar>
                <w:top w:w="0" w:type="dxa"/>
                <w:left w:w="108" w:type="dxa"/>
                <w:bottom w:w="0" w:type="dxa"/>
                <w:right w:w="108" w:type="dxa"/>
              </w:tblCellMar>
            </w:tblPr>
            <w:tblGrid>
              <w:gridCol w:w="5038"/>
              <w:gridCol w:w="1105"/>
              <w:gridCol w:w="1105"/>
              <w:gridCol w:w="1106"/>
            </w:tblGrid>
            <w:tr w14:paraId="077ABEFD">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015" w:type="pct"/>
                  <w:noWrap w:val="0"/>
                  <w:vAlign w:val="center"/>
                </w:tcPr>
                <w:p w14:paraId="6C9883C7">
                  <w:pPr>
                    <w:overflowPunct w:val="0"/>
                    <w:jc w:val="center"/>
                    <w:rPr>
                      <w:rFonts w:ascii="Times New Roman" w:hAnsi="Times New Roman" w:cs="Times New Roman"/>
                      <w:b/>
                      <w:szCs w:val="21"/>
                    </w:rPr>
                  </w:pPr>
                  <w:r>
                    <w:rPr>
                      <w:rFonts w:ascii="Times New Roman" w:hAnsi="Times New Roman" w:cs="Times New Roman"/>
                      <w:b/>
                      <w:szCs w:val="21"/>
                    </w:rPr>
                    <w:t>规模</w:t>
                  </w:r>
                </w:p>
              </w:tc>
              <w:tc>
                <w:tcPr>
                  <w:tcW w:w="661" w:type="pct"/>
                  <w:noWrap w:val="0"/>
                  <w:vAlign w:val="center"/>
                </w:tcPr>
                <w:p w14:paraId="4B6916A9">
                  <w:pPr>
                    <w:overflowPunct w:val="0"/>
                    <w:jc w:val="center"/>
                    <w:rPr>
                      <w:rFonts w:ascii="Times New Roman" w:hAnsi="Times New Roman" w:cs="Times New Roman"/>
                      <w:b/>
                      <w:szCs w:val="21"/>
                    </w:rPr>
                  </w:pPr>
                  <w:r>
                    <w:rPr>
                      <w:rFonts w:ascii="Times New Roman" w:hAnsi="Times New Roman" w:cs="Times New Roman"/>
                      <w:b/>
                      <w:szCs w:val="21"/>
                    </w:rPr>
                    <w:t>小型</w:t>
                  </w:r>
                </w:p>
              </w:tc>
              <w:tc>
                <w:tcPr>
                  <w:tcW w:w="661" w:type="pct"/>
                  <w:noWrap w:val="0"/>
                  <w:vAlign w:val="center"/>
                </w:tcPr>
                <w:p w14:paraId="2578FE8B">
                  <w:pPr>
                    <w:overflowPunct w:val="0"/>
                    <w:jc w:val="center"/>
                    <w:rPr>
                      <w:rFonts w:ascii="Times New Roman" w:hAnsi="Times New Roman" w:cs="Times New Roman"/>
                      <w:b/>
                      <w:szCs w:val="21"/>
                    </w:rPr>
                  </w:pPr>
                  <w:r>
                    <w:rPr>
                      <w:rFonts w:ascii="Times New Roman" w:hAnsi="Times New Roman" w:cs="Times New Roman"/>
                      <w:b/>
                      <w:szCs w:val="21"/>
                    </w:rPr>
                    <w:t>中型</w:t>
                  </w:r>
                </w:p>
              </w:tc>
              <w:tc>
                <w:tcPr>
                  <w:tcW w:w="661" w:type="pct"/>
                  <w:noWrap w:val="0"/>
                  <w:vAlign w:val="center"/>
                </w:tcPr>
                <w:p w14:paraId="07AADA58">
                  <w:pPr>
                    <w:overflowPunct w:val="0"/>
                    <w:jc w:val="center"/>
                    <w:rPr>
                      <w:rFonts w:ascii="Times New Roman" w:hAnsi="Times New Roman" w:cs="Times New Roman"/>
                      <w:b/>
                      <w:szCs w:val="21"/>
                    </w:rPr>
                  </w:pPr>
                  <w:r>
                    <w:rPr>
                      <w:rFonts w:ascii="Times New Roman" w:hAnsi="Times New Roman" w:cs="Times New Roman"/>
                      <w:b/>
                      <w:szCs w:val="21"/>
                    </w:rPr>
                    <w:t>大型</w:t>
                  </w:r>
                </w:p>
              </w:tc>
            </w:tr>
            <w:tr w14:paraId="7F80EAC5">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015" w:type="pct"/>
                  <w:noWrap w:val="0"/>
                  <w:vAlign w:val="center"/>
                </w:tcPr>
                <w:p w14:paraId="5ECB9200">
                  <w:pPr>
                    <w:overflowPunct w:val="0"/>
                    <w:jc w:val="center"/>
                    <w:rPr>
                      <w:rFonts w:ascii="Times New Roman" w:hAnsi="Times New Roman" w:cs="Times New Roman"/>
                      <w:bCs/>
                      <w:szCs w:val="21"/>
                    </w:rPr>
                  </w:pPr>
                  <w:r>
                    <w:rPr>
                      <w:rFonts w:ascii="Times New Roman" w:hAnsi="Times New Roman" w:cs="Times New Roman"/>
                      <w:bCs/>
                      <w:szCs w:val="21"/>
                    </w:rPr>
                    <w:t>最高允许排放浓度（mg/m</w:t>
                  </w:r>
                  <w:r>
                    <w:rPr>
                      <w:rFonts w:ascii="Times New Roman" w:hAnsi="Times New Roman" w:cs="Times New Roman"/>
                      <w:bCs/>
                      <w:szCs w:val="21"/>
                      <w:vertAlign w:val="superscript"/>
                    </w:rPr>
                    <w:t>3</w:t>
                  </w:r>
                  <w:r>
                    <w:rPr>
                      <w:rFonts w:ascii="Times New Roman" w:hAnsi="Times New Roman" w:cs="Times New Roman"/>
                      <w:bCs/>
                      <w:szCs w:val="21"/>
                    </w:rPr>
                    <w:t>）</w:t>
                  </w:r>
                </w:p>
              </w:tc>
              <w:tc>
                <w:tcPr>
                  <w:tcW w:w="1984" w:type="pct"/>
                  <w:gridSpan w:val="3"/>
                  <w:noWrap w:val="0"/>
                  <w:vAlign w:val="center"/>
                </w:tcPr>
                <w:p w14:paraId="6A590B1E">
                  <w:pPr>
                    <w:overflowPunct w:val="0"/>
                    <w:jc w:val="center"/>
                    <w:rPr>
                      <w:rFonts w:ascii="Times New Roman" w:hAnsi="Times New Roman" w:cs="Times New Roman"/>
                      <w:bCs/>
                      <w:szCs w:val="21"/>
                    </w:rPr>
                  </w:pPr>
                  <w:r>
                    <w:rPr>
                      <w:rFonts w:ascii="Times New Roman" w:hAnsi="Times New Roman" w:cs="Times New Roman"/>
                      <w:bCs/>
                      <w:szCs w:val="21"/>
                    </w:rPr>
                    <w:t>2.0</w:t>
                  </w:r>
                </w:p>
              </w:tc>
            </w:tr>
            <w:tr w14:paraId="20092D08">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015" w:type="pct"/>
                  <w:noWrap w:val="0"/>
                  <w:vAlign w:val="center"/>
                </w:tcPr>
                <w:p w14:paraId="404D6349">
                  <w:pPr>
                    <w:overflowPunct w:val="0"/>
                    <w:jc w:val="center"/>
                    <w:rPr>
                      <w:rFonts w:ascii="Times New Roman" w:hAnsi="Times New Roman" w:cs="Times New Roman"/>
                      <w:bCs/>
                      <w:szCs w:val="21"/>
                    </w:rPr>
                  </w:pPr>
                  <w:r>
                    <w:rPr>
                      <w:rFonts w:ascii="Times New Roman" w:hAnsi="Times New Roman" w:cs="Times New Roman"/>
                      <w:bCs/>
                      <w:szCs w:val="21"/>
                    </w:rPr>
                    <w:t>净化设施最低去除效率（%）</w:t>
                  </w:r>
                </w:p>
              </w:tc>
              <w:tc>
                <w:tcPr>
                  <w:tcW w:w="661" w:type="pct"/>
                  <w:noWrap w:val="0"/>
                  <w:vAlign w:val="center"/>
                </w:tcPr>
                <w:p w14:paraId="68BB1F39">
                  <w:pPr>
                    <w:overflowPunct w:val="0"/>
                    <w:jc w:val="center"/>
                    <w:rPr>
                      <w:rFonts w:ascii="Times New Roman" w:hAnsi="Times New Roman" w:cs="Times New Roman"/>
                      <w:bCs/>
                      <w:szCs w:val="21"/>
                    </w:rPr>
                  </w:pPr>
                  <w:r>
                    <w:rPr>
                      <w:rFonts w:ascii="Times New Roman" w:hAnsi="Times New Roman" w:cs="Times New Roman"/>
                      <w:bCs/>
                      <w:szCs w:val="21"/>
                    </w:rPr>
                    <w:t>60</w:t>
                  </w:r>
                </w:p>
              </w:tc>
              <w:tc>
                <w:tcPr>
                  <w:tcW w:w="661" w:type="pct"/>
                  <w:noWrap w:val="0"/>
                  <w:vAlign w:val="center"/>
                </w:tcPr>
                <w:p w14:paraId="56D19AA7">
                  <w:pPr>
                    <w:overflowPunct w:val="0"/>
                    <w:jc w:val="center"/>
                    <w:rPr>
                      <w:rFonts w:ascii="Times New Roman" w:hAnsi="Times New Roman" w:cs="Times New Roman"/>
                      <w:bCs/>
                      <w:szCs w:val="21"/>
                    </w:rPr>
                  </w:pPr>
                  <w:r>
                    <w:rPr>
                      <w:rFonts w:ascii="Times New Roman" w:hAnsi="Times New Roman" w:cs="Times New Roman"/>
                      <w:bCs/>
                      <w:szCs w:val="21"/>
                    </w:rPr>
                    <w:t>75</w:t>
                  </w:r>
                </w:p>
              </w:tc>
              <w:tc>
                <w:tcPr>
                  <w:tcW w:w="661" w:type="pct"/>
                  <w:noWrap w:val="0"/>
                  <w:vAlign w:val="center"/>
                </w:tcPr>
                <w:p w14:paraId="339DC933">
                  <w:pPr>
                    <w:overflowPunct w:val="0"/>
                    <w:jc w:val="center"/>
                    <w:rPr>
                      <w:rFonts w:ascii="Times New Roman" w:hAnsi="Times New Roman" w:cs="Times New Roman"/>
                      <w:bCs/>
                      <w:szCs w:val="21"/>
                    </w:rPr>
                  </w:pPr>
                  <w:r>
                    <w:rPr>
                      <w:rFonts w:ascii="Times New Roman" w:hAnsi="Times New Roman" w:cs="Times New Roman"/>
                      <w:b/>
                      <w:bCs w:val="0"/>
                      <w:color w:val="auto"/>
                      <w:szCs w:val="21"/>
                    </w:rPr>
                    <w:t>85</w:t>
                  </w:r>
                </w:p>
              </w:tc>
            </w:tr>
          </w:tbl>
          <w:p w14:paraId="0ECD47D8">
            <w:pPr>
              <w:wordWrap w:val="0"/>
              <w:autoSpaceDE w:val="0"/>
              <w:autoSpaceDN w:val="0"/>
              <w:adjustRightInd w:val="0"/>
              <w:spacing w:line="360" w:lineRule="auto"/>
              <w:textAlignment w:val="baseline"/>
              <w:rPr>
                <w:b/>
                <w:bCs/>
                <w:color w:val="000000"/>
                <w:kern w:val="0"/>
                <w:sz w:val="24"/>
                <w:szCs w:val="24"/>
              </w:rPr>
            </w:pPr>
            <w:r>
              <w:rPr>
                <w:b/>
                <w:bCs/>
                <w:color w:val="000000"/>
                <w:kern w:val="0"/>
                <w:sz w:val="24"/>
                <w:szCs w:val="24"/>
              </w:rPr>
              <w:t>2 水污染物</w:t>
            </w:r>
          </w:p>
          <w:p w14:paraId="7449EABA">
            <w:pPr>
              <w:adjustRightInd w:val="0"/>
              <w:snapToGrid w:val="0"/>
              <w:spacing w:line="360" w:lineRule="auto"/>
              <w:ind w:firstLine="480" w:firstLineChars="200"/>
              <w:rPr>
                <w:sz w:val="24"/>
                <w:szCs w:val="24"/>
              </w:rPr>
            </w:pPr>
            <w:r>
              <w:rPr>
                <w:rFonts w:hint="eastAsia"/>
                <w:bCs/>
                <w:sz w:val="24"/>
                <w:szCs w:val="24"/>
                <w:lang w:val="en-US" w:eastAsia="zh-CN"/>
              </w:rPr>
              <w:t>医疗废水</w:t>
            </w:r>
            <w:r>
              <w:rPr>
                <w:rFonts w:hint="eastAsia"/>
                <w:bCs/>
                <w:sz w:val="24"/>
                <w:szCs w:val="24"/>
              </w:rPr>
              <w:t>执行《医疗机构水污染物排放标准》</w:t>
            </w:r>
            <w:r>
              <w:rPr>
                <w:rFonts w:hint="eastAsia" w:ascii="宋体" w:hAnsi="宋体" w:eastAsia="宋体" w:cs="宋体"/>
                <w:bCs/>
                <w:sz w:val="24"/>
                <w:szCs w:val="24"/>
              </w:rPr>
              <w:t>(</w:t>
            </w:r>
            <w:r>
              <w:rPr>
                <w:rFonts w:hint="eastAsia"/>
                <w:bCs/>
                <w:sz w:val="24"/>
                <w:szCs w:val="24"/>
              </w:rPr>
              <w:t>GB18466-2005</w:t>
            </w:r>
            <w:r>
              <w:rPr>
                <w:rFonts w:hint="eastAsia" w:ascii="宋体" w:hAnsi="宋体" w:eastAsia="宋体" w:cs="宋体"/>
                <w:bCs/>
                <w:sz w:val="24"/>
                <w:szCs w:val="24"/>
              </w:rPr>
              <w:t>)</w:t>
            </w:r>
            <w:r>
              <w:rPr>
                <w:rStyle w:val="87"/>
                <w:rFonts w:hint="eastAsia"/>
                <w:color w:val="000000"/>
                <w:szCs w:val="24"/>
                <w:lang w:eastAsia="zh-CN"/>
              </w:rPr>
              <w:t>（</w:t>
            </w:r>
            <w:r>
              <w:rPr>
                <w:rStyle w:val="87"/>
                <w:rFonts w:hint="eastAsia"/>
                <w:color w:val="000000"/>
                <w:szCs w:val="24"/>
                <w:lang w:val="en-US" w:eastAsia="zh-CN"/>
              </w:rPr>
              <w:t>含</w:t>
            </w:r>
            <w:r>
              <w:rPr>
                <w:rStyle w:val="87"/>
                <w:rFonts w:hint="default" w:ascii="Times New Roman" w:hAnsi="Times New Roman" w:cs="Times New Roman"/>
                <w:color w:val="000000"/>
                <w:szCs w:val="24"/>
                <w:lang w:val="en-US" w:eastAsia="zh-CN"/>
              </w:rPr>
              <w:t>2026</w:t>
            </w:r>
            <w:r>
              <w:rPr>
                <w:rStyle w:val="87"/>
                <w:rFonts w:hint="eastAsia"/>
                <w:color w:val="000000"/>
                <w:szCs w:val="24"/>
                <w:lang w:val="en-US" w:eastAsia="zh-CN"/>
              </w:rPr>
              <w:t>年修改单</w:t>
            </w:r>
            <w:r>
              <w:rPr>
                <w:rStyle w:val="87"/>
                <w:rFonts w:hint="eastAsia"/>
                <w:color w:val="000000"/>
                <w:szCs w:val="24"/>
                <w:lang w:eastAsia="zh-CN"/>
              </w:rPr>
              <w:t>）</w:t>
            </w:r>
            <w:r>
              <w:rPr>
                <w:rFonts w:hint="eastAsia"/>
                <w:bCs/>
                <w:sz w:val="24"/>
                <w:szCs w:val="24"/>
              </w:rPr>
              <w:t>表2中预处理标准</w:t>
            </w:r>
            <w:r>
              <w:rPr>
                <w:rFonts w:hint="eastAsia"/>
                <w:bCs/>
                <w:sz w:val="24"/>
                <w:szCs w:val="24"/>
                <w:lang w:val="en-US" w:eastAsia="zh-CN"/>
              </w:rPr>
              <w:t>及安化县污水处理厂进水水质标准</w:t>
            </w:r>
            <w:r>
              <w:rPr>
                <w:rFonts w:hint="eastAsia"/>
                <w:bCs/>
                <w:sz w:val="24"/>
                <w:szCs w:val="24"/>
                <w:lang w:eastAsia="zh-CN"/>
              </w:rPr>
              <w:t>；</w:t>
            </w:r>
            <w:r>
              <w:rPr>
                <w:rFonts w:hint="eastAsia"/>
                <w:bCs/>
                <w:sz w:val="24"/>
                <w:szCs w:val="24"/>
                <w:lang w:val="en-US" w:eastAsia="zh-CN"/>
              </w:rPr>
              <w:t>生活污水中SS、动植物油、LAS执行《污水综合排放标准》（GB8978-1996）表4中三级排放标准限值；COD、BOD</w:t>
            </w:r>
            <w:r>
              <w:rPr>
                <w:rFonts w:hint="eastAsia"/>
                <w:bCs/>
                <w:sz w:val="24"/>
                <w:szCs w:val="24"/>
                <w:vertAlign w:val="subscript"/>
                <w:lang w:val="en-US" w:eastAsia="zh-CN"/>
              </w:rPr>
              <w:t>5</w:t>
            </w:r>
            <w:r>
              <w:rPr>
                <w:rFonts w:hint="eastAsia"/>
                <w:bCs/>
                <w:sz w:val="24"/>
                <w:szCs w:val="24"/>
                <w:lang w:val="en-US" w:eastAsia="zh-CN"/>
              </w:rPr>
              <w:t>、氨氮、总磷执行安化县污水处理厂进水水质标准；总氮、氯化物执行《污水排入城镇下水道水质标准》(GB/T 31962-2015)表1中B级标准限值</w:t>
            </w:r>
            <w:r>
              <w:rPr>
                <w:rFonts w:hint="eastAsia"/>
                <w:sz w:val="24"/>
                <w:szCs w:val="24"/>
              </w:rPr>
              <w:t>。</w:t>
            </w:r>
          </w:p>
          <w:p w14:paraId="52BEE9CA">
            <w:pPr>
              <w:adjustRightInd w:val="0"/>
              <w:snapToGrid w:val="0"/>
              <w:spacing w:line="360" w:lineRule="auto"/>
              <w:jc w:val="center"/>
              <w:rPr>
                <w:b/>
                <w:sz w:val="24"/>
              </w:rPr>
            </w:pPr>
            <w:r>
              <w:rPr>
                <w:b/>
                <w:color w:val="000000"/>
                <w:sz w:val="24"/>
                <w:szCs w:val="24"/>
              </w:rPr>
              <w:t>表3-</w:t>
            </w:r>
            <w:r>
              <w:rPr>
                <w:rFonts w:hint="eastAsia"/>
                <w:b/>
                <w:color w:val="000000"/>
                <w:sz w:val="24"/>
                <w:szCs w:val="24"/>
                <w:lang w:val="en-US" w:eastAsia="zh-CN"/>
              </w:rPr>
              <w:t>8</w:t>
            </w:r>
            <w:r>
              <w:rPr>
                <w:b/>
                <w:color w:val="000000"/>
                <w:sz w:val="24"/>
                <w:szCs w:val="24"/>
              </w:rPr>
              <w:t xml:space="preserve">  </w:t>
            </w:r>
            <w:r>
              <w:rPr>
                <w:rFonts w:ascii="Times New Roman" w:hAnsi="Times New Roman" w:cs="Times New Roman"/>
                <w:b/>
                <w:bCs/>
                <w:sz w:val="24"/>
                <w:szCs w:val="24"/>
              </w:rPr>
              <w:t>项目生产废水排放执行标准</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36"/>
              <w:gridCol w:w="540"/>
              <w:gridCol w:w="704"/>
              <w:gridCol w:w="773"/>
              <w:gridCol w:w="848"/>
              <w:gridCol w:w="514"/>
              <w:gridCol w:w="657"/>
              <w:gridCol w:w="1062"/>
              <w:gridCol w:w="692"/>
              <w:gridCol w:w="1031"/>
            </w:tblGrid>
            <w:tr w14:paraId="15DD1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6" w:type="dxa"/>
                  <w:vAlign w:val="center"/>
                </w:tcPr>
                <w:p w14:paraId="011BCCEB">
                  <w:pPr>
                    <w:autoSpaceDE w:val="0"/>
                    <w:autoSpaceDN w:val="0"/>
                    <w:adjustRightInd w:val="0"/>
                    <w:jc w:val="center"/>
                    <w:textAlignment w:val="baseline"/>
                    <w:rPr>
                      <w:b/>
                      <w:bCs/>
                      <w:szCs w:val="21"/>
                    </w:rPr>
                  </w:pPr>
                  <w:r>
                    <w:rPr>
                      <w:b/>
                      <w:bCs/>
                      <w:szCs w:val="21"/>
                    </w:rPr>
                    <w:t>项目</w:t>
                  </w:r>
                </w:p>
              </w:tc>
              <w:tc>
                <w:tcPr>
                  <w:tcW w:w="540" w:type="dxa"/>
                  <w:vAlign w:val="center"/>
                </w:tcPr>
                <w:p w14:paraId="22910161">
                  <w:pPr>
                    <w:autoSpaceDE w:val="0"/>
                    <w:autoSpaceDN w:val="0"/>
                    <w:adjustRightInd w:val="0"/>
                    <w:jc w:val="center"/>
                    <w:textAlignment w:val="baseline"/>
                    <w:rPr>
                      <w:b/>
                      <w:bCs/>
                      <w:szCs w:val="21"/>
                    </w:rPr>
                  </w:pPr>
                  <w:r>
                    <w:rPr>
                      <w:b/>
                      <w:bCs/>
                      <w:szCs w:val="21"/>
                    </w:rPr>
                    <w:t>pH</w:t>
                  </w:r>
                </w:p>
              </w:tc>
              <w:tc>
                <w:tcPr>
                  <w:tcW w:w="704" w:type="dxa"/>
                  <w:vAlign w:val="center"/>
                </w:tcPr>
                <w:p w14:paraId="2FEEADF2">
                  <w:pPr>
                    <w:autoSpaceDE w:val="0"/>
                    <w:autoSpaceDN w:val="0"/>
                    <w:adjustRightInd w:val="0"/>
                    <w:jc w:val="center"/>
                    <w:textAlignment w:val="baseline"/>
                    <w:rPr>
                      <w:b/>
                      <w:bCs/>
                      <w:szCs w:val="21"/>
                    </w:rPr>
                  </w:pPr>
                  <w:r>
                    <w:rPr>
                      <w:b/>
                      <w:bCs/>
                      <w:szCs w:val="21"/>
                    </w:rPr>
                    <w:t>COD</w:t>
                  </w:r>
                </w:p>
              </w:tc>
              <w:tc>
                <w:tcPr>
                  <w:tcW w:w="773" w:type="dxa"/>
                  <w:vAlign w:val="center"/>
                </w:tcPr>
                <w:p w14:paraId="7293FBBC">
                  <w:pPr>
                    <w:autoSpaceDE w:val="0"/>
                    <w:autoSpaceDN w:val="0"/>
                    <w:adjustRightInd w:val="0"/>
                    <w:jc w:val="center"/>
                    <w:textAlignment w:val="baseline"/>
                    <w:rPr>
                      <w:b/>
                      <w:bCs/>
                      <w:szCs w:val="21"/>
                    </w:rPr>
                  </w:pPr>
                  <w:r>
                    <w:rPr>
                      <w:b/>
                      <w:bCs/>
                      <w:szCs w:val="21"/>
                    </w:rPr>
                    <w:t>BOD</w:t>
                  </w:r>
                  <w:r>
                    <w:rPr>
                      <w:b/>
                      <w:bCs/>
                      <w:szCs w:val="21"/>
                      <w:vertAlign w:val="subscript"/>
                    </w:rPr>
                    <w:t>5</w:t>
                  </w:r>
                </w:p>
              </w:tc>
              <w:tc>
                <w:tcPr>
                  <w:tcW w:w="848" w:type="dxa"/>
                  <w:vAlign w:val="center"/>
                </w:tcPr>
                <w:p w14:paraId="322D4330">
                  <w:pPr>
                    <w:widowControl/>
                    <w:jc w:val="center"/>
                    <w:rPr>
                      <w:b/>
                      <w:bCs/>
                      <w:szCs w:val="21"/>
                    </w:rPr>
                  </w:pPr>
                  <w:r>
                    <w:rPr>
                      <w:b/>
                      <w:bCs/>
                      <w:kern w:val="0"/>
                      <w:szCs w:val="21"/>
                      <w:lang w:bidi="ar"/>
                    </w:rPr>
                    <w:t>NH</w:t>
                  </w:r>
                  <w:r>
                    <w:rPr>
                      <w:b/>
                      <w:bCs/>
                      <w:kern w:val="0"/>
                      <w:szCs w:val="21"/>
                      <w:vertAlign w:val="subscript"/>
                      <w:lang w:bidi="ar"/>
                    </w:rPr>
                    <w:t>3</w:t>
                  </w:r>
                  <w:r>
                    <w:rPr>
                      <w:b/>
                      <w:bCs/>
                      <w:kern w:val="0"/>
                      <w:szCs w:val="21"/>
                      <w:lang w:bidi="ar"/>
                    </w:rPr>
                    <w:t>-N</w:t>
                  </w:r>
                </w:p>
              </w:tc>
              <w:tc>
                <w:tcPr>
                  <w:tcW w:w="514" w:type="dxa"/>
                  <w:vAlign w:val="center"/>
                </w:tcPr>
                <w:p w14:paraId="0D774941">
                  <w:pPr>
                    <w:autoSpaceDE w:val="0"/>
                    <w:autoSpaceDN w:val="0"/>
                    <w:adjustRightInd w:val="0"/>
                    <w:jc w:val="center"/>
                    <w:textAlignment w:val="baseline"/>
                    <w:rPr>
                      <w:b/>
                      <w:bCs/>
                      <w:szCs w:val="21"/>
                    </w:rPr>
                  </w:pPr>
                  <w:r>
                    <w:rPr>
                      <w:b/>
                      <w:bCs/>
                      <w:szCs w:val="21"/>
                    </w:rPr>
                    <w:t>SS</w:t>
                  </w:r>
                </w:p>
              </w:tc>
              <w:tc>
                <w:tcPr>
                  <w:tcW w:w="657" w:type="dxa"/>
                  <w:vAlign w:val="center"/>
                </w:tcPr>
                <w:p w14:paraId="35B6E255">
                  <w:pPr>
                    <w:autoSpaceDE w:val="0"/>
                    <w:autoSpaceDN w:val="0"/>
                    <w:adjustRightInd w:val="0"/>
                    <w:jc w:val="center"/>
                    <w:textAlignment w:val="baseline"/>
                    <w:rPr>
                      <w:rFonts w:hint="eastAsia" w:eastAsia="宋体"/>
                      <w:b/>
                      <w:bCs/>
                      <w:szCs w:val="21"/>
                      <w:lang w:val="en-US" w:eastAsia="zh-CN"/>
                    </w:rPr>
                  </w:pPr>
                  <w:r>
                    <w:rPr>
                      <w:rFonts w:hint="eastAsia"/>
                      <w:b/>
                      <w:bCs/>
                      <w:szCs w:val="21"/>
                      <w:lang w:val="en-US" w:eastAsia="zh-CN"/>
                    </w:rPr>
                    <w:t>总磷</w:t>
                  </w:r>
                </w:p>
              </w:tc>
              <w:tc>
                <w:tcPr>
                  <w:tcW w:w="1062" w:type="dxa"/>
                  <w:vAlign w:val="center"/>
                </w:tcPr>
                <w:p w14:paraId="3441FAA9">
                  <w:pPr>
                    <w:autoSpaceDE w:val="0"/>
                    <w:autoSpaceDN w:val="0"/>
                    <w:adjustRightInd w:val="0"/>
                    <w:jc w:val="center"/>
                    <w:textAlignment w:val="baseline"/>
                    <w:rPr>
                      <w:b/>
                      <w:bCs/>
                      <w:szCs w:val="21"/>
                    </w:rPr>
                  </w:pPr>
                  <w:r>
                    <w:rPr>
                      <w:rFonts w:hint="eastAsia"/>
                      <w:b/>
                      <w:bCs/>
                      <w:szCs w:val="21"/>
                    </w:rPr>
                    <w:t>粪大肠菌群数</w:t>
                  </w:r>
                </w:p>
              </w:tc>
              <w:tc>
                <w:tcPr>
                  <w:tcW w:w="692" w:type="dxa"/>
                  <w:vAlign w:val="center"/>
                </w:tcPr>
                <w:p w14:paraId="6239FA23">
                  <w:pPr>
                    <w:autoSpaceDE w:val="0"/>
                    <w:autoSpaceDN w:val="0"/>
                    <w:adjustRightInd w:val="0"/>
                    <w:jc w:val="center"/>
                    <w:textAlignment w:val="baseline"/>
                    <w:rPr>
                      <w:b/>
                      <w:bCs/>
                      <w:szCs w:val="21"/>
                    </w:rPr>
                  </w:pPr>
                  <w:r>
                    <w:rPr>
                      <w:b/>
                      <w:bCs/>
                      <w:szCs w:val="21"/>
                    </w:rPr>
                    <w:t>动植物油</w:t>
                  </w:r>
                </w:p>
              </w:tc>
              <w:tc>
                <w:tcPr>
                  <w:tcW w:w="1031" w:type="dxa"/>
                  <w:vAlign w:val="center"/>
                </w:tcPr>
                <w:p w14:paraId="653DFB43">
                  <w:pPr>
                    <w:autoSpaceDE w:val="0"/>
                    <w:autoSpaceDN w:val="0"/>
                    <w:adjustRightInd w:val="0"/>
                    <w:jc w:val="center"/>
                    <w:textAlignment w:val="baseline"/>
                    <w:rPr>
                      <w:b/>
                      <w:bCs/>
                      <w:szCs w:val="21"/>
                    </w:rPr>
                  </w:pPr>
                  <w:r>
                    <w:rPr>
                      <w:rFonts w:hint="eastAsia"/>
                      <w:b/>
                      <w:bCs/>
                      <w:szCs w:val="21"/>
                    </w:rPr>
                    <w:t>阴离子表面活性剂</w:t>
                  </w:r>
                </w:p>
              </w:tc>
            </w:tr>
            <w:tr w14:paraId="537748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6" w:type="dxa"/>
                  <w:vAlign w:val="center"/>
                </w:tcPr>
                <w:p w14:paraId="5EE4C9FB">
                  <w:pPr>
                    <w:autoSpaceDE w:val="0"/>
                    <w:autoSpaceDN w:val="0"/>
                    <w:adjustRightInd w:val="0"/>
                    <w:jc w:val="center"/>
                    <w:textAlignment w:val="baseline"/>
                    <w:rPr>
                      <w:szCs w:val="21"/>
                    </w:rPr>
                  </w:pPr>
                  <w:r>
                    <w:rPr>
                      <w:rFonts w:hint="eastAsia"/>
                      <w:szCs w:val="21"/>
                    </w:rPr>
                    <w:t>《医疗机构水污染物排放标准》(GB18466-2005</w:t>
                  </w:r>
                  <w:r>
                    <w:rPr>
                      <w:rFonts w:hint="eastAsia"/>
                      <w:szCs w:val="21"/>
                      <w:lang w:eastAsia="zh-CN"/>
                    </w:rPr>
                    <w:t>（</w:t>
                  </w:r>
                  <w:r>
                    <w:rPr>
                      <w:rFonts w:hint="eastAsia"/>
                      <w:szCs w:val="21"/>
                      <w:lang w:val="en-US" w:eastAsia="zh-CN"/>
                    </w:rPr>
                    <w:t>含2026年修改单</w:t>
                  </w:r>
                  <w:r>
                    <w:rPr>
                      <w:rFonts w:hint="eastAsia"/>
                      <w:szCs w:val="21"/>
                      <w:lang w:eastAsia="zh-CN"/>
                    </w:rPr>
                    <w:t>）</w:t>
                  </w:r>
                  <w:r>
                    <w:rPr>
                      <w:rFonts w:hint="eastAsia"/>
                      <w:szCs w:val="21"/>
                    </w:rPr>
                    <w:t>)表2中预处理标准限值</w:t>
                  </w:r>
                </w:p>
              </w:tc>
              <w:tc>
                <w:tcPr>
                  <w:tcW w:w="540" w:type="dxa"/>
                  <w:vAlign w:val="center"/>
                </w:tcPr>
                <w:p w14:paraId="0A259D98">
                  <w:pPr>
                    <w:autoSpaceDE w:val="0"/>
                    <w:autoSpaceDN w:val="0"/>
                    <w:adjustRightInd w:val="0"/>
                    <w:jc w:val="center"/>
                    <w:textAlignment w:val="baseline"/>
                    <w:rPr>
                      <w:szCs w:val="21"/>
                    </w:rPr>
                  </w:pPr>
                  <w:r>
                    <w:rPr>
                      <w:bCs/>
                      <w:szCs w:val="21"/>
                    </w:rPr>
                    <w:t>6~9</w:t>
                  </w:r>
                </w:p>
              </w:tc>
              <w:tc>
                <w:tcPr>
                  <w:tcW w:w="704" w:type="dxa"/>
                  <w:vAlign w:val="center"/>
                </w:tcPr>
                <w:p w14:paraId="601B89E9">
                  <w:pPr>
                    <w:autoSpaceDE w:val="0"/>
                    <w:autoSpaceDN w:val="0"/>
                    <w:adjustRightInd w:val="0"/>
                    <w:jc w:val="center"/>
                    <w:textAlignment w:val="baseline"/>
                    <w:rPr>
                      <w:szCs w:val="21"/>
                    </w:rPr>
                  </w:pPr>
                  <w:r>
                    <w:rPr>
                      <w:rFonts w:hint="eastAsia"/>
                      <w:szCs w:val="21"/>
                    </w:rPr>
                    <w:t>250</w:t>
                  </w:r>
                </w:p>
              </w:tc>
              <w:tc>
                <w:tcPr>
                  <w:tcW w:w="773" w:type="dxa"/>
                  <w:vAlign w:val="center"/>
                </w:tcPr>
                <w:p w14:paraId="1B86AA9B">
                  <w:pPr>
                    <w:autoSpaceDE w:val="0"/>
                    <w:autoSpaceDN w:val="0"/>
                    <w:adjustRightInd w:val="0"/>
                    <w:jc w:val="center"/>
                    <w:textAlignment w:val="baseline"/>
                    <w:rPr>
                      <w:szCs w:val="21"/>
                    </w:rPr>
                  </w:pPr>
                  <w:r>
                    <w:rPr>
                      <w:rFonts w:hint="eastAsia"/>
                      <w:szCs w:val="21"/>
                    </w:rPr>
                    <w:t>100</w:t>
                  </w:r>
                </w:p>
              </w:tc>
              <w:tc>
                <w:tcPr>
                  <w:tcW w:w="848" w:type="dxa"/>
                  <w:vAlign w:val="center"/>
                </w:tcPr>
                <w:p w14:paraId="184BB28F">
                  <w:pPr>
                    <w:autoSpaceDE w:val="0"/>
                    <w:autoSpaceDN w:val="0"/>
                    <w:adjustRightInd w:val="0"/>
                    <w:jc w:val="center"/>
                    <w:textAlignment w:val="baseline"/>
                    <w:rPr>
                      <w:szCs w:val="21"/>
                    </w:rPr>
                  </w:pPr>
                  <w:r>
                    <w:rPr>
                      <w:rFonts w:hint="eastAsia"/>
                      <w:szCs w:val="21"/>
                    </w:rPr>
                    <w:t>/</w:t>
                  </w:r>
                </w:p>
              </w:tc>
              <w:tc>
                <w:tcPr>
                  <w:tcW w:w="514" w:type="dxa"/>
                  <w:vAlign w:val="center"/>
                </w:tcPr>
                <w:p w14:paraId="2B0DDEE8">
                  <w:pPr>
                    <w:autoSpaceDE w:val="0"/>
                    <w:autoSpaceDN w:val="0"/>
                    <w:adjustRightInd w:val="0"/>
                    <w:jc w:val="center"/>
                    <w:textAlignment w:val="baseline"/>
                    <w:rPr>
                      <w:szCs w:val="21"/>
                    </w:rPr>
                  </w:pPr>
                  <w:r>
                    <w:rPr>
                      <w:rFonts w:hint="eastAsia"/>
                      <w:szCs w:val="21"/>
                    </w:rPr>
                    <w:t>60</w:t>
                  </w:r>
                </w:p>
              </w:tc>
              <w:tc>
                <w:tcPr>
                  <w:tcW w:w="657" w:type="dxa"/>
                  <w:vAlign w:val="center"/>
                </w:tcPr>
                <w:p w14:paraId="3D74A92B">
                  <w:pPr>
                    <w:autoSpaceDE w:val="0"/>
                    <w:autoSpaceDN w:val="0"/>
                    <w:adjustRightInd w:val="0"/>
                    <w:jc w:val="center"/>
                    <w:textAlignment w:val="baseline"/>
                    <w:rPr>
                      <w:rFonts w:hint="eastAsia" w:eastAsia="宋体"/>
                      <w:szCs w:val="21"/>
                      <w:lang w:val="en-US" w:eastAsia="zh-CN"/>
                    </w:rPr>
                  </w:pPr>
                  <w:r>
                    <w:rPr>
                      <w:rFonts w:hint="eastAsia"/>
                      <w:szCs w:val="21"/>
                      <w:lang w:val="en-US" w:eastAsia="zh-CN"/>
                    </w:rPr>
                    <w:t>/</w:t>
                  </w:r>
                </w:p>
              </w:tc>
              <w:tc>
                <w:tcPr>
                  <w:tcW w:w="1062" w:type="dxa"/>
                  <w:vAlign w:val="center"/>
                </w:tcPr>
                <w:p w14:paraId="4E2D44A5">
                  <w:pPr>
                    <w:autoSpaceDE w:val="0"/>
                    <w:autoSpaceDN w:val="0"/>
                    <w:adjustRightInd w:val="0"/>
                    <w:jc w:val="center"/>
                    <w:textAlignment w:val="baseline"/>
                    <w:rPr>
                      <w:szCs w:val="21"/>
                    </w:rPr>
                  </w:pPr>
                  <w:r>
                    <w:rPr>
                      <w:rFonts w:hint="eastAsia"/>
                      <w:szCs w:val="21"/>
                    </w:rPr>
                    <w:t>5000</w:t>
                  </w:r>
                </w:p>
                <w:p w14:paraId="39AF4A07">
                  <w:pPr>
                    <w:autoSpaceDE w:val="0"/>
                    <w:autoSpaceDN w:val="0"/>
                    <w:adjustRightInd w:val="0"/>
                    <w:jc w:val="center"/>
                    <w:textAlignment w:val="baseline"/>
                    <w:rPr>
                      <w:szCs w:val="21"/>
                    </w:rPr>
                  </w:pPr>
                  <w:r>
                    <w:rPr>
                      <w:rFonts w:hint="eastAsia"/>
                      <w:szCs w:val="21"/>
                    </w:rPr>
                    <w:t>（MPN/L）</w:t>
                  </w:r>
                </w:p>
              </w:tc>
              <w:tc>
                <w:tcPr>
                  <w:tcW w:w="692" w:type="dxa"/>
                  <w:vAlign w:val="center"/>
                </w:tcPr>
                <w:p w14:paraId="14B7D174">
                  <w:pPr>
                    <w:autoSpaceDE w:val="0"/>
                    <w:autoSpaceDN w:val="0"/>
                    <w:adjustRightInd w:val="0"/>
                    <w:jc w:val="center"/>
                    <w:textAlignment w:val="baseline"/>
                    <w:rPr>
                      <w:szCs w:val="21"/>
                    </w:rPr>
                  </w:pPr>
                  <w:r>
                    <w:rPr>
                      <w:rFonts w:hint="eastAsia"/>
                      <w:szCs w:val="21"/>
                    </w:rPr>
                    <w:t>20</w:t>
                  </w:r>
                </w:p>
              </w:tc>
              <w:tc>
                <w:tcPr>
                  <w:tcW w:w="1031" w:type="dxa"/>
                  <w:vAlign w:val="center"/>
                </w:tcPr>
                <w:p w14:paraId="6AEAF99F">
                  <w:pPr>
                    <w:autoSpaceDE w:val="0"/>
                    <w:autoSpaceDN w:val="0"/>
                    <w:adjustRightInd w:val="0"/>
                    <w:jc w:val="center"/>
                    <w:textAlignment w:val="baseline"/>
                    <w:rPr>
                      <w:szCs w:val="21"/>
                    </w:rPr>
                  </w:pPr>
                  <w:r>
                    <w:rPr>
                      <w:rFonts w:hint="eastAsia"/>
                      <w:szCs w:val="21"/>
                    </w:rPr>
                    <w:t>10</w:t>
                  </w:r>
                </w:p>
              </w:tc>
            </w:tr>
            <w:tr w14:paraId="16A86E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57" w:type="dxa"/>
                  <w:gridSpan w:val="10"/>
                  <w:vAlign w:val="center"/>
                </w:tcPr>
                <w:p w14:paraId="67D0D887">
                  <w:pPr>
                    <w:autoSpaceDE w:val="0"/>
                    <w:autoSpaceDN w:val="0"/>
                    <w:adjustRightInd w:val="0"/>
                    <w:textAlignment w:val="baseline"/>
                    <w:rPr>
                      <w:rFonts w:hint="eastAsia"/>
                      <w:szCs w:val="21"/>
                    </w:rPr>
                  </w:pPr>
                  <w:r>
                    <w:rPr>
                      <w:rFonts w:hint="eastAsia"/>
                      <w:szCs w:val="21"/>
                    </w:rPr>
                    <w:t>注：1)仅适用于采用含氯消毒剂的消毒工艺，不适用于其他消毒工艺。</w:t>
                  </w:r>
                </w:p>
                <w:p w14:paraId="65F3D91C">
                  <w:pPr>
                    <w:autoSpaceDE w:val="0"/>
                    <w:autoSpaceDN w:val="0"/>
                    <w:adjustRightInd w:val="0"/>
                    <w:textAlignment w:val="baseline"/>
                    <w:rPr>
                      <w:rFonts w:hint="eastAsia"/>
                      <w:szCs w:val="21"/>
                      <w:lang w:val="en-US" w:eastAsia="zh-CN"/>
                    </w:rPr>
                  </w:pPr>
                  <w:r>
                    <w:rPr>
                      <w:rFonts w:hint="eastAsia"/>
                      <w:szCs w:val="21"/>
                      <w:lang w:val="en-US" w:eastAsia="zh-CN"/>
                    </w:rPr>
                    <w:t>2）</w:t>
                  </w:r>
                  <w:r>
                    <w:rPr>
                      <w:rFonts w:hint="eastAsia"/>
                      <w:szCs w:val="21"/>
                    </w:rPr>
                    <w:t>综合毒性表征指标，以最低无效应稀释倍数来表示，在26°C士1°C的条件下培养48h，不少于90%的斑马鱼卵存活时水样的最低稀释倍数。</w:t>
                  </w:r>
                </w:p>
              </w:tc>
            </w:tr>
            <w:tr w14:paraId="3465E3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6" w:type="dxa"/>
                  <w:vAlign w:val="center"/>
                </w:tcPr>
                <w:p w14:paraId="2912B148">
                  <w:pPr>
                    <w:autoSpaceDE w:val="0"/>
                    <w:autoSpaceDN w:val="0"/>
                    <w:adjustRightInd w:val="0"/>
                    <w:jc w:val="center"/>
                    <w:textAlignment w:val="baseline"/>
                    <w:rPr>
                      <w:rFonts w:hint="eastAsia"/>
                      <w:szCs w:val="21"/>
                      <w:lang w:val="en-US" w:eastAsia="zh-CN"/>
                    </w:rPr>
                  </w:pPr>
                  <w:r>
                    <w:rPr>
                      <w:rFonts w:ascii="Times New Roman" w:hAnsi="Times New Roman" w:cs="Times New Roman"/>
                      <w:szCs w:val="21"/>
                    </w:rPr>
                    <w:t>安化县污水处理厂进水水质要求</w:t>
                  </w:r>
                </w:p>
              </w:tc>
              <w:tc>
                <w:tcPr>
                  <w:tcW w:w="540" w:type="dxa"/>
                  <w:vAlign w:val="center"/>
                </w:tcPr>
                <w:p w14:paraId="0FBE7611">
                  <w:pPr>
                    <w:autoSpaceDE w:val="0"/>
                    <w:autoSpaceDN w:val="0"/>
                    <w:adjustRightInd w:val="0"/>
                    <w:jc w:val="center"/>
                    <w:textAlignment w:val="baseline"/>
                    <w:rPr>
                      <w:rFonts w:hint="default"/>
                      <w:szCs w:val="21"/>
                      <w:lang w:val="en-US" w:eastAsia="zh-CN"/>
                    </w:rPr>
                  </w:pPr>
                  <w:r>
                    <w:rPr>
                      <w:rFonts w:hint="eastAsia"/>
                      <w:szCs w:val="21"/>
                      <w:lang w:val="en-US" w:eastAsia="zh-CN"/>
                    </w:rPr>
                    <w:t>/</w:t>
                  </w:r>
                </w:p>
              </w:tc>
              <w:tc>
                <w:tcPr>
                  <w:tcW w:w="704" w:type="dxa"/>
                  <w:vAlign w:val="center"/>
                </w:tcPr>
                <w:p w14:paraId="4D55DF67">
                  <w:pPr>
                    <w:autoSpaceDE w:val="0"/>
                    <w:autoSpaceDN w:val="0"/>
                    <w:adjustRightInd w:val="0"/>
                    <w:jc w:val="center"/>
                    <w:textAlignment w:val="baseline"/>
                    <w:rPr>
                      <w:rFonts w:hint="default"/>
                      <w:szCs w:val="21"/>
                      <w:lang w:val="en-US" w:eastAsia="zh-CN"/>
                    </w:rPr>
                  </w:pPr>
                  <w:r>
                    <w:rPr>
                      <w:rFonts w:hint="eastAsia"/>
                      <w:szCs w:val="21"/>
                      <w:lang w:val="en-US" w:eastAsia="zh-CN"/>
                    </w:rPr>
                    <w:t>400</w:t>
                  </w:r>
                </w:p>
              </w:tc>
              <w:tc>
                <w:tcPr>
                  <w:tcW w:w="773" w:type="dxa"/>
                  <w:vAlign w:val="center"/>
                </w:tcPr>
                <w:p w14:paraId="5F4E9236">
                  <w:pPr>
                    <w:autoSpaceDE w:val="0"/>
                    <w:autoSpaceDN w:val="0"/>
                    <w:adjustRightInd w:val="0"/>
                    <w:jc w:val="center"/>
                    <w:textAlignment w:val="baseline"/>
                    <w:rPr>
                      <w:rFonts w:hint="default"/>
                      <w:szCs w:val="21"/>
                      <w:lang w:val="en-US" w:eastAsia="zh-CN"/>
                    </w:rPr>
                  </w:pPr>
                  <w:r>
                    <w:rPr>
                      <w:rFonts w:hint="eastAsia"/>
                      <w:szCs w:val="21"/>
                      <w:lang w:val="en-US" w:eastAsia="zh-CN"/>
                    </w:rPr>
                    <w:t>200</w:t>
                  </w:r>
                </w:p>
              </w:tc>
              <w:tc>
                <w:tcPr>
                  <w:tcW w:w="848" w:type="dxa"/>
                  <w:vAlign w:val="center"/>
                </w:tcPr>
                <w:p w14:paraId="0E9B3A7C">
                  <w:pPr>
                    <w:autoSpaceDE w:val="0"/>
                    <w:autoSpaceDN w:val="0"/>
                    <w:adjustRightInd w:val="0"/>
                    <w:jc w:val="center"/>
                    <w:textAlignment w:val="baseline"/>
                    <w:rPr>
                      <w:rFonts w:hint="default"/>
                      <w:szCs w:val="21"/>
                      <w:lang w:val="en-US" w:eastAsia="zh-CN"/>
                    </w:rPr>
                  </w:pPr>
                  <w:r>
                    <w:rPr>
                      <w:rFonts w:hint="eastAsia"/>
                      <w:szCs w:val="21"/>
                      <w:lang w:val="en-US" w:eastAsia="zh-CN"/>
                    </w:rPr>
                    <w:t>35</w:t>
                  </w:r>
                </w:p>
              </w:tc>
              <w:tc>
                <w:tcPr>
                  <w:tcW w:w="514" w:type="dxa"/>
                  <w:vAlign w:val="center"/>
                </w:tcPr>
                <w:p w14:paraId="57F39E1D">
                  <w:pPr>
                    <w:autoSpaceDE w:val="0"/>
                    <w:autoSpaceDN w:val="0"/>
                    <w:adjustRightInd w:val="0"/>
                    <w:jc w:val="center"/>
                    <w:textAlignment w:val="baseline"/>
                    <w:rPr>
                      <w:rFonts w:hint="default"/>
                      <w:szCs w:val="21"/>
                      <w:lang w:val="en-US" w:eastAsia="zh-CN"/>
                    </w:rPr>
                  </w:pPr>
                  <w:r>
                    <w:rPr>
                      <w:rFonts w:hint="eastAsia"/>
                      <w:szCs w:val="21"/>
                      <w:lang w:val="en-US" w:eastAsia="zh-CN"/>
                    </w:rPr>
                    <w:t>/</w:t>
                  </w:r>
                </w:p>
              </w:tc>
              <w:tc>
                <w:tcPr>
                  <w:tcW w:w="657" w:type="dxa"/>
                  <w:vAlign w:val="center"/>
                </w:tcPr>
                <w:p w14:paraId="1930E0A6">
                  <w:pPr>
                    <w:autoSpaceDE w:val="0"/>
                    <w:autoSpaceDN w:val="0"/>
                    <w:adjustRightInd w:val="0"/>
                    <w:jc w:val="center"/>
                    <w:textAlignment w:val="baseline"/>
                    <w:rPr>
                      <w:rFonts w:hint="default"/>
                      <w:szCs w:val="21"/>
                      <w:lang w:val="en-US" w:eastAsia="zh-CN"/>
                    </w:rPr>
                  </w:pPr>
                  <w:r>
                    <w:rPr>
                      <w:rFonts w:hint="eastAsia"/>
                      <w:szCs w:val="21"/>
                      <w:lang w:val="en-US" w:eastAsia="zh-CN"/>
                    </w:rPr>
                    <w:t>6</w:t>
                  </w:r>
                </w:p>
              </w:tc>
              <w:tc>
                <w:tcPr>
                  <w:tcW w:w="1062" w:type="dxa"/>
                  <w:vAlign w:val="center"/>
                </w:tcPr>
                <w:p w14:paraId="77C7B7EE">
                  <w:pPr>
                    <w:autoSpaceDE w:val="0"/>
                    <w:autoSpaceDN w:val="0"/>
                    <w:adjustRightInd w:val="0"/>
                    <w:jc w:val="center"/>
                    <w:textAlignment w:val="baseline"/>
                    <w:rPr>
                      <w:rFonts w:hint="default"/>
                      <w:szCs w:val="21"/>
                      <w:lang w:val="en-US" w:eastAsia="zh-CN"/>
                    </w:rPr>
                  </w:pPr>
                  <w:r>
                    <w:rPr>
                      <w:rFonts w:hint="eastAsia"/>
                      <w:szCs w:val="21"/>
                      <w:lang w:val="en-US" w:eastAsia="zh-CN"/>
                    </w:rPr>
                    <w:t>/</w:t>
                  </w:r>
                </w:p>
              </w:tc>
              <w:tc>
                <w:tcPr>
                  <w:tcW w:w="692" w:type="dxa"/>
                  <w:vAlign w:val="center"/>
                </w:tcPr>
                <w:p w14:paraId="74B063D2">
                  <w:pPr>
                    <w:autoSpaceDE w:val="0"/>
                    <w:autoSpaceDN w:val="0"/>
                    <w:adjustRightInd w:val="0"/>
                    <w:jc w:val="center"/>
                    <w:textAlignment w:val="baseline"/>
                    <w:rPr>
                      <w:rFonts w:hint="default"/>
                      <w:szCs w:val="21"/>
                      <w:lang w:val="en-US" w:eastAsia="zh-CN"/>
                    </w:rPr>
                  </w:pPr>
                  <w:r>
                    <w:rPr>
                      <w:rFonts w:hint="eastAsia"/>
                      <w:szCs w:val="21"/>
                      <w:lang w:val="en-US" w:eastAsia="zh-CN"/>
                    </w:rPr>
                    <w:t>/</w:t>
                  </w:r>
                </w:p>
              </w:tc>
              <w:tc>
                <w:tcPr>
                  <w:tcW w:w="1031" w:type="dxa"/>
                  <w:vAlign w:val="center"/>
                </w:tcPr>
                <w:p w14:paraId="41FECA82">
                  <w:pPr>
                    <w:autoSpaceDE w:val="0"/>
                    <w:autoSpaceDN w:val="0"/>
                    <w:adjustRightInd w:val="0"/>
                    <w:jc w:val="center"/>
                    <w:textAlignment w:val="baseline"/>
                    <w:rPr>
                      <w:rFonts w:hint="default"/>
                      <w:szCs w:val="21"/>
                      <w:lang w:val="en-US" w:eastAsia="zh-CN"/>
                    </w:rPr>
                  </w:pPr>
                  <w:r>
                    <w:rPr>
                      <w:rFonts w:hint="eastAsia"/>
                      <w:szCs w:val="21"/>
                      <w:lang w:val="en-US" w:eastAsia="zh-CN"/>
                    </w:rPr>
                    <w:t>/</w:t>
                  </w:r>
                </w:p>
              </w:tc>
            </w:tr>
            <w:tr w14:paraId="7F809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36" w:type="dxa"/>
                  <w:vAlign w:val="center"/>
                </w:tcPr>
                <w:p w14:paraId="189B93C5">
                  <w:pPr>
                    <w:autoSpaceDE w:val="0"/>
                    <w:autoSpaceDN w:val="0"/>
                    <w:adjustRightInd w:val="0"/>
                    <w:jc w:val="center"/>
                    <w:textAlignment w:val="baseline"/>
                    <w:rPr>
                      <w:rFonts w:hint="eastAsia"/>
                      <w:b/>
                      <w:bCs/>
                      <w:szCs w:val="21"/>
                      <w:lang w:val="en-US" w:eastAsia="zh-CN"/>
                    </w:rPr>
                  </w:pPr>
                  <w:r>
                    <w:rPr>
                      <w:rFonts w:hint="eastAsia" w:cs="Times New Roman"/>
                      <w:b/>
                      <w:bCs/>
                      <w:szCs w:val="21"/>
                      <w:lang w:val="en-US" w:eastAsia="zh-CN"/>
                    </w:rPr>
                    <w:t>本项目执行标准</w:t>
                  </w:r>
                </w:p>
              </w:tc>
              <w:tc>
                <w:tcPr>
                  <w:tcW w:w="540" w:type="dxa"/>
                  <w:vAlign w:val="center"/>
                </w:tcPr>
                <w:p w14:paraId="5FFAB012">
                  <w:pPr>
                    <w:autoSpaceDE w:val="0"/>
                    <w:autoSpaceDN w:val="0"/>
                    <w:adjustRightInd w:val="0"/>
                    <w:jc w:val="center"/>
                    <w:textAlignment w:val="baseline"/>
                    <w:rPr>
                      <w:rFonts w:hint="eastAsia"/>
                      <w:b/>
                      <w:bCs/>
                      <w:szCs w:val="21"/>
                      <w:lang w:val="en-US" w:eastAsia="zh-CN"/>
                    </w:rPr>
                  </w:pPr>
                  <w:r>
                    <w:rPr>
                      <w:b/>
                      <w:bCs/>
                      <w:szCs w:val="21"/>
                    </w:rPr>
                    <w:t>6~9</w:t>
                  </w:r>
                </w:p>
              </w:tc>
              <w:tc>
                <w:tcPr>
                  <w:tcW w:w="704" w:type="dxa"/>
                  <w:vAlign w:val="center"/>
                </w:tcPr>
                <w:p w14:paraId="1FC0B125">
                  <w:pPr>
                    <w:autoSpaceDE w:val="0"/>
                    <w:autoSpaceDN w:val="0"/>
                    <w:adjustRightInd w:val="0"/>
                    <w:jc w:val="center"/>
                    <w:textAlignment w:val="baseline"/>
                    <w:rPr>
                      <w:rFonts w:hint="eastAsia"/>
                      <w:b/>
                      <w:bCs/>
                      <w:szCs w:val="21"/>
                      <w:lang w:val="en-US" w:eastAsia="zh-CN"/>
                    </w:rPr>
                  </w:pPr>
                  <w:r>
                    <w:rPr>
                      <w:rFonts w:hint="eastAsia"/>
                      <w:b/>
                      <w:bCs/>
                      <w:szCs w:val="21"/>
                    </w:rPr>
                    <w:t>250</w:t>
                  </w:r>
                </w:p>
              </w:tc>
              <w:tc>
                <w:tcPr>
                  <w:tcW w:w="773" w:type="dxa"/>
                  <w:vAlign w:val="center"/>
                </w:tcPr>
                <w:p w14:paraId="534001A0">
                  <w:pPr>
                    <w:autoSpaceDE w:val="0"/>
                    <w:autoSpaceDN w:val="0"/>
                    <w:adjustRightInd w:val="0"/>
                    <w:jc w:val="center"/>
                    <w:textAlignment w:val="baseline"/>
                    <w:rPr>
                      <w:rFonts w:hint="eastAsia"/>
                      <w:b/>
                      <w:bCs/>
                      <w:szCs w:val="21"/>
                      <w:lang w:val="en-US" w:eastAsia="zh-CN"/>
                    </w:rPr>
                  </w:pPr>
                  <w:r>
                    <w:rPr>
                      <w:rFonts w:hint="eastAsia"/>
                      <w:b/>
                      <w:bCs/>
                      <w:szCs w:val="21"/>
                    </w:rPr>
                    <w:t>100</w:t>
                  </w:r>
                </w:p>
              </w:tc>
              <w:tc>
                <w:tcPr>
                  <w:tcW w:w="848" w:type="dxa"/>
                  <w:vAlign w:val="center"/>
                </w:tcPr>
                <w:p w14:paraId="6BEE48D4">
                  <w:pPr>
                    <w:autoSpaceDE w:val="0"/>
                    <w:autoSpaceDN w:val="0"/>
                    <w:adjustRightInd w:val="0"/>
                    <w:jc w:val="center"/>
                    <w:textAlignment w:val="baseline"/>
                    <w:rPr>
                      <w:rFonts w:hint="default"/>
                      <w:b/>
                      <w:bCs/>
                      <w:szCs w:val="21"/>
                      <w:lang w:val="en-US" w:eastAsia="zh-CN"/>
                    </w:rPr>
                  </w:pPr>
                  <w:r>
                    <w:rPr>
                      <w:rFonts w:hint="eastAsia"/>
                      <w:b/>
                      <w:bCs/>
                      <w:szCs w:val="21"/>
                      <w:lang w:val="en-US" w:eastAsia="zh-CN"/>
                    </w:rPr>
                    <w:t>35</w:t>
                  </w:r>
                </w:p>
              </w:tc>
              <w:tc>
                <w:tcPr>
                  <w:tcW w:w="514" w:type="dxa"/>
                  <w:vAlign w:val="center"/>
                </w:tcPr>
                <w:p w14:paraId="3E98917C">
                  <w:pPr>
                    <w:autoSpaceDE w:val="0"/>
                    <w:autoSpaceDN w:val="0"/>
                    <w:adjustRightInd w:val="0"/>
                    <w:jc w:val="center"/>
                    <w:textAlignment w:val="baseline"/>
                    <w:rPr>
                      <w:rFonts w:hint="default"/>
                      <w:b/>
                      <w:bCs/>
                      <w:szCs w:val="21"/>
                      <w:lang w:val="en-US" w:eastAsia="zh-CN"/>
                    </w:rPr>
                  </w:pPr>
                  <w:r>
                    <w:rPr>
                      <w:rFonts w:hint="eastAsia"/>
                      <w:b/>
                      <w:bCs/>
                      <w:szCs w:val="21"/>
                      <w:lang w:val="en-US" w:eastAsia="zh-CN"/>
                    </w:rPr>
                    <w:t>60</w:t>
                  </w:r>
                </w:p>
              </w:tc>
              <w:tc>
                <w:tcPr>
                  <w:tcW w:w="657" w:type="dxa"/>
                  <w:vAlign w:val="center"/>
                </w:tcPr>
                <w:p w14:paraId="4664B4A1">
                  <w:pPr>
                    <w:autoSpaceDE w:val="0"/>
                    <w:autoSpaceDN w:val="0"/>
                    <w:adjustRightInd w:val="0"/>
                    <w:jc w:val="center"/>
                    <w:textAlignment w:val="baseline"/>
                    <w:rPr>
                      <w:rFonts w:hint="default"/>
                      <w:b/>
                      <w:bCs/>
                      <w:szCs w:val="21"/>
                      <w:lang w:val="en-US" w:eastAsia="zh-CN"/>
                    </w:rPr>
                  </w:pPr>
                  <w:r>
                    <w:rPr>
                      <w:rFonts w:hint="eastAsia"/>
                      <w:b/>
                      <w:bCs/>
                      <w:szCs w:val="21"/>
                      <w:lang w:val="en-US" w:eastAsia="zh-CN"/>
                    </w:rPr>
                    <w:t>6</w:t>
                  </w:r>
                </w:p>
              </w:tc>
              <w:tc>
                <w:tcPr>
                  <w:tcW w:w="1062" w:type="dxa"/>
                  <w:vAlign w:val="center"/>
                </w:tcPr>
                <w:p w14:paraId="6F7F1C70">
                  <w:pPr>
                    <w:autoSpaceDE w:val="0"/>
                    <w:autoSpaceDN w:val="0"/>
                    <w:adjustRightInd w:val="0"/>
                    <w:jc w:val="center"/>
                    <w:textAlignment w:val="baseline"/>
                    <w:rPr>
                      <w:b/>
                      <w:bCs/>
                      <w:szCs w:val="21"/>
                    </w:rPr>
                  </w:pPr>
                  <w:r>
                    <w:rPr>
                      <w:rFonts w:hint="eastAsia"/>
                      <w:b/>
                      <w:bCs/>
                      <w:szCs w:val="21"/>
                    </w:rPr>
                    <w:t>5000</w:t>
                  </w:r>
                </w:p>
                <w:p w14:paraId="60F44509">
                  <w:pPr>
                    <w:autoSpaceDE w:val="0"/>
                    <w:autoSpaceDN w:val="0"/>
                    <w:adjustRightInd w:val="0"/>
                    <w:jc w:val="center"/>
                    <w:textAlignment w:val="baseline"/>
                    <w:rPr>
                      <w:rFonts w:hint="eastAsia"/>
                      <w:b/>
                      <w:bCs/>
                      <w:szCs w:val="21"/>
                      <w:lang w:val="en-US" w:eastAsia="zh-CN"/>
                    </w:rPr>
                  </w:pPr>
                  <w:r>
                    <w:rPr>
                      <w:rFonts w:hint="eastAsia"/>
                      <w:b/>
                      <w:bCs/>
                      <w:szCs w:val="21"/>
                    </w:rPr>
                    <w:t>（MPN/L）</w:t>
                  </w:r>
                </w:p>
              </w:tc>
              <w:tc>
                <w:tcPr>
                  <w:tcW w:w="692" w:type="dxa"/>
                  <w:vAlign w:val="center"/>
                </w:tcPr>
                <w:p w14:paraId="0186512C">
                  <w:pPr>
                    <w:autoSpaceDE w:val="0"/>
                    <w:autoSpaceDN w:val="0"/>
                    <w:adjustRightInd w:val="0"/>
                    <w:jc w:val="center"/>
                    <w:textAlignment w:val="baseline"/>
                    <w:rPr>
                      <w:rFonts w:hint="eastAsia"/>
                      <w:b/>
                      <w:bCs/>
                      <w:szCs w:val="21"/>
                      <w:lang w:val="en-US" w:eastAsia="zh-CN"/>
                    </w:rPr>
                  </w:pPr>
                  <w:r>
                    <w:rPr>
                      <w:rFonts w:hint="eastAsia"/>
                      <w:b/>
                      <w:bCs/>
                      <w:szCs w:val="21"/>
                    </w:rPr>
                    <w:t>20</w:t>
                  </w:r>
                </w:p>
              </w:tc>
              <w:tc>
                <w:tcPr>
                  <w:tcW w:w="1031" w:type="dxa"/>
                  <w:vAlign w:val="center"/>
                </w:tcPr>
                <w:p w14:paraId="1C0D4F0B">
                  <w:pPr>
                    <w:autoSpaceDE w:val="0"/>
                    <w:autoSpaceDN w:val="0"/>
                    <w:adjustRightInd w:val="0"/>
                    <w:jc w:val="center"/>
                    <w:textAlignment w:val="baseline"/>
                    <w:rPr>
                      <w:rFonts w:hint="eastAsia"/>
                      <w:b/>
                      <w:bCs/>
                      <w:szCs w:val="21"/>
                      <w:lang w:val="en-US" w:eastAsia="zh-CN"/>
                    </w:rPr>
                  </w:pPr>
                  <w:r>
                    <w:rPr>
                      <w:rFonts w:hint="eastAsia"/>
                      <w:b/>
                      <w:bCs/>
                      <w:szCs w:val="21"/>
                    </w:rPr>
                    <w:t>10</w:t>
                  </w:r>
                </w:p>
              </w:tc>
            </w:tr>
          </w:tbl>
          <w:p w14:paraId="5C6948DB">
            <w:pPr>
              <w:wordWrap w:val="0"/>
              <w:autoSpaceDE w:val="0"/>
              <w:autoSpaceDN w:val="0"/>
              <w:adjustRightInd w:val="0"/>
              <w:spacing w:line="360" w:lineRule="auto"/>
              <w:jc w:val="center"/>
              <w:textAlignment w:val="baseline"/>
              <w:rPr>
                <w:b/>
                <w:color w:val="000000"/>
                <w:sz w:val="24"/>
                <w:szCs w:val="24"/>
              </w:rPr>
            </w:pPr>
          </w:p>
          <w:p w14:paraId="3E75356E">
            <w:pPr>
              <w:wordWrap w:val="0"/>
              <w:autoSpaceDE w:val="0"/>
              <w:autoSpaceDN w:val="0"/>
              <w:adjustRightInd w:val="0"/>
              <w:spacing w:line="360" w:lineRule="auto"/>
              <w:jc w:val="center"/>
              <w:textAlignment w:val="baseline"/>
              <w:rPr>
                <w:b/>
                <w:color w:val="000000"/>
                <w:sz w:val="24"/>
                <w:szCs w:val="24"/>
              </w:rPr>
            </w:pPr>
          </w:p>
          <w:p w14:paraId="0472BBE0">
            <w:pPr>
              <w:wordWrap w:val="0"/>
              <w:autoSpaceDE w:val="0"/>
              <w:autoSpaceDN w:val="0"/>
              <w:adjustRightInd w:val="0"/>
              <w:spacing w:line="360" w:lineRule="auto"/>
              <w:jc w:val="center"/>
              <w:textAlignment w:val="baseline"/>
              <w:rPr>
                <w:b/>
                <w:color w:val="000000"/>
                <w:sz w:val="24"/>
                <w:szCs w:val="24"/>
              </w:rPr>
            </w:pPr>
          </w:p>
          <w:p w14:paraId="4EB327CE">
            <w:pPr>
              <w:wordWrap w:val="0"/>
              <w:autoSpaceDE w:val="0"/>
              <w:autoSpaceDN w:val="0"/>
              <w:adjustRightInd w:val="0"/>
              <w:spacing w:line="360" w:lineRule="auto"/>
              <w:jc w:val="center"/>
              <w:textAlignment w:val="baseline"/>
              <w:rPr>
                <w:b/>
                <w:color w:val="000000"/>
                <w:sz w:val="24"/>
                <w:szCs w:val="24"/>
              </w:rPr>
            </w:pPr>
          </w:p>
          <w:p w14:paraId="5F03D011">
            <w:pPr>
              <w:wordWrap w:val="0"/>
              <w:autoSpaceDE w:val="0"/>
              <w:autoSpaceDN w:val="0"/>
              <w:adjustRightInd w:val="0"/>
              <w:spacing w:line="360" w:lineRule="auto"/>
              <w:jc w:val="center"/>
              <w:textAlignment w:val="baseline"/>
              <w:rPr>
                <w:b/>
                <w:color w:val="000000"/>
                <w:sz w:val="24"/>
                <w:szCs w:val="24"/>
              </w:rPr>
            </w:pPr>
          </w:p>
          <w:p w14:paraId="05C5DF4B">
            <w:pPr>
              <w:wordWrap w:val="0"/>
              <w:autoSpaceDE w:val="0"/>
              <w:autoSpaceDN w:val="0"/>
              <w:adjustRightInd w:val="0"/>
              <w:spacing w:line="360" w:lineRule="auto"/>
              <w:jc w:val="center"/>
              <w:textAlignment w:val="baseline"/>
              <w:rPr>
                <w:b/>
                <w:bCs/>
                <w:color w:val="000000"/>
                <w:kern w:val="0"/>
                <w:sz w:val="24"/>
                <w:szCs w:val="24"/>
              </w:rPr>
            </w:pPr>
            <w:r>
              <w:rPr>
                <w:b/>
                <w:color w:val="000000"/>
                <w:sz w:val="24"/>
                <w:szCs w:val="24"/>
              </w:rPr>
              <w:t>表3-</w:t>
            </w:r>
            <w:r>
              <w:rPr>
                <w:rFonts w:hint="eastAsia"/>
                <w:b/>
                <w:color w:val="000000"/>
                <w:sz w:val="24"/>
                <w:szCs w:val="24"/>
                <w:lang w:val="en-US" w:eastAsia="zh-CN"/>
              </w:rPr>
              <w:t>9</w:t>
            </w:r>
            <w:r>
              <w:rPr>
                <w:b/>
                <w:color w:val="000000"/>
                <w:sz w:val="24"/>
                <w:szCs w:val="24"/>
              </w:rPr>
              <w:t xml:space="preserve">  </w:t>
            </w:r>
            <w:r>
              <w:rPr>
                <w:rFonts w:ascii="Times New Roman" w:hAnsi="Times New Roman" w:cs="Times New Roman"/>
                <w:b/>
                <w:bCs/>
                <w:sz w:val="24"/>
                <w:szCs w:val="24"/>
              </w:rPr>
              <w:t>项目</w:t>
            </w:r>
            <w:r>
              <w:rPr>
                <w:rFonts w:hint="eastAsia" w:ascii="Times New Roman" w:hAnsi="Times New Roman" w:cs="Times New Roman"/>
                <w:b/>
                <w:bCs/>
                <w:sz w:val="24"/>
                <w:szCs w:val="24"/>
                <w:lang w:val="en-US" w:eastAsia="zh-CN"/>
              </w:rPr>
              <w:t>生活污水</w:t>
            </w:r>
            <w:r>
              <w:rPr>
                <w:rFonts w:ascii="Times New Roman" w:hAnsi="Times New Roman" w:cs="Times New Roman"/>
                <w:b/>
                <w:bCs/>
                <w:sz w:val="24"/>
                <w:szCs w:val="24"/>
              </w:rPr>
              <w:t>排放执行标准</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24"/>
              <w:gridCol w:w="607"/>
              <w:gridCol w:w="709"/>
              <w:gridCol w:w="794"/>
              <w:gridCol w:w="614"/>
              <w:gridCol w:w="694"/>
              <w:gridCol w:w="733"/>
              <w:gridCol w:w="564"/>
              <w:gridCol w:w="639"/>
              <w:gridCol w:w="639"/>
              <w:gridCol w:w="640"/>
            </w:tblGrid>
            <w:tr w14:paraId="5E7DE2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724" w:type="dxa"/>
                  <w:tcBorders>
                    <w:bottom w:val="single" w:color="auto" w:sz="4" w:space="0"/>
                    <w:right w:val="single" w:color="auto" w:sz="4" w:space="0"/>
                  </w:tcBorders>
                  <w:noWrap w:val="0"/>
                  <w:vAlign w:val="center"/>
                </w:tcPr>
                <w:p w14:paraId="35E613A1">
                  <w:pPr>
                    <w:autoSpaceDE w:val="0"/>
                    <w:autoSpaceDN w:val="0"/>
                    <w:adjustRightInd w:val="0"/>
                    <w:jc w:val="center"/>
                    <w:textAlignment w:val="baseline"/>
                    <w:rPr>
                      <w:rFonts w:hint="default" w:ascii="Times New Roman" w:hAnsi="Times New Roman" w:eastAsia="宋体" w:cs="Times New Roman"/>
                      <w:b/>
                      <w:bCs/>
                      <w:sz w:val="21"/>
                      <w:szCs w:val="21"/>
                      <w:highlight w:val="none"/>
                      <w:u w:val="none"/>
                    </w:rPr>
                  </w:pPr>
                  <w:r>
                    <w:rPr>
                      <w:rFonts w:hint="default" w:ascii="Times New Roman" w:hAnsi="Times New Roman" w:eastAsia="宋体" w:cs="Times New Roman"/>
                      <w:b/>
                      <w:bCs/>
                      <w:sz w:val="21"/>
                      <w:szCs w:val="21"/>
                      <w:highlight w:val="none"/>
                      <w:u w:val="none"/>
                      <w:lang w:bidi="ar"/>
                    </w:rPr>
                    <w:t>项目</w:t>
                  </w:r>
                </w:p>
              </w:tc>
              <w:tc>
                <w:tcPr>
                  <w:tcW w:w="607" w:type="dxa"/>
                  <w:tcBorders>
                    <w:left w:val="single" w:color="auto" w:sz="4" w:space="0"/>
                    <w:bottom w:val="single" w:color="auto" w:sz="4" w:space="0"/>
                    <w:right w:val="single" w:color="auto" w:sz="4" w:space="0"/>
                  </w:tcBorders>
                  <w:noWrap w:val="0"/>
                  <w:vAlign w:val="center"/>
                </w:tcPr>
                <w:p w14:paraId="42EF6526">
                  <w:pPr>
                    <w:autoSpaceDE w:val="0"/>
                    <w:autoSpaceDN w:val="0"/>
                    <w:adjustRightInd w:val="0"/>
                    <w:jc w:val="center"/>
                    <w:textAlignment w:val="baseline"/>
                    <w:rPr>
                      <w:rFonts w:hint="default" w:ascii="Times New Roman" w:hAnsi="Times New Roman" w:eastAsia="宋体" w:cs="Times New Roman"/>
                      <w:b/>
                      <w:bCs/>
                      <w:sz w:val="21"/>
                      <w:szCs w:val="21"/>
                      <w:highlight w:val="none"/>
                      <w:u w:val="none"/>
                    </w:rPr>
                  </w:pPr>
                  <w:r>
                    <w:rPr>
                      <w:rFonts w:hint="default" w:ascii="Times New Roman" w:hAnsi="Times New Roman" w:eastAsia="宋体" w:cs="Times New Roman"/>
                      <w:b/>
                      <w:bCs/>
                      <w:sz w:val="21"/>
                      <w:szCs w:val="21"/>
                      <w:highlight w:val="none"/>
                      <w:u w:val="none"/>
                      <w:lang w:bidi="ar"/>
                    </w:rPr>
                    <w:t>pH</w:t>
                  </w:r>
                </w:p>
              </w:tc>
              <w:tc>
                <w:tcPr>
                  <w:tcW w:w="709" w:type="dxa"/>
                  <w:tcBorders>
                    <w:left w:val="single" w:color="auto" w:sz="4" w:space="0"/>
                    <w:bottom w:val="single" w:color="auto" w:sz="4" w:space="0"/>
                    <w:right w:val="single" w:color="auto" w:sz="4" w:space="0"/>
                  </w:tcBorders>
                  <w:noWrap w:val="0"/>
                  <w:vAlign w:val="center"/>
                </w:tcPr>
                <w:p w14:paraId="4BC71F11">
                  <w:pPr>
                    <w:autoSpaceDE w:val="0"/>
                    <w:autoSpaceDN w:val="0"/>
                    <w:adjustRightInd w:val="0"/>
                    <w:jc w:val="center"/>
                    <w:textAlignment w:val="baseline"/>
                    <w:rPr>
                      <w:rFonts w:hint="default" w:ascii="Times New Roman" w:hAnsi="Times New Roman" w:eastAsia="宋体" w:cs="Times New Roman"/>
                      <w:b/>
                      <w:bCs/>
                      <w:sz w:val="21"/>
                      <w:szCs w:val="21"/>
                      <w:highlight w:val="none"/>
                      <w:u w:val="none"/>
                    </w:rPr>
                  </w:pPr>
                  <w:r>
                    <w:rPr>
                      <w:rFonts w:hint="default" w:ascii="Times New Roman" w:hAnsi="Times New Roman" w:eastAsia="宋体" w:cs="Times New Roman"/>
                      <w:b/>
                      <w:sz w:val="21"/>
                      <w:szCs w:val="21"/>
                      <w:highlight w:val="none"/>
                      <w:u w:val="none"/>
                      <w:lang w:bidi="ar"/>
                    </w:rPr>
                    <w:t>COD</w:t>
                  </w:r>
                </w:p>
              </w:tc>
              <w:tc>
                <w:tcPr>
                  <w:tcW w:w="794" w:type="dxa"/>
                  <w:tcBorders>
                    <w:left w:val="single" w:color="auto" w:sz="4" w:space="0"/>
                    <w:bottom w:val="single" w:color="auto" w:sz="4" w:space="0"/>
                    <w:right w:val="single" w:color="auto" w:sz="4" w:space="0"/>
                  </w:tcBorders>
                  <w:noWrap w:val="0"/>
                  <w:vAlign w:val="center"/>
                </w:tcPr>
                <w:p w14:paraId="644BDADA">
                  <w:pPr>
                    <w:autoSpaceDE w:val="0"/>
                    <w:autoSpaceDN w:val="0"/>
                    <w:adjustRightInd w:val="0"/>
                    <w:jc w:val="center"/>
                    <w:textAlignment w:val="baseline"/>
                    <w:rPr>
                      <w:rFonts w:hint="default" w:ascii="Times New Roman" w:hAnsi="Times New Roman" w:eastAsia="宋体" w:cs="Times New Roman"/>
                      <w:b/>
                      <w:bCs/>
                      <w:sz w:val="21"/>
                      <w:szCs w:val="21"/>
                      <w:highlight w:val="none"/>
                      <w:u w:val="none"/>
                    </w:rPr>
                  </w:pPr>
                  <w:r>
                    <w:rPr>
                      <w:rFonts w:hint="default" w:ascii="Times New Roman" w:hAnsi="Times New Roman" w:eastAsia="宋体" w:cs="Times New Roman"/>
                      <w:b/>
                      <w:bCs/>
                      <w:sz w:val="21"/>
                      <w:szCs w:val="21"/>
                      <w:highlight w:val="none"/>
                      <w:u w:val="none"/>
                      <w:lang w:bidi="ar"/>
                    </w:rPr>
                    <w:t>BOD</w:t>
                  </w:r>
                  <w:r>
                    <w:rPr>
                      <w:rFonts w:hint="default" w:ascii="Times New Roman" w:hAnsi="Times New Roman" w:eastAsia="宋体" w:cs="Times New Roman"/>
                      <w:b/>
                      <w:bCs/>
                      <w:sz w:val="21"/>
                      <w:szCs w:val="21"/>
                      <w:highlight w:val="none"/>
                      <w:u w:val="none"/>
                      <w:vertAlign w:val="subscript"/>
                      <w:lang w:bidi="ar"/>
                    </w:rPr>
                    <w:t>5</w:t>
                  </w:r>
                </w:p>
              </w:tc>
              <w:tc>
                <w:tcPr>
                  <w:tcW w:w="614" w:type="dxa"/>
                  <w:tcBorders>
                    <w:left w:val="single" w:color="auto" w:sz="4" w:space="0"/>
                    <w:bottom w:val="single" w:color="auto" w:sz="4" w:space="0"/>
                    <w:right w:val="single" w:color="auto" w:sz="4" w:space="0"/>
                  </w:tcBorders>
                  <w:noWrap w:val="0"/>
                  <w:vAlign w:val="center"/>
                </w:tcPr>
                <w:p w14:paraId="08CFAD5F">
                  <w:pPr>
                    <w:widowControl/>
                    <w:jc w:val="center"/>
                    <w:rPr>
                      <w:rFonts w:hint="default" w:ascii="Times New Roman" w:hAnsi="Times New Roman" w:eastAsia="宋体" w:cs="Times New Roman"/>
                      <w:b/>
                      <w:bCs/>
                      <w:sz w:val="21"/>
                      <w:szCs w:val="21"/>
                      <w:highlight w:val="none"/>
                      <w:u w:val="none"/>
                    </w:rPr>
                  </w:pPr>
                  <w:r>
                    <w:rPr>
                      <w:rFonts w:hint="default" w:ascii="Times New Roman" w:hAnsi="Times New Roman" w:eastAsia="宋体" w:cs="Times New Roman"/>
                      <w:b/>
                      <w:bCs/>
                      <w:sz w:val="21"/>
                      <w:szCs w:val="21"/>
                      <w:highlight w:val="none"/>
                      <w:u w:val="none"/>
                      <w:lang w:bidi="ar"/>
                    </w:rPr>
                    <w:t>氨氮</w:t>
                  </w:r>
                </w:p>
              </w:tc>
              <w:tc>
                <w:tcPr>
                  <w:tcW w:w="694" w:type="dxa"/>
                  <w:tcBorders>
                    <w:left w:val="single" w:color="auto" w:sz="4" w:space="0"/>
                    <w:bottom w:val="single" w:color="auto" w:sz="4" w:space="0"/>
                    <w:right w:val="single" w:color="auto" w:sz="4" w:space="0"/>
                  </w:tcBorders>
                  <w:noWrap w:val="0"/>
                  <w:vAlign w:val="center"/>
                </w:tcPr>
                <w:p w14:paraId="2CD672D9">
                  <w:pPr>
                    <w:autoSpaceDE w:val="0"/>
                    <w:autoSpaceDN w:val="0"/>
                    <w:adjustRightInd w:val="0"/>
                    <w:jc w:val="center"/>
                    <w:textAlignment w:val="baseline"/>
                    <w:rPr>
                      <w:rFonts w:hint="default" w:ascii="Times New Roman" w:hAnsi="Times New Roman" w:eastAsia="宋体" w:cs="Times New Roman"/>
                      <w:b/>
                      <w:bCs/>
                      <w:sz w:val="21"/>
                      <w:szCs w:val="21"/>
                      <w:highlight w:val="none"/>
                      <w:u w:val="none"/>
                    </w:rPr>
                  </w:pPr>
                  <w:r>
                    <w:rPr>
                      <w:rFonts w:hint="default" w:ascii="Times New Roman" w:hAnsi="Times New Roman" w:eastAsia="宋体" w:cs="Times New Roman"/>
                      <w:b/>
                      <w:bCs/>
                      <w:sz w:val="21"/>
                      <w:szCs w:val="21"/>
                      <w:highlight w:val="none"/>
                      <w:u w:val="none"/>
                      <w:lang w:bidi="ar"/>
                    </w:rPr>
                    <w:t>SS</w:t>
                  </w:r>
                </w:p>
              </w:tc>
              <w:tc>
                <w:tcPr>
                  <w:tcW w:w="733" w:type="dxa"/>
                  <w:tcBorders>
                    <w:left w:val="single" w:color="auto" w:sz="4" w:space="0"/>
                    <w:bottom w:val="single" w:color="auto" w:sz="4" w:space="0"/>
                    <w:right w:val="single" w:color="auto" w:sz="4" w:space="0"/>
                  </w:tcBorders>
                  <w:noWrap w:val="0"/>
                  <w:vAlign w:val="center"/>
                </w:tcPr>
                <w:p w14:paraId="29BD204A">
                  <w:pPr>
                    <w:autoSpaceDE w:val="0"/>
                    <w:autoSpaceDN w:val="0"/>
                    <w:adjustRightInd w:val="0"/>
                    <w:jc w:val="center"/>
                    <w:textAlignment w:val="baseline"/>
                    <w:rPr>
                      <w:rFonts w:hint="default" w:ascii="Times New Roman" w:hAnsi="Times New Roman" w:eastAsia="宋体" w:cs="Times New Roman"/>
                      <w:b/>
                      <w:bCs/>
                      <w:sz w:val="21"/>
                      <w:szCs w:val="21"/>
                      <w:highlight w:val="none"/>
                      <w:u w:val="none"/>
                    </w:rPr>
                  </w:pPr>
                  <w:r>
                    <w:rPr>
                      <w:rFonts w:hint="default" w:ascii="Times New Roman" w:hAnsi="Times New Roman" w:eastAsia="宋体" w:cs="Times New Roman"/>
                      <w:b/>
                      <w:bCs/>
                      <w:sz w:val="21"/>
                      <w:szCs w:val="21"/>
                      <w:highlight w:val="none"/>
                      <w:u w:val="none"/>
                      <w:lang w:bidi="ar"/>
                    </w:rPr>
                    <w:t>总氮</w:t>
                  </w:r>
                </w:p>
              </w:tc>
              <w:tc>
                <w:tcPr>
                  <w:tcW w:w="564" w:type="dxa"/>
                  <w:tcBorders>
                    <w:left w:val="single" w:color="auto" w:sz="4" w:space="0"/>
                    <w:bottom w:val="single" w:color="auto" w:sz="4" w:space="0"/>
                  </w:tcBorders>
                  <w:noWrap w:val="0"/>
                  <w:vAlign w:val="center"/>
                </w:tcPr>
                <w:p w14:paraId="3F84D5FF">
                  <w:pPr>
                    <w:autoSpaceDE w:val="0"/>
                    <w:autoSpaceDN w:val="0"/>
                    <w:adjustRightInd w:val="0"/>
                    <w:jc w:val="center"/>
                    <w:textAlignment w:val="baseline"/>
                    <w:rPr>
                      <w:rFonts w:hint="default" w:ascii="Times New Roman" w:hAnsi="Times New Roman" w:eastAsia="宋体" w:cs="Times New Roman"/>
                      <w:b/>
                      <w:bCs/>
                      <w:sz w:val="21"/>
                      <w:szCs w:val="21"/>
                      <w:highlight w:val="none"/>
                      <w:u w:val="none"/>
                    </w:rPr>
                  </w:pPr>
                  <w:r>
                    <w:rPr>
                      <w:rFonts w:hint="default" w:ascii="Times New Roman" w:hAnsi="Times New Roman" w:eastAsia="宋体" w:cs="Times New Roman"/>
                      <w:b/>
                      <w:bCs/>
                      <w:sz w:val="21"/>
                      <w:szCs w:val="21"/>
                      <w:highlight w:val="none"/>
                      <w:u w:val="none"/>
                      <w:lang w:bidi="ar"/>
                    </w:rPr>
                    <w:t>总磷</w:t>
                  </w:r>
                </w:p>
              </w:tc>
              <w:tc>
                <w:tcPr>
                  <w:tcW w:w="639" w:type="dxa"/>
                  <w:tcBorders>
                    <w:left w:val="single" w:color="auto" w:sz="4" w:space="0"/>
                    <w:bottom w:val="single" w:color="auto" w:sz="4" w:space="0"/>
                  </w:tcBorders>
                  <w:noWrap w:val="0"/>
                  <w:vAlign w:val="center"/>
                </w:tcPr>
                <w:p w14:paraId="33BE93F3">
                  <w:pPr>
                    <w:autoSpaceDE w:val="0"/>
                    <w:autoSpaceDN w:val="0"/>
                    <w:adjustRightInd w:val="0"/>
                    <w:jc w:val="center"/>
                    <w:textAlignment w:val="baseline"/>
                    <w:rPr>
                      <w:rFonts w:hint="eastAsia" w:ascii="Times New Roman" w:hAnsi="Times New Roman" w:eastAsia="宋体" w:cs="Times New Roman"/>
                      <w:b/>
                      <w:bCs/>
                      <w:sz w:val="21"/>
                      <w:szCs w:val="21"/>
                      <w:highlight w:val="none"/>
                      <w:u w:val="none"/>
                      <w:lang w:val="en-US" w:eastAsia="zh-CN" w:bidi="ar"/>
                    </w:rPr>
                  </w:pPr>
                  <w:r>
                    <w:rPr>
                      <w:rFonts w:hint="eastAsia" w:eastAsia="宋体" w:cs="Times New Roman"/>
                      <w:b/>
                      <w:bCs/>
                      <w:sz w:val="21"/>
                      <w:szCs w:val="21"/>
                      <w:highlight w:val="none"/>
                      <w:u w:val="none"/>
                      <w:lang w:val="en-US" w:eastAsia="zh-CN" w:bidi="ar"/>
                    </w:rPr>
                    <w:t>动植物油</w:t>
                  </w:r>
                </w:p>
              </w:tc>
              <w:tc>
                <w:tcPr>
                  <w:tcW w:w="639" w:type="dxa"/>
                  <w:tcBorders>
                    <w:left w:val="single" w:color="auto" w:sz="4" w:space="0"/>
                    <w:bottom w:val="single" w:color="auto" w:sz="4" w:space="0"/>
                  </w:tcBorders>
                  <w:noWrap w:val="0"/>
                  <w:vAlign w:val="center"/>
                </w:tcPr>
                <w:p w14:paraId="65A51C19">
                  <w:pPr>
                    <w:autoSpaceDE w:val="0"/>
                    <w:autoSpaceDN w:val="0"/>
                    <w:adjustRightInd w:val="0"/>
                    <w:jc w:val="center"/>
                    <w:textAlignment w:val="baseline"/>
                    <w:rPr>
                      <w:rFonts w:hint="default" w:eastAsia="宋体" w:cs="Times New Roman"/>
                      <w:b/>
                      <w:bCs/>
                      <w:sz w:val="21"/>
                      <w:szCs w:val="21"/>
                      <w:highlight w:val="none"/>
                      <w:u w:val="none"/>
                      <w:lang w:val="en-US" w:eastAsia="zh-CN" w:bidi="ar"/>
                    </w:rPr>
                  </w:pPr>
                  <w:r>
                    <w:rPr>
                      <w:rFonts w:hint="eastAsia" w:eastAsia="宋体" w:cs="Times New Roman"/>
                      <w:b/>
                      <w:bCs/>
                      <w:sz w:val="21"/>
                      <w:szCs w:val="21"/>
                      <w:highlight w:val="none"/>
                      <w:u w:val="none"/>
                      <w:lang w:val="en-US" w:eastAsia="zh-CN" w:bidi="ar"/>
                    </w:rPr>
                    <w:t>氯化物</w:t>
                  </w:r>
                </w:p>
              </w:tc>
              <w:tc>
                <w:tcPr>
                  <w:tcW w:w="640" w:type="dxa"/>
                  <w:tcBorders>
                    <w:left w:val="single" w:color="auto" w:sz="4" w:space="0"/>
                    <w:bottom w:val="single" w:color="auto" w:sz="4" w:space="0"/>
                  </w:tcBorders>
                  <w:noWrap w:val="0"/>
                  <w:vAlign w:val="center"/>
                </w:tcPr>
                <w:p w14:paraId="7C995E71">
                  <w:pPr>
                    <w:autoSpaceDE w:val="0"/>
                    <w:autoSpaceDN w:val="0"/>
                    <w:adjustRightInd w:val="0"/>
                    <w:jc w:val="center"/>
                    <w:textAlignment w:val="baseline"/>
                    <w:rPr>
                      <w:rFonts w:hint="default" w:eastAsia="宋体" w:cs="Times New Roman"/>
                      <w:b/>
                      <w:bCs/>
                      <w:sz w:val="21"/>
                      <w:szCs w:val="21"/>
                      <w:highlight w:val="none"/>
                      <w:u w:val="none"/>
                      <w:lang w:val="en-US" w:eastAsia="zh-CN" w:bidi="ar"/>
                    </w:rPr>
                  </w:pPr>
                  <w:r>
                    <w:rPr>
                      <w:rFonts w:hint="eastAsia" w:eastAsia="宋体" w:cs="Times New Roman"/>
                      <w:b/>
                      <w:bCs/>
                      <w:sz w:val="21"/>
                      <w:szCs w:val="21"/>
                      <w:highlight w:val="none"/>
                      <w:u w:val="none"/>
                      <w:lang w:val="en-US" w:eastAsia="zh-CN" w:bidi="ar"/>
                    </w:rPr>
                    <w:t>LAS</w:t>
                  </w:r>
                </w:p>
              </w:tc>
            </w:tr>
            <w:tr w14:paraId="209CA1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724" w:type="dxa"/>
                  <w:tcBorders>
                    <w:top w:val="single" w:color="auto" w:sz="4" w:space="0"/>
                    <w:bottom w:val="single" w:color="auto" w:sz="4" w:space="0"/>
                    <w:right w:val="single" w:color="auto" w:sz="4" w:space="0"/>
                  </w:tcBorders>
                  <w:noWrap w:val="0"/>
                  <w:vAlign w:val="center"/>
                </w:tcPr>
                <w:p w14:paraId="7DCD7BC0">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highlight w:val="yellow"/>
                      <w:u w:val="none"/>
                      <w:lang w:bidi="ar"/>
                    </w:rPr>
                  </w:pPr>
                  <w:r>
                    <w:rPr>
                      <w:rFonts w:hint="default" w:ascii="Times New Roman" w:hAnsi="Times New Roman" w:cs="Times New Roman"/>
                      <w:sz w:val="21"/>
                      <w:szCs w:val="21"/>
                      <w:u w:val="none"/>
                    </w:rPr>
                    <w:t>《污水综合排放标准》（GB8978-1996）表4中三级排放标准限值</w:t>
                  </w:r>
                </w:p>
              </w:tc>
              <w:tc>
                <w:tcPr>
                  <w:tcW w:w="607" w:type="dxa"/>
                  <w:tcBorders>
                    <w:top w:val="single" w:color="auto" w:sz="4" w:space="0"/>
                    <w:left w:val="single" w:color="auto" w:sz="4" w:space="0"/>
                    <w:bottom w:val="single" w:color="auto" w:sz="4" w:space="0"/>
                    <w:right w:val="single" w:color="auto" w:sz="4" w:space="0"/>
                  </w:tcBorders>
                  <w:noWrap w:val="0"/>
                  <w:vAlign w:val="center"/>
                </w:tcPr>
                <w:p w14:paraId="5159728F">
                  <w:pPr>
                    <w:keepNext w:val="0"/>
                    <w:keepLines w:val="0"/>
                    <w:suppressLineNumbers w:val="0"/>
                    <w:autoSpaceDE w:val="0"/>
                    <w:autoSpaceDN w:val="0"/>
                    <w:adjustRightInd w:val="0"/>
                    <w:spacing w:before="0" w:beforeAutospacing="0" w:after="0" w:afterAutospacing="0"/>
                    <w:ind w:left="0" w:leftChars="0" w:right="0" w:rightChars="0"/>
                    <w:jc w:val="center"/>
                    <w:textAlignment w:val="baseline"/>
                    <w:rPr>
                      <w:rFonts w:hint="default" w:ascii="Times New Roman" w:hAnsi="Times New Roman" w:eastAsia="宋体" w:cs="Times New Roman"/>
                      <w:bCs/>
                      <w:sz w:val="21"/>
                      <w:szCs w:val="21"/>
                      <w:highlight w:val="yellow"/>
                      <w:u w:val="none"/>
                      <w:lang w:bidi="ar"/>
                    </w:rPr>
                  </w:pPr>
                  <w:r>
                    <w:rPr>
                      <w:rFonts w:hint="default" w:ascii="Times New Roman" w:hAnsi="Times New Roman" w:cs="Times New Roman"/>
                      <w:bCs/>
                      <w:sz w:val="21"/>
                      <w:szCs w:val="21"/>
                      <w:u w:val="none"/>
                    </w:rPr>
                    <w:t>6~9</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33D8A04">
                  <w:pPr>
                    <w:keepNext w:val="0"/>
                    <w:keepLines w:val="0"/>
                    <w:suppressLineNumbers w:val="0"/>
                    <w:autoSpaceDE w:val="0"/>
                    <w:autoSpaceDN w:val="0"/>
                    <w:adjustRightInd w:val="0"/>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highlight w:val="yellow"/>
                      <w:u w:val="none"/>
                      <w:lang w:bidi="ar"/>
                    </w:rPr>
                  </w:pPr>
                  <w:r>
                    <w:rPr>
                      <w:rFonts w:hint="default" w:ascii="Times New Roman" w:hAnsi="Times New Roman" w:cs="Times New Roman"/>
                      <w:sz w:val="21"/>
                      <w:szCs w:val="21"/>
                      <w:u w:val="none"/>
                    </w:rPr>
                    <w:t>500</w:t>
                  </w:r>
                </w:p>
              </w:tc>
              <w:tc>
                <w:tcPr>
                  <w:tcW w:w="794" w:type="dxa"/>
                  <w:tcBorders>
                    <w:top w:val="single" w:color="auto" w:sz="4" w:space="0"/>
                    <w:left w:val="single" w:color="auto" w:sz="4" w:space="0"/>
                    <w:bottom w:val="single" w:color="auto" w:sz="4" w:space="0"/>
                    <w:right w:val="single" w:color="auto" w:sz="4" w:space="0"/>
                  </w:tcBorders>
                  <w:noWrap w:val="0"/>
                  <w:vAlign w:val="center"/>
                </w:tcPr>
                <w:p w14:paraId="5373C9D9">
                  <w:pPr>
                    <w:keepNext w:val="0"/>
                    <w:keepLines w:val="0"/>
                    <w:suppressLineNumbers w:val="0"/>
                    <w:autoSpaceDE w:val="0"/>
                    <w:autoSpaceDN w:val="0"/>
                    <w:adjustRightInd w:val="0"/>
                    <w:spacing w:before="0" w:beforeAutospacing="0" w:after="0" w:afterAutospacing="0"/>
                    <w:ind w:left="0" w:leftChars="0" w:right="0" w:rightChars="0"/>
                    <w:jc w:val="center"/>
                    <w:textAlignment w:val="baseline"/>
                    <w:rPr>
                      <w:rFonts w:hint="default" w:ascii="Times New Roman" w:hAnsi="Times New Roman" w:eastAsia="宋体" w:cs="Times New Roman"/>
                      <w:sz w:val="21"/>
                      <w:szCs w:val="21"/>
                      <w:highlight w:val="yellow"/>
                      <w:u w:val="none"/>
                      <w:lang w:bidi="ar"/>
                    </w:rPr>
                  </w:pPr>
                  <w:r>
                    <w:rPr>
                      <w:rFonts w:hint="default" w:ascii="Times New Roman" w:hAnsi="Times New Roman" w:cs="Times New Roman"/>
                      <w:sz w:val="21"/>
                      <w:szCs w:val="21"/>
                      <w:u w:val="none"/>
                    </w:rPr>
                    <w:t>300</w:t>
                  </w:r>
                </w:p>
              </w:tc>
              <w:tc>
                <w:tcPr>
                  <w:tcW w:w="614" w:type="dxa"/>
                  <w:tcBorders>
                    <w:top w:val="single" w:color="auto" w:sz="4" w:space="0"/>
                    <w:left w:val="single" w:color="auto" w:sz="4" w:space="0"/>
                    <w:bottom w:val="single" w:color="auto" w:sz="4" w:space="0"/>
                    <w:right w:val="single" w:color="auto" w:sz="4" w:space="0"/>
                  </w:tcBorders>
                  <w:noWrap w:val="0"/>
                  <w:vAlign w:val="center"/>
                </w:tcPr>
                <w:p w14:paraId="69BE45D6">
                  <w:pPr>
                    <w:autoSpaceDE w:val="0"/>
                    <w:autoSpaceDN w:val="0"/>
                    <w:adjustRightInd w:val="0"/>
                    <w:jc w:val="center"/>
                    <w:textAlignment w:val="baseline"/>
                    <w:rPr>
                      <w:rFonts w:hint="eastAsia" w:ascii="Times New Roman" w:hAnsi="Times New Roman" w:eastAsia="宋体" w:cs="Times New Roman"/>
                      <w:sz w:val="21"/>
                      <w:szCs w:val="21"/>
                      <w:highlight w:val="yellow"/>
                      <w:u w:val="none"/>
                      <w:lang w:val="en-US" w:eastAsia="zh-CN" w:bidi="ar"/>
                    </w:rPr>
                  </w:pPr>
                  <w:r>
                    <w:rPr>
                      <w:rFonts w:hint="eastAsia" w:ascii="Times New Roman" w:hAnsi="Times New Roman" w:eastAsia="宋体" w:cs="Times New Roman"/>
                      <w:sz w:val="21"/>
                      <w:szCs w:val="21"/>
                      <w:u w:val="none"/>
                      <w:lang w:val="en-US" w:eastAsia="zh-CN" w:bidi="ar"/>
                    </w:rPr>
                    <w:t>/</w:t>
                  </w:r>
                </w:p>
              </w:tc>
              <w:tc>
                <w:tcPr>
                  <w:tcW w:w="694" w:type="dxa"/>
                  <w:tcBorders>
                    <w:top w:val="single" w:color="auto" w:sz="4" w:space="0"/>
                    <w:left w:val="single" w:color="auto" w:sz="4" w:space="0"/>
                    <w:bottom w:val="single" w:color="auto" w:sz="4" w:space="0"/>
                    <w:right w:val="single" w:color="auto" w:sz="4" w:space="0"/>
                  </w:tcBorders>
                  <w:noWrap w:val="0"/>
                  <w:vAlign w:val="center"/>
                </w:tcPr>
                <w:p w14:paraId="45A734BF">
                  <w:pPr>
                    <w:autoSpaceDE w:val="0"/>
                    <w:autoSpaceDN w:val="0"/>
                    <w:adjustRightInd w:val="0"/>
                    <w:jc w:val="center"/>
                    <w:textAlignment w:val="baseline"/>
                    <w:rPr>
                      <w:rFonts w:hint="default" w:ascii="Times New Roman" w:hAnsi="Times New Roman" w:eastAsia="宋体" w:cs="Times New Roman"/>
                      <w:sz w:val="21"/>
                      <w:szCs w:val="21"/>
                      <w:highlight w:val="yellow"/>
                      <w:u w:val="none"/>
                      <w:lang w:val="en-US" w:eastAsia="zh-CN" w:bidi="ar"/>
                    </w:rPr>
                  </w:pPr>
                  <w:r>
                    <w:rPr>
                      <w:rFonts w:hint="eastAsia" w:ascii="Times New Roman" w:hAnsi="Times New Roman" w:eastAsia="宋体" w:cs="Times New Roman"/>
                      <w:sz w:val="21"/>
                      <w:szCs w:val="21"/>
                      <w:u w:val="none"/>
                      <w:lang w:val="en-US" w:eastAsia="zh-CN" w:bidi="ar"/>
                    </w:rPr>
                    <w:t>400</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0ACEF410">
                  <w:pPr>
                    <w:autoSpaceDE w:val="0"/>
                    <w:autoSpaceDN w:val="0"/>
                    <w:adjustRightInd w:val="0"/>
                    <w:jc w:val="center"/>
                    <w:textAlignment w:val="baseline"/>
                    <w:rPr>
                      <w:rFonts w:hint="eastAsia" w:ascii="Times New Roman" w:hAnsi="Times New Roman" w:eastAsia="宋体" w:cs="Times New Roman"/>
                      <w:sz w:val="21"/>
                      <w:szCs w:val="21"/>
                      <w:highlight w:val="yellow"/>
                      <w:u w:val="none"/>
                      <w:lang w:val="en-US" w:eastAsia="zh-CN" w:bidi="ar"/>
                    </w:rPr>
                  </w:pPr>
                  <w:r>
                    <w:rPr>
                      <w:rFonts w:hint="eastAsia" w:ascii="Times New Roman" w:hAnsi="Times New Roman" w:eastAsia="宋体" w:cs="Times New Roman"/>
                      <w:sz w:val="21"/>
                      <w:szCs w:val="21"/>
                      <w:u w:val="none"/>
                      <w:lang w:val="en-US" w:eastAsia="zh-CN" w:bidi="ar"/>
                    </w:rPr>
                    <w:t>/</w:t>
                  </w:r>
                </w:p>
              </w:tc>
              <w:tc>
                <w:tcPr>
                  <w:tcW w:w="564" w:type="dxa"/>
                  <w:tcBorders>
                    <w:top w:val="single" w:color="auto" w:sz="4" w:space="0"/>
                    <w:left w:val="single" w:color="auto" w:sz="4" w:space="0"/>
                    <w:bottom w:val="single" w:color="auto" w:sz="4" w:space="0"/>
                  </w:tcBorders>
                  <w:noWrap w:val="0"/>
                  <w:vAlign w:val="center"/>
                </w:tcPr>
                <w:p w14:paraId="731508C0">
                  <w:pPr>
                    <w:autoSpaceDE w:val="0"/>
                    <w:autoSpaceDN w:val="0"/>
                    <w:adjustRightInd w:val="0"/>
                    <w:jc w:val="center"/>
                    <w:textAlignment w:val="baseline"/>
                    <w:rPr>
                      <w:rFonts w:hint="eastAsia" w:ascii="Times New Roman" w:hAnsi="Times New Roman" w:eastAsia="宋体" w:cs="Times New Roman"/>
                      <w:sz w:val="21"/>
                      <w:szCs w:val="21"/>
                      <w:highlight w:val="yellow"/>
                      <w:u w:val="none"/>
                      <w:lang w:val="en-US" w:eastAsia="zh-CN" w:bidi="ar"/>
                    </w:rPr>
                  </w:pPr>
                  <w:r>
                    <w:rPr>
                      <w:rFonts w:hint="eastAsia" w:ascii="Times New Roman" w:hAnsi="Times New Roman" w:eastAsia="宋体" w:cs="Times New Roman"/>
                      <w:sz w:val="21"/>
                      <w:szCs w:val="21"/>
                      <w:u w:val="none"/>
                      <w:lang w:val="en-US" w:eastAsia="zh-CN" w:bidi="ar"/>
                    </w:rPr>
                    <w:t>/</w:t>
                  </w:r>
                </w:p>
              </w:tc>
              <w:tc>
                <w:tcPr>
                  <w:tcW w:w="639" w:type="dxa"/>
                  <w:tcBorders>
                    <w:top w:val="single" w:color="auto" w:sz="4" w:space="0"/>
                    <w:left w:val="single" w:color="auto" w:sz="4" w:space="0"/>
                    <w:bottom w:val="single" w:color="auto" w:sz="4" w:space="0"/>
                  </w:tcBorders>
                  <w:noWrap w:val="0"/>
                  <w:vAlign w:val="center"/>
                </w:tcPr>
                <w:p w14:paraId="654BD095">
                  <w:pPr>
                    <w:autoSpaceDE w:val="0"/>
                    <w:autoSpaceDN w:val="0"/>
                    <w:adjustRightInd w:val="0"/>
                    <w:jc w:val="center"/>
                    <w:textAlignment w:val="baseline"/>
                    <w:rPr>
                      <w:rFonts w:hint="default" w:ascii="Times New Roman" w:hAnsi="Times New Roman" w:eastAsia="宋体" w:cs="Times New Roman"/>
                      <w:sz w:val="21"/>
                      <w:szCs w:val="21"/>
                      <w:u w:val="none"/>
                      <w:lang w:val="en-US" w:eastAsia="zh-CN" w:bidi="ar"/>
                    </w:rPr>
                  </w:pPr>
                  <w:r>
                    <w:rPr>
                      <w:rFonts w:hint="eastAsia" w:eastAsia="宋体" w:cs="Times New Roman"/>
                      <w:sz w:val="21"/>
                      <w:szCs w:val="21"/>
                      <w:u w:val="none"/>
                      <w:lang w:val="en-US" w:eastAsia="zh-CN" w:bidi="ar"/>
                    </w:rPr>
                    <w:t>100</w:t>
                  </w:r>
                </w:p>
              </w:tc>
              <w:tc>
                <w:tcPr>
                  <w:tcW w:w="639" w:type="dxa"/>
                  <w:tcBorders>
                    <w:top w:val="single" w:color="auto" w:sz="4" w:space="0"/>
                    <w:left w:val="single" w:color="auto" w:sz="4" w:space="0"/>
                    <w:bottom w:val="single" w:color="auto" w:sz="4" w:space="0"/>
                  </w:tcBorders>
                  <w:noWrap w:val="0"/>
                  <w:vAlign w:val="center"/>
                </w:tcPr>
                <w:p w14:paraId="38FA3480">
                  <w:pPr>
                    <w:autoSpaceDE w:val="0"/>
                    <w:autoSpaceDN w:val="0"/>
                    <w:adjustRightInd w:val="0"/>
                    <w:jc w:val="center"/>
                    <w:textAlignment w:val="baseline"/>
                    <w:rPr>
                      <w:rFonts w:hint="default" w:eastAsia="宋体" w:cs="Times New Roman"/>
                      <w:sz w:val="21"/>
                      <w:szCs w:val="21"/>
                      <w:u w:val="none"/>
                      <w:lang w:val="en-US" w:eastAsia="zh-CN" w:bidi="ar"/>
                    </w:rPr>
                  </w:pPr>
                  <w:r>
                    <w:rPr>
                      <w:rFonts w:hint="eastAsia" w:eastAsia="宋体" w:cs="Times New Roman"/>
                      <w:sz w:val="21"/>
                      <w:szCs w:val="21"/>
                      <w:u w:val="none"/>
                      <w:lang w:val="en-US" w:eastAsia="zh-CN" w:bidi="ar"/>
                    </w:rPr>
                    <w:t>/</w:t>
                  </w:r>
                </w:p>
              </w:tc>
              <w:tc>
                <w:tcPr>
                  <w:tcW w:w="640" w:type="dxa"/>
                  <w:tcBorders>
                    <w:top w:val="single" w:color="auto" w:sz="4" w:space="0"/>
                    <w:left w:val="single" w:color="auto" w:sz="4" w:space="0"/>
                    <w:bottom w:val="single" w:color="auto" w:sz="4" w:space="0"/>
                  </w:tcBorders>
                  <w:noWrap w:val="0"/>
                  <w:vAlign w:val="center"/>
                </w:tcPr>
                <w:p w14:paraId="7EA3FE4C">
                  <w:pPr>
                    <w:autoSpaceDE w:val="0"/>
                    <w:autoSpaceDN w:val="0"/>
                    <w:adjustRightInd w:val="0"/>
                    <w:jc w:val="center"/>
                    <w:textAlignment w:val="baseline"/>
                    <w:rPr>
                      <w:rFonts w:hint="default" w:eastAsia="宋体" w:cs="Times New Roman"/>
                      <w:sz w:val="21"/>
                      <w:szCs w:val="21"/>
                      <w:u w:val="none"/>
                      <w:lang w:val="en-US" w:eastAsia="zh-CN" w:bidi="ar"/>
                    </w:rPr>
                  </w:pPr>
                  <w:r>
                    <w:rPr>
                      <w:rFonts w:hint="eastAsia" w:eastAsia="宋体" w:cs="Times New Roman"/>
                      <w:sz w:val="21"/>
                      <w:szCs w:val="21"/>
                      <w:u w:val="none"/>
                      <w:lang w:val="en-US" w:eastAsia="zh-CN" w:bidi="ar"/>
                    </w:rPr>
                    <w:t>20</w:t>
                  </w:r>
                </w:p>
              </w:tc>
            </w:tr>
            <w:tr w14:paraId="0A3A0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724" w:type="dxa"/>
                  <w:tcBorders>
                    <w:top w:val="single" w:color="auto" w:sz="4" w:space="0"/>
                    <w:bottom w:val="single" w:color="auto" w:sz="4" w:space="0"/>
                    <w:right w:val="single" w:color="auto" w:sz="4" w:space="0"/>
                  </w:tcBorders>
                  <w:noWrap w:val="0"/>
                  <w:vAlign w:val="center"/>
                </w:tcPr>
                <w:p w14:paraId="1DBC91F5">
                  <w:pPr>
                    <w:autoSpaceDE w:val="0"/>
                    <w:autoSpaceDN w:val="0"/>
                    <w:adjustRightInd w:val="0"/>
                    <w:jc w:val="center"/>
                    <w:textAlignment w:val="baseline"/>
                    <w:rPr>
                      <w:rFonts w:hint="default" w:ascii="Times New Roman" w:hAnsi="Times New Roman" w:cs="Times New Roman"/>
                      <w:sz w:val="21"/>
                      <w:szCs w:val="21"/>
                      <w:u w:val="none"/>
                    </w:rPr>
                  </w:pPr>
                  <w:r>
                    <w:rPr>
                      <w:rFonts w:ascii="Times New Roman" w:hAnsi="Times New Roman" w:cs="Times New Roman"/>
                      <w:szCs w:val="21"/>
                    </w:rPr>
                    <w:t>《污水排入城镇下水道水质标准》(GBT31962-2015)表1中B级标准限值</w:t>
                  </w:r>
                </w:p>
              </w:tc>
              <w:tc>
                <w:tcPr>
                  <w:tcW w:w="607" w:type="dxa"/>
                  <w:tcBorders>
                    <w:top w:val="single" w:color="auto" w:sz="4" w:space="0"/>
                    <w:left w:val="single" w:color="auto" w:sz="4" w:space="0"/>
                    <w:bottom w:val="single" w:color="auto" w:sz="4" w:space="0"/>
                    <w:right w:val="single" w:color="auto" w:sz="4" w:space="0"/>
                  </w:tcBorders>
                  <w:noWrap w:val="0"/>
                  <w:vAlign w:val="center"/>
                </w:tcPr>
                <w:p w14:paraId="7A02162B">
                  <w:pPr>
                    <w:autoSpaceDE w:val="0"/>
                    <w:autoSpaceDN w:val="0"/>
                    <w:adjustRightInd w:val="0"/>
                    <w:jc w:val="center"/>
                    <w:textAlignment w:val="baseline"/>
                    <w:rPr>
                      <w:rFonts w:hint="default" w:ascii="Times New Roman" w:hAnsi="Times New Roman" w:cs="Times New Roman"/>
                      <w:bCs/>
                      <w:sz w:val="21"/>
                      <w:szCs w:val="21"/>
                      <w:u w:val="none"/>
                    </w:rPr>
                  </w:pPr>
                  <w:r>
                    <w:rPr>
                      <w:rFonts w:ascii="Times New Roman" w:hAnsi="Times New Roman" w:cs="Times New Roman"/>
                      <w:bCs/>
                      <w:szCs w:val="21"/>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3F66828">
                  <w:pPr>
                    <w:autoSpaceDE w:val="0"/>
                    <w:autoSpaceDN w:val="0"/>
                    <w:adjustRightInd w:val="0"/>
                    <w:jc w:val="center"/>
                    <w:textAlignment w:val="baseline"/>
                    <w:rPr>
                      <w:rFonts w:hint="default" w:ascii="Times New Roman" w:hAnsi="Times New Roman" w:cs="Times New Roman"/>
                      <w:sz w:val="21"/>
                      <w:szCs w:val="21"/>
                      <w:u w:val="none"/>
                    </w:rPr>
                  </w:pPr>
                  <w:r>
                    <w:rPr>
                      <w:rFonts w:ascii="Times New Roman" w:hAnsi="Times New Roman" w:cs="Times New Roman"/>
                      <w:szCs w:val="21"/>
                    </w:rPr>
                    <w:t>/</w:t>
                  </w:r>
                </w:p>
              </w:tc>
              <w:tc>
                <w:tcPr>
                  <w:tcW w:w="794" w:type="dxa"/>
                  <w:tcBorders>
                    <w:top w:val="single" w:color="auto" w:sz="4" w:space="0"/>
                    <w:left w:val="single" w:color="auto" w:sz="4" w:space="0"/>
                    <w:bottom w:val="single" w:color="auto" w:sz="4" w:space="0"/>
                    <w:right w:val="single" w:color="auto" w:sz="4" w:space="0"/>
                  </w:tcBorders>
                  <w:noWrap w:val="0"/>
                  <w:vAlign w:val="center"/>
                </w:tcPr>
                <w:p w14:paraId="39ED5BB8">
                  <w:pPr>
                    <w:autoSpaceDE w:val="0"/>
                    <w:autoSpaceDN w:val="0"/>
                    <w:adjustRightInd w:val="0"/>
                    <w:jc w:val="center"/>
                    <w:textAlignment w:val="baseline"/>
                    <w:rPr>
                      <w:rFonts w:hint="default" w:ascii="Times New Roman" w:hAnsi="Times New Roman" w:cs="Times New Roman"/>
                      <w:sz w:val="21"/>
                      <w:szCs w:val="21"/>
                      <w:u w:val="none"/>
                    </w:rPr>
                  </w:pPr>
                  <w:r>
                    <w:rPr>
                      <w:rFonts w:ascii="Times New Roman" w:hAnsi="Times New Roman" w:cs="Times New Roman"/>
                      <w:szCs w:val="21"/>
                    </w:rPr>
                    <w:t>/</w:t>
                  </w:r>
                </w:p>
              </w:tc>
              <w:tc>
                <w:tcPr>
                  <w:tcW w:w="614" w:type="dxa"/>
                  <w:tcBorders>
                    <w:top w:val="single" w:color="auto" w:sz="4" w:space="0"/>
                    <w:left w:val="single" w:color="auto" w:sz="4" w:space="0"/>
                    <w:bottom w:val="single" w:color="auto" w:sz="4" w:space="0"/>
                    <w:right w:val="single" w:color="auto" w:sz="4" w:space="0"/>
                  </w:tcBorders>
                  <w:noWrap w:val="0"/>
                  <w:vAlign w:val="center"/>
                </w:tcPr>
                <w:p w14:paraId="0DD008A9">
                  <w:pPr>
                    <w:autoSpaceDE w:val="0"/>
                    <w:autoSpaceDN w:val="0"/>
                    <w:adjustRightInd w:val="0"/>
                    <w:jc w:val="center"/>
                    <w:textAlignment w:val="baseline"/>
                    <w:rPr>
                      <w:rFonts w:hint="eastAsia" w:ascii="Times New Roman" w:hAnsi="Times New Roman" w:eastAsia="宋体" w:cs="Times New Roman"/>
                      <w:sz w:val="21"/>
                      <w:szCs w:val="21"/>
                      <w:u w:val="none"/>
                      <w:lang w:val="en-US" w:eastAsia="zh-CN" w:bidi="ar"/>
                    </w:rPr>
                  </w:pPr>
                  <w:r>
                    <w:rPr>
                      <w:rFonts w:ascii="Times New Roman" w:hAnsi="Times New Roman" w:cs="Times New Roman"/>
                      <w:szCs w:val="21"/>
                    </w:rPr>
                    <w:t>45</w:t>
                  </w:r>
                </w:p>
              </w:tc>
              <w:tc>
                <w:tcPr>
                  <w:tcW w:w="694" w:type="dxa"/>
                  <w:tcBorders>
                    <w:top w:val="single" w:color="auto" w:sz="4" w:space="0"/>
                    <w:left w:val="single" w:color="auto" w:sz="4" w:space="0"/>
                    <w:bottom w:val="single" w:color="auto" w:sz="4" w:space="0"/>
                    <w:right w:val="single" w:color="auto" w:sz="4" w:space="0"/>
                  </w:tcBorders>
                  <w:noWrap w:val="0"/>
                  <w:vAlign w:val="center"/>
                </w:tcPr>
                <w:p w14:paraId="589E3C6B">
                  <w:pPr>
                    <w:autoSpaceDE w:val="0"/>
                    <w:autoSpaceDN w:val="0"/>
                    <w:adjustRightInd w:val="0"/>
                    <w:jc w:val="center"/>
                    <w:textAlignment w:val="baseline"/>
                    <w:rPr>
                      <w:rFonts w:hint="eastAsia" w:ascii="Times New Roman" w:hAnsi="Times New Roman" w:eastAsia="宋体" w:cs="Times New Roman"/>
                      <w:sz w:val="21"/>
                      <w:szCs w:val="21"/>
                      <w:u w:val="none"/>
                      <w:lang w:val="en-US" w:eastAsia="zh-CN" w:bidi="ar"/>
                    </w:rPr>
                  </w:pPr>
                  <w:r>
                    <w:rPr>
                      <w:rFonts w:ascii="Times New Roman" w:hAnsi="Times New Roman" w:cs="Times New Roman"/>
                      <w:szCs w:val="21"/>
                    </w:rPr>
                    <w:t>/</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4409D1C4">
                  <w:pPr>
                    <w:autoSpaceDE w:val="0"/>
                    <w:autoSpaceDN w:val="0"/>
                    <w:adjustRightInd w:val="0"/>
                    <w:jc w:val="center"/>
                    <w:textAlignment w:val="baseline"/>
                    <w:rPr>
                      <w:rFonts w:hint="eastAsia" w:ascii="Times New Roman" w:hAnsi="Times New Roman" w:eastAsia="宋体" w:cs="Times New Roman"/>
                      <w:sz w:val="21"/>
                      <w:szCs w:val="21"/>
                      <w:u w:val="none"/>
                      <w:lang w:val="en-US" w:eastAsia="zh-CN" w:bidi="ar"/>
                    </w:rPr>
                  </w:pPr>
                  <w:r>
                    <w:rPr>
                      <w:rFonts w:ascii="Times New Roman" w:hAnsi="Times New Roman" w:cs="Times New Roman"/>
                      <w:szCs w:val="21"/>
                    </w:rPr>
                    <w:t>70</w:t>
                  </w:r>
                </w:p>
              </w:tc>
              <w:tc>
                <w:tcPr>
                  <w:tcW w:w="564" w:type="dxa"/>
                  <w:tcBorders>
                    <w:top w:val="single" w:color="auto" w:sz="4" w:space="0"/>
                    <w:left w:val="single" w:color="auto" w:sz="4" w:space="0"/>
                    <w:bottom w:val="single" w:color="auto" w:sz="4" w:space="0"/>
                  </w:tcBorders>
                  <w:noWrap w:val="0"/>
                  <w:vAlign w:val="center"/>
                </w:tcPr>
                <w:p w14:paraId="382EA8F4">
                  <w:pPr>
                    <w:autoSpaceDE w:val="0"/>
                    <w:autoSpaceDN w:val="0"/>
                    <w:adjustRightInd w:val="0"/>
                    <w:jc w:val="center"/>
                    <w:textAlignment w:val="baseline"/>
                    <w:rPr>
                      <w:rFonts w:hint="eastAsia" w:ascii="Times New Roman" w:hAnsi="Times New Roman" w:eastAsia="宋体" w:cs="Times New Roman"/>
                      <w:sz w:val="21"/>
                      <w:szCs w:val="21"/>
                      <w:u w:val="none"/>
                      <w:lang w:val="en-US" w:eastAsia="zh-CN" w:bidi="ar"/>
                    </w:rPr>
                  </w:pPr>
                  <w:r>
                    <w:rPr>
                      <w:rFonts w:ascii="Times New Roman" w:hAnsi="Times New Roman" w:cs="Times New Roman"/>
                      <w:szCs w:val="21"/>
                    </w:rPr>
                    <w:t>8</w:t>
                  </w:r>
                </w:p>
              </w:tc>
              <w:tc>
                <w:tcPr>
                  <w:tcW w:w="639" w:type="dxa"/>
                  <w:tcBorders>
                    <w:top w:val="single" w:color="auto" w:sz="4" w:space="0"/>
                    <w:left w:val="single" w:color="auto" w:sz="4" w:space="0"/>
                    <w:bottom w:val="single" w:color="auto" w:sz="4" w:space="0"/>
                  </w:tcBorders>
                  <w:noWrap w:val="0"/>
                  <w:vAlign w:val="center"/>
                </w:tcPr>
                <w:p w14:paraId="28CB1191">
                  <w:pPr>
                    <w:autoSpaceDE w:val="0"/>
                    <w:autoSpaceDN w:val="0"/>
                    <w:adjustRightInd w:val="0"/>
                    <w:jc w:val="center"/>
                    <w:textAlignment w:val="baseline"/>
                    <w:rPr>
                      <w:rFonts w:hint="eastAsia" w:eastAsia="宋体" w:cs="Times New Roman"/>
                      <w:sz w:val="21"/>
                      <w:szCs w:val="21"/>
                      <w:u w:val="none"/>
                      <w:lang w:val="en-US" w:eastAsia="zh-CN" w:bidi="ar"/>
                    </w:rPr>
                  </w:pPr>
                  <w:r>
                    <w:rPr>
                      <w:rFonts w:ascii="Times New Roman" w:hAnsi="Times New Roman" w:cs="Times New Roman"/>
                      <w:szCs w:val="21"/>
                    </w:rPr>
                    <w:t>/</w:t>
                  </w:r>
                </w:p>
              </w:tc>
              <w:tc>
                <w:tcPr>
                  <w:tcW w:w="639" w:type="dxa"/>
                  <w:tcBorders>
                    <w:top w:val="single" w:color="auto" w:sz="4" w:space="0"/>
                    <w:left w:val="single" w:color="auto" w:sz="4" w:space="0"/>
                    <w:bottom w:val="single" w:color="auto" w:sz="4" w:space="0"/>
                  </w:tcBorders>
                  <w:noWrap w:val="0"/>
                  <w:vAlign w:val="center"/>
                </w:tcPr>
                <w:p w14:paraId="29BC6D30">
                  <w:pPr>
                    <w:autoSpaceDE w:val="0"/>
                    <w:autoSpaceDN w:val="0"/>
                    <w:adjustRightInd w:val="0"/>
                    <w:jc w:val="center"/>
                    <w:textAlignment w:val="baseline"/>
                    <w:rPr>
                      <w:rFonts w:hint="eastAsia" w:eastAsia="宋体" w:cs="Times New Roman"/>
                      <w:sz w:val="21"/>
                      <w:szCs w:val="21"/>
                      <w:u w:val="none"/>
                      <w:lang w:val="en-US" w:eastAsia="zh-CN" w:bidi="ar"/>
                    </w:rPr>
                  </w:pPr>
                  <w:r>
                    <w:rPr>
                      <w:rFonts w:ascii="Times New Roman" w:hAnsi="Times New Roman" w:cs="Times New Roman"/>
                      <w:szCs w:val="21"/>
                    </w:rPr>
                    <w:t>800</w:t>
                  </w:r>
                </w:p>
              </w:tc>
              <w:tc>
                <w:tcPr>
                  <w:tcW w:w="640" w:type="dxa"/>
                  <w:tcBorders>
                    <w:top w:val="single" w:color="auto" w:sz="4" w:space="0"/>
                    <w:left w:val="single" w:color="auto" w:sz="4" w:space="0"/>
                    <w:bottom w:val="single" w:color="auto" w:sz="4" w:space="0"/>
                  </w:tcBorders>
                  <w:noWrap w:val="0"/>
                  <w:vAlign w:val="center"/>
                </w:tcPr>
                <w:p w14:paraId="571F8A0A">
                  <w:pPr>
                    <w:autoSpaceDE w:val="0"/>
                    <w:autoSpaceDN w:val="0"/>
                    <w:adjustRightInd w:val="0"/>
                    <w:jc w:val="center"/>
                    <w:textAlignment w:val="baseline"/>
                    <w:rPr>
                      <w:rFonts w:hint="default" w:eastAsia="宋体" w:cs="Times New Roman"/>
                      <w:sz w:val="21"/>
                      <w:szCs w:val="21"/>
                      <w:u w:val="none"/>
                      <w:lang w:val="en-US" w:eastAsia="zh-CN" w:bidi="ar"/>
                    </w:rPr>
                  </w:pPr>
                  <w:r>
                    <w:rPr>
                      <w:rFonts w:hint="eastAsia" w:eastAsia="宋体" w:cs="Times New Roman"/>
                      <w:sz w:val="21"/>
                      <w:szCs w:val="21"/>
                      <w:u w:val="none"/>
                      <w:lang w:val="en-US" w:eastAsia="zh-CN" w:bidi="ar"/>
                    </w:rPr>
                    <w:t>/</w:t>
                  </w:r>
                </w:p>
              </w:tc>
            </w:tr>
            <w:tr w14:paraId="439A6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724" w:type="dxa"/>
                  <w:tcBorders>
                    <w:top w:val="single" w:color="auto" w:sz="4" w:space="0"/>
                    <w:bottom w:val="single" w:color="auto" w:sz="4" w:space="0"/>
                    <w:right w:val="single" w:color="auto" w:sz="4" w:space="0"/>
                  </w:tcBorders>
                  <w:noWrap w:val="0"/>
                  <w:vAlign w:val="center"/>
                </w:tcPr>
                <w:p w14:paraId="4EF17E6E">
                  <w:pPr>
                    <w:autoSpaceDE w:val="0"/>
                    <w:autoSpaceDN w:val="0"/>
                    <w:adjustRightInd w:val="0"/>
                    <w:jc w:val="center"/>
                    <w:textAlignment w:val="baseline"/>
                    <w:rPr>
                      <w:rFonts w:ascii="Times New Roman" w:hAnsi="Times New Roman" w:cs="Times New Roman"/>
                      <w:szCs w:val="21"/>
                    </w:rPr>
                  </w:pPr>
                  <w:r>
                    <w:rPr>
                      <w:rFonts w:ascii="Times New Roman" w:hAnsi="Times New Roman" w:cs="Times New Roman"/>
                      <w:szCs w:val="21"/>
                    </w:rPr>
                    <w:t>安化县污水处理厂进水水质要求</w:t>
                  </w:r>
                </w:p>
              </w:tc>
              <w:tc>
                <w:tcPr>
                  <w:tcW w:w="607" w:type="dxa"/>
                  <w:tcBorders>
                    <w:top w:val="single" w:color="auto" w:sz="4" w:space="0"/>
                    <w:left w:val="single" w:color="auto" w:sz="4" w:space="0"/>
                    <w:bottom w:val="single" w:color="auto" w:sz="4" w:space="0"/>
                    <w:right w:val="single" w:color="auto" w:sz="4" w:space="0"/>
                  </w:tcBorders>
                  <w:noWrap w:val="0"/>
                  <w:vAlign w:val="center"/>
                </w:tcPr>
                <w:p w14:paraId="2D8A49A2">
                  <w:pPr>
                    <w:autoSpaceDE w:val="0"/>
                    <w:autoSpaceDN w:val="0"/>
                    <w:adjustRightInd w:val="0"/>
                    <w:jc w:val="center"/>
                    <w:textAlignment w:val="baseline"/>
                    <w:rPr>
                      <w:rFonts w:hint="eastAsia" w:ascii="Times New Roman" w:hAnsi="Times New Roman" w:eastAsia="宋体" w:cs="Times New Roman"/>
                      <w:bCs/>
                      <w:szCs w:val="21"/>
                      <w:lang w:val="en-US" w:eastAsia="zh-CN"/>
                    </w:rPr>
                  </w:pPr>
                  <w:r>
                    <w:rPr>
                      <w:rFonts w:hint="eastAsia" w:cs="Times New Roman"/>
                      <w:bCs/>
                      <w:szCs w:val="21"/>
                      <w:lang w:val="en-US"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4AF7E29">
                  <w:pPr>
                    <w:autoSpaceDE w:val="0"/>
                    <w:autoSpaceDN w:val="0"/>
                    <w:adjustRightInd w:val="0"/>
                    <w:jc w:val="center"/>
                    <w:textAlignment w:val="baseline"/>
                    <w:rPr>
                      <w:rFonts w:hint="default" w:ascii="Times New Roman" w:hAnsi="Times New Roman" w:eastAsia="宋体" w:cs="Times New Roman"/>
                      <w:szCs w:val="21"/>
                      <w:lang w:val="en-US" w:eastAsia="zh-CN"/>
                    </w:rPr>
                  </w:pPr>
                  <w:r>
                    <w:rPr>
                      <w:rFonts w:hint="eastAsia" w:cs="Times New Roman"/>
                      <w:szCs w:val="21"/>
                      <w:lang w:val="en-US" w:eastAsia="zh-CN"/>
                    </w:rPr>
                    <w:t>400</w:t>
                  </w:r>
                </w:p>
              </w:tc>
              <w:tc>
                <w:tcPr>
                  <w:tcW w:w="794" w:type="dxa"/>
                  <w:tcBorders>
                    <w:top w:val="single" w:color="auto" w:sz="4" w:space="0"/>
                    <w:left w:val="single" w:color="auto" w:sz="4" w:space="0"/>
                    <w:bottom w:val="single" w:color="auto" w:sz="4" w:space="0"/>
                    <w:right w:val="single" w:color="auto" w:sz="4" w:space="0"/>
                  </w:tcBorders>
                  <w:noWrap w:val="0"/>
                  <w:vAlign w:val="center"/>
                </w:tcPr>
                <w:p w14:paraId="1FFCA860">
                  <w:pPr>
                    <w:autoSpaceDE w:val="0"/>
                    <w:autoSpaceDN w:val="0"/>
                    <w:adjustRightInd w:val="0"/>
                    <w:jc w:val="center"/>
                    <w:textAlignment w:val="baseline"/>
                    <w:rPr>
                      <w:rFonts w:hint="default" w:ascii="Times New Roman" w:hAnsi="Times New Roman" w:eastAsia="宋体" w:cs="Times New Roman"/>
                      <w:szCs w:val="21"/>
                      <w:lang w:val="en-US" w:eastAsia="zh-CN"/>
                    </w:rPr>
                  </w:pPr>
                  <w:r>
                    <w:rPr>
                      <w:rFonts w:hint="eastAsia" w:cs="Times New Roman"/>
                      <w:szCs w:val="21"/>
                      <w:lang w:val="en-US" w:eastAsia="zh-CN"/>
                    </w:rPr>
                    <w:t>200</w:t>
                  </w:r>
                </w:p>
              </w:tc>
              <w:tc>
                <w:tcPr>
                  <w:tcW w:w="614" w:type="dxa"/>
                  <w:tcBorders>
                    <w:top w:val="single" w:color="auto" w:sz="4" w:space="0"/>
                    <w:left w:val="single" w:color="auto" w:sz="4" w:space="0"/>
                    <w:bottom w:val="single" w:color="auto" w:sz="4" w:space="0"/>
                    <w:right w:val="single" w:color="auto" w:sz="4" w:space="0"/>
                  </w:tcBorders>
                  <w:noWrap w:val="0"/>
                  <w:vAlign w:val="center"/>
                </w:tcPr>
                <w:p w14:paraId="3015EF8A">
                  <w:pPr>
                    <w:autoSpaceDE w:val="0"/>
                    <w:autoSpaceDN w:val="0"/>
                    <w:adjustRightInd w:val="0"/>
                    <w:jc w:val="center"/>
                    <w:textAlignment w:val="baseline"/>
                    <w:rPr>
                      <w:rFonts w:hint="default" w:ascii="Times New Roman" w:hAnsi="Times New Roman" w:eastAsia="宋体" w:cs="Times New Roman"/>
                      <w:szCs w:val="21"/>
                      <w:lang w:val="en-US" w:eastAsia="zh-CN"/>
                    </w:rPr>
                  </w:pPr>
                  <w:r>
                    <w:rPr>
                      <w:rFonts w:hint="eastAsia" w:cs="Times New Roman"/>
                      <w:szCs w:val="21"/>
                      <w:lang w:val="en-US" w:eastAsia="zh-CN"/>
                    </w:rPr>
                    <w:t>35</w:t>
                  </w:r>
                </w:p>
              </w:tc>
              <w:tc>
                <w:tcPr>
                  <w:tcW w:w="694" w:type="dxa"/>
                  <w:tcBorders>
                    <w:top w:val="single" w:color="auto" w:sz="4" w:space="0"/>
                    <w:left w:val="single" w:color="auto" w:sz="4" w:space="0"/>
                    <w:bottom w:val="single" w:color="auto" w:sz="4" w:space="0"/>
                    <w:right w:val="single" w:color="auto" w:sz="4" w:space="0"/>
                  </w:tcBorders>
                  <w:noWrap w:val="0"/>
                  <w:vAlign w:val="center"/>
                </w:tcPr>
                <w:p w14:paraId="132CB31C">
                  <w:pPr>
                    <w:autoSpaceDE w:val="0"/>
                    <w:autoSpaceDN w:val="0"/>
                    <w:adjustRightInd w:val="0"/>
                    <w:jc w:val="center"/>
                    <w:textAlignment w:val="baseline"/>
                    <w:rPr>
                      <w:rFonts w:hint="eastAsia" w:ascii="Times New Roman" w:hAnsi="Times New Roman" w:eastAsia="宋体" w:cs="Times New Roman"/>
                      <w:szCs w:val="21"/>
                      <w:lang w:val="en-US" w:eastAsia="zh-CN"/>
                    </w:rPr>
                  </w:pPr>
                  <w:r>
                    <w:rPr>
                      <w:rFonts w:hint="eastAsia" w:cs="Times New Roman"/>
                      <w:szCs w:val="21"/>
                      <w:lang w:val="en-US" w:eastAsia="zh-CN"/>
                    </w:rPr>
                    <w:t>/</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5D4D2BCB">
                  <w:pPr>
                    <w:autoSpaceDE w:val="0"/>
                    <w:autoSpaceDN w:val="0"/>
                    <w:adjustRightInd w:val="0"/>
                    <w:jc w:val="center"/>
                    <w:textAlignment w:val="baseline"/>
                    <w:rPr>
                      <w:rFonts w:hint="eastAsia" w:ascii="Times New Roman" w:hAnsi="Times New Roman" w:eastAsia="宋体" w:cs="Times New Roman"/>
                      <w:szCs w:val="21"/>
                      <w:lang w:val="en-US" w:eastAsia="zh-CN"/>
                    </w:rPr>
                  </w:pPr>
                  <w:r>
                    <w:rPr>
                      <w:rFonts w:hint="eastAsia" w:cs="Times New Roman"/>
                      <w:szCs w:val="21"/>
                      <w:lang w:val="en-US" w:eastAsia="zh-CN"/>
                    </w:rPr>
                    <w:t>/</w:t>
                  </w:r>
                </w:p>
              </w:tc>
              <w:tc>
                <w:tcPr>
                  <w:tcW w:w="564" w:type="dxa"/>
                  <w:tcBorders>
                    <w:top w:val="single" w:color="auto" w:sz="4" w:space="0"/>
                    <w:left w:val="single" w:color="auto" w:sz="4" w:space="0"/>
                    <w:bottom w:val="single" w:color="auto" w:sz="4" w:space="0"/>
                  </w:tcBorders>
                  <w:noWrap w:val="0"/>
                  <w:vAlign w:val="center"/>
                </w:tcPr>
                <w:p w14:paraId="66D42620">
                  <w:pPr>
                    <w:autoSpaceDE w:val="0"/>
                    <w:autoSpaceDN w:val="0"/>
                    <w:adjustRightInd w:val="0"/>
                    <w:jc w:val="center"/>
                    <w:textAlignment w:val="baseline"/>
                    <w:rPr>
                      <w:rFonts w:hint="eastAsia" w:ascii="Times New Roman" w:hAnsi="Times New Roman" w:eastAsia="宋体" w:cs="Times New Roman"/>
                      <w:szCs w:val="21"/>
                      <w:lang w:val="en-US" w:eastAsia="zh-CN"/>
                    </w:rPr>
                  </w:pPr>
                  <w:r>
                    <w:rPr>
                      <w:rFonts w:hint="eastAsia" w:cs="Times New Roman"/>
                      <w:szCs w:val="21"/>
                      <w:lang w:val="en-US" w:eastAsia="zh-CN"/>
                    </w:rPr>
                    <w:t>6</w:t>
                  </w:r>
                </w:p>
              </w:tc>
              <w:tc>
                <w:tcPr>
                  <w:tcW w:w="639" w:type="dxa"/>
                  <w:tcBorders>
                    <w:top w:val="single" w:color="auto" w:sz="4" w:space="0"/>
                    <w:left w:val="single" w:color="auto" w:sz="4" w:space="0"/>
                    <w:bottom w:val="single" w:color="auto" w:sz="4" w:space="0"/>
                  </w:tcBorders>
                  <w:noWrap w:val="0"/>
                  <w:vAlign w:val="center"/>
                </w:tcPr>
                <w:p w14:paraId="36F68AE2">
                  <w:pPr>
                    <w:autoSpaceDE w:val="0"/>
                    <w:autoSpaceDN w:val="0"/>
                    <w:adjustRightInd w:val="0"/>
                    <w:jc w:val="center"/>
                    <w:textAlignment w:val="baseline"/>
                    <w:rPr>
                      <w:rFonts w:ascii="Times New Roman" w:hAnsi="Times New Roman" w:cs="Times New Roman"/>
                      <w:szCs w:val="21"/>
                    </w:rPr>
                  </w:pPr>
                </w:p>
              </w:tc>
              <w:tc>
                <w:tcPr>
                  <w:tcW w:w="639" w:type="dxa"/>
                  <w:tcBorders>
                    <w:top w:val="single" w:color="auto" w:sz="4" w:space="0"/>
                    <w:left w:val="single" w:color="auto" w:sz="4" w:space="0"/>
                    <w:bottom w:val="single" w:color="auto" w:sz="4" w:space="0"/>
                  </w:tcBorders>
                  <w:noWrap w:val="0"/>
                  <w:vAlign w:val="center"/>
                </w:tcPr>
                <w:p w14:paraId="1774752E">
                  <w:pPr>
                    <w:autoSpaceDE w:val="0"/>
                    <w:autoSpaceDN w:val="0"/>
                    <w:adjustRightInd w:val="0"/>
                    <w:jc w:val="center"/>
                    <w:textAlignment w:val="baseline"/>
                    <w:rPr>
                      <w:rFonts w:hint="eastAsia" w:ascii="Times New Roman" w:hAnsi="Times New Roman" w:eastAsia="宋体" w:cs="Times New Roman"/>
                      <w:szCs w:val="21"/>
                      <w:lang w:val="en-US" w:eastAsia="zh-CN"/>
                    </w:rPr>
                  </w:pPr>
                  <w:r>
                    <w:rPr>
                      <w:rFonts w:hint="eastAsia" w:cs="Times New Roman"/>
                      <w:szCs w:val="21"/>
                      <w:lang w:val="en-US" w:eastAsia="zh-CN"/>
                    </w:rPr>
                    <w:t>/</w:t>
                  </w:r>
                </w:p>
              </w:tc>
              <w:tc>
                <w:tcPr>
                  <w:tcW w:w="640" w:type="dxa"/>
                  <w:tcBorders>
                    <w:top w:val="single" w:color="auto" w:sz="4" w:space="0"/>
                    <w:left w:val="single" w:color="auto" w:sz="4" w:space="0"/>
                    <w:bottom w:val="single" w:color="auto" w:sz="4" w:space="0"/>
                  </w:tcBorders>
                  <w:noWrap w:val="0"/>
                  <w:vAlign w:val="center"/>
                </w:tcPr>
                <w:p w14:paraId="093CA77E">
                  <w:pPr>
                    <w:autoSpaceDE w:val="0"/>
                    <w:autoSpaceDN w:val="0"/>
                    <w:adjustRightInd w:val="0"/>
                    <w:jc w:val="center"/>
                    <w:textAlignment w:val="baseline"/>
                    <w:rPr>
                      <w:rFonts w:hint="default" w:eastAsia="宋体" w:cs="Times New Roman"/>
                      <w:sz w:val="21"/>
                      <w:szCs w:val="21"/>
                      <w:u w:val="none"/>
                      <w:lang w:val="en-US" w:eastAsia="zh-CN" w:bidi="ar"/>
                    </w:rPr>
                  </w:pPr>
                  <w:r>
                    <w:rPr>
                      <w:rFonts w:hint="eastAsia" w:eastAsia="宋体" w:cs="Times New Roman"/>
                      <w:sz w:val="21"/>
                      <w:szCs w:val="21"/>
                      <w:u w:val="none"/>
                      <w:lang w:val="en-US" w:eastAsia="zh-CN" w:bidi="ar"/>
                    </w:rPr>
                    <w:t>/</w:t>
                  </w:r>
                </w:p>
              </w:tc>
            </w:tr>
            <w:tr w14:paraId="3FAA73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724" w:type="dxa"/>
                  <w:tcBorders>
                    <w:top w:val="single" w:color="auto" w:sz="4" w:space="0"/>
                    <w:right w:val="single" w:color="auto" w:sz="4" w:space="0"/>
                  </w:tcBorders>
                  <w:noWrap w:val="0"/>
                  <w:vAlign w:val="center"/>
                </w:tcPr>
                <w:p w14:paraId="2D75916E">
                  <w:pPr>
                    <w:autoSpaceDE w:val="0"/>
                    <w:autoSpaceDN w:val="0"/>
                    <w:adjustRightInd w:val="0"/>
                    <w:jc w:val="center"/>
                    <w:textAlignment w:val="baseline"/>
                    <w:rPr>
                      <w:rFonts w:hint="default" w:ascii="Times New Roman" w:hAnsi="Times New Roman" w:eastAsia="宋体" w:cs="Times New Roman"/>
                      <w:b/>
                      <w:bCs/>
                      <w:szCs w:val="21"/>
                      <w:lang w:val="en-US" w:eastAsia="zh-CN"/>
                    </w:rPr>
                  </w:pPr>
                  <w:r>
                    <w:rPr>
                      <w:rFonts w:hint="eastAsia" w:cs="Times New Roman"/>
                      <w:b/>
                      <w:bCs/>
                      <w:szCs w:val="21"/>
                      <w:lang w:val="en-US" w:eastAsia="zh-CN"/>
                    </w:rPr>
                    <w:t>本项目执行标准</w:t>
                  </w:r>
                </w:p>
              </w:tc>
              <w:tc>
                <w:tcPr>
                  <w:tcW w:w="607" w:type="dxa"/>
                  <w:tcBorders>
                    <w:top w:val="single" w:color="auto" w:sz="4" w:space="0"/>
                    <w:left w:val="single" w:color="auto" w:sz="4" w:space="0"/>
                    <w:right w:val="single" w:color="auto" w:sz="4" w:space="0"/>
                  </w:tcBorders>
                  <w:noWrap w:val="0"/>
                  <w:vAlign w:val="center"/>
                </w:tcPr>
                <w:p w14:paraId="7E4DFF61">
                  <w:pPr>
                    <w:autoSpaceDE w:val="0"/>
                    <w:autoSpaceDN w:val="0"/>
                    <w:adjustRightInd w:val="0"/>
                    <w:jc w:val="center"/>
                    <w:textAlignment w:val="baseline"/>
                    <w:rPr>
                      <w:rFonts w:hint="eastAsia" w:cs="Times New Roman"/>
                      <w:b/>
                      <w:bCs/>
                      <w:szCs w:val="21"/>
                      <w:lang w:val="en-US" w:eastAsia="zh-CN"/>
                    </w:rPr>
                  </w:pPr>
                  <w:r>
                    <w:rPr>
                      <w:rFonts w:hint="default" w:ascii="Times New Roman" w:hAnsi="Times New Roman" w:cs="Times New Roman"/>
                      <w:b/>
                      <w:bCs/>
                      <w:sz w:val="21"/>
                      <w:szCs w:val="21"/>
                      <w:u w:val="none"/>
                    </w:rPr>
                    <w:t>6~9</w:t>
                  </w:r>
                </w:p>
              </w:tc>
              <w:tc>
                <w:tcPr>
                  <w:tcW w:w="709" w:type="dxa"/>
                  <w:tcBorders>
                    <w:top w:val="single" w:color="auto" w:sz="4" w:space="0"/>
                    <w:left w:val="single" w:color="auto" w:sz="4" w:space="0"/>
                    <w:right w:val="single" w:color="auto" w:sz="4" w:space="0"/>
                  </w:tcBorders>
                  <w:noWrap w:val="0"/>
                  <w:vAlign w:val="center"/>
                </w:tcPr>
                <w:p w14:paraId="11FA24A9">
                  <w:pPr>
                    <w:autoSpaceDE w:val="0"/>
                    <w:autoSpaceDN w:val="0"/>
                    <w:adjustRightInd w:val="0"/>
                    <w:jc w:val="center"/>
                    <w:textAlignment w:val="baseline"/>
                    <w:rPr>
                      <w:rFonts w:hint="default" w:cs="Times New Roman"/>
                      <w:b/>
                      <w:bCs/>
                      <w:szCs w:val="21"/>
                      <w:lang w:val="en-US" w:eastAsia="zh-CN"/>
                    </w:rPr>
                  </w:pPr>
                  <w:r>
                    <w:rPr>
                      <w:rFonts w:hint="eastAsia" w:cs="Times New Roman"/>
                      <w:b/>
                      <w:bCs/>
                      <w:szCs w:val="21"/>
                      <w:lang w:val="en-US" w:eastAsia="zh-CN"/>
                    </w:rPr>
                    <w:t>400</w:t>
                  </w:r>
                </w:p>
              </w:tc>
              <w:tc>
                <w:tcPr>
                  <w:tcW w:w="794" w:type="dxa"/>
                  <w:tcBorders>
                    <w:top w:val="single" w:color="auto" w:sz="4" w:space="0"/>
                    <w:left w:val="single" w:color="auto" w:sz="4" w:space="0"/>
                    <w:right w:val="single" w:color="auto" w:sz="4" w:space="0"/>
                  </w:tcBorders>
                  <w:noWrap w:val="0"/>
                  <w:vAlign w:val="center"/>
                </w:tcPr>
                <w:p w14:paraId="2199A73C">
                  <w:pPr>
                    <w:autoSpaceDE w:val="0"/>
                    <w:autoSpaceDN w:val="0"/>
                    <w:adjustRightInd w:val="0"/>
                    <w:jc w:val="center"/>
                    <w:textAlignment w:val="baseline"/>
                    <w:rPr>
                      <w:rFonts w:hint="default" w:cs="Times New Roman"/>
                      <w:b/>
                      <w:bCs/>
                      <w:szCs w:val="21"/>
                      <w:lang w:val="en-US" w:eastAsia="zh-CN"/>
                    </w:rPr>
                  </w:pPr>
                  <w:r>
                    <w:rPr>
                      <w:rFonts w:hint="eastAsia" w:cs="Times New Roman"/>
                      <w:b/>
                      <w:bCs/>
                      <w:szCs w:val="21"/>
                      <w:lang w:val="en-US" w:eastAsia="zh-CN"/>
                    </w:rPr>
                    <w:t>200</w:t>
                  </w:r>
                </w:p>
              </w:tc>
              <w:tc>
                <w:tcPr>
                  <w:tcW w:w="614" w:type="dxa"/>
                  <w:tcBorders>
                    <w:top w:val="single" w:color="auto" w:sz="4" w:space="0"/>
                    <w:left w:val="single" w:color="auto" w:sz="4" w:space="0"/>
                    <w:right w:val="single" w:color="auto" w:sz="4" w:space="0"/>
                  </w:tcBorders>
                  <w:noWrap w:val="0"/>
                  <w:vAlign w:val="center"/>
                </w:tcPr>
                <w:p w14:paraId="4BDB7F8B">
                  <w:pPr>
                    <w:autoSpaceDE w:val="0"/>
                    <w:autoSpaceDN w:val="0"/>
                    <w:adjustRightInd w:val="0"/>
                    <w:jc w:val="center"/>
                    <w:textAlignment w:val="baseline"/>
                    <w:rPr>
                      <w:rFonts w:hint="default" w:cs="Times New Roman"/>
                      <w:b/>
                      <w:bCs/>
                      <w:szCs w:val="21"/>
                      <w:lang w:val="en-US" w:eastAsia="zh-CN"/>
                    </w:rPr>
                  </w:pPr>
                  <w:r>
                    <w:rPr>
                      <w:rFonts w:hint="eastAsia" w:cs="Times New Roman"/>
                      <w:b/>
                      <w:bCs/>
                      <w:szCs w:val="21"/>
                      <w:lang w:val="en-US" w:eastAsia="zh-CN"/>
                    </w:rPr>
                    <w:t>35</w:t>
                  </w:r>
                </w:p>
              </w:tc>
              <w:tc>
                <w:tcPr>
                  <w:tcW w:w="694" w:type="dxa"/>
                  <w:tcBorders>
                    <w:top w:val="single" w:color="auto" w:sz="4" w:space="0"/>
                    <w:left w:val="single" w:color="auto" w:sz="4" w:space="0"/>
                    <w:right w:val="single" w:color="auto" w:sz="4" w:space="0"/>
                  </w:tcBorders>
                  <w:noWrap w:val="0"/>
                  <w:vAlign w:val="center"/>
                </w:tcPr>
                <w:p w14:paraId="6D5A6C66">
                  <w:pPr>
                    <w:autoSpaceDE w:val="0"/>
                    <w:autoSpaceDN w:val="0"/>
                    <w:adjustRightInd w:val="0"/>
                    <w:jc w:val="center"/>
                    <w:textAlignment w:val="baseline"/>
                    <w:rPr>
                      <w:rFonts w:hint="default" w:cs="Times New Roman"/>
                      <w:b/>
                      <w:bCs/>
                      <w:szCs w:val="21"/>
                      <w:lang w:val="en-US" w:eastAsia="zh-CN"/>
                    </w:rPr>
                  </w:pPr>
                  <w:r>
                    <w:rPr>
                      <w:rFonts w:hint="eastAsia" w:cs="Times New Roman"/>
                      <w:b/>
                      <w:bCs/>
                      <w:szCs w:val="21"/>
                      <w:lang w:val="en-US" w:eastAsia="zh-CN"/>
                    </w:rPr>
                    <w:t>400</w:t>
                  </w:r>
                </w:p>
              </w:tc>
              <w:tc>
                <w:tcPr>
                  <w:tcW w:w="733" w:type="dxa"/>
                  <w:tcBorders>
                    <w:top w:val="single" w:color="auto" w:sz="4" w:space="0"/>
                    <w:left w:val="single" w:color="auto" w:sz="4" w:space="0"/>
                    <w:right w:val="single" w:color="auto" w:sz="4" w:space="0"/>
                  </w:tcBorders>
                  <w:noWrap w:val="0"/>
                  <w:vAlign w:val="center"/>
                </w:tcPr>
                <w:p w14:paraId="7794E2D0">
                  <w:pPr>
                    <w:autoSpaceDE w:val="0"/>
                    <w:autoSpaceDN w:val="0"/>
                    <w:adjustRightInd w:val="0"/>
                    <w:jc w:val="center"/>
                    <w:textAlignment w:val="baseline"/>
                    <w:rPr>
                      <w:rFonts w:hint="default" w:cs="Times New Roman"/>
                      <w:b/>
                      <w:bCs/>
                      <w:szCs w:val="21"/>
                      <w:lang w:val="en-US" w:eastAsia="zh-CN"/>
                    </w:rPr>
                  </w:pPr>
                  <w:r>
                    <w:rPr>
                      <w:rFonts w:hint="eastAsia" w:cs="Times New Roman"/>
                      <w:b/>
                      <w:bCs/>
                      <w:szCs w:val="21"/>
                      <w:lang w:val="en-US" w:eastAsia="zh-CN"/>
                    </w:rPr>
                    <w:t>70</w:t>
                  </w:r>
                </w:p>
              </w:tc>
              <w:tc>
                <w:tcPr>
                  <w:tcW w:w="564" w:type="dxa"/>
                  <w:tcBorders>
                    <w:top w:val="single" w:color="auto" w:sz="4" w:space="0"/>
                    <w:left w:val="single" w:color="auto" w:sz="4" w:space="0"/>
                  </w:tcBorders>
                  <w:noWrap w:val="0"/>
                  <w:vAlign w:val="center"/>
                </w:tcPr>
                <w:p w14:paraId="77E9C8C1">
                  <w:pPr>
                    <w:autoSpaceDE w:val="0"/>
                    <w:autoSpaceDN w:val="0"/>
                    <w:adjustRightInd w:val="0"/>
                    <w:jc w:val="center"/>
                    <w:textAlignment w:val="baseline"/>
                    <w:rPr>
                      <w:rFonts w:hint="default" w:cs="Times New Roman"/>
                      <w:b/>
                      <w:bCs/>
                      <w:szCs w:val="21"/>
                      <w:lang w:val="en-US" w:eastAsia="zh-CN"/>
                    </w:rPr>
                  </w:pPr>
                  <w:r>
                    <w:rPr>
                      <w:rFonts w:hint="eastAsia" w:cs="Times New Roman"/>
                      <w:b/>
                      <w:bCs/>
                      <w:szCs w:val="21"/>
                      <w:lang w:val="en-US" w:eastAsia="zh-CN"/>
                    </w:rPr>
                    <w:t>6</w:t>
                  </w:r>
                </w:p>
              </w:tc>
              <w:tc>
                <w:tcPr>
                  <w:tcW w:w="639" w:type="dxa"/>
                  <w:tcBorders>
                    <w:top w:val="single" w:color="auto" w:sz="4" w:space="0"/>
                    <w:left w:val="single" w:color="auto" w:sz="4" w:space="0"/>
                  </w:tcBorders>
                  <w:noWrap w:val="0"/>
                  <w:vAlign w:val="center"/>
                </w:tcPr>
                <w:p w14:paraId="01A66C15">
                  <w:pPr>
                    <w:autoSpaceDE w:val="0"/>
                    <w:autoSpaceDN w:val="0"/>
                    <w:adjustRightInd w:val="0"/>
                    <w:jc w:val="center"/>
                    <w:textAlignment w:val="baseline"/>
                    <w:rPr>
                      <w:rFonts w:hint="default" w:ascii="Times New Roman" w:hAnsi="Times New Roman" w:eastAsia="宋体" w:cs="Times New Roman"/>
                      <w:b/>
                      <w:bCs/>
                      <w:szCs w:val="21"/>
                      <w:lang w:val="en-US" w:eastAsia="zh-CN"/>
                    </w:rPr>
                  </w:pPr>
                  <w:r>
                    <w:rPr>
                      <w:rFonts w:hint="eastAsia" w:cs="Times New Roman"/>
                      <w:b/>
                      <w:bCs/>
                      <w:szCs w:val="21"/>
                      <w:lang w:val="en-US" w:eastAsia="zh-CN"/>
                    </w:rPr>
                    <w:t>100</w:t>
                  </w:r>
                </w:p>
              </w:tc>
              <w:tc>
                <w:tcPr>
                  <w:tcW w:w="639" w:type="dxa"/>
                  <w:tcBorders>
                    <w:top w:val="single" w:color="auto" w:sz="4" w:space="0"/>
                    <w:left w:val="single" w:color="auto" w:sz="4" w:space="0"/>
                  </w:tcBorders>
                  <w:noWrap w:val="0"/>
                  <w:vAlign w:val="center"/>
                </w:tcPr>
                <w:p w14:paraId="75722112">
                  <w:pPr>
                    <w:autoSpaceDE w:val="0"/>
                    <w:autoSpaceDN w:val="0"/>
                    <w:adjustRightInd w:val="0"/>
                    <w:jc w:val="center"/>
                    <w:textAlignment w:val="baseline"/>
                    <w:rPr>
                      <w:rFonts w:hint="default" w:cs="Times New Roman"/>
                      <w:b/>
                      <w:bCs/>
                      <w:szCs w:val="21"/>
                      <w:lang w:val="en-US" w:eastAsia="zh-CN"/>
                    </w:rPr>
                  </w:pPr>
                  <w:r>
                    <w:rPr>
                      <w:rFonts w:hint="eastAsia" w:cs="Times New Roman"/>
                      <w:b/>
                      <w:bCs/>
                      <w:szCs w:val="21"/>
                      <w:lang w:val="en-US" w:eastAsia="zh-CN"/>
                    </w:rPr>
                    <w:t>800</w:t>
                  </w:r>
                </w:p>
              </w:tc>
              <w:tc>
                <w:tcPr>
                  <w:tcW w:w="640" w:type="dxa"/>
                  <w:tcBorders>
                    <w:top w:val="single" w:color="auto" w:sz="4" w:space="0"/>
                    <w:left w:val="single" w:color="auto" w:sz="4" w:space="0"/>
                  </w:tcBorders>
                  <w:noWrap w:val="0"/>
                  <w:vAlign w:val="center"/>
                </w:tcPr>
                <w:p w14:paraId="11DC01A2">
                  <w:pPr>
                    <w:autoSpaceDE w:val="0"/>
                    <w:autoSpaceDN w:val="0"/>
                    <w:adjustRightInd w:val="0"/>
                    <w:jc w:val="center"/>
                    <w:textAlignment w:val="baseline"/>
                    <w:rPr>
                      <w:rFonts w:hint="default" w:eastAsia="宋体" w:cs="Times New Roman"/>
                      <w:b/>
                      <w:bCs/>
                      <w:sz w:val="21"/>
                      <w:szCs w:val="21"/>
                      <w:u w:val="none"/>
                      <w:lang w:val="en-US" w:eastAsia="zh-CN" w:bidi="ar"/>
                    </w:rPr>
                  </w:pPr>
                  <w:r>
                    <w:rPr>
                      <w:rFonts w:hint="eastAsia" w:eastAsia="宋体" w:cs="Times New Roman"/>
                      <w:b/>
                      <w:bCs/>
                      <w:sz w:val="21"/>
                      <w:szCs w:val="21"/>
                      <w:u w:val="none"/>
                      <w:lang w:val="en-US" w:eastAsia="zh-CN" w:bidi="ar"/>
                    </w:rPr>
                    <w:t>20</w:t>
                  </w:r>
                </w:p>
              </w:tc>
            </w:tr>
          </w:tbl>
          <w:p w14:paraId="23799D7C">
            <w:pPr>
              <w:wordWrap w:val="0"/>
              <w:autoSpaceDE w:val="0"/>
              <w:autoSpaceDN w:val="0"/>
              <w:adjustRightInd w:val="0"/>
              <w:spacing w:line="360" w:lineRule="auto"/>
              <w:textAlignment w:val="baseline"/>
              <w:rPr>
                <w:b/>
                <w:bCs/>
                <w:color w:val="000000"/>
                <w:kern w:val="0"/>
                <w:sz w:val="24"/>
                <w:szCs w:val="24"/>
              </w:rPr>
            </w:pPr>
            <w:r>
              <w:rPr>
                <w:b/>
                <w:bCs/>
                <w:color w:val="000000"/>
                <w:kern w:val="0"/>
                <w:sz w:val="24"/>
                <w:szCs w:val="24"/>
              </w:rPr>
              <w:t>3 噪声</w:t>
            </w:r>
          </w:p>
          <w:p w14:paraId="0B9B623C">
            <w:pPr>
              <w:overflowPunct w:val="0"/>
              <w:spacing w:line="360" w:lineRule="auto"/>
              <w:ind w:firstLine="480" w:firstLineChars="200"/>
              <w:rPr>
                <w:color w:val="000000"/>
                <w:sz w:val="24"/>
                <w:szCs w:val="24"/>
              </w:rPr>
            </w:pPr>
            <w:r>
              <w:rPr>
                <w:color w:val="000000"/>
                <w:sz w:val="24"/>
                <w:szCs w:val="24"/>
              </w:rPr>
              <w:t>施工期噪声执行《建筑施工噪声排放标准》（GB12523-20</w:t>
            </w:r>
            <w:r>
              <w:rPr>
                <w:rFonts w:hint="eastAsia"/>
                <w:color w:val="000000"/>
                <w:sz w:val="24"/>
                <w:szCs w:val="24"/>
              </w:rPr>
              <w:t>25</w:t>
            </w:r>
            <w:r>
              <w:rPr>
                <w:color w:val="000000"/>
                <w:sz w:val="24"/>
                <w:szCs w:val="24"/>
              </w:rPr>
              <w:t>）。营运期执行《</w:t>
            </w:r>
            <w:r>
              <w:rPr>
                <w:rFonts w:hint="eastAsia"/>
                <w:color w:val="000000"/>
                <w:sz w:val="24"/>
                <w:szCs w:val="24"/>
              </w:rPr>
              <w:t>工业企业厂界环境噪声排放标准</w:t>
            </w:r>
            <w:r>
              <w:rPr>
                <w:color w:val="000000"/>
                <w:sz w:val="24"/>
                <w:szCs w:val="24"/>
              </w:rPr>
              <w:t>》（GB12348-2008）中</w:t>
            </w:r>
            <w:r>
              <w:rPr>
                <w:rFonts w:hint="eastAsia"/>
                <w:color w:val="000000"/>
                <w:sz w:val="24"/>
                <w:szCs w:val="24"/>
              </w:rPr>
              <w:t>2类</w:t>
            </w:r>
            <w:r>
              <w:rPr>
                <w:color w:val="000000"/>
                <w:sz w:val="24"/>
                <w:szCs w:val="24"/>
              </w:rPr>
              <w:t>标准。</w:t>
            </w:r>
          </w:p>
          <w:p w14:paraId="63145683">
            <w:pPr>
              <w:overflowPunct w:val="0"/>
              <w:spacing w:line="360" w:lineRule="auto"/>
              <w:jc w:val="center"/>
              <w:rPr>
                <w:b/>
                <w:color w:val="000000"/>
                <w:sz w:val="24"/>
                <w:szCs w:val="24"/>
              </w:rPr>
            </w:pPr>
            <w:r>
              <w:rPr>
                <w:b/>
                <w:color w:val="000000"/>
                <w:sz w:val="24"/>
                <w:szCs w:val="24"/>
              </w:rPr>
              <w:t>表3-</w:t>
            </w:r>
            <w:r>
              <w:rPr>
                <w:rFonts w:hint="eastAsia"/>
                <w:b/>
                <w:color w:val="000000"/>
                <w:sz w:val="24"/>
                <w:szCs w:val="24"/>
              </w:rPr>
              <w:t>10</w:t>
            </w:r>
            <w:r>
              <w:rPr>
                <w:b/>
                <w:color w:val="000000"/>
                <w:sz w:val="24"/>
                <w:szCs w:val="24"/>
              </w:rPr>
              <w:t xml:space="preserve">  《建筑施工噪声排放标准》  单位：dB(A)</w:t>
            </w:r>
          </w:p>
          <w:tbl>
            <w:tblPr>
              <w:tblStyle w:val="4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178"/>
              <w:gridCol w:w="4179"/>
            </w:tblGrid>
            <w:tr w14:paraId="61CA62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trPr>
              <w:tc>
                <w:tcPr>
                  <w:tcW w:w="2500" w:type="pct"/>
                  <w:vAlign w:val="center"/>
                </w:tcPr>
                <w:p w14:paraId="1E47BAB4">
                  <w:pPr>
                    <w:overflowPunct w:val="0"/>
                    <w:jc w:val="center"/>
                    <w:rPr>
                      <w:b/>
                      <w:color w:val="000000"/>
                      <w:szCs w:val="21"/>
                    </w:rPr>
                  </w:pPr>
                  <w:r>
                    <w:rPr>
                      <w:b/>
                      <w:color w:val="000000"/>
                      <w:szCs w:val="21"/>
                    </w:rPr>
                    <w:t>昼间</w:t>
                  </w:r>
                </w:p>
              </w:tc>
              <w:tc>
                <w:tcPr>
                  <w:tcW w:w="2500" w:type="pct"/>
                  <w:vAlign w:val="center"/>
                </w:tcPr>
                <w:p w14:paraId="40D2606F">
                  <w:pPr>
                    <w:overflowPunct w:val="0"/>
                    <w:jc w:val="center"/>
                    <w:rPr>
                      <w:b/>
                      <w:color w:val="000000"/>
                      <w:szCs w:val="21"/>
                    </w:rPr>
                  </w:pPr>
                  <w:r>
                    <w:rPr>
                      <w:b/>
                      <w:color w:val="000000"/>
                      <w:szCs w:val="21"/>
                    </w:rPr>
                    <w:t>夜间</w:t>
                  </w:r>
                </w:p>
              </w:tc>
            </w:tr>
            <w:tr w14:paraId="577DD9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00" w:type="pct"/>
                  <w:vAlign w:val="center"/>
                </w:tcPr>
                <w:p w14:paraId="2C2D1E32">
                  <w:pPr>
                    <w:overflowPunct w:val="0"/>
                    <w:jc w:val="center"/>
                    <w:rPr>
                      <w:bCs/>
                      <w:color w:val="000000"/>
                      <w:szCs w:val="21"/>
                    </w:rPr>
                  </w:pPr>
                  <w:r>
                    <w:rPr>
                      <w:bCs/>
                      <w:color w:val="000000"/>
                      <w:szCs w:val="21"/>
                    </w:rPr>
                    <w:t>70</w:t>
                  </w:r>
                </w:p>
              </w:tc>
              <w:tc>
                <w:tcPr>
                  <w:tcW w:w="2500" w:type="pct"/>
                  <w:vAlign w:val="center"/>
                </w:tcPr>
                <w:p w14:paraId="59EC40C6">
                  <w:pPr>
                    <w:overflowPunct w:val="0"/>
                    <w:jc w:val="center"/>
                    <w:rPr>
                      <w:bCs/>
                      <w:color w:val="000000"/>
                      <w:szCs w:val="21"/>
                    </w:rPr>
                  </w:pPr>
                  <w:r>
                    <w:rPr>
                      <w:bCs/>
                      <w:color w:val="000000"/>
                      <w:szCs w:val="21"/>
                    </w:rPr>
                    <w:t>55</w:t>
                  </w:r>
                </w:p>
              </w:tc>
            </w:tr>
          </w:tbl>
          <w:p w14:paraId="1204469E">
            <w:pPr>
              <w:tabs>
                <w:tab w:val="left" w:pos="2196"/>
              </w:tabs>
              <w:spacing w:line="360" w:lineRule="auto"/>
              <w:jc w:val="center"/>
              <w:rPr>
                <w:b/>
                <w:color w:val="000000"/>
                <w:sz w:val="24"/>
                <w:szCs w:val="24"/>
              </w:rPr>
            </w:pPr>
            <w:r>
              <w:rPr>
                <w:b/>
                <w:color w:val="000000"/>
                <w:sz w:val="24"/>
                <w:szCs w:val="24"/>
              </w:rPr>
              <w:t>表3-1</w:t>
            </w:r>
            <w:r>
              <w:rPr>
                <w:rFonts w:hint="eastAsia"/>
                <w:b/>
                <w:color w:val="000000"/>
                <w:sz w:val="24"/>
                <w:szCs w:val="24"/>
              </w:rPr>
              <w:t>1</w:t>
            </w:r>
            <w:r>
              <w:rPr>
                <w:b/>
                <w:color w:val="000000"/>
                <w:sz w:val="24"/>
                <w:szCs w:val="24"/>
              </w:rPr>
              <w:t xml:space="preserve">  《工业企业厂界环境噪声排放标准》（摘要）</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644"/>
              <w:gridCol w:w="2305"/>
              <w:gridCol w:w="2408"/>
            </w:tblGrid>
            <w:tr w14:paraId="770FC3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180" w:type="pct"/>
                  <w:vMerge w:val="restart"/>
                  <w:vAlign w:val="center"/>
                </w:tcPr>
                <w:p w14:paraId="4915D11F">
                  <w:pPr>
                    <w:pStyle w:val="115"/>
                    <w:spacing w:before="24"/>
                    <w:rPr>
                      <w:rFonts w:ascii="Times New Roman" w:hAnsi="Times New Roman"/>
                      <w:b/>
                      <w:bCs/>
                      <w:color w:val="000000"/>
                      <w:szCs w:val="21"/>
                    </w:rPr>
                  </w:pPr>
                  <w:r>
                    <w:rPr>
                      <w:rFonts w:hint="eastAsia" w:ascii="Times New Roman" w:hAnsi="Times New Roman"/>
                      <w:b/>
                      <w:bCs/>
                      <w:color w:val="000000"/>
                      <w:szCs w:val="21"/>
                    </w:rPr>
                    <w:t>院界</w:t>
                  </w:r>
                  <w:r>
                    <w:rPr>
                      <w:rFonts w:ascii="Times New Roman" w:hAnsi="Times New Roman"/>
                      <w:b/>
                      <w:bCs/>
                      <w:color w:val="000000"/>
                      <w:szCs w:val="21"/>
                    </w:rPr>
                    <w:t>外声环境功能区类别</w:t>
                  </w:r>
                </w:p>
              </w:tc>
              <w:tc>
                <w:tcPr>
                  <w:tcW w:w="2820" w:type="pct"/>
                  <w:gridSpan w:val="2"/>
                  <w:vAlign w:val="center"/>
                </w:tcPr>
                <w:p w14:paraId="6504752A">
                  <w:pPr>
                    <w:pStyle w:val="115"/>
                    <w:spacing w:before="24"/>
                    <w:rPr>
                      <w:rFonts w:ascii="Times New Roman" w:hAnsi="Times New Roman"/>
                      <w:b/>
                      <w:bCs/>
                      <w:color w:val="000000"/>
                      <w:szCs w:val="21"/>
                    </w:rPr>
                  </w:pPr>
                  <w:r>
                    <w:rPr>
                      <w:rFonts w:ascii="Times New Roman" w:hAnsi="Times New Roman"/>
                      <w:b/>
                      <w:bCs/>
                      <w:color w:val="000000"/>
                      <w:szCs w:val="21"/>
                    </w:rPr>
                    <w:t>时段</w:t>
                  </w:r>
                </w:p>
              </w:tc>
            </w:tr>
            <w:tr w14:paraId="4A6594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180" w:type="pct"/>
                  <w:vMerge w:val="continue"/>
                  <w:vAlign w:val="center"/>
                </w:tcPr>
                <w:p w14:paraId="32CAAC0F">
                  <w:pPr>
                    <w:pStyle w:val="115"/>
                    <w:spacing w:before="24"/>
                    <w:rPr>
                      <w:rFonts w:ascii="Times New Roman" w:hAnsi="Times New Roman"/>
                      <w:b/>
                      <w:bCs/>
                      <w:color w:val="000000"/>
                      <w:szCs w:val="21"/>
                    </w:rPr>
                  </w:pPr>
                </w:p>
              </w:tc>
              <w:tc>
                <w:tcPr>
                  <w:tcW w:w="1379" w:type="pct"/>
                  <w:vAlign w:val="center"/>
                </w:tcPr>
                <w:p w14:paraId="243790CB">
                  <w:pPr>
                    <w:pStyle w:val="115"/>
                    <w:spacing w:before="24"/>
                    <w:rPr>
                      <w:rFonts w:ascii="Times New Roman" w:hAnsi="Times New Roman"/>
                      <w:b/>
                      <w:bCs/>
                      <w:color w:val="000000"/>
                      <w:szCs w:val="21"/>
                    </w:rPr>
                  </w:pPr>
                  <w:r>
                    <w:rPr>
                      <w:rFonts w:ascii="Times New Roman" w:hAnsi="Times New Roman"/>
                      <w:b/>
                      <w:bCs/>
                      <w:color w:val="000000"/>
                      <w:szCs w:val="21"/>
                    </w:rPr>
                    <w:t>昼间dB(A)</w:t>
                  </w:r>
                </w:p>
              </w:tc>
              <w:tc>
                <w:tcPr>
                  <w:tcW w:w="1441" w:type="pct"/>
                  <w:vAlign w:val="center"/>
                </w:tcPr>
                <w:p w14:paraId="02BA9151">
                  <w:pPr>
                    <w:pStyle w:val="115"/>
                    <w:spacing w:before="24"/>
                    <w:rPr>
                      <w:rFonts w:ascii="Times New Roman" w:hAnsi="Times New Roman"/>
                      <w:b/>
                      <w:bCs/>
                      <w:color w:val="000000"/>
                      <w:szCs w:val="21"/>
                    </w:rPr>
                  </w:pPr>
                  <w:r>
                    <w:rPr>
                      <w:rFonts w:ascii="Times New Roman" w:hAnsi="Times New Roman"/>
                      <w:b/>
                      <w:bCs/>
                      <w:color w:val="000000"/>
                      <w:szCs w:val="21"/>
                    </w:rPr>
                    <w:t>夜间dB(A)</w:t>
                  </w:r>
                </w:p>
              </w:tc>
            </w:tr>
            <w:tr w14:paraId="4B92AF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180" w:type="pct"/>
                  <w:vAlign w:val="center"/>
                </w:tcPr>
                <w:p w14:paraId="360029E2">
                  <w:pPr>
                    <w:pStyle w:val="115"/>
                    <w:spacing w:before="24"/>
                    <w:rPr>
                      <w:rFonts w:ascii="Times New Roman" w:hAnsi="Times New Roman"/>
                      <w:color w:val="000000"/>
                      <w:szCs w:val="21"/>
                    </w:rPr>
                  </w:pPr>
                  <w:r>
                    <w:rPr>
                      <w:rFonts w:ascii="Times New Roman" w:hAnsi="Times New Roman"/>
                      <w:color w:val="000000"/>
                      <w:szCs w:val="21"/>
                    </w:rPr>
                    <w:t>2类</w:t>
                  </w:r>
                </w:p>
              </w:tc>
              <w:tc>
                <w:tcPr>
                  <w:tcW w:w="1379" w:type="pct"/>
                  <w:vAlign w:val="center"/>
                </w:tcPr>
                <w:p w14:paraId="3F5392FA">
                  <w:pPr>
                    <w:pStyle w:val="115"/>
                    <w:spacing w:before="24"/>
                    <w:rPr>
                      <w:rFonts w:ascii="Times New Roman" w:hAnsi="Times New Roman"/>
                      <w:color w:val="000000"/>
                      <w:szCs w:val="21"/>
                    </w:rPr>
                  </w:pPr>
                  <w:r>
                    <w:rPr>
                      <w:rFonts w:ascii="Times New Roman" w:hAnsi="Times New Roman"/>
                      <w:color w:val="000000"/>
                      <w:szCs w:val="21"/>
                    </w:rPr>
                    <w:t>60</w:t>
                  </w:r>
                </w:p>
              </w:tc>
              <w:tc>
                <w:tcPr>
                  <w:tcW w:w="1441" w:type="pct"/>
                  <w:vAlign w:val="center"/>
                </w:tcPr>
                <w:p w14:paraId="043A4C6D">
                  <w:pPr>
                    <w:pStyle w:val="115"/>
                    <w:spacing w:before="24"/>
                    <w:rPr>
                      <w:rFonts w:ascii="Times New Roman" w:hAnsi="Times New Roman"/>
                      <w:color w:val="000000"/>
                      <w:szCs w:val="21"/>
                    </w:rPr>
                  </w:pPr>
                  <w:r>
                    <w:rPr>
                      <w:rFonts w:ascii="Times New Roman" w:hAnsi="Times New Roman"/>
                      <w:color w:val="000000"/>
                      <w:szCs w:val="21"/>
                    </w:rPr>
                    <w:t>50</w:t>
                  </w:r>
                </w:p>
              </w:tc>
            </w:tr>
          </w:tbl>
          <w:p w14:paraId="5568E957">
            <w:pPr>
              <w:wordWrap w:val="0"/>
              <w:autoSpaceDE w:val="0"/>
              <w:autoSpaceDN w:val="0"/>
              <w:adjustRightInd w:val="0"/>
              <w:spacing w:line="360" w:lineRule="auto"/>
              <w:textAlignment w:val="baseline"/>
              <w:rPr>
                <w:b/>
                <w:bCs/>
                <w:color w:val="000000"/>
                <w:kern w:val="0"/>
                <w:sz w:val="24"/>
                <w:szCs w:val="24"/>
              </w:rPr>
            </w:pPr>
            <w:r>
              <w:rPr>
                <w:b/>
                <w:bCs/>
                <w:color w:val="000000"/>
                <w:kern w:val="0"/>
                <w:sz w:val="24"/>
                <w:szCs w:val="24"/>
              </w:rPr>
              <w:t>4 固体废物</w:t>
            </w:r>
          </w:p>
          <w:p w14:paraId="34CC8260">
            <w:pPr>
              <w:autoSpaceDE w:val="0"/>
              <w:autoSpaceDN w:val="0"/>
              <w:adjustRightInd w:val="0"/>
              <w:spacing w:line="360" w:lineRule="auto"/>
              <w:ind w:firstLine="480" w:firstLineChars="200"/>
              <w:textAlignment w:val="baseline"/>
              <w:rPr>
                <w:color w:val="000000"/>
                <w:sz w:val="24"/>
                <w:szCs w:val="24"/>
              </w:rPr>
            </w:pPr>
            <w:r>
              <w:rPr>
                <w:color w:val="000000"/>
                <w:sz w:val="24"/>
                <w:szCs w:val="24"/>
              </w:rPr>
              <w:t>一般工业固体废物执行《一般工业固体废物贮存和填埋污染控制标准》（GB18599-2020），</w:t>
            </w:r>
            <w:r>
              <w:rPr>
                <w:sz w:val="24"/>
                <w:szCs w:val="24"/>
              </w:rPr>
              <w:t>医疗废物按《医疗废物管理条例</w:t>
            </w:r>
            <w:r>
              <w:rPr>
                <w:rFonts w:hint="eastAsia"/>
                <w:sz w:val="24"/>
                <w:szCs w:val="24"/>
              </w:rPr>
              <w:t>》《</w:t>
            </w:r>
            <w:r>
              <w:rPr>
                <w:sz w:val="24"/>
                <w:szCs w:val="24"/>
              </w:rPr>
              <w:t>医疗废物处理处置污染控制标准》（GB39707-2020）等规范进行管理</w:t>
            </w:r>
            <w:r>
              <w:rPr>
                <w:rFonts w:hint="eastAsia"/>
                <w:sz w:val="24"/>
                <w:szCs w:val="24"/>
              </w:rPr>
              <w:t>，院内贮存执行《</w:t>
            </w:r>
            <w:r>
              <w:rPr>
                <w:sz w:val="24"/>
                <w:szCs w:val="24"/>
              </w:rPr>
              <w:t>危险废物贮存污染控制标准》（</w:t>
            </w:r>
            <w:r>
              <w:rPr>
                <w:rFonts w:hint="eastAsia"/>
                <w:sz w:val="24"/>
                <w:szCs w:val="24"/>
              </w:rPr>
              <w:t>GB18597-2023</w:t>
            </w:r>
            <w:r>
              <w:rPr>
                <w:sz w:val="24"/>
                <w:szCs w:val="24"/>
              </w:rPr>
              <w:t>）的相关规定；污水处理站污泥执行《医疗机构</w:t>
            </w:r>
            <w:r>
              <w:rPr>
                <w:rFonts w:hint="eastAsia"/>
                <w:sz w:val="24"/>
                <w:szCs w:val="24"/>
              </w:rPr>
              <w:t>水污染物</w:t>
            </w:r>
            <w:r>
              <w:rPr>
                <w:sz w:val="24"/>
                <w:szCs w:val="24"/>
              </w:rPr>
              <w:t>排放标准》（GB18466-2005</w:t>
            </w:r>
            <w:r>
              <w:rPr>
                <w:rFonts w:hint="eastAsia"/>
                <w:sz w:val="24"/>
                <w:szCs w:val="24"/>
                <w:lang w:eastAsia="zh-CN"/>
              </w:rPr>
              <w:t>，</w:t>
            </w:r>
            <w:r>
              <w:rPr>
                <w:rFonts w:hint="eastAsia"/>
                <w:sz w:val="24"/>
                <w:szCs w:val="24"/>
                <w:lang w:val="en-US" w:eastAsia="zh-CN"/>
              </w:rPr>
              <w:t>含2026年修改单）</w:t>
            </w:r>
            <w:r>
              <w:rPr>
                <w:rFonts w:hint="eastAsia"/>
                <w:sz w:val="24"/>
                <w:szCs w:val="24"/>
              </w:rPr>
              <w:t>表</w:t>
            </w:r>
            <w:r>
              <w:rPr>
                <w:sz w:val="24"/>
                <w:szCs w:val="24"/>
              </w:rPr>
              <w:t>4医疗机构污泥</w:t>
            </w:r>
            <w:r>
              <w:rPr>
                <w:rFonts w:ascii="宋体" w:hAnsi="宋体" w:cs="宋体"/>
                <w:sz w:val="24"/>
                <w:szCs w:val="24"/>
              </w:rPr>
              <w:t>控制标准</w:t>
            </w:r>
            <w:r>
              <w:rPr>
                <w:color w:val="000000"/>
                <w:sz w:val="24"/>
                <w:szCs w:val="24"/>
              </w:rPr>
              <w:t>。</w:t>
            </w:r>
          </w:p>
        </w:tc>
      </w:tr>
      <w:tr w14:paraId="6C5D6E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67" w:hRule="atLeast"/>
          <w:jc w:val="center"/>
        </w:trPr>
        <w:tc>
          <w:tcPr>
            <w:tcW w:w="469" w:type="dxa"/>
            <w:tcBorders>
              <w:top w:val="single" w:color="auto" w:sz="4" w:space="0"/>
              <w:left w:val="single" w:color="auto" w:sz="8" w:space="0"/>
              <w:bottom w:val="single" w:color="auto" w:sz="8" w:space="0"/>
              <w:right w:val="single" w:color="auto" w:sz="4" w:space="0"/>
            </w:tcBorders>
            <w:vAlign w:val="center"/>
          </w:tcPr>
          <w:p w14:paraId="6DEE573C">
            <w:pPr>
              <w:adjustRightInd w:val="0"/>
              <w:snapToGrid w:val="0"/>
              <w:jc w:val="center"/>
              <w:rPr>
                <w:color w:val="000000"/>
                <w:kern w:val="0"/>
                <w:sz w:val="24"/>
                <w:szCs w:val="24"/>
              </w:rPr>
            </w:pPr>
            <w:r>
              <w:rPr>
                <w:color w:val="000000"/>
                <w:kern w:val="0"/>
                <w:sz w:val="24"/>
                <w:szCs w:val="24"/>
              </w:rPr>
              <w:t>总量控制指标</w:t>
            </w:r>
          </w:p>
        </w:tc>
        <w:tc>
          <w:tcPr>
            <w:tcW w:w="8603" w:type="dxa"/>
            <w:tcBorders>
              <w:top w:val="single" w:color="auto" w:sz="4" w:space="0"/>
              <w:left w:val="single" w:color="auto" w:sz="4" w:space="0"/>
              <w:bottom w:val="single" w:color="auto" w:sz="8" w:space="0"/>
              <w:right w:val="single" w:color="auto" w:sz="8" w:space="0"/>
            </w:tcBorders>
            <w:vAlign w:val="center"/>
          </w:tcPr>
          <w:p w14:paraId="6B959566">
            <w:pPr>
              <w:adjustRightInd w:val="0"/>
              <w:snapToGrid w:val="0"/>
              <w:spacing w:line="360" w:lineRule="auto"/>
              <w:ind w:firstLine="480" w:firstLineChars="200"/>
              <w:rPr>
                <w:bCs/>
                <w:color w:val="000000"/>
                <w:sz w:val="24"/>
                <w:szCs w:val="24"/>
              </w:rPr>
            </w:pPr>
            <w:r>
              <w:rPr>
                <w:bCs/>
                <w:color w:val="000000"/>
                <w:sz w:val="24"/>
                <w:szCs w:val="24"/>
              </w:rPr>
              <w:t>根据《国务院办公厅关于进一步推进排污权有偿使用和交易试点工作的指导意见》（国办发〔2014〕38号）、《湖南省主要污染物排污权有偿使用和交易管理办法》（湘政办发〔2022〕23号）、湖南省主要污染物排污权有偿使用和交易实施细则等文件，目前湖南省内工业类排污单位对化学需氧量、氨氮、二氧化硫、氮氧化物、挥发性有机物、总磷、铅、镉、砷、汞、铬十一类污染物实施总量控制。</w:t>
            </w:r>
          </w:p>
          <w:p w14:paraId="553EFC2F">
            <w:pPr>
              <w:spacing w:line="360" w:lineRule="auto"/>
              <w:ind w:firstLine="480" w:firstLineChars="200"/>
              <w:rPr>
                <w:rFonts w:hint="eastAsia"/>
              </w:rPr>
            </w:pPr>
            <w:r>
              <w:rPr>
                <w:rFonts w:hint="eastAsia"/>
                <w:color w:val="000000"/>
                <w:sz w:val="24"/>
                <w:szCs w:val="24"/>
                <w:highlight w:val="none"/>
                <w:u w:val="none"/>
              </w:rPr>
              <w:t>根据《湖南省主要污染物排污权有偿使用和交易管理办法》</w:t>
            </w:r>
            <w:r>
              <w:rPr>
                <w:rFonts w:hint="eastAsia" w:ascii="宋体" w:hAnsi="宋体" w:eastAsia="宋体" w:cs="宋体"/>
                <w:color w:val="000000"/>
                <w:sz w:val="24"/>
                <w:szCs w:val="24"/>
                <w:highlight w:val="none"/>
                <w:u w:val="none"/>
              </w:rPr>
              <w:t>(湘政办发</w:t>
            </w:r>
            <w:r>
              <w:rPr>
                <w:rFonts w:hint="eastAsia" w:ascii="宋体" w:hAnsi="宋体" w:cs="宋体"/>
                <w:color w:val="000000"/>
                <w:sz w:val="24"/>
                <w:szCs w:val="24"/>
                <w:highlight w:val="none"/>
                <w:u w:val="none"/>
                <w:lang w:eastAsia="zh-CN"/>
              </w:rPr>
              <w:t>〔2022〕23号</w:t>
            </w:r>
            <w:r>
              <w:rPr>
                <w:rFonts w:hint="eastAsia" w:ascii="宋体" w:hAnsi="宋体" w:eastAsia="宋体" w:cs="宋体"/>
                <w:color w:val="000000"/>
                <w:sz w:val="24"/>
                <w:szCs w:val="24"/>
                <w:highlight w:val="none"/>
                <w:u w:val="none"/>
              </w:rPr>
              <w:t>)第</w:t>
            </w:r>
            <w:r>
              <w:rPr>
                <w:rFonts w:hint="eastAsia"/>
                <w:color w:val="000000"/>
                <w:sz w:val="24"/>
                <w:szCs w:val="24"/>
                <w:highlight w:val="none"/>
                <w:u w:val="none"/>
              </w:rPr>
              <w:t>二条</w:t>
            </w:r>
            <w:r>
              <w:rPr>
                <w:rFonts w:hint="eastAsia"/>
                <w:color w:val="000000"/>
                <w:sz w:val="24"/>
                <w:szCs w:val="24"/>
                <w:highlight w:val="none"/>
                <w:u w:val="none"/>
                <w:lang w:val="en-US" w:eastAsia="zh-CN"/>
              </w:rPr>
              <w:t>规定</w:t>
            </w:r>
            <w:r>
              <w:rPr>
                <w:rFonts w:hint="eastAsia"/>
                <w:color w:val="000000"/>
                <w:sz w:val="24"/>
                <w:szCs w:val="24"/>
                <w:highlight w:val="none"/>
                <w:u w:val="none"/>
                <w:lang w:eastAsia="zh-CN"/>
              </w:rPr>
              <w:t>：</w:t>
            </w:r>
            <w:r>
              <w:rPr>
                <w:rFonts w:hint="eastAsia"/>
                <w:color w:val="000000"/>
                <w:sz w:val="24"/>
                <w:szCs w:val="24"/>
                <w:highlight w:val="none"/>
                <w:u w:val="none"/>
              </w:rPr>
              <w:t>化学需氧量、氨氮、二氧化硫、氮氧化物四类污染物的管理对象为本行政区域内纳入固定污染源排污许可分类管理名录的、除公共基础设施类之外的工业类排污单位</w:t>
            </w:r>
            <w:r>
              <w:rPr>
                <w:rFonts w:hint="eastAsia"/>
                <w:color w:val="000000"/>
                <w:sz w:val="24"/>
                <w:szCs w:val="24"/>
                <w:highlight w:val="none"/>
                <w:u w:val="none"/>
                <w:lang w:eastAsia="zh-CN"/>
              </w:rPr>
              <w:t>。</w:t>
            </w:r>
            <w:r>
              <w:rPr>
                <w:rFonts w:hint="eastAsia"/>
                <w:color w:val="000000"/>
                <w:sz w:val="24"/>
                <w:szCs w:val="24"/>
                <w:highlight w:val="none"/>
                <w:u w:val="none"/>
              </w:rPr>
              <w:t>本项目不属于工业类排污单位，</w:t>
            </w:r>
            <w:r>
              <w:rPr>
                <w:rFonts w:ascii="宋体" w:hAnsi="宋体" w:eastAsia="宋体" w:cs="宋体"/>
                <w:sz w:val="24"/>
                <w:szCs w:val="24"/>
              </w:rPr>
              <w:t>不在上述排污权管理范畴内，因此无需申请主要污染物排污权总量指标。</w:t>
            </w:r>
          </w:p>
        </w:tc>
      </w:tr>
    </w:tbl>
    <w:p w14:paraId="576596D1">
      <w:pPr>
        <w:pStyle w:val="44"/>
        <w:spacing w:before="120" w:beforeLines="50" w:beforeAutospacing="0" w:after="120" w:afterLines="50" w:afterAutospacing="0"/>
        <w:jc w:val="center"/>
        <w:outlineLvl w:val="0"/>
        <w:rPr>
          <w:rFonts w:hint="eastAsia"/>
          <w:b/>
          <w:bCs/>
          <w:snapToGrid w:val="0"/>
          <w:color w:val="FF0000"/>
          <w:sz w:val="30"/>
          <w:szCs w:val="30"/>
        </w:rPr>
        <w:sectPr>
          <w:footerReference r:id="rId6" w:type="default"/>
          <w:pgSz w:w="11907" w:h="16840"/>
          <w:pgMar w:top="1701" w:right="1440" w:bottom="1701" w:left="1440" w:header="851" w:footer="851" w:gutter="0"/>
          <w:cols w:space="720" w:num="1"/>
        </w:sectPr>
      </w:pPr>
    </w:p>
    <w:p w14:paraId="6F57BA3F">
      <w:pPr>
        <w:pStyle w:val="44"/>
        <w:spacing w:before="120" w:beforeLines="50" w:beforeAutospacing="0" w:after="120" w:afterLines="50" w:afterAutospacing="0"/>
        <w:jc w:val="center"/>
        <w:outlineLvl w:val="0"/>
        <w:rPr>
          <w:rFonts w:hint="eastAsia"/>
          <w:b/>
          <w:bCs/>
          <w:snapToGrid w:val="0"/>
          <w:color w:val="000000"/>
          <w:sz w:val="30"/>
          <w:szCs w:val="30"/>
        </w:rPr>
      </w:pPr>
      <w:r>
        <w:rPr>
          <w:b/>
          <w:bCs/>
          <w:snapToGrid w:val="0"/>
          <w:color w:val="000000"/>
          <w:sz w:val="30"/>
          <w:szCs w:val="30"/>
        </w:rPr>
        <w:t>四</w:t>
      </w:r>
      <w:bookmarkStart w:id="14" w:name="_Toc163829136"/>
      <w:r>
        <w:rPr>
          <w:b/>
          <w:bCs/>
          <w:snapToGrid w:val="0"/>
          <w:color w:val="000000"/>
          <w:sz w:val="30"/>
          <w:szCs w:val="30"/>
        </w:rPr>
        <w:t>、主要环境影响和保护措施</w:t>
      </w:r>
      <w:bookmarkEnd w:id="14"/>
    </w:p>
    <w:tbl>
      <w:tblPr>
        <w:tblStyle w:val="47"/>
        <w:tblW w:w="5044"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58"/>
        <w:gridCol w:w="8534"/>
      </w:tblGrid>
      <w:tr w14:paraId="39112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05" w:hRule="atLeast"/>
          <w:jc w:val="center"/>
        </w:trPr>
        <w:tc>
          <w:tcPr>
            <w:tcW w:w="307" w:type="pct"/>
            <w:tcMar>
              <w:top w:w="0" w:type="dxa"/>
              <w:left w:w="28" w:type="dxa"/>
              <w:bottom w:w="0" w:type="dxa"/>
              <w:right w:w="28" w:type="dxa"/>
            </w:tcMar>
            <w:vAlign w:val="center"/>
          </w:tcPr>
          <w:p w14:paraId="1390F96D">
            <w:pPr>
              <w:pStyle w:val="44"/>
              <w:adjustRightInd w:val="0"/>
              <w:snapToGrid w:val="0"/>
              <w:spacing w:before="0" w:beforeAutospacing="0" w:after="0" w:afterAutospacing="0" w:line="360" w:lineRule="auto"/>
              <w:jc w:val="center"/>
              <w:rPr>
                <w:rFonts w:ascii="Times New Roman" w:hAnsi="Times New Roman"/>
                <w:bCs/>
                <w:color w:val="000000"/>
                <w:szCs w:val="24"/>
              </w:rPr>
            </w:pPr>
            <w:r>
              <w:rPr>
                <w:rFonts w:ascii="Times New Roman" w:hAnsi="Times New Roman"/>
                <w:color w:val="000000"/>
                <w:szCs w:val="24"/>
              </w:rPr>
              <w:t>施工期环境保护措施</w:t>
            </w:r>
          </w:p>
        </w:tc>
        <w:tc>
          <w:tcPr>
            <w:tcW w:w="4693" w:type="pct"/>
            <w:vAlign w:val="center"/>
          </w:tcPr>
          <w:p w14:paraId="3BBD8BDC">
            <w:pPr>
              <w:spacing w:line="360" w:lineRule="auto"/>
              <w:ind w:firstLine="480" w:firstLineChars="200"/>
              <w:rPr>
                <w:bCs/>
                <w:sz w:val="24"/>
              </w:rPr>
            </w:pPr>
            <w:r>
              <w:rPr>
                <w:bCs/>
                <w:sz w:val="24"/>
              </w:rPr>
              <w:t>本项目施工期的环境影响主要是施工建设时产生的施工扬尘、施工噪声、固体废弃物等对环境的影响，以及水土流失、植被破坏生态影响。施工期的环境影响一般会随着施工期的结束而消失，施工单位应积极采取环境保护措施，使施工期对环境的影响降低到最低限度。施工期应采取的环境保护措施如下：</w:t>
            </w:r>
          </w:p>
          <w:p w14:paraId="71AB58C7">
            <w:pPr>
              <w:spacing w:line="360" w:lineRule="auto"/>
              <w:rPr>
                <w:b/>
                <w:bCs w:val="0"/>
                <w:sz w:val="24"/>
              </w:rPr>
            </w:pPr>
            <w:r>
              <w:rPr>
                <w:b/>
                <w:bCs w:val="0"/>
                <w:sz w:val="24"/>
              </w:rPr>
              <w:t>（一）施工期大气污染防治措施</w:t>
            </w:r>
          </w:p>
          <w:p w14:paraId="5579ACAC">
            <w:pPr>
              <w:spacing w:line="360" w:lineRule="auto"/>
              <w:ind w:firstLine="480" w:firstLineChars="200"/>
              <w:rPr>
                <w:bCs/>
                <w:sz w:val="24"/>
              </w:rPr>
            </w:pPr>
            <w:r>
              <w:rPr>
                <w:bCs/>
                <w:sz w:val="24"/>
              </w:rPr>
              <w:t>本项目施工期对环境空气的影响主要来自施工及汽车运输产生的扬尘、装修废气和施工机械废气及车辆尾气。</w:t>
            </w:r>
          </w:p>
          <w:p w14:paraId="37E22F5B">
            <w:pPr>
              <w:spacing w:line="360" w:lineRule="auto"/>
              <w:ind w:firstLine="482" w:firstLineChars="200"/>
              <w:rPr>
                <w:b/>
                <w:bCs w:val="0"/>
                <w:sz w:val="24"/>
              </w:rPr>
            </w:pPr>
            <w:r>
              <w:rPr>
                <w:b/>
                <w:bCs w:val="0"/>
                <w:sz w:val="24"/>
              </w:rPr>
              <w:t>1 扬尘</w:t>
            </w:r>
          </w:p>
          <w:p w14:paraId="016DEF9F">
            <w:pPr>
              <w:spacing w:line="360" w:lineRule="auto"/>
              <w:ind w:firstLine="480" w:firstLineChars="200"/>
              <w:rPr>
                <w:bCs/>
                <w:sz w:val="24"/>
              </w:rPr>
            </w:pPr>
            <w:r>
              <w:rPr>
                <w:rFonts w:ascii="宋体" w:hAnsi="宋体" w:eastAsia="宋体" w:cs="宋体"/>
                <w:sz w:val="24"/>
                <w:szCs w:val="24"/>
              </w:rPr>
              <w:t>在施工期，扬尘是环境空气的主要污染源。施工期扬尘影响包括以下方面：场地平整过程中产生扬尘；建材堆场的风力扬尘；建筑材料运输产生的交通道路扬尘</w:t>
            </w:r>
            <w:r>
              <w:rPr>
                <w:bCs/>
                <w:sz w:val="24"/>
              </w:rPr>
              <w:t>。</w:t>
            </w:r>
          </w:p>
          <w:p w14:paraId="7B3F8CF9">
            <w:pPr>
              <w:spacing w:line="360" w:lineRule="auto"/>
              <w:ind w:firstLine="480" w:firstLineChars="200"/>
              <w:rPr>
                <w:bCs/>
                <w:sz w:val="24"/>
              </w:rPr>
            </w:pPr>
            <w:r>
              <w:rPr>
                <w:bCs/>
                <w:sz w:val="24"/>
              </w:rPr>
              <w:t>针对施工期的扬尘影响，结合《益阳市扬尘污染防治条例》，建设单位应采取如下针对性污染防治措施：</w:t>
            </w:r>
          </w:p>
          <w:p w14:paraId="50102145">
            <w:pPr>
              <w:spacing w:line="360" w:lineRule="auto"/>
              <w:ind w:firstLine="480" w:firstLineChars="200"/>
              <w:rPr>
                <w:bCs/>
                <w:sz w:val="24"/>
              </w:rPr>
            </w:pPr>
            <w:r>
              <w:rPr>
                <w:rFonts w:hint="eastAsia"/>
                <w:bCs/>
                <w:sz w:val="24"/>
              </w:rPr>
              <w:t>①</w:t>
            </w:r>
            <w:r>
              <w:rPr>
                <w:bCs/>
                <w:sz w:val="24"/>
              </w:rPr>
              <w:t>施工工地周围按照相关规定设置围挡或者围墙；</w:t>
            </w:r>
          </w:p>
          <w:p w14:paraId="15D934CD">
            <w:pPr>
              <w:spacing w:line="360" w:lineRule="auto"/>
              <w:ind w:firstLine="480" w:firstLineChars="200"/>
              <w:rPr>
                <w:bCs/>
                <w:sz w:val="24"/>
              </w:rPr>
            </w:pPr>
            <w:r>
              <w:rPr>
                <w:rFonts w:hint="eastAsia" w:ascii="宋体" w:hAnsi="宋体" w:cs="宋体"/>
                <w:bCs/>
                <w:sz w:val="24"/>
              </w:rPr>
              <w:t>②</w:t>
            </w:r>
            <w:r>
              <w:rPr>
                <w:bCs/>
                <w:sz w:val="24"/>
              </w:rPr>
              <w:t>施工</w:t>
            </w:r>
            <w:r>
              <w:rPr>
                <w:rFonts w:hint="eastAsia"/>
                <w:bCs/>
                <w:sz w:val="24"/>
                <w:lang w:eastAsia="zh-CN"/>
              </w:rPr>
              <w:t>场地</w:t>
            </w:r>
            <w:r>
              <w:rPr>
                <w:bCs/>
                <w:sz w:val="24"/>
              </w:rPr>
              <w:t>内的裸露土地超过四十八小时不能连续施工的，采取覆盖防尘布防尘网或者喷淋、洒水等其他有效防尘措施；</w:t>
            </w:r>
          </w:p>
          <w:p w14:paraId="48CB630E">
            <w:pPr>
              <w:spacing w:line="360" w:lineRule="auto"/>
              <w:ind w:firstLine="480" w:firstLineChars="200"/>
              <w:rPr>
                <w:bCs/>
                <w:sz w:val="24"/>
              </w:rPr>
            </w:pPr>
            <w:r>
              <w:rPr>
                <w:rFonts w:hint="eastAsia" w:ascii="宋体" w:hAnsi="宋体" w:cs="宋体"/>
                <w:bCs/>
                <w:sz w:val="24"/>
              </w:rPr>
              <w:t>③</w:t>
            </w:r>
            <w:r>
              <w:rPr>
                <w:bCs/>
                <w:sz w:val="24"/>
              </w:rPr>
              <w:t>散装物料集中分区、分类存放，并根据易产生扬尘污染程度，分别采取密闭存放或者覆盖等其他有效防尘措施，禁止抛掷、扬撒和在围挡外堆放；</w:t>
            </w:r>
          </w:p>
          <w:p w14:paraId="3DA3EDF9">
            <w:pPr>
              <w:spacing w:line="360" w:lineRule="auto"/>
              <w:ind w:firstLine="480" w:firstLineChars="200"/>
              <w:rPr>
                <w:bCs/>
                <w:sz w:val="24"/>
              </w:rPr>
            </w:pPr>
            <w:r>
              <w:rPr>
                <w:rFonts w:hint="eastAsia" w:ascii="宋体" w:hAnsi="宋体" w:cs="宋体"/>
                <w:bCs/>
                <w:sz w:val="24"/>
              </w:rPr>
              <w:t>④</w:t>
            </w:r>
            <w:r>
              <w:rPr>
                <w:bCs/>
                <w:sz w:val="24"/>
              </w:rPr>
              <w:t>及时清运建筑土方、工程渣土、建筑垃圾，不能及时清运的，分类存放和覆盖，并定时喷淋；</w:t>
            </w:r>
          </w:p>
          <w:p w14:paraId="54ED33C9">
            <w:pPr>
              <w:spacing w:line="360" w:lineRule="auto"/>
              <w:ind w:firstLine="480" w:firstLineChars="200"/>
              <w:rPr>
                <w:bCs/>
                <w:sz w:val="24"/>
              </w:rPr>
            </w:pPr>
            <w:r>
              <w:rPr>
                <w:rFonts w:hint="eastAsia" w:ascii="宋体" w:hAnsi="宋体" w:cs="宋体"/>
                <w:bCs/>
                <w:sz w:val="24"/>
              </w:rPr>
              <w:t>⑤</w:t>
            </w:r>
            <w:r>
              <w:rPr>
                <w:bCs/>
                <w:sz w:val="24"/>
              </w:rPr>
              <w:t>工地车辆出口配备车辆冲洗装置和污水收集设施，并保持正常使用，对出场车辆冲洗干净，禁止带泥上路；</w:t>
            </w:r>
          </w:p>
          <w:p w14:paraId="2AE8870E">
            <w:pPr>
              <w:spacing w:line="360" w:lineRule="auto"/>
              <w:ind w:firstLine="480" w:firstLineChars="200"/>
              <w:rPr>
                <w:bCs/>
                <w:sz w:val="24"/>
              </w:rPr>
            </w:pPr>
            <w:r>
              <w:rPr>
                <w:rFonts w:hint="eastAsia" w:ascii="宋体" w:hAnsi="宋体" w:cs="宋体"/>
                <w:bCs/>
                <w:sz w:val="24"/>
              </w:rPr>
              <w:t>⑥</w:t>
            </w:r>
            <w:r>
              <w:rPr>
                <w:bCs/>
                <w:sz w:val="24"/>
              </w:rPr>
              <w:t>工地出入口、材料堆放区、材料加工区、生活区和主要道路等进行硬化并辅以喷淋、洒水等措施；</w:t>
            </w:r>
          </w:p>
          <w:p w14:paraId="3591E02E">
            <w:pPr>
              <w:spacing w:line="360" w:lineRule="auto"/>
              <w:ind w:firstLine="480" w:firstLineChars="200"/>
              <w:rPr>
                <w:bCs/>
                <w:sz w:val="24"/>
              </w:rPr>
            </w:pPr>
            <w:r>
              <w:rPr>
                <w:rFonts w:hint="eastAsia" w:ascii="宋体" w:hAnsi="宋体" w:cs="宋体"/>
                <w:bCs/>
                <w:sz w:val="24"/>
              </w:rPr>
              <w:t>⑦</w:t>
            </w:r>
            <w:r>
              <w:rPr>
                <w:bCs/>
                <w:sz w:val="24"/>
              </w:rPr>
              <w:t>施工现场进行切割、钻孔、凿槽等易产生粉尘的作业时，采取喷淋、洒水等措施；</w:t>
            </w:r>
          </w:p>
          <w:p w14:paraId="3852121D">
            <w:pPr>
              <w:spacing w:line="360" w:lineRule="auto"/>
              <w:ind w:firstLine="480" w:firstLineChars="200"/>
              <w:rPr>
                <w:bCs/>
                <w:sz w:val="24"/>
              </w:rPr>
            </w:pPr>
            <w:r>
              <w:rPr>
                <w:rFonts w:hint="eastAsia" w:ascii="宋体" w:hAnsi="宋体" w:cs="宋体"/>
                <w:bCs/>
                <w:sz w:val="24"/>
              </w:rPr>
              <w:t>⑧</w:t>
            </w:r>
            <w:r>
              <w:rPr>
                <w:bCs/>
                <w:sz w:val="24"/>
              </w:rPr>
              <w:t>开挖和回填土方作业面采取喷淋、洒水等有效防尘措施；</w:t>
            </w:r>
          </w:p>
          <w:p w14:paraId="3F8DAE5D">
            <w:pPr>
              <w:spacing w:line="360" w:lineRule="auto"/>
              <w:ind w:firstLine="480" w:firstLineChars="200"/>
              <w:rPr>
                <w:bCs/>
                <w:sz w:val="24"/>
              </w:rPr>
            </w:pPr>
            <w:r>
              <w:rPr>
                <w:rFonts w:hint="eastAsia" w:ascii="宋体" w:hAnsi="宋体" w:cs="宋体"/>
                <w:bCs/>
                <w:sz w:val="24"/>
              </w:rPr>
              <w:t>⑨</w:t>
            </w:r>
            <w:r>
              <w:rPr>
                <w:bCs/>
                <w:sz w:val="24"/>
              </w:rPr>
              <w:t>按照市人民政府的规定使用预拌混凝土和预拌砂浆；</w:t>
            </w:r>
          </w:p>
          <w:p w14:paraId="3966F8BB">
            <w:pPr>
              <w:spacing w:line="360" w:lineRule="auto"/>
              <w:ind w:firstLine="480" w:firstLineChars="200"/>
              <w:rPr>
                <w:bCs/>
                <w:sz w:val="24"/>
              </w:rPr>
            </w:pPr>
            <w:r>
              <w:rPr>
                <w:rFonts w:hint="eastAsia" w:ascii="宋体" w:hAnsi="宋体" w:cs="宋体"/>
                <w:bCs/>
                <w:sz w:val="24"/>
              </w:rPr>
              <w:t>⑩</w:t>
            </w:r>
            <w:r>
              <w:rPr>
                <w:bCs/>
                <w:sz w:val="24"/>
              </w:rPr>
              <w:t>采取分段作业、择时施工等其他有效防尘降尘措施。</w:t>
            </w:r>
          </w:p>
          <w:p w14:paraId="3E60FAB2">
            <w:pPr>
              <w:spacing w:line="360" w:lineRule="auto"/>
              <w:ind w:firstLine="480" w:firstLineChars="200"/>
              <w:rPr>
                <w:bCs/>
                <w:sz w:val="24"/>
              </w:rPr>
            </w:pPr>
            <w:r>
              <w:rPr>
                <w:bCs/>
                <w:sz w:val="24"/>
              </w:rPr>
              <w:t>在采取相应的大气污染防治措施后，本项目施工期废气对周围环境影响较小。上述措施主要是围挡和</w:t>
            </w:r>
            <w:r>
              <w:rPr>
                <w:rFonts w:hint="eastAsia"/>
                <w:bCs/>
                <w:sz w:val="24"/>
                <w:lang w:eastAsia="zh-CN"/>
              </w:rPr>
              <w:t>洒水</w:t>
            </w:r>
            <w:r>
              <w:rPr>
                <w:bCs/>
                <w:sz w:val="24"/>
              </w:rPr>
              <w:t>，围挡起直接阻挡扬尘飞扬的作用；洒水可降低施工扬尘的起尘量。根据资料分析，洒水对控制施工扬尘很有效，特别是对施工近场（30m 以内）降尘效果达60%以上，同时扬尘的影响范围也减少70%左右，严格按照上述措施治理后，项目施工期扬尘污染可以减小到最低，措施可行。</w:t>
            </w:r>
          </w:p>
          <w:p w14:paraId="297E538F">
            <w:pPr>
              <w:spacing w:line="360" w:lineRule="auto"/>
              <w:ind w:firstLine="482" w:firstLineChars="200"/>
              <w:rPr>
                <w:bCs/>
                <w:sz w:val="24"/>
              </w:rPr>
            </w:pPr>
            <w:r>
              <w:rPr>
                <w:b/>
                <w:bCs w:val="0"/>
                <w:sz w:val="24"/>
              </w:rPr>
              <w:t>2 施工机械废气和车辆尾气</w:t>
            </w:r>
          </w:p>
          <w:p w14:paraId="6E586711">
            <w:pPr>
              <w:spacing w:line="360" w:lineRule="auto"/>
              <w:ind w:firstLine="480" w:firstLineChars="200"/>
              <w:rPr>
                <w:bCs/>
                <w:sz w:val="24"/>
              </w:rPr>
            </w:pPr>
            <w:r>
              <w:rPr>
                <w:bCs/>
                <w:sz w:val="24"/>
              </w:rPr>
              <w:t>施工机械废气和运输车辆尾气均为动力燃料柴油和汽油燃烧后所产生，主要污染物是烃类、CO和NOx，由于施工的燃油机械为间断施工，且主要集中在土石方工程阶段，加之污染物排放量小，仅影响局部环境。本项目施工场地相对较开阔，大气扩散条件较好，因此，施工机械废气和运输车辆尾气对区域环境空气不会造成明显影响。</w:t>
            </w:r>
          </w:p>
          <w:p w14:paraId="5076FA60">
            <w:pPr>
              <w:spacing w:line="360" w:lineRule="auto"/>
              <w:ind w:firstLine="482" w:firstLineChars="200"/>
              <w:rPr>
                <w:b/>
                <w:bCs w:val="0"/>
                <w:sz w:val="24"/>
              </w:rPr>
            </w:pPr>
            <w:r>
              <w:rPr>
                <w:b/>
                <w:bCs w:val="0"/>
                <w:sz w:val="24"/>
              </w:rPr>
              <w:t>3 装修废气</w:t>
            </w:r>
          </w:p>
          <w:p w14:paraId="7F7010CF">
            <w:pPr>
              <w:spacing w:line="360" w:lineRule="auto"/>
              <w:ind w:firstLine="480" w:firstLineChars="200"/>
              <w:rPr>
                <w:bCs/>
                <w:sz w:val="24"/>
              </w:rPr>
            </w:pPr>
            <w:r>
              <w:rPr>
                <w:bCs/>
                <w:sz w:val="24"/>
              </w:rPr>
              <w:t>项目施工期向周围大气环境排放装修废气主要污染物为苯及苯系物，这些废气对人体健康的主要影响是嗅到异味、刺激眼和呼吸道粘膜、产生肝肺损伤等为了降低装修造成的污染影响，建议采取如下防治措施：</w:t>
            </w:r>
          </w:p>
          <w:p w14:paraId="0941D089">
            <w:pPr>
              <w:spacing w:line="360" w:lineRule="auto"/>
              <w:ind w:firstLine="480" w:firstLineChars="200"/>
              <w:rPr>
                <w:bCs/>
                <w:sz w:val="24"/>
              </w:rPr>
            </w:pPr>
            <w:r>
              <w:rPr>
                <w:rFonts w:hint="eastAsia" w:ascii="宋体" w:hAnsi="宋体" w:cs="宋体"/>
                <w:bCs/>
                <w:sz w:val="24"/>
              </w:rPr>
              <w:t>①</w:t>
            </w:r>
            <w:r>
              <w:rPr>
                <w:bCs/>
                <w:sz w:val="24"/>
              </w:rPr>
              <w:t>采用符合国家质检总局颁布的《室内装修材料10项有害物质限量》规定的室内装饰和装修材料，优先选用不含或少含甲苯和二甲苯的亲水涂料和环保涂料，禁止使用国家明令淘汰的建筑装饰装修材料和设备。</w:t>
            </w:r>
          </w:p>
          <w:p w14:paraId="3CE9CAA5">
            <w:pPr>
              <w:spacing w:line="360" w:lineRule="auto"/>
              <w:ind w:firstLine="480" w:firstLineChars="200"/>
              <w:rPr>
                <w:bCs/>
                <w:sz w:val="24"/>
              </w:rPr>
            </w:pPr>
            <w:r>
              <w:rPr>
                <w:rFonts w:hint="eastAsia" w:ascii="宋体" w:hAnsi="宋体" w:cs="宋体"/>
                <w:bCs/>
                <w:sz w:val="24"/>
              </w:rPr>
              <w:t>②</w:t>
            </w:r>
            <w:r>
              <w:rPr>
                <w:bCs/>
                <w:sz w:val="24"/>
              </w:rPr>
              <w:t>装修完毕后应充分开窗换气，要求符合《室内空气质量标准》（GB/T18883-</w:t>
            </w:r>
            <w:r>
              <w:rPr>
                <w:rFonts w:hint="eastAsia"/>
                <w:bCs/>
                <w:sz w:val="24"/>
              </w:rPr>
              <w:t>2022</w:t>
            </w:r>
            <w:r>
              <w:rPr>
                <w:bCs/>
                <w:sz w:val="24"/>
              </w:rPr>
              <w:t>）后方可使用。</w:t>
            </w:r>
          </w:p>
          <w:p w14:paraId="70100297">
            <w:pPr>
              <w:spacing w:line="360" w:lineRule="auto"/>
              <w:ind w:firstLine="482" w:firstLineChars="200"/>
              <w:rPr>
                <w:b/>
                <w:bCs w:val="0"/>
                <w:sz w:val="24"/>
              </w:rPr>
            </w:pPr>
            <w:r>
              <w:rPr>
                <w:b/>
                <w:bCs w:val="0"/>
                <w:sz w:val="24"/>
              </w:rPr>
              <w:t>（二）施工废水污染防治措施</w:t>
            </w:r>
          </w:p>
          <w:p w14:paraId="31405537">
            <w:pPr>
              <w:spacing w:line="360" w:lineRule="auto"/>
              <w:ind w:firstLine="480" w:firstLineChars="200"/>
              <w:rPr>
                <w:bCs/>
                <w:sz w:val="24"/>
              </w:rPr>
            </w:pPr>
            <w:r>
              <w:rPr>
                <w:bCs/>
                <w:sz w:val="24"/>
              </w:rPr>
              <w:t>本项目施工期产生的废水主要包括施工废水和施工人员产生的生活污水。</w:t>
            </w:r>
          </w:p>
          <w:p w14:paraId="0C11EA49">
            <w:pPr>
              <w:spacing w:line="360" w:lineRule="auto"/>
              <w:ind w:firstLine="482" w:firstLineChars="200"/>
              <w:rPr>
                <w:bCs/>
                <w:sz w:val="24"/>
              </w:rPr>
            </w:pPr>
            <w:r>
              <w:rPr>
                <w:b/>
                <w:bCs w:val="0"/>
                <w:sz w:val="24"/>
              </w:rPr>
              <w:t>1 施工废水</w:t>
            </w:r>
          </w:p>
          <w:p w14:paraId="2655BB0D">
            <w:pPr>
              <w:spacing w:line="360" w:lineRule="auto"/>
              <w:ind w:firstLine="480" w:firstLineChars="200"/>
              <w:rPr>
                <w:bCs/>
                <w:sz w:val="24"/>
              </w:rPr>
            </w:pPr>
            <w:r>
              <w:rPr>
                <w:bCs/>
                <w:sz w:val="24"/>
              </w:rPr>
              <w:t>项目施工期施工废水主要产生于施工设备、车辆的冲洗过程，施工废水主要污染物为SS，SS浓度约为3000mg/L，拟设置一个临时隔油沉淀池进行收集、沉淀后回用于施工过程和施工场地的</w:t>
            </w:r>
            <w:r>
              <w:rPr>
                <w:rFonts w:hint="eastAsia"/>
                <w:bCs/>
                <w:sz w:val="24"/>
              </w:rPr>
              <w:t>洒</w:t>
            </w:r>
            <w:r>
              <w:rPr>
                <w:bCs/>
                <w:sz w:val="24"/>
              </w:rPr>
              <w:t>水降尘，不外排。</w:t>
            </w:r>
          </w:p>
          <w:p w14:paraId="41F5B4F8">
            <w:pPr>
              <w:spacing w:line="360" w:lineRule="auto"/>
              <w:ind w:firstLine="482" w:firstLineChars="200"/>
              <w:rPr>
                <w:b/>
                <w:bCs w:val="0"/>
                <w:sz w:val="24"/>
              </w:rPr>
            </w:pPr>
            <w:r>
              <w:rPr>
                <w:b/>
                <w:bCs w:val="0"/>
                <w:sz w:val="24"/>
              </w:rPr>
              <w:t>2 生活污水</w:t>
            </w:r>
          </w:p>
          <w:p w14:paraId="0A2C605E">
            <w:pPr>
              <w:spacing w:line="360" w:lineRule="auto"/>
              <w:ind w:firstLine="480" w:firstLineChars="200"/>
              <w:rPr>
                <w:bCs/>
                <w:sz w:val="24"/>
              </w:rPr>
            </w:pPr>
            <w:r>
              <w:rPr>
                <w:bCs/>
                <w:sz w:val="24"/>
              </w:rPr>
              <w:t>项目施工期现场施工人员均不在施工场地内食宿，施工期生活污水主要为如厕废水，废水产生量较少，水质较为简单，主要污染物为pH、COD、BOD</w:t>
            </w:r>
            <w:r>
              <w:rPr>
                <w:bCs/>
                <w:sz w:val="24"/>
                <w:vertAlign w:val="subscript"/>
              </w:rPr>
              <w:t>5</w:t>
            </w:r>
            <w:r>
              <w:rPr>
                <w:bCs/>
                <w:sz w:val="24"/>
              </w:rPr>
              <w:t>、NH</w:t>
            </w:r>
            <w:r>
              <w:rPr>
                <w:bCs/>
                <w:sz w:val="24"/>
                <w:vertAlign w:val="subscript"/>
              </w:rPr>
              <w:t>3</w:t>
            </w:r>
            <w:r>
              <w:rPr>
                <w:bCs/>
                <w:sz w:val="24"/>
              </w:rPr>
              <w:t>-N、SS等，其中COD浓度为350mg/L、BOD</w:t>
            </w:r>
            <w:r>
              <w:rPr>
                <w:bCs/>
                <w:sz w:val="24"/>
                <w:vertAlign w:val="subscript"/>
              </w:rPr>
              <w:t>5</w:t>
            </w:r>
            <w:r>
              <w:rPr>
                <w:bCs/>
                <w:sz w:val="24"/>
              </w:rPr>
              <w:t>浓度为250mg/L、SS浓度为300mg/L、NH</w:t>
            </w:r>
            <w:r>
              <w:rPr>
                <w:bCs/>
                <w:sz w:val="24"/>
                <w:vertAlign w:val="subscript"/>
              </w:rPr>
              <w:t>3</w:t>
            </w:r>
            <w:r>
              <w:rPr>
                <w:bCs/>
                <w:sz w:val="24"/>
              </w:rPr>
              <w:t>-N浓度为40mg/L、TP浓度为10mg/L。经化粪池处理后定期清掏做农肥，不外排。在采取上述措施后，施工期废水对项目所在区域水环境的影响较小。</w:t>
            </w:r>
          </w:p>
          <w:p w14:paraId="6379BA8E">
            <w:pPr>
              <w:spacing w:line="360" w:lineRule="auto"/>
              <w:ind w:firstLine="480" w:firstLineChars="200"/>
              <w:rPr>
                <w:bCs/>
                <w:sz w:val="24"/>
              </w:rPr>
            </w:pPr>
            <w:r>
              <w:rPr>
                <w:bCs/>
                <w:sz w:val="24"/>
              </w:rPr>
              <w:t>（三）施工噪声污染防治措施</w:t>
            </w:r>
          </w:p>
          <w:p w14:paraId="4FF6D392">
            <w:pPr>
              <w:spacing w:line="360" w:lineRule="auto"/>
              <w:ind w:firstLine="480" w:firstLineChars="200"/>
              <w:rPr>
                <w:bCs/>
                <w:sz w:val="24"/>
              </w:rPr>
            </w:pPr>
            <w:r>
              <w:rPr>
                <w:bCs/>
                <w:sz w:val="24"/>
              </w:rPr>
              <w:t>为了减轻施工期对周围环境及周边居民点的影响，施工单位应严格执行</w:t>
            </w:r>
            <w:r>
              <w:rPr>
                <w:color w:val="000000"/>
                <w:sz w:val="24"/>
                <w:szCs w:val="24"/>
              </w:rPr>
              <w:t>《建筑施工噪声排放标准》（GB12523-20</w:t>
            </w:r>
            <w:r>
              <w:rPr>
                <w:rFonts w:hint="eastAsia"/>
                <w:color w:val="000000"/>
                <w:sz w:val="24"/>
                <w:szCs w:val="24"/>
              </w:rPr>
              <w:t>25</w:t>
            </w:r>
            <w:r>
              <w:rPr>
                <w:color w:val="000000"/>
                <w:sz w:val="24"/>
                <w:szCs w:val="24"/>
              </w:rPr>
              <w:t>）</w:t>
            </w:r>
            <w:r>
              <w:rPr>
                <w:bCs/>
                <w:sz w:val="24"/>
              </w:rPr>
              <w:t>的要求，合理安排施工计划并采取较严格的施工管理措施，应做到：</w:t>
            </w:r>
          </w:p>
          <w:p w14:paraId="4B1F56CA">
            <w:pPr>
              <w:spacing w:line="360" w:lineRule="auto"/>
              <w:ind w:firstLine="480" w:firstLineChars="200"/>
              <w:rPr>
                <w:bCs/>
                <w:sz w:val="24"/>
              </w:rPr>
            </w:pPr>
            <w:r>
              <w:rPr>
                <w:rFonts w:hint="eastAsia"/>
                <w:bCs/>
                <w:sz w:val="24"/>
              </w:rPr>
              <w:t>①</w:t>
            </w:r>
            <w:r>
              <w:rPr>
                <w:bCs/>
                <w:sz w:val="24"/>
              </w:rPr>
              <w:t>合理布置施工现场：项目施工时，应该合理配置各种机械的摆放位置，尽量分散摆放。噪声量大的机械摆放尽量远离项目边界，尽量安排多台设备同时作业，缩短影响时间。将施工现场的固定振动源相对集中，以减少振动干扰范围。</w:t>
            </w:r>
          </w:p>
          <w:p w14:paraId="0C51598E">
            <w:pPr>
              <w:spacing w:line="360" w:lineRule="auto"/>
              <w:ind w:firstLine="480" w:firstLineChars="200"/>
              <w:rPr>
                <w:bCs/>
                <w:sz w:val="24"/>
              </w:rPr>
            </w:pPr>
            <w:r>
              <w:rPr>
                <w:rFonts w:hint="eastAsia" w:ascii="宋体" w:hAnsi="宋体" w:cs="宋体"/>
                <w:bCs/>
                <w:sz w:val="24"/>
              </w:rPr>
              <w:t>②</w:t>
            </w:r>
            <w:r>
              <w:rPr>
                <w:bCs/>
                <w:sz w:val="24"/>
              </w:rPr>
              <w:t>降低设备声级，采用较先进、噪声较低的施工设备；固定机械设备可通过排气管加装</w:t>
            </w:r>
            <w:r>
              <w:rPr>
                <w:rFonts w:hint="eastAsia"/>
                <w:bCs/>
                <w:sz w:val="24"/>
                <w:lang w:eastAsia="zh-CN"/>
              </w:rPr>
              <w:t>消声器</w:t>
            </w:r>
            <w:r>
              <w:rPr>
                <w:bCs/>
                <w:sz w:val="24"/>
              </w:rPr>
              <w:t>和隔离发动机振动部件的方法降低噪声；对动力机械设备定期进行维修和养护，避免因松动部件振动或消声器损坏而加大设备工作时的声级；废弃不用的设备应立即关闭，运输车辆进入现场应减速，并较少鸣笛。</w:t>
            </w:r>
          </w:p>
          <w:p w14:paraId="27E54BB8">
            <w:pPr>
              <w:spacing w:line="360" w:lineRule="auto"/>
              <w:ind w:firstLine="480" w:firstLineChars="200"/>
              <w:rPr>
                <w:bCs/>
                <w:sz w:val="24"/>
              </w:rPr>
            </w:pPr>
            <w:r>
              <w:rPr>
                <w:rFonts w:hint="eastAsia" w:ascii="宋体" w:hAnsi="宋体" w:cs="宋体"/>
                <w:bCs/>
                <w:sz w:val="24"/>
              </w:rPr>
              <w:t>③</w:t>
            </w:r>
            <w:r>
              <w:rPr>
                <w:bCs/>
                <w:sz w:val="24"/>
              </w:rPr>
              <w:t>设置2m高的隔声围挡，合理布局施工现场，避免在同一地点安排大量动力机械设备，以避免局部声级过高，以减少施工期对敏感目标的影响。</w:t>
            </w:r>
          </w:p>
          <w:p w14:paraId="22968EFD">
            <w:pPr>
              <w:spacing w:line="360" w:lineRule="auto"/>
              <w:ind w:firstLine="480" w:firstLineChars="200"/>
              <w:rPr>
                <w:bCs/>
                <w:sz w:val="24"/>
              </w:rPr>
            </w:pPr>
            <w:r>
              <w:rPr>
                <w:rFonts w:hint="eastAsia" w:ascii="宋体" w:hAnsi="宋体" w:cs="宋体"/>
                <w:bCs/>
                <w:sz w:val="24"/>
              </w:rPr>
              <w:t>④</w:t>
            </w:r>
            <w:r>
              <w:rPr>
                <w:bCs/>
                <w:sz w:val="24"/>
              </w:rPr>
              <w:t>减少人为噪声，模板、支架拆卸过程中应遵守作业规定，减少碰撞</w:t>
            </w:r>
            <w:r>
              <w:rPr>
                <w:rFonts w:hint="eastAsia"/>
                <w:bCs/>
                <w:sz w:val="24"/>
                <w:lang w:eastAsia="zh-CN"/>
              </w:rPr>
              <w:t>噪声</w:t>
            </w:r>
            <w:r>
              <w:rPr>
                <w:bCs/>
                <w:sz w:val="24"/>
              </w:rPr>
              <w:t>；尽量减少用哨子、喇叭等指挥作业，减少人为噪声。</w:t>
            </w:r>
          </w:p>
          <w:p w14:paraId="04F83BC8">
            <w:pPr>
              <w:spacing w:line="360" w:lineRule="auto"/>
              <w:ind w:firstLine="480" w:firstLineChars="200"/>
              <w:rPr>
                <w:bCs/>
                <w:sz w:val="24"/>
              </w:rPr>
            </w:pPr>
            <w:r>
              <w:rPr>
                <w:rFonts w:hint="eastAsia" w:ascii="宋体" w:hAnsi="宋体" w:cs="宋体"/>
                <w:bCs/>
                <w:sz w:val="24"/>
              </w:rPr>
              <w:t>⑤</w:t>
            </w:r>
            <w:r>
              <w:rPr>
                <w:bCs/>
                <w:sz w:val="24"/>
              </w:rPr>
              <w:t>合理安排施工时间，禁止施工单位夜间施工；施工单位应合理安排好施工时间，施工时间严格控制在7</w:t>
            </w:r>
            <w:r>
              <w:rPr>
                <w:rFonts w:hint="eastAsia"/>
                <w:bCs/>
                <w:sz w:val="24"/>
              </w:rPr>
              <w:t>：</w:t>
            </w:r>
            <w:r>
              <w:rPr>
                <w:bCs/>
                <w:sz w:val="24"/>
              </w:rPr>
              <w:t>00-12</w:t>
            </w:r>
            <w:r>
              <w:rPr>
                <w:rFonts w:hint="eastAsia"/>
                <w:bCs/>
                <w:sz w:val="24"/>
              </w:rPr>
              <w:t>：</w:t>
            </w:r>
            <w:r>
              <w:rPr>
                <w:bCs/>
                <w:sz w:val="24"/>
              </w:rPr>
              <w:t>00、14</w:t>
            </w:r>
            <w:r>
              <w:rPr>
                <w:rFonts w:hint="eastAsia"/>
                <w:bCs/>
                <w:sz w:val="24"/>
              </w:rPr>
              <w:t>：</w:t>
            </w:r>
            <w:r>
              <w:rPr>
                <w:bCs/>
                <w:sz w:val="24"/>
              </w:rPr>
              <w:t>00-20</w:t>
            </w:r>
            <w:r>
              <w:rPr>
                <w:rFonts w:hint="eastAsia"/>
                <w:bCs/>
                <w:sz w:val="24"/>
              </w:rPr>
              <w:t>：</w:t>
            </w:r>
            <w:r>
              <w:rPr>
                <w:bCs/>
                <w:sz w:val="24"/>
              </w:rPr>
              <w:t>00两个时段，防止施工噪声对环境造成影响。施工期边界噪声执行</w:t>
            </w:r>
            <w:r>
              <w:rPr>
                <w:color w:val="000000"/>
                <w:sz w:val="24"/>
                <w:szCs w:val="24"/>
              </w:rPr>
              <w:t>《建筑施工噪声排放标准》（GB12523-20</w:t>
            </w:r>
            <w:r>
              <w:rPr>
                <w:rFonts w:hint="eastAsia"/>
                <w:color w:val="000000"/>
                <w:sz w:val="24"/>
                <w:szCs w:val="24"/>
              </w:rPr>
              <w:t>25</w:t>
            </w:r>
            <w:r>
              <w:rPr>
                <w:color w:val="000000"/>
                <w:sz w:val="24"/>
                <w:szCs w:val="24"/>
              </w:rPr>
              <w:t>）</w:t>
            </w:r>
            <w:r>
              <w:rPr>
                <w:bCs/>
                <w:sz w:val="24"/>
              </w:rPr>
              <w:t>。严禁在12</w:t>
            </w:r>
            <w:r>
              <w:rPr>
                <w:rFonts w:hint="eastAsia"/>
                <w:bCs/>
                <w:sz w:val="24"/>
              </w:rPr>
              <w:t>：</w:t>
            </w:r>
            <w:r>
              <w:rPr>
                <w:bCs/>
                <w:sz w:val="24"/>
              </w:rPr>
              <w:t>00~14</w:t>
            </w:r>
            <w:r>
              <w:rPr>
                <w:rFonts w:hint="eastAsia"/>
                <w:bCs/>
                <w:sz w:val="24"/>
              </w:rPr>
              <w:t>：</w:t>
            </w:r>
            <w:r>
              <w:rPr>
                <w:bCs/>
                <w:sz w:val="24"/>
              </w:rPr>
              <w:t>00、22</w:t>
            </w:r>
            <w:r>
              <w:rPr>
                <w:rFonts w:hint="eastAsia"/>
                <w:bCs/>
                <w:sz w:val="24"/>
              </w:rPr>
              <w:t>：</w:t>
            </w:r>
            <w:r>
              <w:rPr>
                <w:bCs/>
                <w:sz w:val="24"/>
              </w:rPr>
              <w:t>00~6</w:t>
            </w:r>
            <w:r>
              <w:rPr>
                <w:rFonts w:hint="eastAsia"/>
                <w:bCs/>
                <w:sz w:val="24"/>
              </w:rPr>
              <w:t>：</w:t>
            </w:r>
            <w:r>
              <w:rPr>
                <w:bCs/>
                <w:sz w:val="24"/>
              </w:rPr>
              <w:t>00期间施工，如必须在此期间施工，需</w:t>
            </w:r>
            <w:r>
              <w:rPr>
                <w:rFonts w:hint="eastAsia"/>
                <w:bCs/>
                <w:sz w:val="24"/>
              </w:rPr>
              <w:t>事先</w:t>
            </w:r>
            <w:r>
              <w:rPr>
                <w:bCs/>
                <w:sz w:val="24"/>
              </w:rPr>
              <w:t>征得当地环境主管部门同意。</w:t>
            </w:r>
          </w:p>
          <w:p w14:paraId="421A2027">
            <w:pPr>
              <w:spacing w:line="360" w:lineRule="auto"/>
              <w:ind w:firstLine="480" w:firstLineChars="200"/>
              <w:rPr>
                <w:bCs/>
                <w:sz w:val="24"/>
              </w:rPr>
            </w:pPr>
            <w:r>
              <w:rPr>
                <w:rFonts w:hint="eastAsia" w:ascii="宋体" w:hAnsi="宋体" w:cs="宋体"/>
                <w:bCs/>
                <w:sz w:val="24"/>
              </w:rPr>
              <w:t>⑥</w:t>
            </w:r>
            <w:r>
              <w:rPr>
                <w:bCs/>
                <w:sz w:val="24"/>
              </w:rPr>
              <w:t>施工场地的施工车辆出入时间合理安排，车辆出入现场时应低速、禁鸣。</w:t>
            </w:r>
          </w:p>
          <w:p w14:paraId="7F50505B">
            <w:pPr>
              <w:spacing w:line="360" w:lineRule="auto"/>
              <w:ind w:firstLine="480" w:firstLineChars="200"/>
              <w:rPr>
                <w:bCs/>
                <w:sz w:val="24"/>
              </w:rPr>
            </w:pPr>
            <w:r>
              <w:rPr>
                <w:rFonts w:hint="eastAsia" w:ascii="宋体" w:hAnsi="宋体" w:cs="宋体"/>
                <w:bCs/>
                <w:sz w:val="24"/>
              </w:rPr>
              <w:t>⑦</w:t>
            </w:r>
            <w:r>
              <w:rPr>
                <w:bCs/>
                <w:sz w:val="24"/>
              </w:rPr>
              <w:t>建设</w:t>
            </w:r>
            <w:r>
              <w:rPr>
                <w:rFonts w:hint="eastAsia"/>
                <w:bCs/>
                <w:sz w:val="24"/>
              </w:rPr>
              <w:t>单位</w:t>
            </w:r>
            <w:r>
              <w:rPr>
                <w:bCs/>
                <w:sz w:val="24"/>
              </w:rPr>
              <w:t>与施工单位还应与施工场地周围单位和群众建立良好的关系，及时让他们了解施工进度及采取的降噪措施，并取得大家的共同理解。</w:t>
            </w:r>
          </w:p>
          <w:p w14:paraId="4727AB3E">
            <w:pPr>
              <w:spacing w:line="360" w:lineRule="auto"/>
              <w:ind w:firstLine="480" w:firstLineChars="200"/>
              <w:rPr>
                <w:bCs/>
                <w:sz w:val="24"/>
              </w:rPr>
            </w:pPr>
            <w:r>
              <w:rPr>
                <w:rFonts w:hint="eastAsia" w:ascii="宋体" w:hAnsi="宋体" w:cs="宋体"/>
                <w:bCs/>
                <w:sz w:val="24"/>
              </w:rPr>
              <w:t>⑧</w:t>
            </w:r>
            <w:r>
              <w:rPr>
                <w:bCs/>
                <w:sz w:val="24"/>
              </w:rPr>
              <w:t>在施工过程中，采用商品混凝土、大型建筑构件，应在施工现场外预制然后运到施工现场再行安装。通过采取以上措施，可确保施工场界噪声达到</w:t>
            </w:r>
            <w:r>
              <w:rPr>
                <w:color w:val="000000"/>
                <w:sz w:val="24"/>
                <w:szCs w:val="24"/>
              </w:rPr>
              <w:t>《建筑施工噪声排放标准》（GB12523-20</w:t>
            </w:r>
            <w:r>
              <w:rPr>
                <w:rFonts w:hint="eastAsia"/>
                <w:color w:val="000000"/>
                <w:sz w:val="24"/>
                <w:szCs w:val="24"/>
              </w:rPr>
              <w:t>25</w:t>
            </w:r>
            <w:r>
              <w:rPr>
                <w:color w:val="000000"/>
                <w:sz w:val="24"/>
                <w:szCs w:val="24"/>
              </w:rPr>
              <w:t>）</w:t>
            </w:r>
            <w:r>
              <w:rPr>
                <w:bCs/>
                <w:sz w:val="24"/>
              </w:rPr>
              <w:t>限值要求。由于施工期噪声是阶段性的，随着施工期的结束，噪声的影响也将结束。故项目建设单位应抓紧开展施工，在符合工程质量要求的前提下，尽量将影响周期缩短。</w:t>
            </w:r>
          </w:p>
          <w:p w14:paraId="57E150D9">
            <w:pPr>
              <w:spacing w:line="360" w:lineRule="auto"/>
              <w:ind w:firstLine="480" w:firstLineChars="200"/>
              <w:rPr>
                <w:bCs/>
                <w:sz w:val="24"/>
              </w:rPr>
            </w:pPr>
            <w:r>
              <w:rPr>
                <w:bCs/>
                <w:sz w:val="24"/>
              </w:rPr>
              <w:t>（四）施工固废污染防治措施</w:t>
            </w:r>
          </w:p>
          <w:p w14:paraId="79E7812D">
            <w:pPr>
              <w:spacing w:line="360" w:lineRule="auto"/>
              <w:ind w:firstLine="480" w:firstLineChars="200"/>
              <w:rPr>
                <w:bCs/>
                <w:sz w:val="24"/>
              </w:rPr>
            </w:pPr>
            <w:r>
              <w:rPr>
                <w:bCs/>
                <w:sz w:val="24"/>
              </w:rPr>
              <w:t>本项目施工期固体废物主要包括建筑垃圾、施工人员生活垃圾。</w:t>
            </w:r>
          </w:p>
          <w:p w14:paraId="41538E37">
            <w:pPr>
              <w:spacing w:line="360" w:lineRule="auto"/>
              <w:ind w:firstLine="480" w:firstLineChars="200"/>
              <w:rPr>
                <w:bCs/>
                <w:sz w:val="24"/>
              </w:rPr>
            </w:pPr>
            <w:r>
              <w:rPr>
                <w:bCs/>
                <w:sz w:val="24"/>
              </w:rPr>
              <w:t>1 建筑垃圾</w:t>
            </w:r>
          </w:p>
          <w:p w14:paraId="3D8398FD">
            <w:pPr>
              <w:spacing w:line="360" w:lineRule="auto"/>
              <w:ind w:firstLine="480" w:firstLineChars="200"/>
              <w:rPr>
                <w:bCs/>
                <w:sz w:val="24"/>
              </w:rPr>
            </w:pPr>
            <w:r>
              <w:rPr>
                <w:bCs/>
                <w:sz w:val="24"/>
              </w:rPr>
              <w:t>建筑垃圾尽可能回收利用，对不能利用的建筑垃圾，按指定的时间、路线运输到倾倒场地，不得超载运输，不得车轮带泥，不得遗撒、泄露运载建筑垃圾</w:t>
            </w:r>
            <w:r>
              <w:rPr>
                <w:rFonts w:hint="eastAsia"/>
                <w:bCs/>
                <w:sz w:val="24"/>
              </w:rPr>
              <w:t>。</w:t>
            </w:r>
            <w:r>
              <w:rPr>
                <w:bCs/>
                <w:sz w:val="24"/>
              </w:rPr>
              <w:t>运输单位在清运时间内组织人力、物力或委托专业市容环境卫生服务单位做好沿途的污染清理工作；清运过程中造成交通安全设施损坏的，应予以赔偿。因此，通过当地城市管理和综合执法局、建设单位及工程施工单位加强管</w:t>
            </w:r>
            <w:r>
              <w:rPr>
                <w:rFonts w:hint="eastAsia"/>
                <w:bCs/>
                <w:sz w:val="24"/>
              </w:rPr>
              <w:t>理，</w:t>
            </w:r>
            <w:r>
              <w:rPr>
                <w:bCs/>
                <w:sz w:val="24"/>
              </w:rPr>
              <w:t>建筑垃圾对区域环境不会构成环境影响。</w:t>
            </w:r>
          </w:p>
          <w:p w14:paraId="7C9106E9">
            <w:pPr>
              <w:spacing w:line="360" w:lineRule="auto"/>
              <w:ind w:firstLine="480" w:firstLineChars="200"/>
              <w:rPr>
                <w:bCs/>
                <w:sz w:val="24"/>
              </w:rPr>
            </w:pPr>
            <w:r>
              <w:rPr>
                <w:bCs/>
                <w:sz w:val="24"/>
              </w:rPr>
              <w:t>2 生活垃圾</w:t>
            </w:r>
          </w:p>
          <w:p w14:paraId="62C31327">
            <w:pPr>
              <w:spacing w:line="360" w:lineRule="auto"/>
              <w:ind w:firstLine="480" w:firstLineChars="200"/>
              <w:rPr>
                <w:bCs/>
                <w:sz w:val="24"/>
              </w:rPr>
            </w:pPr>
            <w:r>
              <w:rPr>
                <w:bCs/>
                <w:sz w:val="24"/>
              </w:rPr>
              <w:t>项目施工期施工人员产生的生活垃圾分类集中收集后由环卫部门统一清运处理，对环境影响较小。</w:t>
            </w:r>
          </w:p>
          <w:p w14:paraId="70C29868">
            <w:pPr>
              <w:spacing w:line="360" w:lineRule="auto"/>
              <w:ind w:firstLine="480" w:firstLineChars="200"/>
              <w:rPr>
                <w:bCs/>
                <w:sz w:val="24"/>
              </w:rPr>
            </w:pPr>
            <w:r>
              <w:rPr>
                <w:bCs/>
                <w:sz w:val="24"/>
              </w:rPr>
              <w:t>（五）生态环境保护措施</w:t>
            </w:r>
          </w:p>
          <w:p w14:paraId="745DB46E">
            <w:pPr>
              <w:spacing w:line="360" w:lineRule="auto"/>
              <w:ind w:firstLine="480" w:firstLineChars="200"/>
              <w:rPr>
                <w:bCs/>
                <w:sz w:val="24"/>
              </w:rPr>
            </w:pPr>
            <w:r>
              <w:rPr>
                <w:bCs/>
                <w:sz w:val="24"/>
              </w:rPr>
              <w:t>施工期生态环境影响主要表现</w:t>
            </w:r>
            <w:r>
              <w:rPr>
                <w:rFonts w:hint="eastAsia"/>
                <w:bCs/>
                <w:sz w:val="24"/>
              </w:rPr>
              <w:t>在</w:t>
            </w:r>
            <w:r>
              <w:rPr>
                <w:bCs/>
                <w:sz w:val="24"/>
              </w:rPr>
              <w:t>土地利用性质的改变及水土流失的问题施工期在建设施工中由于开挖地面、机械碾压、排放废弃物等原因，施工破坏了原有的地貌和植被，扰动了表土结构，致使土壤抗蚀能力降低。</w:t>
            </w:r>
          </w:p>
          <w:p w14:paraId="49DFDA78">
            <w:pPr>
              <w:spacing w:line="360" w:lineRule="auto"/>
              <w:ind w:firstLine="480" w:firstLineChars="200"/>
              <w:rPr>
                <w:bCs/>
                <w:sz w:val="24"/>
              </w:rPr>
            </w:pPr>
            <w:r>
              <w:rPr>
                <w:bCs/>
                <w:sz w:val="24"/>
              </w:rPr>
              <w:t>本项目施工期应加强水土保持措施。本次评价提出施工中应采取如下生态防护措施：</w:t>
            </w:r>
          </w:p>
          <w:p w14:paraId="2BCD06D6">
            <w:pPr>
              <w:spacing w:line="360" w:lineRule="auto"/>
              <w:ind w:firstLine="480" w:firstLineChars="200"/>
              <w:rPr>
                <w:bCs/>
                <w:sz w:val="24"/>
              </w:rPr>
            </w:pPr>
            <w:r>
              <w:rPr>
                <w:rFonts w:hint="eastAsia" w:ascii="宋体" w:hAnsi="宋体" w:cs="宋体"/>
                <w:bCs/>
                <w:sz w:val="24"/>
              </w:rPr>
              <w:t>①</w:t>
            </w:r>
            <w:r>
              <w:rPr>
                <w:bCs/>
                <w:sz w:val="24"/>
              </w:rPr>
              <w:t>与气象部门密切联系，及时掌握暴雨等灾害性天气情况，事先掌握施工地点所在区域暴雨的时间和特点，合理制定施工计划，以便在暴雨前及时对施工场地进行清理，减缓暴雨对开挖路面的剧烈冲刷，减少水土流失。</w:t>
            </w:r>
          </w:p>
          <w:p w14:paraId="738C0007">
            <w:pPr>
              <w:spacing w:line="360" w:lineRule="auto"/>
              <w:ind w:firstLine="480" w:firstLineChars="200"/>
              <w:rPr>
                <w:bCs/>
                <w:sz w:val="24"/>
              </w:rPr>
            </w:pPr>
            <w:r>
              <w:rPr>
                <w:rFonts w:hint="eastAsia" w:ascii="宋体" w:hAnsi="宋体" w:cs="宋体"/>
                <w:bCs/>
                <w:sz w:val="24"/>
              </w:rPr>
              <w:t>②</w:t>
            </w:r>
            <w:r>
              <w:rPr>
                <w:bCs/>
                <w:sz w:val="24"/>
              </w:rPr>
              <w:t>施工过程中在挖填施工场地周围</w:t>
            </w:r>
            <w:r>
              <w:rPr>
                <w:rFonts w:hint="eastAsia"/>
                <w:bCs/>
                <w:sz w:val="24"/>
                <w:lang w:eastAsia="zh-CN"/>
              </w:rPr>
              <w:t>设置</w:t>
            </w:r>
            <w:r>
              <w:rPr>
                <w:bCs/>
                <w:sz w:val="24"/>
              </w:rPr>
              <w:t>临时排洪沟，确保暴雨时不出现大量水土流失。</w:t>
            </w:r>
          </w:p>
          <w:p w14:paraId="5CEA06E6">
            <w:pPr>
              <w:spacing w:line="360" w:lineRule="auto"/>
              <w:ind w:firstLine="480" w:firstLineChars="200"/>
              <w:rPr>
                <w:bCs/>
                <w:sz w:val="24"/>
              </w:rPr>
            </w:pPr>
            <w:r>
              <w:rPr>
                <w:rFonts w:hint="eastAsia" w:ascii="宋体" w:hAnsi="宋体" w:cs="宋体"/>
                <w:bCs/>
                <w:sz w:val="24"/>
              </w:rPr>
              <w:t>③</w:t>
            </w:r>
            <w:r>
              <w:rPr>
                <w:bCs/>
                <w:sz w:val="24"/>
              </w:rPr>
              <w:t>本项目施工路段的泥沙容易随水流进入周边水体，因此施工中须重视沉沙池的建设，使施工排水经沉沙池沉淀泥沙后用于道路浇</w:t>
            </w:r>
            <w:r>
              <w:rPr>
                <w:rFonts w:hint="eastAsia"/>
                <w:bCs/>
                <w:sz w:val="24"/>
              </w:rPr>
              <w:t>洒；</w:t>
            </w:r>
            <w:r>
              <w:rPr>
                <w:bCs/>
                <w:sz w:val="24"/>
              </w:rPr>
              <w:t>同时注意沉沙池中泥沙量的增加堆积，及时进行清理。</w:t>
            </w:r>
          </w:p>
          <w:p w14:paraId="19179739">
            <w:pPr>
              <w:snapToGrid w:val="0"/>
              <w:spacing w:line="360" w:lineRule="auto"/>
              <w:ind w:firstLine="470" w:firstLineChars="196"/>
              <w:rPr>
                <w:bCs/>
                <w:sz w:val="24"/>
              </w:rPr>
            </w:pPr>
            <w:r>
              <w:rPr>
                <w:rFonts w:hint="eastAsia" w:ascii="宋体" w:hAnsi="宋体" w:cs="宋体"/>
                <w:bCs/>
                <w:sz w:val="24"/>
              </w:rPr>
              <w:t>④</w:t>
            </w:r>
            <w:r>
              <w:rPr>
                <w:bCs/>
                <w:sz w:val="24"/>
              </w:rPr>
              <w:t>对堆料进行防尘网覆盖，防止遇上雨季被雨水冲刷，污染周围环境。各项水土保持措施实施以后，能够有效地控制工程建设可能产生的水土流失。方案实施后，场地均进行硬化，可防止因开发建设而新增的水土流失。</w:t>
            </w:r>
          </w:p>
        </w:tc>
      </w:tr>
      <w:tr w14:paraId="5C488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07" w:type="pct"/>
            <w:tcMar>
              <w:top w:w="0" w:type="dxa"/>
              <w:left w:w="28" w:type="dxa"/>
              <w:bottom w:w="0" w:type="dxa"/>
              <w:right w:w="28" w:type="dxa"/>
            </w:tcMar>
            <w:vAlign w:val="center"/>
          </w:tcPr>
          <w:p w14:paraId="6327AD67">
            <w:pPr>
              <w:adjustRightInd w:val="0"/>
              <w:snapToGrid w:val="0"/>
              <w:spacing w:line="360" w:lineRule="auto"/>
              <w:jc w:val="center"/>
              <w:rPr>
                <w:bCs/>
                <w:color w:val="FF0000"/>
                <w:sz w:val="24"/>
                <w:szCs w:val="24"/>
              </w:rPr>
            </w:pPr>
            <w:r>
              <w:rPr>
                <w:bCs/>
                <w:color w:val="000000"/>
                <w:sz w:val="24"/>
                <w:szCs w:val="24"/>
              </w:rPr>
              <w:t>运营期环境影响和保护措施</w:t>
            </w:r>
          </w:p>
        </w:tc>
        <w:tc>
          <w:tcPr>
            <w:tcW w:w="4693" w:type="pct"/>
            <w:vAlign w:val="center"/>
          </w:tcPr>
          <w:p w14:paraId="0434410E">
            <w:pPr>
              <w:adjustRightInd w:val="0"/>
              <w:snapToGrid w:val="0"/>
              <w:spacing w:line="360" w:lineRule="auto"/>
              <w:rPr>
                <w:b/>
                <w:bCs/>
                <w:color w:val="000000"/>
                <w:sz w:val="24"/>
                <w:szCs w:val="24"/>
              </w:rPr>
            </w:pPr>
            <w:r>
              <w:rPr>
                <w:b/>
                <w:bCs/>
                <w:color w:val="000000"/>
                <w:sz w:val="24"/>
                <w:szCs w:val="24"/>
              </w:rPr>
              <w:t>1 废气</w:t>
            </w:r>
          </w:p>
          <w:p w14:paraId="63B07A7E">
            <w:pPr>
              <w:adjustRightInd w:val="0"/>
              <w:snapToGrid w:val="0"/>
              <w:spacing w:line="360" w:lineRule="auto"/>
              <w:rPr>
                <w:b/>
                <w:bCs/>
                <w:color w:val="000000"/>
                <w:sz w:val="24"/>
                <w:szCs w:val="24"/>
              </w:rPr>
            </w:pPr>
            <w:r>
              <w:rPr>
                <w:b/>
                <w:bCs/>
                <w:color w:val="000000"/>
                <w:sz w:val="24"/>
                <w:szCs w:val="24"/>
              </w:rPr>
              <w:t>1.1废气源强</w:t>
            </w:r>
          </w:p>
          <w:p w14:paraId="04582DC3">
            <w:pPr>
              <w:adjustRightInd w:val="0"/>
              <w:snapToGrid w:val="0"/>
              <w:spacing w:line="360" w:lineRule="auto"/>
              <w:ind w:firstLine="480" w:firstLineChars="200"/>
              <w:rPr>
                <w:rStyle w:val="87"/>
                <w:rFonts w:ascii="Times New Roman" w:hAnsi="Times New Roman"/>
                <w:color w:val="000000"/>
              </w:rPr>
            </w:pPr>
            <w:r>
              <w:rPr>
                <w:rStyle w:val="87"/>
                <w:rFonts w:hint="eastAsia" w:ascii="Times New Roman" w:hAnsi="Times New Roman"/>
                <w:color w:val="000000"/>
              </w:rPr>
              <w:t>根据本项目工艺流程和产排污环节分析内容，本项目运营期废气主要是污水处理工序产生的</w:t>
            </w:r>
            <w:r>
              <w:rPr>
                <w:rStyle w:val="87"/>
                <w:rFonts w:hint="eastAsia" w:ascii="Times New Roman" w:hAnsi="Times New Roman"/>
                <w:color w:val="000000"/>
                <w:highlight w:val="none"/>
              </w:rPr>
              <w:t>污水处理站废气</w:t>
            </w:r>
            <w:r>
              <w:rPr>
                <w:rStyle w:val="87"/>
                <w:rFonts w:hint="eastAsia"/>
                <w:color w:val="000000"/>
                <w:highlight w:val="none"/>
                <w:lang w:eastAsia="zh-CN"/>
              </w:rPr>
              <w:t>、医疗废物暂存废气、</w:t>
            </w:r>
            <w:r>
              <w:rPr>
                <w:rStyle w:val="87"/>
                <w:rFonts w:hint="eastAsia"/>
                <w:color w:val="000000"/>
                <w:highlight w:val="none"/>
                <w:lang w:val="en-US" w:eastAsia="zh-CN"/>
              </w:rPr>
              <w:t>一般固废暂存废气</w:t>
            </w:r>
            <w:r>
              <w:rPr>
                <w:rStyle w:val="87"/>
                <w:rFonts w:hint="eastAsia"/>
                <w:color w:val="000000"/>
                <w:highlight w:val="none"/>
                <w:lang w:eastAsia="zh-CN"/>
              </w:rPr>
              <w:t>、消毒水异味、汽车尾气、</w:t>
            </w:r>
            <w:r>
              <w:rPr>
                <w:rStyle w:val="87"/>
                <w:rFonts w:hint="eastAsia"/>
                <w:color w:val="000000"/>
                <w:highlight w:val="none"/>
                <w:lang w:val="en-US" w:eastAsia="zh-CN"/>
              </w:rPr>
              <w:t>食堂油烟等</w:t>
            </w:r>
            <w:r>
              <w:rPr>
                <w:rStyle w:val="87"/>
                <w:rFonts w:ascii="Times New Roman" w:hAnsi="Times New Roman"/>
                <w:color w:val="000000"/>
              </w:rPr>
              <w:t>。</w:t>
            </w:r>
          </w:p>
          <w:p w14:paraId="7F880F76">
            <w:pPr>
              <w:spacing w:line="360" w:lineRule="auto"/>
              <w:ind w:firstLine="482" w:firstLineChars="200"/>
              <w:rPr>
                <w:rFonts w:hint="eastAsia"/>
                <w:b/>
                <w:bCs/>
                <w:sz w:val="24"/>
                <w:szCs w:val="24"/>
              </w:rPr>
            </w:pPr>
            <w:r>
              <w:rPr>
                <w:rFonts w:hint="eastAsia"/>
                <w:b/>
                <w:bCs/>
                <w:sz w:val="24"/>
                <w:szCs w:val="24"/>
              </w:rPr>
              <w:t>医疗废物暂存废气</w:t>
            </w:r>
          </w:p>
          <w:p w14:paraId="0DC9A516">
            <w:pPr>
              <w:spacing w:line="360" w:lineRule="auto"/>
              <w:ind w:firstLine="480" w:firstLineChars="200"/>
              <w:rPr>
                <w:sz w:val="24"/>
                <w:szCs w:val="24"/>
              </w:rPr>
            </w:pPr>
            <w:r>
              <w:rPr>
                <w:rFonts w:hint="eastAsia"/>
                <w:sz w:val="24"/>
                <w:szCs w:val="24"/>
              </w:rPr>
              <w:t>本项目设置医疗废物暂存间，医疗废物堆积会产生一定的异味，以臭气浓度表征，如不及时清运，将对大气环境产生一定影响。医疗废物通过专用容器及防漏胶带密封，并分类储存，限制垃圾存放时间，及时收集医疗废物，定期交由有资质单位处理。通过加强管理，医疗废物暂存间应定期消毒杀菌，加强通风，避免滋生细菌，可有效</w:t>
            </w:r>
            <w:r>
              <w:rPr>
                <w:rFonts w:hint="eastAsia"/>
                <w:sz w:val="24"/>
                <w:szCs w:val="24"/>
                <w:lang w:eastAsia="zh-CN"/>
              </w:rPr>
              <w:t>减少</w:t>
            </w:r>
            <w:r>
              <w:rPr>
                <w:rFonts w:hint="eastAsia"/>
                <w:sz w:val="24"/>
                <w:szCs w:val="24"/>
              </w:rPr>
              <w:t>异味对周边大气环境的影响。本次评价对医疗废物暂存间产生的恶臭气体不进行定量分析。</w:t>
            </w:r>
          </w:p>
          <w:p w14:paraId="10C1723A">
            <w:pPr>
              <w:adjustRightInd w:val="0"/>
              <w:snapToGrid w:val="0"/>
              <w:spacing w:line="360" w:lineRule="auto"/>
              <w:ind w:firstLine="482" w:firstLineChars="200"/>
              <w:rPr>
                <w:rStyle w:val="87"/>
                <w:rFonts w:hint="default" w:ascii="Times New Roman" w:hAnsi="Times New Roman" w:eastAsia="宋体"/>
                <w:color w:val="000000"/>
                <w:lang w:val="en-US" w:eastAsia="zh-CN"/>
              </w:rPr>
            </w:pPr>
            <w:r>
              <w:rPr>
                <w:rStyle w:val="87"/>
                <w:rFonts w:hint="eastAsia"/>
                <w:b/>
                <w:bCs/>
                <w:color w:val="000000"/>
                <w:lang w:val="en-US" w:eastAsia="zh-CN"/>
              </w:rPr>
              <w:t>一般固废暂存废气</w:t>
            </w:r>
          </w:p>
          <w:p w14:paraId="4C7FA038">
            <w:pPr>
              <w:adjustRightInd w:val="0"/>
              <w:snapToGrid w:val="0"/>
              <w:spacing w:line="360" w:lineRule="auto"/>
              <w:ind w:firstLine="480" w:firstLineChars="200"/>
              <w:rPr>
                <w:rStyle w:val="87"/>
                <w:rFonts w:hint="eastAsia" w:ascii="Times New Roman" w:hAnsi="Times New Roman"/>
                <w:color w:val="000000"/>
              </w:rPr>
            </w:pPr>
            <w:r>
              <w:rPr>
                <w:rStyle w:val="87"/>
                <w:rFonts w:hint="eastAsia" w:ascii="Times New Roman" w:hAnsi="Times New Roman"/>
                <w:color w:val="000000"/>
              </w:rPr>
              <w:t>一般固废仓库主要储存未被污染的输液瓶（袋）、废包装材料以及待周转清运的生活垃圾、餐厨垃圾（包括废油脂），一般固废仓库臭气主要来源为生活垃圾。</w:t>
            </w:r>
          </w:p>
          <w:p w14:paraId="12FF9088">
            <w:pPr>
              <w:adjustRightInd w:val="0"/>
              <w:snapToGrid w:val="0"/>
              <w:spacing w:line="360" w:lineRule="auto"/>
              <w:ind w:firstLine="480" w:firstLineChars="200"/>
              <w:rPr>
                <w:rStyle w:val="87"/>
                <w:rFonts w:hint="eastAsia" w:ascii="Times New Roman" w:hAnsi="Times New Roman"/>
                <w:color w:val="000000"/>
              </w:rPr>
            </w:pPr>
            <w:r>
              <w:rPr>
                <w:rStyle w:val="87"/>
                <w:rFonts w:hint="eastAsia" w:ascii="Times New Roman" w:hAnsi="Times New Roman"/>
                <w:color w:val="000000"/>
              </w:rPr>
              <w:t>本项目在生活垃圾的收集转运过程中，部分易腐败的有机垃圾由于其分解会发出异味，对环境的影响主要表现为恶臭。垃圾恶臭气体是多组分、低浓度化学物质形成的混合物，成分和含量均较难确定。据资料调查，预测本项目一般固废仓库恶臭的主要成分为氨、硫化氢等脂肪族类物质。本项目一般固废仓库采用密闭式设计，垃圾投入</w:t>
            </w:r>
            <w:r>
              <w:rPr>
                <w:rStyle w:val="87"/>
                <w:rFonts w:hint="eastAsia"/>
                <w:color w:val="000000"/>
                <w:lang w:eastAsia="zh-CN"/>
              </w:rPr>
              <w:t>时</w:t>
            </w:r>
            <w:r>
              <w:rPr>
                <w:rStyle w:val="87"/>
                <w:rFonts w:hint="eastAsia" w:ascii="Times New Roman" w:hAnsi="Times New Roman"/>
                <w:color w:val="000000"/>
              </w:rPr>
              <w:t>临时打开，此外，一般固废仓库内生活垃圾由环卫部门垃圾车外运，做到日产日清，在场区内停留时间短。</w:t>
            </w:r>
          </w:p>
          <w:p w14:paraId="519C5279">
            <w:pPr>
              <w:adjustRightInd w:val="0"/>
              <w:snapToGrid w:val="0"/>
              <w:spacing w:line="360" w:lineRule="auto"/>
              <w:ind w:firstLine="480" w:firstLineChars="200"/>
              <w:rPr>
                <w:rStyle w:val="87"/>
                <w:rFonts w:hint="eastAsia" w:ascii="Times New Roman" w:hAnsi="Times New Roman"/>
                <w:color w:val="000000"/>
              </w:rPr>
            </w:pPr>
            <w:r>
              <w:rPr>
                <w:rStyle w:val="87"/>
                <w:rFonts w:hint="eastAsia" w:ascii="Times New Roman" w:hAnsi="Times New Roman"/>
                <w:color w:val="000000"/>
              </w:rPr>
              <w:t>因此，垃圾在临时存放、转运过程中产生的恶臭较小。为减小生活垃圾收集、暂存过程中产生的恶臭影响，</w:t>
            </w:r>
            <w:r>
              <w:rPr>
                <w:rStyle w:val="87"/>
                <w:rFonts w:hint="eastAsia"/>
                <w:color w:val="000000"/>
                <w:lang w:val="en-US" w:eastAsia="zh-CN"/>
              </w:rPr>
              <w:t>本环评建议建设单位</w:t>
            </w:r>
            <w:r>
              <w:rPr>
                <w:rStyle w:val="87"/>
                <w:rFonts w:hint="eastAsia" w:ascii="Times New Roman" w:hAnsi="Times New Roman"/>
                <w:color w:val="000000"/>
              </w:rPr>
              <w:t>一般固废仓库采取地面硬化、防雨淋和防扬尘措施，定期杀灭蚊蝇，喷洒生物除臭剂，保持垃圾收集区域清洁卫生，由清洁人员采取每天一次集中清扫垃圾，收集后及时交由环卫部门清运至城市垃圾填埋场处理，做到生活垃圾“日产日清”，可以有效</w:t>
            </w:r>
            <w:r>
              <w:rPr>
                <w:rStyle w:val="87"/>
                <w:rFonts w:hint="eastAsia"/>
                <w:color w:val="000000"/>
                <w:lang w:eastAsia="zh-CN"/>
              </w:rPr>
              <w:t>地</w:t>
            </w:r>
            <w:r>
              <w:rPr>
                <w:rStyle w:val="87"/>
                <w:rFonts w:hint="eastAsia" w:ascii="Times New Roman" w:hAnsi="Times New Roman"/>
                <w:color w:val="000000"/>
              </w:rPr>
              <w:t>降低恶臭产生量，减轻对周边环境的不利影响，本次不做定量分析。主要恶臭物质的恶臭特征见下表。</w:t>
            </w:r>
          </w:p>
          <w:p w14:paraId="45F21AF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Style w:val="87"/>
                <w:rFonts w:hint="eastAsia" w:ascii="Times New Roman" w:hAnsi="Times New Roman"/>
                <w:b/>
                <w:bCs/>
                <w:color w:val="000000"/>
              </w:rPr>
            </w:pPr>
            <w:r>
              <w:rPr>
                <w:rStyle w:val="87"/>
                <w:rFonts w:hint="default" w:ascii="Times New Roman" w:hAnsi="Times New Roman" w:cs="Times New Roman"/>
                <w:b/>
                <w:bCs/>
                <w:color w:val="000000"/>
                <w:lang w:val="en-US" w:eastAsia="zh-CN"/>
              </w:rPr>
              <w:t xml:space="preserve">表4-1  </w:t>
            </w:r>
            <w:r>
              <w:rPr>
                <w:rStyle w:val="87"/>
                <w:rFonts w:hint="default" w:ascii="Times New Roman" w:hAnsi="Times New Roman" w:cs="Times New Roman"/>
                <w:b/>
                <w:bCs/>
                <w:color w:val="000000"/>
              </w:rPr>
              <w:t>主要恶</w:t>
            </w:r>
            <w:r>
              <w:rPr>
                <w:rStyle w:val="87"/>
                <w:rFonts w:hint="eastAsia" w:ascii="Times New Roman" w:hAnsi="Times New Roman"/>
                <w:b/>
                <w:bCs/>
                <w:color w:val="000000"/>
              </w:rPr>
              <w:t>臭物质的臭气特征</w:t>
            </w:r>
          </w:p>
          <w:tbl>
            <w:tblPr>
              <w:tblStyle w:val="4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79"/>
              <w:gridCol w:w="2079"/>
              <w:gridCol w:w="2080"/>
              <w:gridCol w:w="2080"/>
            </w:tblGrid>
            <w:tr w14:paraId="5E5CF3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79" w:type="dxa"/>
                  <w:vAlign w:val="center"/>
                </w:tcPr>
                <w:p w14:paraId="26FE8C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bCs/>
                      <w:color w:val="000000"/>
                      <w:sz w:val="21"/>
                      <w:szCs w:val="21"/>
                      <w:vertAlign w:val="baseline"/>
                      <w:lang w:val="en-US" w:eastAsia="zh-CN"/>
                    </w:rPr>
                  </w:pPr>
                  <w:r>
                    <w:rPr>
                      <w:rStyle w:val="87"/>
                      <w:rFonts w:hint="default" w:ascii="Times New Roman" w:hAnsi="Times New Roman" w:eastAsia="宋体" w:cs="Times New Roman"/>
                      <w:b/>
                      <w:bCs/>
                      <w:color w:val="000000"/>
                      <w:sz w:val="21"/>
                      <w:szCs w:val="21"/>
                      <w:vertAlign w:val="baseline"/>
                      <w:lang w:val="en-US" w:eastAsia="zh-CN"/>
                    </w:rPr>
                    <w:t>序号</w:t>
                  </w:r>
                </w:p>
              </w:tc>
              <w:tc>
                <w:tcPr>
                  <w:tcW w:w="2079" w:type="dxa"/>
                  <w:vAlign w:val="center"/>
                </w:tcPr>
                <w:p w14:paraId="1FE636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bCs/>
                      <w:color w:val="000000"/>
                      <w:sz w:val="21"/>
                      <w:szCs w:val="21"/>
                      <w:vertAlign w:val="baseline"/>
                      <w:lang w:val="en-US" w:eastAsia="zh-CN"/>
                    </w:rPr>
                  </w:pPr>
                  <w:r>
                    <w:rPr>
                      <w:rStyle w:val="87"/>
                      <w:rFonts w:hint="default" w:ascii="Times New Roman" w:hAnsi="Times New Roman" w:eastAsia="宋体" w:cs="Times New Roman"/>
                      <w:b/>
                      <w:bCs/>
                      <w:color w:val="000000"/>
                      <w:sz w:val="21"/>
                      <w:szCs w:val="21"/>
                      <w:vertAlign w:val="baseline"/>
                      <w:lang w:val="en-US" w:eastAsia="zh-CN"/>
                    </w:rPr>
                    <w:t>恶臭物质</w:t>
                  </w:r>
                </w:p>
              </w:tc>
              <w:tc>
                <w:tcPr>
                  <w:tcW w:w="2080" w:type="dxa"/>
                  <w:vAlign w:val="center"/>
                </w:tcPr>
                <w:p w14:paraId="6A7059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bCs/>
                      <w:color w:val="000000"/>
                      <w:sz w:val="21"/>
                      <w:szCs w:val="21"/>
                      <w:vertAlign w:val="baseline"/>
                      <w:lang w:val="en-US" w:eastAsia="zh-CN"/>
                    </w:rPr>
                  </w:pPr>
                  <w:r>
                    <w:rPr>
                      <w:rStyle w:val="87"/>
                      <w:rFonts w:hint="default" w:ascii="Times New Roman" w:hAnsi="Times New Roman" w:eastAsia="宋体" w:cs="Times New Roman"/>
                      <w:b/>
                      <w:bCs/>
                      <w:color w:val="000000"/>
                      <w:sz w:val="21"/>
                      <w:szCs w:val="21"/>
                      <w:vertAlign w:val="baseline"/>
                      <w:lang w:val="en-US" w:eastAsia="zh-CN"/>
                    </w:rPr>
                    <w:t>臭气性质</w:t>
                  </w:r>
                </w:p>
              </w:tc>
              <w:tc>
                <w:tcPr>
                  <w:tcW w:w="2080" w:type="dxa"/>
                  <w:vAlign w:val="center"/>
                </w:tcPr>
                <w:p w14:paraId="110771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bCs/>
                      <w:color w:val="000000"/>
                      <w:sz w:val="21"/>
                      <w:szCs w:val="21"/>
                      <w:vertAlign w:val="baseline"/>
                    </w:rPr>
                  </w:pPr>
                  <w:r>
                    <w:rPr>
                      <w:rStyle w:val="87"/>
                      <w:rFonts w:hint="default" w:ascii="Times New Roman" w:hAnsi="Times New Roman" w:eastAsia="宋体" w:cs="Times New Roman"/>
                      <w:b/>
                      <w:bCs/>
                      <w:color w:val="000000"/>
                      <w:sz w:val="21"/>
                      <w:szCs w:val="21"/>
                      <w:vertAlign w:val="baseline"/>
                    </w:rPr>
                    <w:t>嗅阈值（ppm）</w:t>
                  </w:r>
                </w:p>
              </w:tc>
            </w:tr>
            <w:tr w14:paraId="726220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79" w:type="dxa"/>
                  <w:vAlign w:val="center"/>
                </w:tcPr>
                <w:p w14:paraId="18D615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lang w:val="en-US" w:eastAsia="zh-CN"/>
                    </w:rPr>
                  </w:pPr>
                  <w:r>
                    <w:rPr>
                      <w:rStyle w:val="87"/>
                      <w:rFonts w:hint="default" w:ascii="Times New Roman" w:hAnsi="Times New Roman" w:eastAsia="宋体" w:cs="Times New Roman"/>
                      <w:b w:val="0"/>
                      <w:bCs w:val="0"/>
                      <w:color w:val="000000"/>
                      <w:sz w:val="21"/>
                      <w:szCs w:val="21"/>
                      <w:vertAlign w:val="baseline"/>
                      <w:lang w:val="en-US" w:eastAsia="zh-CN"/>
                    </w:rPr>
                    <w:t>1</w:t>
                  </w:r>
                </w:p>
              </w:tc>
              <w:tc>
                <w:tcPr>
                  <w:tcW w:w="2079" w:type="dxa"/>
                  <w:vAlign w:val="center"/>
                </w:tcPr>
                <w:p w14:paraId="237AEF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lang w:val="en-US" w:eastAsia="zh-CN"/>
                    </w:rPr>
                  </w:pPr>
                  <w:r>
                    <w:rPr>
                      <w:rStyle w:val="87"/>
                      <w:rFonts w:hint="default" w:ascii="Times New Roman" w:hAnsi="Times New Roman" w:eastAsia="宋体" w:cs="Times New Roman"/>
                      <w:b w:val="0"/>
                      <w:bCs w:val="0"/>
                      <w:color w:val="000000"/>
                      <w:sz w:val="21"/>
                      <w:szCs w:val="21"/>
                      <w:vertAlign w:val="baseline"/>
                      <w:lang w:val="en-US" w:eastAsia="zh-CN"/>
                    </w:rPr>
                    <w:t>硫化氢</w:t>
                  </w:r>
                </w:p>
              </w:tc>
              <w:tc>
                <w:tcPr>
                  <w:tcW w:w="2080" w:type="dxa"/>
                  <w:vAlign w:val="center"/>
                </w:tcPr>
                <w:p w14:paraId="2612FB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腐烂性蛋臭</w:t>
                  </w:r>
                </w:p>
              </w:tc>
              <w:tc>
                <w:tcPr>
                  <w:tcW w:w="2080" w:type="dxa"/>
                  <w:vAlign w:val="center"/>
                </w:tcPr>
                <w:p w14:paraId="3DDCA9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0.005</w:t>
                  </w:r>
                </w:p>
              </w:tc>
            </w:tr>
            <w:tr w14:paraId="6407E8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79" w:type="dxa"/>
                  <w:vAlign w:val="center"/>
                </w:tcPr>
                <w:p w14:paraId="1CB336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eastAsia" w:ascii="Times New Roman" w:hAnsi="Times New Roman" w:eastAsia="宋体" w:cs="Times New Roman"/>
                      <w:b w:val="0"/>
                      <w:bCs w:val="0"/>
                      <w:color w:val="000000"/>
                      <w:sz w:val="21"/>
                      <w:szCs w:val="21"/>
                      <w:vertAlign w:val="baseline"/>
                      <w:lang w:val="en-US" w:eastAsia="zh-CN"/>
                    </w:rPr>
                  </w:pPr>
                  <w:r>
                    <w:rPr>
                      <w:rStyle w:val="87"/>
                      <w:rFonts w:hint="eastAsia" w:ascii="Times New Roman" w:hAnsi="Times New Roman" w:eastAsia="宋体" w:cs="Times New Roman"/>
                      <w:b w:val="0"/>
                      <w:bCs w:val="0"/>
                      <w:color w:val="000000"/>
                      <w:sz w:val="21"/>
                      <w:szCs w:val="21"/>
                      <w:vertAlign w:val="baseline"/>
                      <w:lang w:val="en-US" w:eastAsia="zh-CN"/>
                    </w:rPr>
                    <w:t>2</w:t>
                  </w:r>
                </w:p>
              </w:tc>
              <w:tc>
                <w:tcPr>
                  <w:tcW w:w="2079" w:type="dxa"/>
                  <w:vAlign w:val="center"/>
                </w:tcPr>
                <w:p w14:paraId="2C4ED4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甲硫醇</w:t>
                  </w:r>
                </w:p>
              </w:tc>
              <w:tc>
                <w:tcPr>
                  <w:tcW w:w="2080" w:type="dxa"/>
                  <w:vAlign w:val="center"/>
                </w:tcPr>
                <w:p w14:paraId="2D2693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腐烂性洋葱臭</w:t>
                  </w:r>
                </w:p>
              </w:tc>
              <w:tc>
                <w:tcPr>
                  <w:tcW w:w="2080" w:type="dxa"/>
                  <w:vAlign w:val="center"/>
                </w:tcPr>
                <w:p w14:paraId="71091D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0.0001</w:t>
                  </w:r>
                </w:p>
              </w:tc>
            </w:tr>
            <w:tr w14:paraId="070285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79" w:type="dxa"/>
                  <w:vAlign w:val="center"/>
                </w:tcPr>
                <w:p w14:paraId="0FC1D3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eastAsia" w:ascii="Times New Roman" w:hAnsi="Times New Roman" w:eastAsia="宋体" w:cs="Times New Roman"/>
                      <w:b w:val="0"/>
                      <w:bCs w:val="0"/>
                      <w:color w:val="000000"/>
                      <w:sz w:val="21"/>
                      <w:szCs w:val="21"/>
                      <w:vertAlign w:val="baseline"/>
                      <w:lang w:val="en-US" w:eastAsia="zh-CN"/>
                    </w:rPr>
                  </w:pPr>
                  <w:r>
                    <w:rPr>
                      <w:rStyle w:val="87"/>
                      <w:rFonts w:hint="eastAsia" w:ascii="Times New Roman" w:hAnsi="Times New Roman" w:eastAsia="宋体" w:cs="Times New Roman"/>
                      <w:b w:val="0"/>
                      <w:bCs w:val="0"/>
                      <w:color w:val="000000"/>
                      <w:sz w:val="21"/>
                      <w:szCs w:val="21"/>
                      <w:vertAlign w:val="baseline"/>
                      <w:lang w:val="en-US" w:eastAsia="zh-CN"/>
                    </w:rPr>
                    <w:t>3</w:t>
                  </w:r>
                </w:p>
              </w:tc>
              <w:tc>
                <w:tcPr>
                  <w:tcW w:w="2079" w:type="dxa"/>
                  <w:vAlign w:val="center"/>
                </w:tcPr>
                <w:p w14:paraId="026C32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甲硫醚</w:t>
                  </w:r>
                </w:p>
              </w:tc>
              <w:tc>
                <w:tcPr>
                  <w:tcW w:w="2080" w:type="dxa"/>
                  <w:vAlign w:val="center"/>
                </w:tcPr>
                <w:p w14:paraId="147182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不愉快气味</w:t>
                  </w:r>
                </w:p>
              </w:tc>
              <w:tc>
                <w:tcPr>
                  <w:tcW w:w="2080" w:type="dxa"/>
                  <w:vAlign w:val="center"/>
                </w:tcPr>
                <w:p w14:paraId="136E55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0.0001</w:t>
                  </w:r>
                </w:p>
              </w:tc>
            </w:tr>
            <w:tr w14:paraId="3B7FAB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79" w:type="dxa"/>
                  <w:vAlign w:val="center"/>
                </w:tcPr>
                <w:p w14:paraId="5F1982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eastAsia" w:ascii="Times New Roman" w:hAnsi="Times New Roman" w:eastAsia="宋体" w:cs="Times New Roman"/>
                      <w:b w:val="0"/>
                      <w:bCs w:val="0"/>
                      <w:color w:val="000000"/>
                      <w:sz w:val="21"/>
                      <w:szCs w:val="21"/>
                      <w:vertAlign w:val="baseline"/>
                      <w:lang w:val="en-US" w:eastAsia="zh-CN"/>
                    </w:rPr>
                  </w:pPr>
                  <w:r>
                    <w:rPr>
                      <w:rStyle w:val="87"/>
                      <w:rFonts w:hint="eastAsia" w:ascii="Times New Roman" w:hAnsi="Times New Roman" w:eastAsia="宋体" w:cs="Times New Roman"/>
                      <w:b w:val="0"/>
                      <w:bCs w:val="0"/>
                      <w:color w:val="000000"/>
                      <w:sz w:val="21"/>
                      <w:szCs w:val="21"/>
                      <w:vertAlign w:val="baseline"/>
                      <w:lang w:val="en-US" w:eastAsia="zh-CN"/>
                    </w:rPr>
                    <w:t>4</w:t>
                  </w:r>
                </w:p>
              </w:tc>
              <w:tc>
                <w:tcPr>
                  <w:tcW w:w="2079" w:type="dxa"/>
                  <w:vAlign w:val="center"/>
                </w:tcPr>
                <w:p w14:paraId="1AF99D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氨</w:t>
                  </w:r>
                </w:p>
              </w:tc>
              <w:tc>
                <w:tcPr>
                  <w:tcW w:w="2080" w:type="dxa"/>
                  <w:vAlign w:val="center"/>
                </w:tcPr>
                <w:p w14:paraId="4A3B14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特殊的刺激性臭</w:t>
                  </w:r>
                </w:p>
              </w:tc>
              <w:tc>
                <w:tcPr>
                  <w:tcW w:w="2080" w:type="dxa"/>
                  <w:vAlign w:val="center"/>
                </w:tcPr>
                <w:p w14:paraId="7152A2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0.037</w:t>
                  </w:r>
                </w:p>
              </w:tc>
            </w:tr>
            <w:tr w14:paraId="671217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79" w:type="dxa"/>
                  <w:vAlign w:val="center"/>
                </w:tcPr>
                <w:p w14:paraId="31413B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eastAsia" w:ascii="Times New Roman" w:hAnsi="Times New Roman" w:eastAsia="宋体" w:cs="Times New Roman"/>
                      <w:b w:val="0"/>
                      <w:bCs w:val="0"/>
                      <w:color w:val="000000"/>
                      <w:sz w:val="21"/>
                      <w:szCs w:val="21"/>
                      <w:vertAlign w:val="baseline"/>
                      <w:lang w:val="en-US" w:eastAsia="zh-CN"/>
                    </w:rPr>
                  </w:pPr>
                  <w:r>
                    <w:rPr>
                      <w:rStyle w:val="87"/>
                      <w:rFonts w:hint="eastAsia" w:ascii="Times New Roman" w:hAnsi="Times New Roman" w:eastAsia="宋体" w:cs="Times New Roman"/>
                      <w:b w:val="0"/>
                      <w:bCs w:val="0"/>
                      <w:color w:val="000000"/>
                      <w:sz w:val="21"/>
                      <w:szCs w:val="21"/>
                      <w:vertAlign w:val="baseline"/>
                      <w:lang w:val="en-US" w:eastAsia="zh-CN"/>
                    </w:rPr>
                    <w:t>5</w:t>
                  </w:r>
                </w:p>
              </w:tc>
              <w:tc>
                <w:tcPr>
                  <w:tcW w:w="2079" w:type="dxa"/>
                  <w:vAlign w:val="center"/>
                </w:tcPr>
                <w:p w14:paraId="6B9E53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三甲基胺</w:t>
                  </w:r>
                </w:p>
              </w:tc>
              <w:tc>
                <w:tcPr>
                  <w:tcW w:w="2080" w:type="dxa"/>
                  <w:vAlign w:val="center"/>
                </w:tcPr>
                <w:p w14:paraId="59FDAB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腐烂性鱼臭</w:t>
                  </w:r>
                </w:p>
              </w:tc>
              <w:tc>
                <w:tcPr>
                  <w:tcW w:w="2080" w:type="dxa"/>
                  <w:vAlign w:val="center"/>
                </w:tcPr>
                <w:p w14:paraId="0E4F12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Style w:val="87"/>
                      <w:rFonts w:hint="default" w:ascii="Times New Roman" w:hAnsi="Times New Roman" w:eastAsia="宋体" w:cs="Times New Roman"/>
                      <w:b w:val="0"/>
                      <w:bCs w:val="0"/>
                      <w:color w:val="000000"/>
                      <w:sz w:val="21"/>
                      <w:szCs w:val="21"/>
                      <w:vertAlign w:val="baseline"/>
                    </w:rPr>
                  </w:pPr>
                  <w:r>
                    <w:rPr>
                      <w:rStyle w:val="87"/>
                      <w:rFonts w:hint="default" w:ascii="Times New Roman" w:hAnsi="Times New Roman" w:eastAsia="宋体" w:cs="Times New Roman"/>
                      <w:b w:val="0"/>
                      <w:bCs w:val="0"/>
                      <w:color w:val="000000"/>
                      <w:sz w:val="21"/>
                      <w:szCs w:val="21"/>
                      <w:vertAlign w:val="baseline"/>
                    </w:rPr>
                    <w:t>0.0001</w:t>
                  </w:r>
                </w:p>
              </w:tc>
            </w:tr>
          </w:tbl>
          <w:p w14:paraId="45E03A3A">
            <w:pPr>
              <w:pStyle w:val="111"/>
              <w:snapToGrid w:val="0"/>
              <w:spacing w:line="360" w:lineRule="auto"/>
              <w:ind w:firstLine="482" w:firstLineChars="200"/>
              <w:rPr>
                <w:b/>
                <w:bCs/>
              </w:rPr>
            </w:pPr>
            <w:r>
              <w:rPr>
                <w:rFonts w:hint="eastAsia"/>
                <w:b/>
                <w:bCs/>
              </w:rPr>
              <w:t>污水处理站废气</w:t>
            </w:r>
          </w:p>
          <w:p w14:paraId="4626993D">
            <w:pPr>
              <w:pStyle w:val="111"/>
              <w:snapToGrid w:val="0"/>
              <w:spacing w:line="360" w:lineRule="auto"/>
              <w:ind w:firstLine="480" w:firstLineChars="200"/>
            </w:pPr>
            <w:r>
              <w:rPr>
                <w:rFonts w:hint="eastAsia"/>
              </w:rPr>
              <w:t>项目运营期过程中产生的大气污染物为污水处理站产生的废气。</w:t>
            </w:r>
            <w:r>
              <w:rPr>
                <w:rFonts w:hint="eastAsia"/>
                <w:highlight w:val="none"/>
              </w:rPr>
              <w:t>项目污水处理站为</w:t>
            </w:r>
            <w:r>
              <w:rPr>
                <w:rFonts w:hint="eastAsia"/>
                <w:highlight w:val="none"/>
                <w:lang w:val="en-US" w:eastAsia="zh-CN"/>
              </w:rPr>
              <w:t>地埋式</w:t>
            </w:r>
            <w:r>
              <w:rPr>
                <w:rFonts w:hint="eastAsia"/>
                <w:highlight w:val="none"/>
              </w:rPr>
              <w:t>一体化污水处理设备，采用设有“一级强化(</w:t>
            </w:r>
            <w:r>
              <w:rPr>
                <w:rFonts w:ascii="Times New Roman"/>
                <w:highlight w:val="none"/>
              </w:rPr>
              <w:t>PAM</w:t>
            </w:r>
            <w:r>
              <w:rPr>
                <w:rFonts w:hint="eastAsia"/>
                <w:highlight w:val="none"/>
              </w:rPr>
              <w:t>)+消毒”处理工艺</w:t>
            </w:r>
            <w:r>
              <w:rPr>
                <w:rFonts w:hint="eastAsia"/>
              </w:rPr>
              <w:t>；污水处理系统产生的恶臭来源于污水、污泥中有机物的分解、发酵过程中散发的化学物质，主要种类有：硫化物、氨、硫醇、甲基硫、粪臭素、酪酸、丙酸等，其中以硫化氢、氨为主，臭气浓度产生量较小，且定期投加除臭剂，可忽略不计。</w:t>
            </w:r>
          </w:p>
          <w:p w14:paraId="6F5A802C">
            <w:pPr>
              <w:spacing w:line="360" w:lineRule="auto"/>
              <w:ind w:firstLine="480" w:firstLineChars="200"/>
              <w:rPr>
                <w:sz w:val="24"/>
                <w:szCs w:val="24"/>
              </w:rPr>
            </w:pPr>
            <w:r>
              <w:rPr>
                <w:rFonts w:hint="eastAsia"/>
                <w:sz w:val="24"/>
                <w:szCs w:val="24"/>
              </w:rPr>
              <w:t>根据环境影响评价工程师职业资格考试教材《环境影响评价案例分析》，每去除 1g 的</w:t>
            </w:r>
            <w:r>
              <w:rPr>
                <w:sz w:val="24"/>
                <w:szCs w:val="24"/>
                <w:highlight w:val="none"/>
              </w:rPr>
              <w:t>BOD</w:t>
            </w:r>
            <w:r>
              <w:rPr>
                <w:sz w:val="24"/>
                <w:szCs w:val="24"/>
                <w:highlight w:val="none"/>
                <w:vertAlign w:val="subscript"/>
              </w:rPr>
              <w:t>5</w:t>
            </w:r>
            <w:r>
              <w:rPr>
                <w:rFonts w:hint="eastAsia"/>
                <w:sz w:val="24"/>
                <w:szCs w:val="24"/>
              </w:rPr>
              <w:t>可产生0.0031g的</w:t>
            </w:r>
            <w:r>
              <w:rPr>
                <w:sz w:val="24"/>
                <w:szCs w:val="24"/>
                <w:highlight w:val="none"/>
              </w:rPr>
              <w:t>NH</w:t>
            </w:r>
            <w:r>
              <w:rPr>
                <w:sz w:val="24"/>
                <w:szCs w:val="24"/>
                <w:highlight w:val="none"/>
                <w:vertAlign w:val="subscript"/>
              </w:rPr>
              <w:t>3</w:t>
            </w:r>
            <w:r>
              <w:rPr>
                <w:rFonts w:hint="eastAsia"/>
                <w:sz w:val="24"/>
                <w:szCs w:val="24"/>
              </w:rPr>
              <w:t>和0.00012g的</w:t>
            </w:r>
            <w:r>
              <w:rPr>
                <w:sz w:val="24"/>
                <w:szCs w:val="24"/>
                <w:highlight w:val="none"/>
              </w:rPr>
              <w:t>H</w:t>
            </w:r>
            <w:r>
              <w:rPr>
                <w:sz w:val="24"/>
                <w:szCs w:val="24"/>
                <w:highlight w:val="none"/>
                <w:vertAlign w:val="subscript"/>
              </w:rPr>
              <w:t>2</w:t>
            </w:r>
            <w:r>
              <w:rPr>
                <w:sz w:val="24"/>
                <w:szCs w:val="24"/>
                <w:highlight w:val="none"/>
              </w:rPr>
              <w:t>S。设计进水BOD</w:t>
            </w:r>
            <w:r>
              <w:rPr>
                <w:sz w:val="24"/>
                <w:szCs w:val="24"/>
                <w:highlight w:val="none"/>
                <w:vertAlign w:val="subscript"/>
              </w:rPr>
              <w:t>5</w:t>
            </w:r>
            <w:r>
              <w:rPr>
                <w:sz w:val="24"/>
                <w:szCs w:val="24"/>
                <w:highlight w:val="none"/>
              </w:rPr>
              <w:t>为</w:t>
            </w:r>
            <w:r>
              <w:rPr>
                <w:rFonts w:hint="eastAsia"/>
                <w:sz w:val="24"/>
                <w:szCs w:val="24"/>
                <w:highlight w:val="none"/>
                <w:lang w:val="en-US" w:eastAsia="zh-CN"/>
              </w:rPr>
              <w:t>4</w:t>
            </w:r>
            <w:r>
              <w:rPr>
                <w:rFonts w:hint="eastAsia"/>
                <w:sz w:val="24"/>
                <w:szCs w:val="24"/>
                <w:highlight w:val="none"/>
              </w:rPr>
              <w:t>5</w:t>
            </w:r>
            <w:r>
              <w:rPr>
                <w:sz w:val="24"/>
                <w:szCs w:val="24"/>
                <w:highlight w:val="none"/>
              </w:rPr>
              <w:t>0mg/L，出水BOD</w:t>
            </w:r>
            <w:r>
              <w:rPr>
                <w:sz w:val="24"/>
                <w:szCs w:val="24"/>
                <w:highlight w:val="none"/>
                <w:vertAlign w:val="subscript"/>
              </w:rPr>
              <w:t>5</w:t>
            </w:r>
            <w:r>
              <w:rPr>
                <w:sz w:val="24"/>
                <w:szCs w:val="24"/>
                <w:highlight w:val="none"/>
              </w:rPr>
              <w:t>为</w:t>
            </w:r>
            <w:r>
              <w:rPr>
                <w:rFonts w:hint="eastAsia"/>
                <w:sz w:val="24"/>
                <w:szCs w:val="24"/>
                <w:highlight w:val="none"/>
              </w:rPr>
              <w:t>2</w:t>
            </w:r>
            <w:r>
              <w:rPr>
                <w:rFonts w:hint="eastAsia"/>
                <w:sz w:val="24"/>
                <w:szCs w:val="24"/>
                <w:highlight w:val="none"/>
                <w:lang w:val="en-US" w:eastAsia="zh-CN"/>
              </w:rPr>
              <w:t>5</w:t>
            </w:r>
            <w:r>
              <w:rPr>
                <w:sz w:val="24"/>
                <w:szCs w:val="24"/>
                <w:highlight w:val="none"/>
              </w:rPr>
              <w:t>0mg/L，污水处理站每天处理污水量为</w:t>
            </w:r>
            <w:r>
              <w:rPr>
                <w:rFonts w:hint="eastAsia"/>
                <w:sz w:val="24"/>
                <w:szCs w:val="24"/>
                <w:highlight w:val="none"/>
                <w:lang w:val="en-US" w:eastAsia="zh-CN"/>
              </w:rPr>
              <w:t>47.36</w:t>
            </w:r>
            <w:r>
              <w:rPr>
                <w:sz w:val="24"/>
                <w:szCs w:val="24"/>
                <w:highlight w:val="none"/>
              </w:rPr>
              <w:t>m</w:t>
            </w:r>
            <w:r>
              <w:rPr>
                <w:sz w:val="24"/>
                <w:szCs w:val="24"/>
                <w:highlight w:val="none"/>
                <w:vertAlign w:val="superscript"/>
              </w:rPr>
              <w:t>3</w:t>
            </w:r>
            <w:r>
              <w:rPr>
                <w:sz w:val="24"/>
                <w:szCs w:val="24"/>
                <w:highlight w:val="none"/>
              </w:rPr>
              <w:t>，每年处理污水量为</w:t>
            </w:r>
            <w:r>
              <w:rPr>
                <w:rFonts w:hint="eastAsia"/>
                <w:sz w:val="24"/>
                <w:szCs w:val="24"/>
                <w:highlight w:val="none"/>
                <w:lang w:val="en-US" w:eastAsia="zh-CN"/>
              </w:rPr>
              <w:t>17286.4</w:t>
            </w:r>
            <w:r>
              <w:rPr>
                <w:sz w:val="24"/>
                <w:szCs w:val="24"/>
                <w:highlight w:val="none"/>
              </w:rPr>
              <w:t>m</w:t>
            </w:r>
            <w:r>
              <w:rPr>
                <w:sz w:val="24"/>
                <w:szCs w:val="24"/>
                <w:highlight w:val="none"/>
                <w:vertAlign w:val="superscript"/>
              </w:rPr>
              <w:t>3</w:t>
            </w:r>
            <w:r>
              <w:rPr>
                <w:sz w:val="24"/>
                <w:szCs w:val="24"/>
                <w:highlight w:val="none"/>
              </w:rPr>
              <w:t>，污水中BOD</w:t>
            </w:r>
            <w:r>
              <w:rPr>
                <w:sz w:val="24"/>
                <w:szCs w:val="24"/>
                <w:highlight w:val="none"/>
                <w:vertAlign w:val="subscript"/>
              </w:rPr>
              <w:t>5</w:t>
            </w:r>
            <w:r>
              <w:rPr>
                <w:sz w:val="24"/>
                <w:szCs w:val="24"/>
                <w:highlight w:val="none"/>
              </w:rPr>
              <w:t>最大处理量约</w:t>
            </w:r>
            <w:r>
              <w:rPr>
                <w:rFonts w:hint="eastAsia"/>
                <w:sz w:val="24"/>
                <w:szCs w:val="24"/>
                <w:highlight w:val="none"/>
                <w:lang w:val="en-US" w:eastAsia="zh-CN"/>
              </w:rPr>
              <w:t>3.457t</w:t>
            </w:r>
            <w:r>
              <w:rPr>
                <w:sz w:val="24"/>
                <w:szCs w:val="24"/>
                <w:highlight w:val="none"/>
              </w:rPr>
              <w:t>/a。本项目恶臭物NH</w:t>
            </w:r>
            <w:r>
              <w:rPr>
                <w:sz w:val="24"/>
                <w:szCs w:val="24"/>
                <w:highlight w:val="none"/>
                <w:vertAlign w:val="subscript"/>
              </w:rPr>
              <w:t>3</w:t>
            </w:r>
            <w:r>
              <w:rPr>
                <w:sz w:val="24"/>
                <w:szCs w:val="24"/>
                <w:highlight w:val="none"/>
              </w:rPr>
              <w:t>的产生量约</w:t>
            </w:r>
            <w:r>
              <w:rPr>
                <w:rFonts w:hint="eastAsia"/>
                <w:sz w:val="24"/>
                <w:szCs w:val="24"/>
                <w:highlight w:val="none"/>
                <w:lang w:val="en-US" w:eastAsia="zh-CN"/>
              </w:rPr>
              <w:t>0.0294</w:t>
            </w:r>
            <w:r>
              <w:rPr>
                <w:sz w:val="24"/>
                <w:szCs w:val="24"/>
                <w:highlight w:val="none"/>
              </w:rPr>
              <w:t>kg/d（0.0</w:t>
            </w:r>
            <w:r>
              <w:rPr>
                <w:rFonts w:hint="eastAsia"/>
                <w:sz w:val="24"/>
                <w:szCs w:val="24"/>
                <w:highlight w:val="none"/>
                <w:lang w:val="en-US" w:eastAsia="zh-CN"/>
              </w:rPr>
              <w:t>11</w:t>
            </w:r>
            <w:r>
              <w:rPr>
                <w:sz w:val="24"/>
                <w:szCs w:val="24"/>
                <w:highlight w:val="none"/>
              </w:rPr>
              <w:t>t/a），H</w:t>
            </w:r>
            <w:r>
              <w:rPr>
                <w:sz w:val="24"/>
                <w:szCs w:val="24"/>
                <w:highlight w:val="none"/>
                <w:vertAlign w:val="subscript"/>
              </w:rPr>
              <w:t>2</w:t>
            </w:r>
            <w:r>
              <w:rPr>
                <w:sz w:val="24"/>
                <w:szCs w:val="24"/>
                <w:highlight w:val="none"/>
              </w:rPr>
              <w:t>S的产生量约</w:t>
            </w:r>
            <w:r>
              <w:rPr>
                <w:rFonts w:hint="eastAsia"/>
                <w:sz w:val="24"/>
                <w:szCs w:val="24"/>
                <w:highlight w:val="none"/>
                <w:lang w:val="en-US" w:eastAsia="zh-CN"/>
              </w:rPr>
              <w:t>0.0011</w:t>
            </w:r>
            <w:r>
              <w:rPr>
                <w:sz w:val="24"/>
                <w:szCs w:val="24"/>
                <w:highlight w:val="none"/>
              </w:rPr>
              <w:t>kg/d（0.00</w:t>
            </w:r>
            <w:r>
              <w:rPr>
                <w:rFonts w:hint="eastAsia"/>
                <w:sz w:val="24"/>
                <w:szCs w:val="24"/>
                <w:highlight w:val="none"/>
              </w:rPr>
              <w:t>0</w:t>
            </w:r>
            <w:r>
              <w:rPr>
                <w:rFonts w:hint="eastAsia"/>
                <w:sz w:val="24"/>
                <w:szCs w:val="24"/>
                <w:highlight w:val="none"/>
                <w:lang w:val="en-US" w:eastAsia="zh-CN"/>
              </w:rPr>
              <w:t>4</w:t>
            </w:r>
            <w:r>
              <w:rPr>
                <w:sz w:val="24"/>
                <w:szCs w:val="24"/>
                <w:highlight w:val="none"/>
              </w:rPr>
              <w:t>t/a）。臭气无组织排放，</w:t>
            </w:r>
            <w:r>
              <w:rPr>
                <w:rFonts w:hint="eastAsia"/>
                <w:sz w:val="24"/>
                <w:szCs w:val="24"/>
                <w:highlight w:val="none"/>
                <w:lang w:val="en-US" w:eastAsia="zh-CN"/>
              </w:rPr>
              <w:t>通过</w:t>
            </w:r>
            <w:r>
              <w:rPr>
                <w:sz w:val="24"/>
                <w:szCs w:val="24"/>
                <w:highlight w:val="none"/>
              </w:rPr>
              <w:t>定期</w:t>
            </w:r>
            <w:r>
              <w:rPr>
                <w:rFonts w:hint="eastAsia"/>
                <w:sz w:val="24"/>
                <w:szCs w:val="24"/>
                <w:highlight w:val="none"/>
              </w:rPr>
              <w:t>投放除臭剂等措施降低无组织排放恶臭对周边环境的影响。本项目污水处理站为地埋式，定期喷洒除臭剂，污泥及时清运，可有效降低</w:t>
            </w:r>
            <w:r>
              <w:rPr>
                <w:sz w:val="24"/>
                <w:szCs w:val="24"/>
                <w:highlight w:val="none"/>
              </w:rPr>
              <w:t>40%恶臭，故本项目恶臭物NH</w:t>
            </w:r>
            <w:r>
              <w:rPr>
                <w:sz w:val="24"/>
                <w:szCs w:val="24"/>
                <w:highlight w:val="none"/>
                <w:vertAlign w:val="subscript"/>
              </w:rPr>
              <w:t>3</w:t>
            </w:r>
            <w:r>
              <w:rPr>
                <w:sz w:val="24"/>
                <w:szCs w:val="24"/>
                <w:highlight w:val="none"/>
              </w:rPr>
              <w:t>的排放量约0.0</w:t>
            </w:r>
            <w:r>
              <w:rPr>
                <w:rFonts w:hint="eastAsia"/>
                <w:sz w:val="24"/>
                <w:szCs w:val="24"/>
                <w:highlight w:val="none"/>
                <w:lang w:val="en-US" w:eastAsia="zh-CN"/>
              </w:rPr>
              <w:t>1</w:t>
            </w:r>
            <w:r>
              <w:rPr>
                <w:rFonts w:hint="eastAsia"/>
                <w:sz w:val="24"/>
                <w:szCs w:val="24"/>
                <w:highlight w:val="none"/>
              </w:rPr>
              <w:t>76</w:t>
            </w:r>
            <w:r>
              <w:rPr>
                <w:sz w:val="24"/>
                <w:szCs w:val="24"/>
                <w:highlight w:val="none"/>
              </w:rPr>
              <w:t>kg/d（0.0</w:t>
            </w:r>
            <w:r>
              <w:rPr>
                <w:rFonts w:hint="eastAsia"/>
                <w:sz w:val="24"/>
                <w:szCs w:val="24"/>
                <w:highlight w:val="none"/>
              </w:rPr>
              <w:t>0</w:t>
            </w:r>
            <w:r>
              <w:rPr>
                <w:rFonts w:hint="eastAsia"/>
                <w:sz w:val="24"/>
                <w:szCs w:val="24"/>
                <w:highlight w:val="none"/>
                <w:lang w:val="en-US" w:eastAsia="zh-CN"/>
              </w:rPr>
              <w:t>64</w:t>
            </w:r>
            <w:r>
              <w:rPr>
                <w:sz w:val="24"/>
                <w:szCs w:val="24"/>
                <w:highlight w:val="none"/>
              </w:rPr>
              <w:t>t/a），H</w:t>
            </w:r>
            <w:r>
              <w:rPr>
                <w:sz w:val="24"/>
                <w:szCs w:val="24"/>
                <w:highlight w:val="none"/>
                <w:vertAlign w:val="subscript"/>
              </w:rPr>
              <w:t>2</w:t>
            </w:r>
            <w:r>
              <w:rPr>
                <w:sz w:val="24"/>
                <w:szCs w:val="24"/>
                <w:highlight w:val="none"/>
              </w:rPr>
              <w:t>S的排放量约0.00</w:t>
            </w:r>
            <w:r>
              <w:rPr>
                <w:rFonts w:hint="eastAsia"/>
                <w:sz w:val="24"/>
                <w:szCs w:val="24"/>
                <w:highlight w:val="none"/>
              </w:rPr>
              <w:t>0</w:t>
            </w:r>
            <w:r>
              <w:rPr>
                <w:rFonts w:hint="eastAsia"/>
                <w:sz w:val="24"/>
                <w:szCs w:val="24"/>
                <w:highlight w:val="none"/>
                <w:lang w:val="en-US" w:eastAsia="zh-CN"/>
              </w:rPr>
              <w:t>7</w:t>
            </w:r>
            <w:r>
              <w:rPr>
                <w:sz w:val="24"/>
                <w:szCs w:val="24"/>
                <w:highlight w:val="none"/>
              </w:rPr>
              <w:t>kg/d（0.00</w:t>
            </w:r>
            <w:r>
              <w:rPr>
                <w:rFonts w:hint="eastAsia"/>
                <w:sz w:val="24"/>
                <w:szCs w:val="24"/>
                <w:highlight w:val="none"/>
              </w:rPr>
              <w:t>0</w:t>
            </w:r>
            <w:r>
              <w:rPr>
                <w:rFonts w:hint="eastAsia"/>
                <w:sz w:val="24"/>
                <w:szCs w:val="24"/>
                <w:highlight w:val="none"/>
                <w:lang w:val="en-US" w:eastAsia="zh-CN"/>
              </w:rPr>
              <w:t>25</w:t>
            </w:r>
            <w:r>
              <w:rPr>
                <w:sz w:val="24"/>
                <w:szCs w:val="24"/>
                <w:highlight w:val="none"/>
              </w:rPr>
              <w:t>t/a）</w:t>
            </w:r>
            <w:r>
              <w:rPr>
                <w:sz w:val="24"/>
                <w:szCs w:val="24"/>
              </w:rPr>
              <w:t>。</w:t>
            </w:r>
          </w:p>
          <w:p w14:paraId="6161AC40">
            <w:pPr>
              <w:spacing w:line="360" w:lineRule="auto"/>
              <w:ind w:firstLine="482" w:firstLineChars="200"/>
              <w:rPr>
                <w:rFonts w:hint="eastAsia"/>
                <w:b/>
                <w:bCs/>
                <w:sz w:val="24"/>
                <w:szCs w:val="24"/>
              </w:rPr>
            </w:pPr>
            <w:r>
              <w:rPr>
                <w:rFonts w:hint="eastAsia"/>
                <w:b/>
                <w:bCs/>
                <w:sz w:val="24"/>
                <w:szCs w:val="24"/>
              </w:rPr>
              <w:t>消毒水异味</w:t>
            </w:r>
          </w:p>
          <w:p w14:paraId="5724521C">
            <w:pPr>
              <w:spacing w:line="360" w:lineRule="auto"/>
              <w:ind w:firstLine="480" w:firstLineChars="200"/>
              <w:rPr>
                <w:rFonts w:hint="eastAsia"/>
                <w:b w:val="0"/>
                <w:bCs w:val="0"/>
                <w:sz w:val="24"/>
                <w:szCs w:val="24"/>
              </w:rPr>
            </w:pPr>
            <w:r>
              <w:rPr>
                <w:rFonts w:hint="eastAsia"/>
                <w:b w:val="0"/>
                <w:bCs w:val="0"/>
                <w:sz w:val="24"/>
                <w:szCs w:val="24"/>
              </w:rPr>
              <w:t>本项目拖地板用的消毒液等拖地水风干时散发出的少量有机废气，其作用是杀灭各类病菌。消毒液为溶液，使用时需与水按一定比例对调，拖地后地板上散发出较强烈的怪味，将持续一定的时间，但用量不多，使用范围仅限于治疗及</w:t>
            </w:r>
            <w:r>
              <w:rPr>
                <w:rFonts w:hint="eastAsia"/>
                <w:b w:val="0"/>
                <w:bCs w:val="0"/>
                <w:sz w:val="24"/>
                <w:szCs w:val="24"/>
                <w:lang w:val="en-US" w:eastAsia="zh-CN"/>
              </w:rPr>
              <w:t>医</w:t>
            </w:r>
            <w:r>
              <w:rPr>
                <w:rFonts w:hint="eastAsia" w:cs="宋体"/>
                <w:kern w:val="2"/>
                <w:sz w:val="24"/>
                <w:szCs w:val="24"/>
                <w:highlight w:val="none"/>
                <w:lang w:val="en-US" w:eastAsia="zh-CN" w:bidi="ar-SA"/>
              </w:rPr>
              <w:t>疗</w:t>
            </w:r>
            <w:r>
              <w:rPr>
                <w:rFonts w:hint="eastAsia"/>
                <w:b w:val="0"/>
                <w:bCs w:val="0"/>
                <w:sz w:val="24"/>
                <w:szCs w:val="24"/>
              </w:rPr>
              <w:t>病区。病人医疗过程中医疗溶液挥发出的乙醇、消毒剂气味等气体，其用量少、使用范围小。</w:t>
            </w:r>
          </w:p>
          <w:p w14:paraId="40A639D0">
            <w:pPr>
              <w:spacing w:line="360" w:lineRule="auto"/>
              <w:ind w:firstLine="480" w:firstLineChars="200"/>
              <w:rPr>
                <w:rFonts w:hint="eastAsia"/>
                <w:b w:val="0"/>
                <w:bCs w:val="0"/>
                <w:sz w:val="24"/>
                <w:szCs w:val="24"/>
              </w:rPr>
            </w:pPr>
            <w:r>
              <w:rPr>
                <w:rFonts w:hint="eastAsia"/>
                <w:b w:val="0"/>
                <w:bCs w:val="0"/>
                <w:sz w:val="24"/>
                <w:szCs w:val="24"/>
              </w:rPr>
              <w:t>由于本项目消毒水气味具有间断性，不连续，经自然通风后对周边环境影响不大。</w:t>
            </w:r>
          </w:p>
          <w:p w14:paraId="6ADDC968">
            <w:pPr>
              <w:spacing w:line="360" w:lineRule="auto"/>
              <w:ind w:firstLine="482" w:firstLineChars="200"/>
              <w:rPr>
                <w:rFonts w:hint="eastAsia"/>
                <w:sz w:val="24"/>
                <w:szCs w:val="24"/>
              </w:rPr>
            </w:pPr>
            <w:r>
              <w:rPr>
                <w:rFonts w:hint="eastAsia"/>
                <w:b/>
                <w:bCs/>
                <w:sz w:val="24"/>
                <w:szCs w:val="24"/>
              </w:rPr>
              <w:t>汽车尾气</w:t>
            </w:r>
          </w:p>
          <w:p w14:paraId="05C71D99">
            <w:pPr>
              <w:spacing w:line="360" w:lineRule="auto"/>
              <w:ind w:firstLine="480" w:firstLineChars="200"/>
              <w:rPr>
                <w:sz w:val="24"/>
                <w:szCs w:val="24"/>
              </w:rPr>
            </w:pPr>
            <w:r>
              <w:rPr>
                <w:rFonts w:hint="eastAsia"/>
                <w:sz w:val="24"/>
                <w:szCs w:val="24"/>
                <w:lang w:val="en-US" w:eastAsia="zh-CN"/>
              </w:rPr>
              <w:t>医</w:t>
            </w:r>
            <w:r>
              <w:rPr>
                <w:rFonts w:hint="eastAsia" w:cs="宋体"/>
                <w:kern w:val="2"/>
                <w:sz w:val="24"/>
                <w:szCs w:val="24"/>
                <w:highlight w:val="none"/>
                <w:lang w:val="en-US" w:eastAsia="zh-CN" w:bidi="ar-SA"/>
              </w:rPr>
              <w:t>疗</w:t>
            </w:r>
            <w:r>
              <w:rPr>
                <w:rFonts w:hint="eastAsia"/>
                <w:sz w:val="24"/>
                <w:szCs w:val="24"/>
              </w:rPr>
              <w:t>院</w:t>
            </w:r>
            <w:r>
              <w:rPr>
                <w:rFonts w:hint="eastAsia"/>
                <w:sz w:val="24"/>
                <w:szCs w:val="24"/>
                <w:lang w:val="en-US" w:eastAsia="zh-CN"/>
              </w:rPr>
              <w:t>及养老公寓</w:t>
            </w:r>
            <w:r>
              <w:rPr>
                <w:rFonts w:hint="eastAsia"/>
                <w:sz w:val="24"/>
                <w:szCs w:val="24"/>
              </w:rPr>
              <w:t>进出车辆会排放汽车尾气，成分主要为CO、NOx和THC。</w:t>
            </w:r>
            <w:r>
              <w:rPr>
                <w:rFonts w:hint="eastAsia"/>
                <w:sz w:val="24"/>
                <w:szCs w:val="24"/>
                <w:lang w:val="en-US" w:eastAsia="zh-CN"/>
              </w:rPr>
              <w:t>项目</w:t>
            </w:r>
            <w:r>
              <w:rPr>
                <w:rFonts w:hint="eastAsia"/>
                <w:sz w:val="24"/>
                <w:szCs w:val="24"/>
              </w:rPr>
              <w:t>专门划定固定停车位，可停靠车辆。本项目汽车尾气产生量较小，且相对分散、易于扩散，对周围环境影响较小。故本报告对汽车尾气排放的污染物不做定量分析。</w:t>
            </w:r>
          </w:p>
          <w:p w14:paraId="34DC5C11">
            <w:pPr>
              <w:spacing w:line="360" w:lineRule="auto"/>
              <w:ind w:firstLine="482" w:firstLineChars="200"/>
              <w:rPr>
                <w:rFonts w:hint="eastAsia" w:eastAsia="宋体"/>
                <w:b/>
                <w:bCs/>
                <w:sz w:val="24"/>
                <w:szCs w:val="24"/>
                <w:lang w:val="en-US" w:eastAsia="zh-CN"/>
              </w:rPr>
            </w:pPr>
            <w:r>
              <w:rPr>
                <w:rFonts w:hint="eastAsia"/>
                <w:b/>
                <w:bCs/>
                <w:sz w:val="24"/>
                <w:szCs w:val="24"/>
                <w:lang w:val="en-US" w:eastAsia="zh-CN"/>
              </w:rPr>
              <w:t>食堂油烟</w:t>
            </w:r>
          </w:p>
          <w:p w14:paraId="21F8040C">
            <w:pPr>
              <w:spacing w:line="360" w:lineRule="auto"/>
              <w:ind w:firstLine="480" w:firstLineChars="200"/>
              <w:rPr>
                <w:sz w:val="24"/>
                <w:szCs w:val="24"/>
              </w:rPr>
            </w:pPr>
            <w:r>
              <w:rPr>
                <w:rFonts w:hint="eastAsia"/>
                <w:sz w:val="24"/>
                <w:szCs w:val="24"/>
              </w:rPr>
              <w:t>本项目设1个食堂，</w:t>
            </w:r>
            <w:r>
              <w:rPr>
                <w:rFonts w:hint="eastAsia"/>
                <w:color w:val="auto"/>
                <w:sz w:val="24"/>
                <w:szCs w:val="24"/>
              </w:rPr>
              <w:t>设</w:t>
            </w:r>
            <w:r>
              <w:rPr>
                <w:rFonts w:hint="eastAsia"/>
                <w:color w:val="auto"/>
                <w:sz w:val="24"/>
                <w:szCs w:val="24"/>
                <w:lang w:val="en-US" w:eastAsia="zh-CN"/>
              </w:rPr>
              <w:t>4</w:t>
            </w:r>
            <w:r>
              <w:rPr>
                <w:rFonts w:hint="eastAsia"/>
                <w:color w:val="auto"/>
                <w:sz w:val="24"/>
                <w:szCs w:val="24"/>
              </w:rPr>
              <w:t>个炉头，项目每日就餐人数按</w:t>
            </w:r>
            <w:r>
              <w:rPr>
                <w:rFonts w:hint="eastAsia"/>
                <w:color w:val="auto"/>
                <w:sz w:val="24"/>
                <w:szCs w:val="24"/>
                <w:lang w:val="en-US" w:eastAsia="zh-CN"/>
              </w:rPr>
              <w:t>530</w:t>
            </w:r>
            <w:r>
              <w:rPr>
                <w:rFonts w:hint="eastAsia"/>
                <w:color w:val="auto"/>
                <w:sz w:val="24"/>
                <w:szCs w:val="24"/>
              </w:rPr>
              <w:t>人计。参考《中国居民膳食指南（2016）》，每人每天烹调油推荐为25~30g，本项目取30g，则消耗食油为</w:t>
            </w:r>
            <w:r>
              <w:rPr>
                <w:rFonts w:hint="eastAsia"/>
                <w:color w:val="auto"/>
                <w:sz w:val="24"/>
                <w:szCs w:val="24"/>
                <w:lang w:val="en-US" w:eastAsia="zh-CN"/>
              </w:rPr>
              <w:t>15.9</w:t>
            </w:r>
            <w:r>
              <w:rPr>
                <w:rFonts w:hint="eastAsia"/>
                <w:color w:val="auto"/>
                <w:sz w:val="24"/>
                <w:szCs w:val="24"/>
              </w:rPr>
              <w:t>kg/d；烹饪过程油的挥发损失率约为3%，则本项目食堂油烟挥发量为0.</w:t>
            </w:r>
            <w:r>
              <w:rPr>
                <w:rFonts w:hint="eastAsia"/>
                <w:color w:val="auto"/>
                <w:sz w:val="24"/>
                <w:szCs w:val="24"/>
                <w:lang w:val="en-US" w:eastAsia="zh-CN"/>
              </w:rPr>
              <w:t>477</w:t>
            </w:r>
            <w:r>
              <w:rPr>
                <w:rFonts w:hint="eastAsia"/>
                <w:color w:val="auto"/>
                <w:sz w:val="24"/>
                <w:szCs w:val="24"/>
              </w:rPr>
              <w:t>kg/d，开炉时间按365天计算，则项目油烟产生量为</w:t>
            </w:r>
            <w:r>
              <w:rPr>
                <w:rFonts w:hint="eastAsia"/>
                <w:color w:val="auto"/>
                <w:sz w:val="24"/>
                <w:szCs w:val="24"/>
                <w:lang w:val="en-US" w:eastAsia="zh-CN"/>
              </w:rPr>
              <w:t>0.17411</w:t>
            </w:r>
            <w:r>
              <w:rPr>
                <w:rFonts w:hint="eastAsia"/>
                <w:color w:val="auto"/>
                <w:sz w:val="24"/>
                <w:szCs w:val="24"/>
              </w:rPr>
              <w:t>t/a；厨房共设置标准炉头</w:t>
            </w:r>
            <w:r>
              <w:rPr>
                <w:rFonts w:hint="eastAsia"/>
                <w:color w:val="auto"/>
                <w:sz w:val="24"/>
                <w:szCs w:val="24"/>
                <w:lang w:val="en-US" w:eastAsia="zh-CN"/>
              </w:rPr>
              <w:t>4</w:t>
            </w:r>
            <w:r>
              <w:rPr>
                <w:rFonts w:hint="eastAsia"/>
                <w:color w:val="auto"/>
                <w:sz w:val="24"/>
                <w:szCs w:val="24"/>
              </w:rPr>
              <w:t>个，单个炉头的基准排放风量2000m</w:t>
            </w:r>
            <w:r>
              <w:rPr>
                <w:rFonts w:hint="eastAsia"/>
                <w:color w:val="auto"/>
                <w:sz w:val="24"/>
                <w:szCs w:val="24"/>
                <w:vertAlign w:val="superscript"/>
              </w:rPr>
              <w:t>3</w:t>
            </w:r>
            <w:r>
              <w:rPr>
                <w:rFonts w:hint="eastAsia"/>
                <w:color w:val="auto"/>
                <w:sz w:val="24"/>
                <w:szCs w:val="24"/>
              </w:rPr>
              <w:t>/h，则本项目厨房油烟废气量为</w:t>
            </w:r>
            <w:r>
              <w:rPr>
                <w:rFonts w:hint="eastAsia"/>
                <w:color w:val="auto"/>
                <w:sz w:val="24"/>
                <w:szCs w:val="24"/>
                <w:lang w:val="en-US" w:eastAsia="zh-CN"/>
              </w:rPr>
              <w:t>8</w:t>
            </w:r>
            <w:r>
              <w:rPr>
                <w:rFonts w:hint="eastAsia"/>
                <w:color w:val="auto"/>
                <w:sz w:val="24"/>
                <w:szCs w:val="24"/>
              </w:rPr>
              <w:t>000m</w:t>
            </w:r>
            <w:r>
              <w:rPr>
                <w:rFonts w:hint="eastAsia"/>
                <w:color w:val="auto"/>
                <w:sz w:val="24"/>
                <w:szCs w:val="24"/>
                <w:vertAlign w:val="superscript"/>
              </w:rPr>
              <w:t>3</w:t>
            </w:r>
            <w:r>
              <w:rPr>
                <w:rFonts w:hint="eastAsia"/>
                <w:color w:val="auto"/>
                <w:sz w:val="24"/>
                <w:szCs w:val="24"/>
              </w:rPr>
              <w:t>/h，食堂每天开炉时间为9h，</w:t>
            </w:r>
            <w:r>
              <w:rPr>
                <w:rFonts w:hint="eastAsia"/>
                <w:color w:val="auto"/>
                <w:sz w:val="24"/>
                <w:szCs w:val="24"/>
                <w:lang w:val="en-US" w:eastAsia="zh-CN"/>
              </w:rPr>
              <w:t>产生浓度为6.625</w:t>
            </w:r>
            <w:r>
              <w:rPr>
                <w:rFonts w:hint="default" w:ascii="Times New Roman" w:hAnsi="Times New Roman" w:eastAsia="宋体" w:cs="Times New Roman"/>
                <w:sz w:val="24"/>
                <w:szCs w:val="24"/>
              </w:rPr>
              <w:t>mg/m³</w:t>
            </w:r>
            <w:r>
              <w:rPr>
                <w:rFonts w:hint="eastAsia"/>
                <w:color w:val="auto"/>
                <w:sz w:val="24"/>
                <w:szCs w:val="24"/>
                <w:lang w:val="en-US" w:eastAsia="zh-CN"/>
              </w:rPr>
              <w:t>，产生速率为0.053kg/h；</w:t>
            </w:r>
            <w:r>
              <w:rPr>
                <w:rFonts w:hint="eastAsia"/>
                <w:sz w:val="24"/>
                <w:szCs w:val="24"/>
              </w:rPr>
              <w:t>食堂油烟经集气罩收集后，经静电油烟净化器处理（85%处理效率）</w:t>
            </w:r>
            <w:r>
              <w:rPr>
                <w:rFonts w:hint="eastAsia"/>
                <w:sz w:val="24"/>
                <w:szCs w:val="24"/>
                <w:lang w:eastAsia="zh-CN"/>
              </w:rPr>
              <w:t>，</w:t>
            </w:r>
            <w:r>
              <w:rPr>
                <w:rFonts w:hint="eastAsia"/>
                <w:sz w:val="24"/>
                <w:szCs w:val="24"/>
                <w:lang w:val="en-US" w:eastAsia="zh-CN"/>
              </w:rPr>
              <w:t>则排放量为0.02612</w:t>
            </w:r>
            <w:r>
              <w:rPr>
                <w:rFonts w:hint="eastAsia"/>
                <w:color w:val="auto"/>
                <w:sz w:val="24"/>
                <w:szCs w:val="24"/>
              </w:rPr>
              <w:t>t/a</w:t>
            </w:r>
            <w:r>
              <w:rPr>
                <w:rFonts w:hint="eastAsia"/>
                <w:sz w:val="24"/>
                <w:szCs w:val="24"/>
                <w:lang w:val="en-US" w:eastAsia="zh-CN"/>
              </w:rPr>
              <w:t>，排放浓度为0.994</w:t>
            </w:r>
            <w:r>
              <w:rPr>
                <w:rFonts w:hint="default" w:ascii="Times New Roman" w:hAnsi="Times New Roman" w:eastAsia="宋体" w:cs="Times New Roman"/>
                <w:sz w:val="24"/>
                <w:szCs w:val="24"/>
              </w:rPr>
              <w:t>mg/m³</w:t>
            </w:r>
            <w:r>
              <w:rPr>
                <w:rFonts w:hint="eastAsia"/>
                <w:sz w:val="24"/>
                <w:szCs w:val="24"/>
                <w:lang w:val="en-US" w:eastAsia="zh-CN"/>
              </w:rPr>
              <w:t>，排放速率0.008</w:t>
            </w:r>
            <w:r>
              <w:rPr>
                <w:rFonts w:hint="eastAsia"/>
                <w:color w:val="auto"/>
                <w:sz w:val="24"/>
                <w:szCs w:val="24"/>
                <w:lang w:val="en-US" w:eastAsia="zh-CN"/>
              </w:rPr>
              <w:t>kg/h</w:t>
            </w:r>
            <w:r>
              <w:rPr>
                <w:rFonts w:hint="eastAsia"/>
                <w:sz w:val="24"/>
                <w:szCs w:val="24"/>
                <w:lang w:val="en-US" w:eastAsia="zh-CN"/>
              </w:rPr>
              <w:t>，满足《饮食业油烟排放标准（试行）》（GB18483-2001）限值要求，由排烟管道引至屋顶排放，对周边大气环境影响不大</w:t>
            </w:r>
            <w:r>
              <w:rPr>
                <w:rFonts w:hint="eastAsia"/>
                <w:sz w:val="24"/>
                <w:szCs w:val="24"/>
              </w:rPr>
              <w:t>。</w:t>
            </w:r>
          </w:p>
          <w:p w14:paraId="1E24663E">
            <w:pPr>
              <w:spacing w:line="360" w:lineRule="auto"/>
              <w:jc w:val="center"/>
            </w:pPr>
            <w:r>
              <w:rPr>
                <w:rFonts w:hint="eastAsia"/>
                <w:b/>
                <w:sz w:val="24"/>
              </w:rPr>
              <w:t>表4-</w:t>
            </w:r>
            <w:r>
              <w:rPr>
                <w:rFonts w:hint="eastAsia"/>
                <w:b/>
                <w:sz w:val="24"/>
                <w:lang w:val="en-US" w:eastAsia="zh-CN"/>
              </w:rPr>
              <w:t>2</w:t>
            </w:r>
            <w:r>
              <w:rPr>
                <w:rFonts w:hint="eastAsia"/>
                <w:b/>
                <w:sz w:val="24"/>
              </w:rPr>
              <w:t xml:space="preserve">  废气污染物</w:t>
            </w:r>
            <w:r>
              <w:rPr>
                <w:b/>
                <w:bCs/>
                <w:color w:val="000000"/>
                <w:sz w:val="24"/>
                <w:szCs w:val="24"/>
              </w:rPr>
              <w:t>情况一览表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2"/>
              <w:gridCol w:w="626"/>
              <w:gridCol w:w="677"/>
              <w:gridCol w:w="748"/>
              <w:gridCol w:w="586"/>
              <w:gridCol w:w="706"/>
              <w:gridCol w:w="981"/>
              <w:gridCol w:w="814"/>
              <w:gridCol w:w="828"/>
              <w:gridCol w:w="783"/>
              <w:gridCol w:w="1097"/>
            </w:tblGrid>
            <w:tr w14:paraId="50EDA1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dxa"/>
                  <w:vMerge w:val="restart"/>
                  <w:vAlign w:val="center"/>
                </w:tcPr>
                <w:p w14:paraId="75732D31">
                  <w:pPr>
                    <w:jc w:val="center"/>
                    <w:rPr>
                      <w:b/>
                      <w:bCs/>
                      <w:sz w:val="21"/>
                      <w:szCs w:val="21"/>
                      <w:highlight w:val="none"/>
                    </w:rPr>
                  </w:pPr>
                  <w:r>
                    <w:rPr>
                      <w:rFonts w:hint="eastAsia"/>
                      <w:b/>
                      <w:bCs/>
                      <w:sz w:val="21"/>
                      <w:szCs w:val="21"/>
                      <w:highlight w:val="none"/>
                    </w:rPr>
                    <w:t>序号</w:t>
                  </w:r>
                </w:p>
              </w:tc>
              <w:tc>
                <w:tcPr>
                  <w:tcW w:w="626" w:type="dxa"/>
                  <w:vMerge w:val="restart"/>
                  <w:vAlign w:val="center"/>
                </w:tcPr>
                <w:p w14:paraId="5E999461">
                  <w:pPr>
                    <w:jc w:val="center"/>
                    <w:rPr>
                      <w:b/>
                      <w:bCs/>
                      <w:sz w:val="21"/>
                      <w:szCs w:val="21"/>
                      <w:highlight w:val="none"/>
                    </w:rPr>
                  </w:pPr>
                  <w:r>
                    <w:rPr>
                      <w:rFonts w:hint="eastAsia"/>
                      <w:b/>
                      <w:bCs/>
                      <w:sz w:val="21"/>
                      <w:szCs w:val="21"/>
                      <w:highlight w:val="none"/>
                    </w:rPr>
                    <w:t>产污环节名称</w:t>
                  </w:r>
                </w:p>
              </w:tc>
              <w:tc>
                <w:tcPr>
                  <w:tcW w:w="677" w:type="dxa"/>
                  <w:vMerge w:val="restart"/>
                  <w:vAlign w:val="center"/>
                </w:tcPr>
                <w:p w14:paraId="44DE3683">
                  <w:pPr>
                    <w:jc w:val="center"/>
                    <w:rPr>
                      <w:b/>
                      <w:bCs/>
                      <w:sz w:val="21"/>
                      <w:szCs w:val="21"/>
                      <w:highlight w:val="none"/>
                    </w:rPr>
                  </w:pPr>
                  <w:r>
                    <w:rPr>
                      <w:rFonts w:hint="eastAsia"/>
                      <w:b/>
                      <w:bCs/>
                      <w:sz w:val="21"/>
                      <w:szCs w:val="21"/>
                      <w:highlight w:val="none"/>
                    </w:rPr>
                    <w:t>污染物种类</w:t>
                  </w:r>
                </w:p>
              </w:tc>
              <w:tc>
                <w:tcPr>
                  <w:tcW w:w="1334" w:type="dxa"/>
                  <w:gridSpan w:val="2"/>
                  <w:vAlign w:val="center"/>
                </w:tcPr>
                <w:p w14:paraId="1BDE214D">
                  <w:pPr>
                    <w:jc w:val="center"/>
                    <w:rPr>
                      <w:b/>
                      <w:bCs/>
                      <w:sz w:val="21"/>
                      <w:szCs w:val="21"/>
                      <w:highlight w:val="none"/>
                    </w:rPr>
                  </w:pPr>
                  <w:r>
                    <w:rPr>
                      <w:rFonts w:hint="eastAsia"/>
                      <w:b/>
                      <w:bCs/>
                      <w:sz w:val="21"/>
                      <w:szCs w:val="21"/>
                      <w:highlight w:val="none"/>
                    </w:rPr>
                    <w:t>污染物</w:t>
                  </w:r>
                </w:p>
              </w:tc>
              <w:tc>
                <w:tcPr>
                  <w:tcW w:w="706" w:type="dxa"/>
                  <w:vMerge w:val="restart"/>
                  <w:vAlign w:val="center"/>
                </w:tcPr>
                <w:p w14:paraId="33B0350E">
                  <w:pPr>
                    <w:jc w:val="center"/>
                    <w:rPr>
                      <w:b/>
                      <w:bCs/>
                      <w:sz w:val="21"/>
                      <w:szCs w:val="21"/>
                      <w:highlight w:val="none"/>
                    </w:rPr>
                  </w:pPr>
                  <w:r>
                    <w:rPr>
                      <w:rFonts w:hint="eastAsia"/>
                      <w:b/>
                      <w:bCs/>
                      <w:sz w:val="21"/>
                      <w:szCs w:val="21"/>
                      <w:highlight w:val="none"/>
                    </w:rPr>
                    <w:t>排放方式</w:t>
                  </w:r>
                </w:p>
              </w:tc>
              <w:tc>
                <w:tcPr>
                  <w:tcW w:w="981" w:type="dxa"/>
                  <w:vMerge w:val="restart"/>
                  <w:vAlign w:val="center"/>
                </w:tcPr>
                <w:p w14:paraId="09F028C4">
                  <w:pPr>
                    <w:jc w:val="center"/>
                    <w:rPr>
                      <w:b/>
                      <w:bCs/>
                      <w:sz w:val="21"/>
                      <w:szCs w:val="21"/>
                      <w:highlight w:val="none"/>
                    </w:rPr>
                  </w:pPr>
                  <w:r>
                    <w:rPr>
                      <w:rFonts w:hint="eastAsia"/>
                      <w:b/>
                      <w:bCs/>
                      <w:sz w:val="21"/>
                      <w:szCs w:val="21"/>
                      <w:highlight w:val="none"/>
                    </w:rPr>
                    <w:t>污染治理设施名称</w:t>
                  </w:r>
                </w:p>
              </w:tc>
              <w:tc>
                <w:tcPr>
                  <w:tcW w:w="814" w:type="dxa"/>
                  <w:vMerge w:val="restart"/>
                  <w:vAlign w:val="center"/>
                </w:tcPr>
                <w:p w14:paraId="5D58900A">
                  <w:pPr>
                    <w:jc w:val="center"/>
                    <w:rPr>
                      <w:b/>
                      <w:bCs/>
                      <w:sz w:val="21"/>
                      <w:szCs w:val="21"/>
                      <w:highlight w:val="none"/>
                    </w:rPr>
                  </w:pPr>
                  <w:r>
                    <w:rPr>
                      <w:rFonts w:hint="eastAsia"/>
                      <w:b/>
                      <w:bCs/>
                      <w:sz w:val="21"/>
                      <w:szCs w:val="21"/>
                      <w:highlight w:val="none"/>
                    </w:rPr>
                    <w:t>污染物排放浓度（速率）</w:t>
                  </w:r>
                </w:p>
              </w:tc>
              <w:tc>
                <w:tcPr>
                  <w:tcW w:w="828" w:type="dxa"/>
                  <w:vMerge w:val="restart"/>
                  <w:vAlign w:val="center"/>
                </w:tcPr>
                <w:p w14:paraId="299AA940">
                  <w:pPr>
                    <w:jc w:val="center"/>
                    <w:rPr>
                      <w:b/>
                      <w:bCs/>
                      <w:sz w:val="21"/>
                      <w:szCs w:val="21"/>
                      <w:highlight w:val="none"/>
                    </w:rPr>
                  </w:pPr>
                  <w:r>
                    <w:rPr>
                      <w:rFonts w:hint="eastAsia"/>
                      <w:b/>
                      <w:bCs/>
                      <w:sz w:val="21"/>
                      <w:szCs w:val="21"/>
                      <w:highlight w:val="none"/>
                    </w:rPr>
                    <w:t>污染物排放量</w:t>
                  </w:r>
                </w:p>
              </w:tc>
              <w:tc>
                <w:tcPr>
                  <w:tcW w:w="783" w:type="dxa"/>
                  <w:vMerge w:val="restart"/>
                  <w:vAlign w:val="center"/>
                </w:tcPr>
                <w:p w14:paraId="2D5BB905">
                  <w:pPr>
                    <w:jc w:val="center"/>
                    <w:rPr>
                      <w:b/>
                      <w:bCs/>
                      <w:sz w:val="21"/>
                      <w:szCs w:val="21"/>
                      <w:highlight w:val="none"/>
                    </w:rPr>
                  </w:pPr>
                  <w:r>
                    <w:rPr>
                      <w:rFonts w:hint="eastAsia"/>
                      <w:b/>
                      <w:bCs/>
                      <w:sz w:val="21"/>
                      <w:szCs w:val="21"/>
                      <w:highlight w:val="none"/>
                    </w:rPr>
                    <w:t>排放</w:t>
                  </w:r>
                </w:p>
                <w:p w14:paraId="32D5B435">
                  <w:pPr>
                    <w:jc w:val="center"/>
                    <w:rPr>
                      <w:b/>
                      <w:bCs/>
                      <w:sz w:val="21"/>
                      <w:szCs w:val="21"/>
                      <w:highlight w:val="none"/>
                    </w:rPr>
                  </w:pPr>
                  <w:r>
                    <w:rPr>
                      <w:rFonts w:hint="eastAsia"/>
                      <w:b/>
                      <w:bCs/>
                      <w:sz w:val="21"/>
                      <w:szCs w:val="21"/>
                      <w:highlight w:val="none"/>
                    </w:rPr>
                    <w:t>标准</w:t>
                  </w:r>
                </w:p>
              </w:tc>
              <w:tc>
                <w:tcPr>
                  <w:tcW w:w="1097" w:type="dxa"/>
                  <w:vMerge w:val="restart"/>
                  <w:vAlign w:val="center"/>
                </w:tcPr>
                <w:p w14:paraId="412D8175">
                  <w:pPr>
                    <w:jc w:val="center"/>
                    <w:rPr>
                      <w:rFonts w:hint="default" w:eastAsia="宋体"/>
                      <w:b/>
                      <w:bCs/>
                      <w:sz w:val="21"/>
                      <w:szCs w:val="21"/>
                      <w:highlight w:val="none"/>
                      <w:lang w:val="en-US" w:eastAsia="zh-CN"/>
                    </w:rPr>
                  </w:pPr>
                  <w:r>
                    <w:rPr>
                      <w:rFonts w:hint="eastAsia"/>
                      <w:b/>
                      <w:bCs/>
                      <w:sz w:val="21"/>
                      <w:szCs w:val="21"/>
                      <w:highlight w:val="none"/>
                      <w:lang w:val="en-US" w:eastAsia="zh-CN"/>
                    </w:rPr>
                    <w:t>执行标准</w:t>
                  </w:r>
                </w:p>
              </w:tc>
            </w:tr>
            <w:tr w14:paraId="370D0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dxa"/>
                  <w:vMerge w:val="continue"/>
                  <w:vAlign w:val="center"/>
                </w:tcPr>
                <w:p w14:paraId="0185D361">
                  <w:pPr>
                    <w:jc w:val="center"/>
                    <w:rPr>
                      <w:sz w:val="21"/>
                      <w:szCs w:val="21"/>
                      <w:highlight w:val="none"/>
                    </w:rPr>
                  </w:pPr>
                </w:p>
              </w:tc>
              <w:tc>
                <w:tcPr>
                  <w:tcW w:w="626" w:type="dxa"/>
                  <w:vMerge w:val="continue"/>
                  <w:vAlign w:val="center"/>
                </w:tcPr>
                <w:p w14:paraId="060AED4F">
                  <w:pPr>
                    <w:jc w:val="center"/>
                    <w:rPr>
                      <w:sz w:val="21"/>
                      <w:szCs w:val="21"/>
                      <w:highlight w:val="none"/>
                    </w:rPr>
                  </w:pPr>
                </w:p>
              </w:tc>
              <w:tc>
                <w:tcPr>
                  <w:tcW w:w="677" w:type="dxa"/>
                  <w:vMerge w:val="continue"/>
                  <w:vAlign w:val="center"/>
                </w:tcPr>
                <w:p w14:paraId="6C3EA499">
                  <w:pPr>
                    <w:jc w:val="center"/>
                    <w:rPr>
                      <w:sz w:val="21"/>
                      <w:szCs w:val="21"/>
                      <w:highlight w:val="none"/>
                    </w:rPr>
                  </w:pPr>
                </w:p>
              </w:tc>
              <w:tc>
                <w:tcPr>
                  <w:tcW w:w="748" w:type="dxa"/>
                  <w:vAlign w:val="center"/>
                </w:tcPr>
                <w:p w14:paraId="3A3D700F">
                  <w:pPr>
                    <w:jc w:val="center"/>
                    <w:rPr>
                      <w:b/>
                      <w:bCs/>
                      <w:sz w:val="21"/>
                      <w:szCs w:val="21"/>
                      <w:highlight w:val="none"/>
                    </w:rPr>
                  </w:pPr>
                  <w:r>
                    <w:rPr>
                      <w:rFonts w:hint="eastAsia"/>
                      <w:b/>
                      <w:bCs/>
                      <w:sz w:val="21"/>
                      <w:szCs w:val="21"/>
                      <w:highlight w:val="none"/>
                    </w:rPr>
                    <w:t>产生量</w:t>
                  </w:r>
                </w:p>
              </w:tc>
              <w:tc>
                <w:tcPr>
                  <w:tcW w:w="586" w:type="dxa"/>
                  <w:vAlign w:val="center"/>
                </w:tcPr>
                <w:p w14:paraId="6200CE62">
                  <w:pPr>
                    <w:jc w:val="center"/>
                    <w:rPr>
                      <w:b/>
                      <w:bCs/>
                      <w:sz w:val="21"/>
                      <w:szCs w:val="21"/>
                      <w:highlight w:val="none"/>
                    </w:rPr>
                  </w:pPr>
                  <w:r>
                    <w:rPr>
                      <w:rFonts w:hint="eastAsia"/>
                      <w:b/>
                      <w:bCs/>
                      <w:sz w:val="21"/>
                      <w:szCs w:val="21"/>
                      <w:highlight w:val="none"/>
                    </w:rPr>
                    <w:t>浓度</w:t>
                  </w:r>
                </w:p>
              </w:tc>
              <w:tc>
                <w:tcPr>
                  <w:tcW w:w="706" w:type="dxa"/>
                  <w:vMerge w:val="continue"/>
                  <w:vAlign w:val="center"/>
                </w:tcPr>
                <w:p w14:paraId="53FA64C2">
                  <w:pPr>
                    <w:jc w:val="center"/>
                    <w:rPr>
                      <w:sz w:val="21"/>
                      <w:szCs w:val="21"/>
                      <w:highlight w:val="none"/>
                    </w:rPr>
                  </w:pPr>
                </w:p>
              </w:tc>
              <w:tc>
                <w:tcPr>
                  <w:tcW w:w="981" w:type="dxa"/>
                  <w:vMerge w:val="continue"/>
                  <w:vAlign w:val="center"/>
                </w:tcPr>
                <w:p w14:paraId="47F85A8A">
                  <w:pPr>
                    <w:jc w:val="center"/>
                    <w:rPr>
                      <w:sz w:val="21"/>
                      <w:szCs w:val="21"/>
                      <w:highlight w:val="none"/>
                    </w:rPr>
                  </w:pPr>
                </w:p>
              </w:tc>
              <w:tc>
                <w:tcPr>
                  <w:tcW w:w="814" w:type="dxa"/>
                  <w:vMerge w:val="continue"/>
                  <w:vAlign w:val="center"/>
                </w:tcPr>
                <w:p w14:paraId="1DB647D6">
                  <w:pPr>
                    <w:jc w:val="center"/>
                    <w:rPr>
                      <w:sz w:val="21"/>
                      <w:szCs w:val="21"/>
                      <w:highlight w:val="none"/>
                    </w:rPr>
                  </w:pPr>
                </w:p>
              </w:tc>
              <w:tc>
                <w:tcPr>
                  <w:tcW w:w="828" w:type="dxa"/>
                  <w:vMerge w:val="continue"/>
                  <w:vAlign w:val="center"/>
                </w:tcPr>
                <w:p w14:paraId="74EE9F33">
                  <w:pPr>
                    <w:jc w:val="center"/>
                    <w:rPr>
                      <w:sz w:val="21"/>
                      <w:szCs w:val="21"/>
                      <w:highlight w:val="none"/>
                    </w:rPr>
                  </w:pPr>
                </w:p>
              </w:tc>
              <w:tc>
                <w:tcPr>
                  <w:tcW w:w="783" w:type="dxa"/>
                  <w:vMerge w:val="continue"/>
                  <w:vAlign w:val="center"/>
                </w:tcPr>
                <w:p w14:paraId="015E6C28">
                  <w:pPr>
                    <w:jc w:val="center"/>
                    <w:rPr>
                      <w:sz w:val="21"/>
                      <w:szCs w:val="21"/>
                      <w:highlight w:val="none"/>
                    </w:rPr>
                  </w:pPr>
                </w:p>
              </w:tc>
              <w:tc>
                <w:tcPr>
                  <w:tcW w:w="1097" w:type="dxa"/>
                  <w:vMerge w:val="continue"/>
                  <w:vAlign w:val="center"/>
                </w:tcPr>
                <w:p w14:paraId="17B4D765">
                  <w:pPr>
                    <w:jc w:val="center"/>
                    <w:rPr>
                      <w:sz w:val="21"/>
                      <w:szCs w:val="21"/>
                      <w:highlight w:val="none"/>
                    </w:rPr>
                  </w:pPr>
                </w:p>
              </w:tc>
            </w:tr>
            <w:tr w14:paraId="600D84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442" w:type="dxa"/>
                  <w:vMerge w:val="restart"/>
                  <w:vAlign w:val="center"/>
                </w:tcPr>
                <w:p w14:paraId="00C45BFC">
                  <w:pPr>
                    <w:jc w:val="center"/>
                    <w:rPr>
                      <w:rFonts w:hint="eastAsia" w:eastAsia="宋体"/>
                      <w:sz w:val="21"/>
                      <w:szCs w:val="21"/>
                      <w:highlight w:val="none"/>
                      <w:lang w:eastAsia="zh-CN"/>
                    </w:rPr>
                  </w:pPr>
                  <w:r>
                    <w:rPr>
                      <w:rFonts w:hint="eastAsia"/>
                      <w:sz w:val="21"/>
                      <w:szCs w:val="21"/>
                      <w:highlight w:val="none"/>
                      <w:lang w:val="en-US" w:eastAsia="zh-CN"/>
                    </w:rPr>
                    <w:t>1</w:t>
                  </w:r>
                </w:p>
              </w:tc>
              <w:tc>
                <w:tcPr>
                  <w:tcW w:w="626" w:type="dxa"/>
                  <w:vMerge w:val="restart"/>
                  <w:vAlign w:val="center"/>
                </w:tcPr>
                <w:p w14:paraId="0053B581">
                  <w:pPr>
                    <w:jc w:val="center"/>
                    <w:rPr>
                      <w:sz w:val="21"/>
                      <w:szCs w:val="21"/>
                      <w:highlight w:val="none"/>
                    </w:rPr>
                  </w:pPr>
                  <w:r>
                    <w:rPr>
                      <w:rFonts w:hint="eastAsia"/>
                      <w:sz w:val="21"/>
                      <w:szCs w:val="21"/>
                      <w:highlight w:val="none"/>
                    </w:rPr>
                    <w:t>污水处理</w:t>
                  </w:r>
                </w:p>
              </w:tc>
              <w:tc>
                <w:tcPr>
                  <w:tcW w:w="677" w:type="dxa"/>
                  <w:vAlign w:val="center"/>
                </w:tcPr>
                <w:p w14:paraId="2666BAB1">
                  <w:pPr>
                    <w:jc w:val="center"/>
                    <w:rPr>
                      <w:sz w:val="21"/>
                      <w:szCs w:val="21"/>
                      <w:highlight w:val="none"/>
                    </w:rPr>
                  </w:pPr>
                  <w:r>
                    <w:rPr>
                      <w:rFonts w:hint="eastAsia"/>
                      <w:sz w:val="21"/>
                      <w:szCs w:val="21"/>
                      <w:highlight w:val="none"/>
                    </w:rPr>
                    <w:t>NH</w:t>
                  </w:r>
                  <w:r>
                    <w:rPr>
                      <w:rFonts w:hint="eastAsia"/>
                      <w:sz w:val="21"/>
                      <w:szCs w:val="21"/>
                      <w:highlight w:val="none"/>
                      <w:vertAlign w:val="subscript"/>
                    </w:rPr>
                    <w:t>3</w:t>
                  </w:r>
                </w:p>
              </w:tc>
              <w:tc>
                <w:tcPr>
                  <w:tcW w:w="748" w:type="dxa"/>
                  <w:vAlign w:val="center"/>
                </w:tcPr>
                <w:p w14:paraId="13510DF2">
                  <w:pPr>
                    <w:jc w:val="center"/>
                    <w:rPr>
                      <w:sz w:val="21"/>
                      <w:szCs w:val="21"/>
                      <w:highlight w:val="none"/>
                    </w:rPr>
                  </w:pPr>
                  <w:r>
                    <w:rPr>
                      <w:sz w:val="21"/>
                      <w:szCs w:val="21"/>
                      <w:highlight w:val="none"/>
                    </w:rPr>
                    <w:t>0.0</w:t>
                  </w:r>
                  <w:r>
                    <w:rPr>
                      <w:rFonts w:hint="eastAsia"/>
                      <w:sz w:val="21"/>
                      <w:szCs w:val="21"/>
                      <w:highlight w:val="none"/>
                      <w:lang w:val="en-US" w:eastAsia="zh-CN"/>
                    </w:rPr>
                    <w:t>11</w:t>
                  </w:r>
                  <w:r>
                    <w:rPr>
                      <w:sz w:val="21"/>
                      <w:szCs w:val="21"/>
                      <w:highlight w:val="none"/>
                    </w:rPr>
                    <w:t>t/a</w:t>
                  </w:r>
                </w:p>
              </w:tc>
              <w:tc>
                <w:tcPr>
                  <w:tcW w:w="586" w:type="dxa"/>
                  <w:vAlign w:val="center"/>
                </w:tcPr>
                <w:p w14:paraId="2790C9CB">
                  <w:pPr>
                    <w:jc w:val="center"/>
                    <w:rPr>
                      <w:sz w:val="21"/>
                      <w:szCs w:val="21"/>
                      <w:highlight w:val="none"/>
                    </w:rPr>
                  </w:pPr>
                  <w:r>
                    <w:rPr>
                      <w:rFonts w:hint="eastAsia"/>
                      <w:sz w:val="21"/>
                      <w:szCs w:val="21"/>
                      <w:highlight w:val="none"/>
                    </w:rPr>
                    <w:t>/</w:t>
                  </w:r>
                </w:p>
              </w:tc>
              <w:tc>
                <w:tcPr>
                  <w:tcW w:w="706" w:type="dxa"/>
                  <w:vAlign w:val="center"/>
                </w:tcPr>
                <w:p w14:paraId="789A3228">
                  <w:pPr>
                    <w:jc w:val="center"/>
                    <w:rPr>
                      <w:sz w:val="21"/>
                      <w:szCs w:val="21"/>
                      <w:highlight w:val="none"/>
                    </w:rPr>
                  </w:pPr>
                  <w:r>
                    <w:rPr>
                      <w:rFonts w:hint="eastAsia"/>
                      <w:sz w:val="21"/>
                      <w:szCs w:val="21"/>
                      <w:highlight w:val="none"/>
                    </w:rPr>
                    <w:t>无组织</w:t>
                  </w:r>
                </w:p>
              </w:tc>
              <w:tc>
                <w:tcPr>
                  <w:tcW w:w="981" w:type="dxa"/>
                  <w:vMerge w:val="restart"/>
                  <w:vAlign w:val="center"/>
                </w:tcPr>
                <w:p w14:paraId="4E831853">
                  <w:pPr>
                    <w:jc w:val="center"/>
                    <w:rPr>
                      <w:sz w:val="21"/>
                      <w:szCs w:val="21"/>
                      <w:highlight w:val="none"/>
                    </w:rPr>
                  </w:pPr>
                  <w:r>
                    <w:rPr>
                      <w:rFonts w:hint="eastAsia"/>
                      <w:sz w:val="21"/>
                      <w:szCs w:val="21"/>
                      <w:highlight w:val="none"/>
                    </w:rPr>
                    <w:t>污水处理设施为密闭式、加强污水处理站周边绿化等措施处理</w:t>
                  </w:r>
                </w:p>
              </w:tc>
              <w:tc>
                <w:tcPr>
                  <w:tcW w:w="814" w:type="dxa"/>
                  <w:vAlign w:val="center"/>
                </w:tcPr>
                <w:p w14:paraId="1649024B">
                  <w:pPr>
                    <w:jc w:val="center"/>
                    <w:rPr>
                      <w:sz w:val="21"/>
                      <w:szCs w:val="21"/>
                      <w:highlight w:val="none"/>
                    </w:rPr>
                  </w:pPr>
                  <w:r>
                    <w:rPr>
                      <w:rFonts w:hint="eastAsia"/>
                      <w:sz w:val="21"/>
                      <w:szCs w:val="21"/>
                      <w:highlight w:val="none"/>
                    </w:rPr>
                    <w:t>/</w:t>
                  </w:r>
                </w:p>
              </w:tc>
              <w:tc>
                <w:tcPr>
                  <w:tcW w:w="828" w:type="dxa"/>
                  <w:vAlign w:val="center"/>
                </w:tcPr>
                <w:p w14:paraId="673B4ADD">
                  <w:pPr>
                    <w:jc w:val="center"/>
                    <w:rPr>
                      <w:sz w:val="21"/>
                      <w:szCs w:val="21"/>
                      <w:highlight w:val="none"/>
                    </w:rPr>
                  </w:pPr>
                  <w:r>
                    <w:rPr>
                      <w:sz w:val="21"/>
                      <w:szCs w:val="21"/>
                      <w:highlight w:val="none"/>
                    </w:rPr>
                    <w:t>0.0</w:t>
                  </w:r>
                  <w:r>
                    <w:rPr>
                      <w:rFonts w:hint="eastAsia"/>
                      <w:sz w:val="21"/>
                      <w:szCs w:val="21"/>
                      <w:highlight w:val="none"/>
                    </w:rPr>
                    <w:t>0</w:t>
                  </w:r>
                  <w:r>
                    <w:rPr>
                      <w:rFonts w:hint="eastAsia"/>
                      <w:sz w:val="21"/>
                      <w:szCs w:val="21"/>
                      <w:highlight w:val="none"/>
                      <w:lang w:val="en-US" w:eastAsia="zh-CN"/>
                    </w:rPr>
                    <w:t>64</w:t>
                  </w:r>
                  <w:r>
                    <w:rPr>
                      <w:sz w:val="21"/>
                      <w:szCs w:val="21"/>
                      <w:highlight w:val="none"/>
                    </w:rPr>
                    <w:t>t/a</w:t>
                  </w:r>
                </w:p>
              </w:tc>
              <w:tc>
                <w:tcPr>
                  <w:tcW w:w="783" w:type="dxa"/>
                  <w:vAlign w:val="center"/>
                </w:tcPr>
                <w:p w14:paraId="68B3F65F">
                  <w:pPr>
                    <w:jc w:val="center"/>
                    <w:rPr>
                      <w:sz w:val="21"/>
                      <w:szCs w:val="21"/>
                      <w:highlight w:val="none"/>
                    </w:rPr>
                  </w:pPr>
                  <w:r>
                    <w:rPr>
                      <w:rFonts w:hint="eastAsia"/>
                      <w:sz w:val="21"/>
                      <w:szCs w:val="21"/>
                      <w:highlight w:val="none"/>
                    </w:rPr>
                    <w:t>1.0mg/m</w:t>
                  </w:r>
                  <w:r>
                    <w:rPr>
                      <w:rFonts w:hint="eastAsia"/>
                      <w:sz w:val="21"/>
                      <w:szCs w:val="21"/>
                      <w:highlight w:val="none"/>
                      <w:vertAlign w:val="superscript"/>
                    </w:rPr>
                    <w:t>3</w:t>
                  </w:r>
                </w:p>
              </w:tc>
              <w:tc>
                <w:tcPr>
                  <w:tcW w:w="1097" w:type="dxa"/>
                  <w:vMerge w:val="restart"/>
                  <w:vAlign w:val="center"/>
                </w:tcPr>
                <w:p w14:paraId="36541D21">
                  <w:pPr>
                    <w:jc w:val="center"/>
                    <w:rPr>
                      <w:rFonts w:hint="eastAsia"/>
                      <w:sz w:val="21"/>
                      <w:szCs w:val="21"/>
                      <w:highlight w:val="none"/>
                    </w:rPr>
                  </w:pPr>
                  <w:r>
                    <w:rPr>
                      <w:rFonts w:hint="eastAsia"/>
                      <w:sz w:val="21"/>
                      <w:szCs w:val="21"/>
                      <w:highlight w:val="none"/>
                    </w:rPr>
                    <w:t>《医疗机构水污染物排放标准》（GB18466-2005）表3标准要求</w:t>
                  </w:r>
                </w:p>
              </w:tc>
            </w:tr>
            <w:tr w14:paraId="47063A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dxa"/>
                  <w:vMerge w:val="continue"/>
                  <w:vAlign w:val="center"/>
                </w:tcPr>
                <w:p w14:paraId="16A660C8">
                  <w:pPr>
                    <w:jc w:val="center"/>
                    <w:rPr>
                      <w:sz w:val="21"/>
                      <w:szCs w:val="21"/>
                      <w:highlight w:val="none"/>
                    </w:rPr>
                  </w:pPr>
                </w:p>
              </w:tc>
              <w:tc>
                <w:tcPr>
                  <w:tcW w:w="626" w:type="dxa"/>
                  <w:vMerge w:val="continue"/>
                  <w:vAlign w:val="center"/>
                </w:tcPr>
                <w:p w14:paraId="07DB9AAC">
                  <w:pPr>
                    <w:jc w:val="center"/>
                    <w:rPr>
                      <w:sz w:val="21"/>
                      <w:szCs w:val="21"/>
                      <w:highlight w:val="none"/>
                    </w:rPr>
                  </w:pPr>
                </w:p>
              </w:tc>
              <w:tc>
                <w:tcPr>
                  <w:tcW w:w="677" w:type="dxa"/>
                  <w:vAlign w:val="center"/>
                </w:tcPr>
                <w:p w14:paraId="0EC96CF0">
                  <w:pPr>
                    <w:jc w:val="center"/>
                    <w:rPr>
                      <w:sz w:val="21"/>
                      <w:szCs w:val="21"/>
                      <w:highlight w:val="none"/>
                    </w:rPr>
                  </w:pPr>
                  <w:r>
                    <w:rPr>
                      <w:rFonts w:hint="eastAsia"/>
                      <w:sz w:val="21"/>
                      <w:szCs w:val="21"/>
                      <w:highlight w:val="none"/>
                    </w:rPr>
                    <w:t>H</w:t>
                  </w:r>
                  <w:r>
                    <w:rPr>
                      <w:rFonts w:hint="eastAsia"/>
                      <w:sz w:val="21"/>
                      <w:szCs w:val="21"/>
                      <w:highlight w:val="none"/>
                      <w:vertAlign w:val="subscript"/>
                    </w:rPr>
                    <w:t>2</w:t>
                  </w:r>
                  <w:r>
                    <w:rPr>
                      <w:rFonts w:hint="eastAsia"/>
                      <w:sz w:val="21"/>
                      <w:szCs w:val="21"/>
                      <w:highlight w:val="none"/>
                    </w:rPr>
                    <w:t>S</w:t>
                  </w:r>
                </w:p>
              </w:tc>
              <w:tc>
                <w:tcPr>
                  <w:tcW w:w="748" w:type="dxa"/>
                  <w:vAlign w:val="center"/>
                </w:tcPr>
                <w:p w14:paraId="1ACC4F9A">
                  <w:pPr>
                    <w:jc w:val="center"/>
                    <w:rPr>
                      <w:sz w:val="21"/>
                      <w:szCs w:val="21"/>
                      <w:highlight w:val="none"/>
                    </w:rPr>
                  </w:pPr>
                  <w:r>
                    <w:rPr>
                      <w:sz w:val="21"/>
                      <w:szCs w:val="21"/>
                      <w:highlight w:val="none"/>
                    </w:rPr>
                    <w:t>0.00</w:t>
                  </w:r>
                  <w:r>
                    <w:rPr>
                      <w:rFonts w:hint="eastAsia"/>
                      <w:sz w:val="21"/>
                      <w:szCs w:val="21"/>
                      <w:highlight w:val="none"/>
                    </w:rPr>
                    <w:t>0</w:t>
                  </w:r>
                  <w:r>
                    <w:rPr>
                      <w:rFonts w:hint="eastAsia"/>
                      <w:sz w:val="21"/>
                      <w:szCs w:val="21"/>
                      <w:highlight w:val="none"/>
                      <w:lang w:val="en-US" w:eastAsia="zh-CN"/>
                    </w:rPr>
                    <w:t>4</w:t>
                  </w:r>
                  <w:r>
                    <w:rPr>
                      <w:sz w:val="21"/>
                      <w:szCs w:val="21"/>
                      <w:highlight w:val="none"/>
                    </w:rPr>
                    <w:t>t/a</w:t>
                  </w:r>
                </w:p>
              </w:tc>
              <w:tc>
                <w:tcPr>
                  <w:tcW w:w="586" w:type="dxa"/>
                  <w:vAlign w:val="center"/>
                </w:tcPr>
                <w:p w14:paraId="2B169A0B">
                  <w:pPr>
                    <w:jc w:val="center"/>
                    <w:rPr>
                      <w:sz w:val="21"/>
                      <w:szCs w:val="21"/>
                      <w:highlight w:val="none"/>
                    </w:rPr>
                  </w:pPr>
                  <w:r>
                    <w:rPr>
                      <w:rFonts w:hint="eastAsia"/>
                      <w:sz w:val="21"/>
                      <w:szCs w:val="21"/>
                      <w:highlight w:val="none"/>
                    </w:rPr>
                    <w:t>/</w:t>
                  </w:r>
                </w:p>
              </w:tc>
              <w:tc>
                <w:tcPr>
                  <w:tcW w:w="706" w:type="dxa"/>
                  <w:vAlign w:val="center"/>
                </w:tcPr>
                <w:p w14:paraId="1D205C55">
                  <w:pPr>
                    <w:jc w:val="center"/>
                    <w:rPr>
                      <w:sz w:val="21"/>
                      <w:szCs w:val="21"/>
                      <w:highlight w:val="none"/>
                    </w:rPr>
                  </w:pPr>
                  <w:r>
                    <w:rPr>
                      <w:rFonts w:hint="eastAsia"/>
                      <w:sz w:val="21"/>
                      <w:szCs w:val="21"/>
                      <w:highlight w:val="none"/>
                    </w:rPr>
                    <w:t>无组织</w:t>
                  </w:r>
                </w:p>
              </w:tc>
              <w:tc>
                <w:tcPr>
                  <w:tcW w:w="981" w:type="dxa"/>
                  <w:vMerge w:val="continue"/>
                  <w:vAlign w:val="center"/>
                </w:tcPr>
                <w:p w14:paraId="7D82F587">
                  <w:pPr>
                    <w:jc w:val="center"/>
                    <w:rPr>
                      <w:sz w:val="21"/>
                      <w:szCs w:val="21"/>
                      <w:highlight w:val="none"/>
                    </w:rPr>
                  </w:pPr>
                </w:p>
              </w:tc>
              <w:tc>
                <w:tcPr>
                  <w:tcW w:w="814" w:type="dxa"/>
                  <w:vAlign w:val="center"/>
                </w:tcPr>
                <w:p w14:paraId="24123547">
                  <w:pPr>
                    <w:jc w:val="center"/>
                    <w:rPr>
                      <w:sz w:val="21"/>
                      <w:szCs w:val="21"/>
                      <w:highlight w:val="none"/>
                    </w:rPr>
                  </w:pPr>
                  <w:r>
                    <w:rPr>
                      <w:rFonts w:hint="eastAsia"/>
                      <w:sz w:val="21"/>
                      <w:szCs w:val="21"/>
                      <w:highlight w:val="none"/>
                    </w:rPr>
                    <w:t>/</w:t>
                  </w:r>
                </w:p>
              </w:tc>
              <w:tc>
                <w:tcPr>
                  <w:tcW w:w="828" w:type="dxa"/>
                  <w:vAlign w:val="center"/>
                </w:tcPr>
                <w:p w14:paraId="3D12A540">
                  <w:pPr>
                    <w:jc w:val="center"/>
                    <w:rPr>
                      <w:sz w:val="21"/>
                      <w:szCs w:val="21"/>
                      <w:highlight w:val="none"/>
                    </w:rPr>
                  </w:pPr>
                  <w:r>
                    <w:rPr>
                      <w:sz w:val="21"/>
                      <w:szCs w:val="21"/>
                      <w:highlight w:val="none"/>
                    </w:rPr>
                    <w:t>0.00</w:t>
                  </w:r>
                  <w:r>
                    <w:rPr>
                      <w:rFonts w:hint="eastAsia"/>
                      <w:sz w:val="21"/>
                      <w:szCs w:val="21"/>
                      <w:highlight w:val="none"/>
                    </w:rPr>
                    <w:t>0</w:t>
                  </w:r>
                  <w:r>
                    <w:rPr>
                      <w:rFonts w:hint="eastAsia"/>
                      <w:sz w:val="21"/>
                      <w:szCs w:val="21"/>
                      <w:highlight w:val="none"/>
                      <w:lang w:val="en-US" w:eastAsia="zh-CN"/>
                    </w:rPr>
                    <w:t>25</w:t>
                  </w:r>
                  <w:r>
                    <w:rPr>
                      <w:sz w:val="21"/>
                      <w:szCs w:val="21"/>
                      <w:highlight w:val="none"/>
                    </w:rPr>
                    <w:t>t/a</w:t>
                  </w:r>
                </w:p>
              </w:tc>
              <w:tc>
                <w:tcPr>
                  <w:tcW w:w="783" w:type="dxa"/>
                  <w:vAlign w:val="center"/>
                </w:tcPr>
                <w:p w14:paraId="0F5A51C2">
                  <w:pPr>
                    <w:jc w:val="center"/>
                    <w:rPr>
                      <w:sz w:val="21"/>
                      <w:szCs w:val="21"/>
                      <w:highlight w:val="none"/>
                    </w:rPr>
                  </w:pPr>
                  <w:r>
                    <w:rPr>
                      <w:rFonts w:hint="eastAsia"/>
                      <w:sz w:val="21"/>
                      <w:szCs w:val="21"/>
                      <w:highlight w:val="none"/>
                    </w:rPr>
                    <w:t>0.03mg/m</w:t>
                  </w:r>
                  <w:r>
                    <w:rPr>
                      <w:rFonts w:hint="eastAsia"/>
                      <w:sz w:val="21"/>
                      <w:szCs w:val="21"/>
                      <w:highlight w:val="none"/>
                      <w:vertAlign w:val="superscript"/>
                    </w:rPr>
                    <w:t>3</w:t>
                  </w:r>
                </w:p>
              </w:tc>
              <w:tc>
                <w:tcPr>
                  <w:tcW w:w="1097" w:type="dxa"/>
                  <w:vMerge w:val="continue"/>
                  <w:vAlign w:val="center"/>
                </w:tcPr>
                <w:p w14:paraId="6900CEC4">
                  <w:pPr>
                    <w:jc w:val="center"/>
                    <w:rPr>
                      <w:rFonts w:hint="eastAsia"/>
                      <w:sz w:val="21"/>
                      <w:szCs w:val="21"/>
                      <w:highlight w:val="none"/>
                    </w:rPr>
                  </w:pPr>
                </w:p>
              </w:tc>
            </w:tr>
            <w:tr w14:paraId="348E8D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dxa"/>
                  <w:vMerge w:val="continue"/>
                  <w:vAlign w:val="center"/>
                </w:tcPr>
                <w:p w14:paraId="392AB98C">
                  <w:pPr>
                    <w:jc w:val="center"/>
                    <w:rPr>
                      <w:sz w:val="21"/>
                      <w:szCs w:val="21"/>
                      <w:highlight w:val="none"/>
                    </w:rPr>
                  </w:pPr>
                </w:p>
              </w:tc>
              <w:tc>
                <w:tcPr>
                  <w:tcW w:w="626" w:type="dxa"/>
                  <w:vMerge w:val="continue"/>
                  <w:vAlign w:val="center"/>
                </w:tcPr>
                <w:p w14:paraId="6A8A10B8">
                  <w:pPr>
                    <w:jc w:val="center"/>
                    <w:rPr>
                      <w:sz w:val="21"/>
                      <w:szCs w:val="21"/>
                      <w:highlight w:val="none"/>
                    </w:rPr>
                  </w:pPr>
                </w:p>
              </w:tc>
              <w:tc>
                <w:tcPr>
                  <w:tcW w:w="677" w:type="dxa"/>
                  <w:vAlign w:val="center"/>
                </w:tcPr>
                <w:p w14:paraId="095A7FF1">
                  <w:pPr>
                    <w:jc w:val="center"/>
                    <w:rPr>
                      <w:rFonts w:hint="default" w:eastAsia="宋体"/>
                      <w:sz w:val="21"/>
                      <w:szCs w:val="21"/>
                      <w:highlight w:val="none"/>
                      <w:lang w:val="en-US" w:eastAsia="zh-CN"/>
                    </w:rPr>
                  </w:pPr>
                  <w:r>
                    <w:rPr>
                      <w:rFonts w:hint="eastAsia"/>
                      <w:sz w:val="21"/>
                      <w:szCs w:val="21"/>
                      <w:highlight w:val="none"/>
                      <w:lang w:val="en-US" w:eastAsia="zh-CN"/>
                    </w:rPr>
                    <w:t>臭气浓度</w:t>
                  </w:r>
                </w:p>
              </w:tc>
              <w:tc>
                <w:tcPr>
                  <w:tcW w:w="748" w:type="dxa"/>
                  <w:vAlign w:val="center"/>
                </w:tcPr>
                <w:p w14:paraId="3A4CFBED">
                  <w:pPr>
                    <w:jc w:val="center"/>
                    <w:rPr>
                      <w:rFonts w:hint="eastAsia" w:eastAsia="宋体"/>
                      <w:sz w:val="21"/>
                      <w:szCs w:val="21"/>
                      <w:highlight w:val="none"/>
                      <w:lang w:val="en-US" w:eastAsia="zh-CN"/>
                    </w:rPr>
                  </w:pPr>
                  <w:r>
                    <w:rPr>
                      <w:rFonts w:hint="eastAsia"/>
                      <w:sz w:val="21"/>
                      <w:szCs w:val="21"/>
                      <w:highlight w:val="none"/>
                      <w:lang w:val="en-US" w:eastAsia="zh-CN"/>
                    </w:rPr>
                    <w:t>/</w:t>
                  </w:r>
                </w:p>
              </w:tc>
              <w:tc>
                <w:tcPr>
                  <w:tcW w:w="586" w:type="dxa"/>
                  <w:vAlign w:val="center"/>
                </w:tcPr>
                <w:p w14:paraId="5CC7F6F7">
                  <w:pPr>
                    <w:jc w:val="center"/>
                    <w:rPr>
                      <w:rFonts w:hint="eastAsia" w:eastAsia="宋体"/>
                      <w:sz w:val="21"/>
                      <w:szCs w:val="21"/>
                      <w:highlight w:val="none"/>
                      <w:lang w:val="en-US" w:eastAsia="zh-CN"/>
                    </w:rPr>
                  </w:pPr>
                  <w:r>
                    <w:rPr>
                      <w:rFonts w:hint="eastAsia"/>
                      <w:sz w:val="21"/>
                      <w:szCs w:val="21"/>
                      <w:highlight w:val="none"/>
                      <w:lang w:val="en-US" w:eastAsia="zh-CN"/>
                    </w:rPr>
                    <w:t>/</w:t>
                  </w:r>
                </w:p>
              </w:tc>
              <w:tc>
                <w:tcPr>
                  <w:tcW w:w="706" w:type="dxa"/>
                  <w:vAlign w:val="center"/>
                </w:tcPr>
                <w:p w14:paraId="71232F34">
                  <w:pPr>
                    <w:jc w:val="center"/>
                    <w:rPr>
                      <w:rFonts w:hint="eastAsia"/>
                      <w:sz w:val="21"/>
                      <w:szCs w:val="21"/>
                      <w:highlight w:val="none"/>
                    </w:rPr>
                  </w:pPr>
                  <w:r>
                    <w:rPr>
                      <w:rFonts w:hint="eastAsia"/>
                      <w:sz w:val="21"/>
                      <w:szCs w:val="21"/>
                      <w:highlight w:val="none"/>
                    </w:rPr>
                    <w:t>无组织</w:t>
                  </w:r>
                </w:p>
              </w:tc>
              <w:tc>
                <w:tcPr>
                  <w:tcW w:w="981" w:type="dxa"/>
                  <w:vMerge w:val="continue"/>
                  <w:vAlign w:val="center"/>
                </w:tcPr>
                <w:p w14:paraId="66DC0B7B">
                  <w:pPr>
                    <w:jc w:val="center"/>
                    <w:rPr>
                      <w:sz w:val="21"/>
                      <w:szCs w:val="21"/>
                      <w:highlight w:val="none"/>
                    </w:rPr>
                  </w:pPr>
                </w:p>
              </w:tc>
              <w:tc>
                <w:tcPr>
                  <w:tcW w:w="814" w:type="dxa"/>
                  <w:vAlign w:val="center"/>
                </w:tcPr>
                <w:p w14:paraId="4B905100">
                  <w:pPr>
                    <w:jc w:val="center"/>
                    <w:rPr>
                      <w:rFonts w:hint="eastAsia" w:eastAsia="宋体"/>
                      <w:sz w:val="21"/>
                      <w:szCs w:val="21"/>
                      <w:highlight w:val="none"/>
                      <w:lang w:val="en-US" w:eastAsia="zh-CN"/>
                    </w:rPr>
                  </w:pPr>
                  <w:r>
                    <w:rPr>
                      <w:rFonts w:hint="eastAsia"/>
                      <w:sz w:val="21"/>
                      <w:szCs w:val="21"/>
                      <w:highlight w:val="none"/>
                      <w:lang w:val="en-US" w:eastAsia="zh-CN"/>
                    </w:rPr>
                    <w:t>/</w:t>
                  </w:r>
                </w:p>
              </w:tc>
              <w:tc>
                <w:tcPr>
                  <w:tcW w:w="828" w:type="dxa"/>
                  <w:vAlign w:val="center"/>
                </w:tcPr>
                <w:p w14:paraId="53781ECC">
                  <w:pPr>
                    <w:jc w:val="center"/>
                    <w:rPr>
                      <w:rFonts w:hint="eastAsia" w:eastAsia="宋体"/>
                      <w:sz w:val="21"/>
                      <w:szCs w:val="21"/>
                      <w:highlight w:val="none"/>
                      <w:lang w:val="en-US" w:eastAsia="zh-CN"/>
                    </w:rPr>
                  </w:pPr>
                  <w:r>
                    <w:rPr>
                      <w:rFonts w:hint="eastAsia"/>
                      <w:sz w:val="21"/>
                      <w:szCs w:val="21"/>
                      <w:highlight w:val="none"/>
                      <w:lang w:val="en-US" w:eastAsia="zh-CN"/>
                    </w:rPr>
                    <w:t>/</w:t>
                  </w:r>
                </w:p>
              </w:tc>
              <w:tc>
                <w:tcPr>
                  <w:tcW w:w="783" w:type="dxa"/>
                  <w:vAlign w:val="center"/>
                </w:tcPr>
                <w:p w14:paraId="215FFC13">
                  <w:pPr>
                    <w:jc w:val="center"/>
                    <w:rPr>
                      <w:rFonts w:hint="default" w:eastAsia="宋体"/>
                      <w:sz w:val="21"/>
                      <w:szCs w:val="21"/>
                      <w:highlight w:val="none"/>
                      <w:lang w:val="en-US" w:eastAsia="zh-CN"/>
                    </w:rPr>
                  </w:pPr>
                  <w:r>
                    <w:rPr>
                      <w:rFonts w:hint="eastAsia"/>
                      <w:sz w:val="21"/>
                      <w:szCs w:val="21"/>
                      <w:highlight w:val="none"/>
                      <w:lang w:val="en-US" w:eastAsia="zh-CN"/>
                    </w:rPr>
                    <w:t>10（无量纲）</w:t>
                  </w:r>
                </w:p>
              </w:tc>
              <w:tc>
                <w:tcPr>
                  <w:tcW w:w="1097" w:type="dxa"/>
                  <w:vMerge w:val="continue"/>
                  <w:vAlign w:val="center"/>
                </w:tcPr>
                <w:p w14:paraId="2B14F865">
                  <w:pPr>
                    <w:jc w:val="center"/>
                    <w:rPr>
                      <w:rFonts w:hint="eastAsia"/>
                      <w:sz w:val="21"/>
                      <w:szCs w:val="21"/>
                      <w:highlight w:val="none"/>
                      <w:lang w:val="en-US" w:eastAsia="zh-CN"/>
                    </w:rPr>
                  </w:pPr>
                </w:p>
              </w:tc>
            </w:tr>
            <w:tr w14:paraId="575130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dxa"/>
                  <w:vAlign w:val="center"/>
                </w:tcPr>
                <w:p w14:paraId="58695FC4">
                  <w:pPr>
                    <w:jc w:val="center"/>
                    <w:rPr>
                      <w:rFonts w:hint="eastAsia" w:eastAsia="宋体"/>
                      <w:sz w:val="21"/>
                      <w:szCs w:val="21"/>
                      <w:highlight w:val="none"/>
                      <w:lang w:eastAsia="zh-CN"/>
                    </w:rPr>
                  </w:pPr>
                  <w:r>
                    <w:rPr>
                      <w:rFonts w:hint="eastAsia"/>
                      <w:sz w:val="21"/>
                      <w:szCs w:val="21"/>
                      <w:highlight w:val="none"/>
                      <w:lang w:val="en-US" w:eastAsia="zh-CN"/>
                    </w:rPr>
                    <w:t>2</w:t>
                  </w:r>
                </w:p>
              </w:tc>
              <w:tc>
                <w:tcPr>
                  <w:tcW w:w="626" w:type="dxa"/>
                  <w:vAlign w:val="center"/>
                </w:tcPr>
                <w:p w14:paraId="5D8BD1D8">
                  <w:pPr>
                    <w:jc w:val="center"/>
                    <w:rPr>
                      <w:sz w:val="21"/>
                      <w:szCs w:val="21"/>
                      <w:highlight w:val="none"/>
                    </w:rPr>
                  </w:pPr>
                  <w:r>
                    <w:rPr>
                      <w:rFonts w:hint="eastAsia"/>
                      <w:sz w:val="21"/>
                      <w:szCs w:val="21"/>
                      <w:highlight w:val="none"/>
                    </w:rPr>
                    <w:t>医疗废物暂存废气</w:t>
                  </w:r>
                </w:p>
              </w:tc>
              <w:tc>
                <w:tcPr>
                  <w:tcW w:w="677" w:type="dxa"/>
                  <w:vAlign w:val="center"/>
                </w:tcPr>
                <w:p w14:paraId="57FE3E08">
                  <w:pPr>
                    <w:jc w:val="center"/>
                    <w:rPr>
                      <w:sz w:val="21"/>
                      <w:szCs w:val="21"/>
                      <w:highlight w:val="none"/>
                    </w:rPr>
                  </w:pPr>
                  <w:r>
                    <w:rPr>
                      <w:rFonts w:hint="eastAsia"/>
                      <w:sz w:val="21"/>
                      <w:szCs w:val="21"/>
                      <w:highlight w:val="none"/>
                      <w:lang w:val="en-US" w:eastAsia="zh-CN"/>
                    </w:rPr>
                    <w:t>臭气浓度</w:t>
                  </w:r>
                </w:p>
              </w:tc>
              <w:tc>
                <w:tcPr>
                  <w:tcW w:w="748" w:type="dxa"/>
                  <w:vAlign w:val="center"/>
                </w:tcPr>
                <w:p w14:paraId="4F9EAEB1">
                  <w:pPr>
                    <w:jc w:val="center"/>
                    <w:rPr>
                      <w:rFonts w:hint="default" w:eastAsia="宋体"/>
                      <w:sz w:val="21"/>
                      <w:szCs w:val="21"/>
                      <w:highlight w:val="none"/>
                      <w:lang w:val="en-US" w:eastAsia="zh-CN"/>
                    </w:rPr>
                  </w:pPr>
                  <w:r>
                    <w:rPr>
                      <w:rFonts w:hint="eastAsia"/>
                      <w:sz w:val="21"/>
                      <w:szCs w:val="21"/>
                      <w:highlight w:val="none"/>
                      <w:lang w:val="en-US" w:eastAsia="zh-CN"/>
                    </w:rPr>
                    <w:t>少量</w:t>
                  </w:r>
                </w:p>
              </w:tc>
              <w:tc>
                <w:tcPr>
                  <w:tcW w:w="586" w:type="dxa"/>
                  <w:vAlign w:val="center"/>
                </w:tcPr>
                <w:p w14:paraId="15A0AAD3">
                  <w:pPr>
                    <w:jc w:val="center"/>
                    <w:rPr>
                      <w:sz w:val="21"/>
                      <w:szCs w:val="21"/>
                      <w:highlight w:val="none"/>
                    </w:rPr>
                  </w:pPr>
                  <w:r>
                    <w:rPr>
                      <w:rFonts w:hint="eastAsia"/>
                      <w:sz w:val="21"/>
                      <w:szCs w:val="21"/>
                      <w:highlight w:val="none"/>
                      <w:lang w:val="en-US" w:eastAsia="zh-CN"/>
                    </w:rPr>
                    <w:t>少量</w:t>
                  </w:r>
                </w:p>
              </w:tc>
              <w:tc>
                <w:tcPr>
                  <w:tcW w:w="706" w:type="dxa"/>
                  <w:vAlign w:val="center"/>
                </w:tcPr>
                <w:p w14:paraId="4FC6110E">
                  <w:pPr>
                    <w:jc w:val="center"/>
                    <w:rPr>
                      <w:sz w:val="21"/>
                      <w:szCs w:val="21"/>
                      <w:highlight w:val="none"/>
                    </w:rPr>
                  </w:pPr>
                  <w:r>
                    <w:rPr>
                      <w:rFonts w:hint="eastAsia"/>
                      <w:sz w:val="21"/>
                      <w:szCs w:val="21"/>
                      <w:highlight w:val="none"/>
                    </w:rPr>
                    <w:t>无组织</w:t>
                  </w:r>
                </w:p>
              </w:tc>
              <w:tc>
                <w:tcPr>
                  <w:tcW w:w="981" w:type="dxa"/>
                  <w:vAlign w:val="center"/>
                </w:tcPr>
                <w:p w14:paraId="7C892CF6">
                  <w:pPr>
                    <w:jc w:val="center"/>
                    <w:rPr>
                      <w:sz w:val="21"/>
                      <w:szCs w:val="21"/>
                      <w:highlight w:val="none"/>
                    </w:rPr>
                  </w:pPr>
                  <w:r>
                    <w:rPr>
                      <w:rFonts w:hint="eastAsia"/>
                      <w:sz w:val="21"/>
                      <w:szCs w:val="21"/>
                      <w:highlight w:val="none"/>
                    </w:rPr>
                    <w:t>分类储存，通过加强管理，加强消毒</w:t>
                  </w:r>
                </w:p>
              </w:tc>
              <w:tc>
                <w:tcPr>
                  <w:tcW w:w="814" w:type="dxa"/>
                  <w:vAlign w:val="center"/>
                </w:tcPr>
                <w:p w14:paraId="358EC245">
                  <w:pPr>
                    <w:jc w:val="center"/>
                    <w:rPr>
                      <w:sz w:val="21"/>
                      <w:szCs w:val="21"/>
                      <w:highlight w:val="none"/>
                    </w:rPr>
                  </w:pPr>
                  <w:r>
                    <w:rPr>
                      <w:rFonts w:hint="eastAsia"/>
                      <w:sz w:val="21"/>
                      <w:szCs w:val="21"/>
                      <w:highlight w:val="none"/>
                      <w:lang w:val="en-US" w:eastAsia="zh-CN"/>
                    </w:rPr>
                    <w:t>少量</w:t>
                  </w:r>
                </w:p>
              </w:tc>
              <w:tc>
                <w:tcPr>
                  <w:tcW w:w="828" w:type="dxa"/>
                  <w:vAlign w:val="center"/>
                </w:tcPr>
                <w:p w14:paraId="40BF8FEE">
                  <w:pPr>
                    <w:jc w:val="center"/>
                    <w:rPr>
                      <w:sz w:val="21"/>
                      <w:szCs w:val="21"/>
                      <w:highlight w:val="none"/>
                    </w:rPr>
                  </w:pPr>
                  <w:r>
                    <w:rPr>
                      <w:rFonts w:hint="eastAsia"/>
                      <w:sz w:val="21"/>
                      <w:szCs w:val="21"/>
                      <w:highlight w:val="none"/>
                      <w:lang w:val="en-US" w:eastAsia="zh-CN"/>
                    </w:rPr>
                    <w:t>少量</w:t>
                  </w:r>
                </w:p>
              </w:tc>
              <w:tc>
                <w:tcPr>
                  <w:tcW w:w="783" w:type="dxa"/>
                  <w:vAlign w:val="center"/>
                </w:tcPr>
                <w:p w14:paraId="10018683">
                  <w:pPr>
                    <w:jc w:val="center"/>
                    <w:rPr>
                      <w:sz w:val="21"/>
                      <w:szCs w:val="21"/>
                      <w:highlight w:val="none"/>
                    </w:rPr>
                  </w:pPr>
                  <w:r>
                    <w:rPr>
                      <w:rFonts w:hint="eastAsia"/>
                      <w:sz w:val="21"/>
                      <w:szCs w:val="21"/>
                      <w:highlight w:val="none"/>
                    </w:rPr>
                    <w:t>20</w:t>
                  </w:r>
                </w:p>
              </w:tc>
              <w:tc>
                <w:tcPr>
                  <w:tcW w:w="1097" w:type="dxa"/>
                  <w:vAlign w:val="center"/>
                </w:tcPr>
                <w:p w14:paraId="4BFDF574">
                  <w:pPr>
                    <w:jc w:val="center"/>
                    <w:rPr>
                      <w:rFonts w:hint="eastAsia"/>
                      <w:sz w:val="21"/>
                      <w:szCs w:val="21"/>
                      <w:highlight w:val="none"/>
                    </w:rPr>
                  </w:pPr>
                  <w:r>
                    <w:rPr>
                      <w:rFonts w:hint="eastAsia"/>
                      <w:sz w:val="21"/>
                      <w:szCs w:val="21"/>
                      <w:highlight w:val="none"/>
                    </w:rPr>
                    <w:t>《恶臭污染物排放标准》（GB14554-93）二级（新改扩建）标准</w:t>
                  </w:r>
                </w:p>
              </w:tc>
            </w:tr>
            <w:tr w14:paraId="1327D0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dxa"/>
                  <w:vAlign w:val="center"/>
                </w:tcPr>
                <w:p w14:paraId="1EE108C2">
                  <w:pPr>
                    <w:jc w:val="center"/>
                    <w:rPr>
                      <w:rFonts w:hint="default" w:eastAsia="宋体"/>
                      <w:sz w:val="21"/>
                      <w:szCs w:val="21"/>
                      <w:highlight w:val="none"/>
                      <w:lang w:val="en-US" w:eastAsia="zh-CN"/>
                    </w:rPr>
                  </w:pPr>
                  <w:r>
                    <w:rPr>
                      <w:rFonts w:hint="eastAsia"/>
                      <w:sz w:val="21"/>
                      <w:szCs w:val="21"/>
                      <w:highlight w:val="none"/>
                      <w:lang w:val="en-US" w:eastAsia="zh-CN"/>
                    </w:rPr>
                    <w:t>3</w:t>
                  </w:r>
                </w:p>
              </w:tc>
              <w:tc>
                <w:tcPr>
                  <w:tcW w:w="626" w:type="dxa"/>
                  <w:vAlign w:val="center"/>
                </w:tcPr>
                <w:p w14:paraId="0CFCF0AC">
                  <w:pPr>
                    <w:jc w:val="center"/>
                    <w:rPr>
                      <w:rFonts w:hint="eastAsia"/>
                      <w:sz w:val="21"/>
                      <w:szCs w:val="21"/>
                      <w:highlight w:val="none"/>
                    </w:rPr>
                  </w:pPr>
                  <w:r>
                    <w:rPr>
                      <w:rFonts w:hint="eastAsia"/>
                      <w:sz w:val="21"/>
                      <w:szCs w:val="21"/>
                      <w:highlight w:val="none"/>
                      <w:lang w:val="en-US" w:eastAsia="zh-CN"/>
                    </w:rPr>
                    <w:t>一般固废暂存废气</w:t>
                  </w:r>
                </w:p>
              </w:tc>
              <w:tc>
                <w:tcPr>
                  <w:tcW w:w="677" w:type="dxa"/>
                  <w:vAlign w:val="center"/>
                </w:tcPr>
                <w:p w14:paraId="7F202034">
                  <w:pPr>
                    <w:jc w:val="center"/>
                    <w:rPr>
                      <w:rFonts w:hint="eastAsia"/>
                      <w:sz w:val="21"/>
                      <w:szCs w:val="21"/>
                      <w:highlight w:val="none"/>
                    </w:rPr>
                  </w:pPr>
                  <w:r>
                    <w:rPr>
                      <w:rFonts w:hint="eastAsia"/>
                      <w:sz w:val="21"/>
                      <w:szCs w:val="21"/>
                      <w:highlight w:val="none"/>
                      <w:lang w:val="en-US" w:eastAsia="zh-CN"/>
                    </w:rPr>
                    <w:t>臭气浓度</w:t>
                  </w:r>
                </w:p>
              </w:tc>
              <w:tc>
                <w:tcPr>
                  <w:tcW w:w="748" w:type="dxa"/>
                  <w:vAlign w:val="center"/>
                </w:tcPr>
                <w:p w14:paraId="7751579B">
                  <w:pPr>
                    <w:jc w:val="center"/>
                    <w:rPr>
                      <w:rFonts w:hint="eastAsia"/>
                      <w:sz w:val="21"/>
                      <w:szCs w:val="21"/>
                      <w:highlight w:val="none"/>
                    </w:rPr>
                  </w:pPr>
                  <w:r>
                    <w:rPr>
                      <w:rFonts w:hint="eastAsia"/>
                      <w:sz w:val="21"/>
                      <w:szCs w:val="21"/>
                      <w:highlight w:val="none"/>
                      <w:lang w:val="en-US" w:eastAsia="zh-CN"/>
                    </w:rPr>
                    <w:t>少量</w:t>
                  </w:r>
                </w:p>
              </w:tc>
              <w:tc>
                <w:tcPr>
                  <w:tcW w:w="586" w:type="dxa"/>
                  <w:vAlign w:val="center"/>
                </w:tcPr>
                <w:p w14:paraId="1F6629C8">
                  <w:pPr>
                    <w:jc w:val="center"/>
                    <w:rPr>
                      <w:rFonts w:hint="eastAsia"/>
                      <w:sz w:val="21"/>
                      <w:szCs w:val="21"/>
                      <w:highlight w:val="none"/>
                    </w:rPr>
                  </w:pPr>
                  <w:r>
                    <w:rPr>
                      <w:rFonts w:hint="eastAsia"/>
                      <w:sz w:val="21"/>
                      <w:szCs w:val="21"/>
                      <w:highlight w:val="none"/>
                      <w:lang w:val="en-US" w:eastAsia="zh-CN"/>
                    </w:rPr>
                    <w:t>少量</w:t>
                  </w:r>
                </w:p>
              </w:tc>
              <w:tc>
                <w:tcPr>
                  <w:tcW w:w="706" w:type="dxa"/>
                  <w:vAlign w:val="center"/>
                </w:tcPr>
                <w:p w14:paraId="4D199967">
                  <w:pPr>
                    <w:jc w:val="center"/>
                    <w:rPr>
                      <w:rFonts w:hint="eastAsia"/>
                      <w:sz w:val="21"/>
                      <w:szCs w:val="21"/>
                      <w:highlight w:val="none"/>
                    </w:rPr>
                  </w:pPr>
                  <w:r>
                    <w:rPr>
                      <w:rFonts w:hint="eastAsia"/>
                      <w:sz w:val="21"/>
                      <w:szCs w:val="21"/>
                      <w:highlight w:val="none"/>
                    </w:rPr>
                    <w:t>无组织</w:t>
                  </w:r>
                </w:p>
              </w:tc>
              <w:tc>
                <w:tcPr>
                  <w:tcW w:w="981" w:type="dxa"/>
                  <w:vAlign w:val="center"/>
                </w:tcPr>
                <w:p w14:paraId="6377482B">
                  <w:pPr>
                    <w:jc w:val="center"/>
                    <w:rPr>
                      <w:rFonts w:hint="eastAsia" w:eastAsia="宋体"/>
                      <w:sz w:val="21"/>
                      <w:szCs w:val="21"/>
                      <w:highlight w:val="none"/>
                      <w:lang w:eastAsia="zh-CN"/>
                    </w:rPr>
                  </w:pPr>
                  <w:r>
                    <w:rPr>
                      <w:rFonts w:hint="eastAsia"/>
                      <w:sz w:val="21"/>
                      <w:szCs w:val="21"/>
                      <w:highlight w:val="none"/>
                    </w:rPr>
                    <w:t>密闭管理，定期清洗消毒</w:t>
                  </w:r>
                  <w:r>
                    <w:rPr>
                      <w:rFonts w:hint="eastAsia"/>
                      <w:sz w:val="21"/>
                      <w:szCs w:val="21"/>
                      <w:highlight w:val="none"/>
                      <w:lang w:eastAsia="zh-CN"/>
                    </w:rPr>
                    <w:t>，生活垃圾“日产日清”</w:t>
                  </w:r>
                </w:p>
              </w:tc>
              <w:tc>
                <w:tcPr>
                  <w:tcW w:w="814" w:type="dxa"/>
                  <w:vAlign w:val="center"/>
                </w:tcPr>
                <w:p w14:paraId="1E54824B">
                  <w:pPr>
                    <w:jc w:val="center"/>
                    <w:rPr>
                      <w:rFonts w:hint="eastAsia"/>
                      <w:sz w:val="21"/>
                      <w:szCs w:val="21"/>
                      <w:highlight w:val="none"/>
                    </w:rPr>
                  </w:pPr>
                  <w:r>
                    <w:rPr>
                      <w:rFonts w:hint="eastAsia"/>
                      <w:sz w:val="21"/>
                      <w:szCs w:val="21"/>
                      <w:highlight w:val="none"/>
                      <w:lang w:val="en-US" w:eastAsia="zh-CN"/>
                    </w:rPr>
                    <w:t>少量</w:t>
                  </w:r>
                </w:p>
              </w:tc>
              <w:tc>
                <w:tcPr>
                  <w:tcW w:w="828" w:type="dxa"/>
                  <w:vAlign w:val="center"/>
                </w:tcPr>
                <w:p w14:paraId="32DCF327">
                  <w:pPr>
                    <w:jc w:val="center"/>
                    <w:rPr>
                      <w:rFonts w:hint="eastAsia"/>
                      <w:sz w:val="21"/>
                      <w:szCs w:val="21"/>
                      <w:highlight w:val="none"/>
                    </w:rPr>
                  </w:pPr>
                  <w:r>
                    <w:rPr>
                      <w:rFonts w:hint="eastAsia"/>
                      <w:sz w:val="21"/>
                      <w:szCs w:val="21"/>
                      <w:highlight w:val="none"/>
                      <w:lang w:val="en-US" w:eastAsia="zh-CN"/>
                    </w:rPr>
                    <w:t>少量</w:t>
                  </w:r>
                </w:p>
              </w:tc>
              <w:tc>
                <w:tcPr>
                  <w:tcW w:w="783" w:type="dxa"/>
                  <w:vAlign w:val="center"/>
                </w:tcPr>
                <w:p w14:paraId="68FC963B">
                  <w:pPr>
                    <w:jc w:val="center"/>
                    <w:rPr>
                      <w:rFonts w:hint="default" w:eastAsia="宋体"/>
                      <w:sz w:val="21"/>
                      <w:szCs w:val="21"/>
                      <w:highlight w:val="none"/>
                      <w:lang w:val="en-US" w:eastAsia="zh-CN"/>
                    </w:rPr>
                  </w:pPr>
                  <w:r>
                    <w:rPr>
                      <w:rFonts w:hint="eastAsia"/>
                      <w:sz w:val="21"/>
                      <w:szCs w:val="21"/>
                      <w:highlight w:val="none"/>
                      <w:lang w:val="en-US" w:eastAsia="zh-CN"/>
                    </w:rPr>
                    <w:t>20</w:t>
                  </w:r>
                </w:p>
              </w:tc>
              <w:tc>
                <w:tcPr>
                  <w:tcW w:w="1097" w:type="dxa"/>
                  <w:vAlign w:val="center"/>
                </w:tcPr>
                <w:p w14:paraId="2C560ECB">
                  <w:pPr>
                    <w:jc w:val="center"/>
                    <w:rPr>
                      <w:rFonts w:hint="eastAsia"/>
                      <w:sz w:val="21"/>
                      <w:szCs w:val="21"/>
                      <w:highlight w:val="none"/>
                      <w:lang w:val="en-US" w:eastAsia="zh-CN"/>
                    </w:rPr>
                  </w:pPr>
                  <w:r>
                    <w:rPr>
                      <w:rFonts w:hint="eastAsia"/>
                      <w:sz w:val="21"/>
                      <w:szCs w:val="21"/>
                      <w:highlight w:val="none"/>
                      <w:lang w:val="en-US" w:eastAsia="zh-CN"/>
                    </w:rPr>
                    <w:t>《恶臭污染物排放标准》(GB14554-93)表1中二级新改扩建限值</w:t>
                  </w:r>
                </w:p>
              </w:tc>
            </w:tr>
            <w:tr w14:paraId="52E14D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442" w:type="dxa"/>
                  <w:vAlign w:val="center"/>
                </w:tcPr>
                <w:p w14:paraId="798966D0">
                  <w:pPr>
                    <w:jc w:val="center"/>
                    <w:rPr>
                      <w:rFonts w:hint="eastAsia" w:eastAsia="宋体"/>
                      <w:sz w:val="21"/>
                      <w:szCs w:val="21"/>
                      <w:highlight w:val="none"/>
                      <w:lang w:val="en-US" w:eastAsia="zh-CN"/>
                    </w:rPr>
                  </w:pPr>
                  <w:r>
                    <w:rPr>
                      <w:rFonts w:hint="eastAsia"/>
                      <w:sz w:val="21"/>
                      <w:szCs w:val="21"/>
                      <w:highlight w:val="none"/>
                      <w:lang w:val="en-US" w:eastAsia="zh-CN"/>
                    </w:rPr>
                    <w:t>4</w:t>
                  </w:r>
                </w:p>
              </w:tc>
              <w:tc>
                <w:tcPr>
                  <w:tcW w:w="626" w:type="dxa"/>
                  <w:vAlign w:val="center"/>
                </w:tcPr>
                <w:p w14:paraId="27498EEC">
                  <w:pPr>
                    <w:jc w:val="center"/>
                    <w:rPr>
                      <w:rFonts w:hint="default" w:eastAsia="宋体"/>
                      <w:sz w:val="21"/>
                      <w:szCs w:val="21"/>
                      <w:highlight w:val="none"/>
                      <w:lang w:val="en-US" w:eastAsia="zh-CN"/>
                    </w:rPr>
                  </w:pPr>
                  <w:r>
                    <w:rPr>
                      <w:rFonts w:hint="default" w:eastAsia="宋体"/>
                      <w:sz w:val="21"/>
                      <w:szCs w:val="21"/>
                      <w:highlight w:val="none"/>
                      <w:lang w:val="en-US" w:eastAsia="zh-CN"/>
                    </w:rPr>
                    <w:t>消毒水异味</w:t>
                  </w:r>
                </w:p>
              </w:tc>
              <w:tc>
                <w:tcPr>
                  <w:tcW w:w="677" w:type="dxa"/>
                  <w:vAlign w:val="center"/>
                </w:tcPr>
                <w:p w14:paraId="48E8E20A">
                  <w:pPr>
                    <w:jc w:val="center"/>
                    <w:rPr>
                      <w:rFonts w:hint="default" w:eastAsia="宋体"/>
                      <w:sz w:val="21"/>
                      <w:szCs w:val="21"/>
                      <w:highlight w:val="none"/>
                      <w:lang w:val="en-US" w:eastAsia="zh-CN"/>
                    </w:rPr>
                  </w:pPr>
                  <w:r>
                    <w:rPr>
                      <w:rFonts w:hint="eastAsia"/>
                      <w:sz w:val="21"/>
                      <w:szCs w:val="21"/>
                      <w:highlight w:val="none"/>
                      <w:lang w:val="en-US" w:eastAsia="zh-CN"/>
                    </w:rPr>
                    <w:t>臭气浓度</w:t>
                  </w:r>
                </w:p>
              </w:tc>
              <w:tc>
                <w:tcPr>
                  <w:tcW w:w="748" w:type="dxa"/>
                  <w:vAlign w:val="center"/>
                </w:tcPr>
                <w:p w14:paraId="6FD5C4FB">
                  <w:pPr>
                    <w:jc w:val="center"/>
                    <w:rPr>
                      <w:rFonts w:hint="eastAsia"/>
                      <w:sz w:val="21"/>
                      <w:szCs w:val="21"/>
                      <w:highlight w:val="none"/>
                    </w:rPr>
                  </w:pPr>
                  <w:r>
                    <w:rPr>
                      <w:rFonts w:hint="eastAsia"/>
                      <w:sz w:val="21"/>
                      <w:szCs w:val="21"/>
                      <w:highlight w:val="none"/>
                      <w:lang w:val="en-US" w:eastAsia="zh-CN"/>
                    </w:rPr>
                    <w:t>少量</w:t>
                  </w:r>
                </w:p>
              </w:tc>
              <w:tc>
                <w:tcPr>
                  <w:tcW w:w="586" w:type="dxa"/>
                  <w:vAlign w:val="center"/>
                </w:tcPr>
                <w:p w14:paraId="5EFFFC1D">
                  <w:pPr>
                    <w:jc w:val="center"/>
                    <w:rPr>
                      <w:rFonts w:hint="eastAsia"/>
                      <w:sz w:val="21"/>
                      <w:szCs w:val="21"/>
                      <w:highlight w:val="none"/>
                    </w:rPr>
                  </w:pPr>
                  <w:r>
                    <w:rPr>
                      <w:rFonts w:hint="eastAsia"/>
                      <w:sz w:val="21"/>
                      <w:szCs w:val="21"/>
                      <w:highlight w:val="none"/>
                      <w:lang w:val="en-US" w:eastAsia="zh-CN"/>
                    </w:rPr>
                    <w:t>少量</w:t>
                  </w:r>
                </w:p>
              </w:tc>
              <w:tc>
                <w:tcPr>
                  <w:tcW w:w="706" w:type="dxa"/>
                  <w:vAlign w:val="center"/>
                </w:tcPr>
                <w:p w14:paraId="6BA4AE4D">
                  <w:pPr>
                    <w:jc w:val="center"/>
                    <w:rPr>
                      <w:rFonts w:hint="eastAsia"/>
                      <w:sz w:val="21"/>
                      <w:szCs w:val="21"/>
                      <w:highlight w:val="none"/>
                    </w:rPr>
                  </w:pPr>
                  <w:r>
                    <w:rPr>
                      <w:rFonts w:hint="eastAsia"/>
                      <w:sz w:val="21"/>
                      <w:szCs w:val="21"/>
                      <w:highlight w:val="none"/>
                    </w:rPr>
                    <w:t>无组织</w:t>
                  </w:r>
                </w:p>
              </w:tc>
              <w:tc>
                <w:tcPr>
                  <w:tcW w:w="981" w:type="dxa"/>
                  <w:vAlign w:val="center"/>
                </w:tcPr>
                <w:p w14:paraId="5E467845">
                  <w:pPr>
                    <w:jc w:val="center"/>
                    <w:rPr>
                      <w:rFonts w:hint="eastAsia"/>
                      <w:sz w:val="21"/>
                      <w:szCs w:val="21"/>
                      <w:highlight w:val="none"/>
                    </w:rPr>
                  </w:pPr>
                  <w:r>
                    <w:rPr>
                      <w:rFonts w:hint="eastAsia"/>
                      <w:sz w:val="21"/>
                      <w:szCs w:val="21"/>
                      <w:highlight w:val="none"/>
                    </w:rPr>
                    <w:t>加强通风</w:t>
                  </w:r>
                </w:p>
              </w:tc>
              <w:tc>
                <w:tcPr>
                  <w:tcW w:w="814" w:type="dxa"/>
                  <w:vAlign w:val="center"/>
                </w:tcPr>
                <w:p w14:paraId="5D2FA5C2">
                  <w:pPr>
                    <w:jc w:val="center"/>
                    <w:rPr>
                      <w:rFonts w:hint="eastAsia"/>
                      <w:sz w:val="21"/>
                      <w:szCs w:val="21"/>
                      <w:highlight w:val="none"/>
                    </w:rPr>
                  </w:pPr>
                  <w:r>
                    <w:rPr>
                      <w:rFonts w:hint="eastAsia"/>
                      <w:sz w:val="21"/>
                      <w:szCs w:val="21"/>
                      <w:highlight w:val="none"/>
                      <w:lang w:val="en-US" w:eastAsia="zh-CN"/>
                    </w:rPr>
                    <w:t>少量</w:t>
                  </w:r>
                </w:p>
              </w:tc>
              <w:tc>
                <w:tcPr>
                  <w:tcW w:w="828" w:type="dxa"/>
                  <w:vAlign w:val="center"/>
                </w:tcPr>
                <w:p w14:paraId="46F1C826">
                  <w:pPr>
                    <w:jc w:val="center"/>
                    <w:rPr>
                      <w:rFonts w:hint="eastAsia"/>
                      <w:sz w:val="21"/>
                      <w:szCs w:val="21"/>
                      <w:highlight w:val="none"/>
                    </w:rPr>
                  </w:pPr>
                  <w:r>
                    <w:rPr>
                      <w:rFonts w:hint="eastAsia"/>
                      <w:sz w:val="21"/>
                      <w:szCs w:val="21"/>
                      <w:highlight w:val="none"/>
                      <w:lang w:val="en-US" w:eastAsia="zh-CN"/>
                    </w:rPr>
                    <w:t>少量</w:t>
                  </w:r>
                </w:p>
              </w:tc>
              <w:tc>
                <w:tcPr>
                  <w:tcW w:w="783" w:type="dxa"/>
                  <w:vAlign w:val="center"/>
                </w:tcPr>
                <w:p w14:paraId="3D49D750">
                  <w:pPr>
                    <w:jc w:val="center"/>
                    <w:rPr>
                      <w:rFonts w:hint="eastAsia"/>
                      <w:sz w:val="21"/>
                      <w:szCs w:val="21"/>
                      <w:highlight w:val="none"/>
                    </w:rPr>
                  </w:pPr>
                  <w:r>
                    <w:rPr>
                      <w:rFonts w:hint="eastAsia"/>
                      <w:sz w:val="21"/>
                      <w:szCs w:val="21"/>
                      <w:highlight w:val="none"/>
                      <w:lang w:val="en-US" w:eastAsia="zh-CN"/>
                    </w:rPr>
                    <w:t>20</w:t>
                  </w:r>
                </w:p>
              </w:tc>
              <w:tc>
                <w:tcPr>
                  <w:tcW w:w="1097" w:type="dxa"/>
                  <w:vAlign w:val="center"/>
                </w:tcPr>
                <w:p w14:paraId="6AF3B8D0">
                  <w:pPr>
                    <w:jc w:val="center"/>
                    <w:rPr>
                      <w:rFonts w:hint="eastAsia" w:eastAsia="宋体"/>
                      <w:sz w:val="21"/>
                      <w:szCs w:val="21"/>
                      <w:highlight w:val="none"/>
                      <w:lang w:eastAsia="zh-CN"/>
                    </w:rPr>
                  </w:pPr>
                  <w:r>
                    <w:rPr>
                      <w:rFonts w:hint="eastAsia"/>
                      <w:sz w:val="21"/>
                      <w:szCs w:val="21"/>
                      <w:highlight w:val="none"/>
                      <w:lang w:val="en-US" w:eastAsia="zh-CN"/>
                    </w:rPr>
                    <w:t>《恶臭污染物排放标准》(GB14554-93)表1中二级新改扩建限值</w:t>
                  </w:r>
                </w:p>
              </w:tc>
            </w:tr>
            <w:tr w14:paraId="04A6A4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442" w:type="dxa"/>
                  <w:vMerge w:val="restart"/>
                  <w:vAlign w:val="center"/>
                </w:tcPr>
                <w:p w14:paraId="1680BB3D">
                  <w:pPr>
                    <w:jc w:val="center"/>
                    <w:rPr>
                      <w:rFonts w:hint="eastAsia" w:eastAsia="宋体"/>
                      <w:sz w:val="21"/>
                      <w:szCs w:val="21"/>
                      <w:highlight w:val="none"/>
                      <w:lang w:val="en-US" w:eastAsia="zh-CN"/>
                    </w:rPr>
                  </w:pPr>
                  <w:r>
                    <w:rPr>
                      <w:rFonts w:hint="eastAsia"/>
                      <w:sz w:val="21"/>
                      <w:szCs w:val="21"/>
                      <w:highlight w:val="none"/>
                      <w:lang w:val="en-US" w:eastAsia="zh-CN"/>
                    </w:rPr>
                    <w:t>5</w:t>
                  </w:r>
                </w:p>
              </w:tc>
              <w:tc>
                <w:tcPr>
                  <w:tcW w:w="626" w:type="dxa"/>
                  <w:vMerge w:val="restart"/>
                  <w:vAlign w:val="center"/>
                </w:tcPr>
                <w:p w14:paraId="4FEA286A">
                  <w:pPr>
                    <w:jc w:val="center"/>
                    <w:rPr>
                      <w:rFonts w:hint="eastAsia"/>
                      <w:sz w:val="21"/>
                      <w:szCs w:val="21"/>
                      <w:highlight w:val="none"/>
                    </w:rPr>
                  </w:pPr>
                  <w:r>
                    <w:rPr>
                      <w:rFonts w:hint="eastAsia"/>
                      <w:sz w:val="21"/>
                      <w:szCs w:val="21"/>
                      <w:highlight w:val="none"/>
                    </w:rPr>
                    <w:t>汽车尾气</w:t>
                  </w:r>
                </w:p>
              </w:tc>
              <w:tc>
                <w:tcPr>
                  <w:tcW w:w="677" w:type="dxa"/>
                  <w:vAlign w:val="center"/>
                </w:tcPr>
                <w:p w14:paraId="208B03DD">
                  <w:pPr>
                    <w:jc w:val="center"/>
                    <w:rPr>
                      <w:rFonts w:hint="default" w:eastAsia="宋体"/>
                      <w:sz w:val="21"/>
                      <w:szCs w:val="21"/>
                      <w:highlight w:val="none"/>
                      <w:lang w:val="en-US" w:eastAsia="zh-CN"/>
                    </w:rPr>
                  </w:pPr>
                  <w:r>
                    <w:rPr>
                      <w:rFonts w:hint="eastAsia"/>
                      <w:sz w:val="21"/>
                      <w:szCs w:val="21"/>
                      <w:highlight w:val="none"/>
                      <w:lang w:val="en-US" w:eastAsia="zh-CN"/>
                    </w:rPr>
                    <w:t>CO</w:t>
                  </w:r>
                </w:p>
              </w:tc>
              <w:tc>
                <w:tcPr>
                  <w:tcW w:w="748" w:type="dxa"/>
                  <w:vAlign w:val="center"/>
                </w:tcPr>
                <w:p w14:paraId="11627328">
                  <w:pPr>
                    <w:jc w:val="center"/>
                    <w:rPr>
                      <w:rFonts w:hint="eastAsia"/>
                      <w:sz w:val="21"/>
                      <w:szCs w:val="21"/>
                      <w:highlight w:val="none"/>
                    </w:rPr>
                  </w:pPr>
                  <w:r>
                    <w:rPr>
                      <w:rFonts w:hint="eastAsia"/>
                      <w:sz w:val="21"/>
                      <w:szCs w:val="21"/>
                      <w:highlight w:val="none"/>
                      <w:lang w:val="en-US" w:eastAsia="zh-CN"/>
                    </w:rPr>
                    <w:t>少量</w:t>
                  </w:r>
                </w:p>
              </w:tc>
              <w:tc>
                <w:tcPr>
                  <w:tcW w:w="586" w:type="dxa"/>
                  <w:vAlign w:val="center"/>
                </w:tcPr>
                <w:p w14:paraId="396AA51A">
                  <w:pPr>
                    <w:jc w:val="center"/>
                    <w:rPr>
                      <w:rFonts w:hint="eastAsia"/>
                      <w:sz w:val="21"/>
                      <w:szCs w:val="21"/>
                      <w:highlight w:val="none"/>
                    </w:rPr>
                  </w:pPr>
                  <w:r>
                    <w:rPr>
                      <w:rFonts w:hint="eastAsia"/>
                      <w:sz w:val="21"/>
                      <w:szCs w:val="21"/>
                      <w:highlight w:val="none"/>
                      <w:lang w:val="en-US" w:eastAsia="zh-CN"/>
                    </w:rPr>
                    <w:t>少量</w:t>
                  </w:r>
                </w:p>
              </w:tc>
              <w:tc>
                <w:tcPr>
                  <w:tcW w:w="706" w:type="dxa"/>
                  <w:vMerge w:val="restart"/>
                  <w:vAlign w:val="center"/>
                </w:tcPr>
                <w:p w14:paraId="3828C752">
                  <w:pPr>
                    <w:jc w:val="center"/>
                    <w:rPr>
                      <w:rFonts w:hint="eastAsia"/>
                      <w:sz w:val="21"/>
                      <w:szCs w:val="21"/>
                      <w:highlight w:val="none"/>
                    </w:rPr>
                  </w:pPr>
                  <w:r>
                    <w:rPr>
                      <w:rFonts w:hint="eastAsia"/>
                      <w:sz w:val="21"/>
                      <w:szCs w:val="21"/>
                      <w:highlight w:val="none"/>
                    </w:rPr>
                    <w:t>无组织</w:t>
                  </w:r>
                </w:p>
              </w:tc>
              <w:tc>
                <w:tcPr>
                  <w:tcW w:w="981" w:type="dxa"/>
                  <w:vMerge w:val="restart"/>
                  <w:vAlign w:val="center"/>
                </w:tcPr>
                <w:p w14:paraId="1BA1E1DB">
                  <w:pPr>
                    <w:jc w:val="center"/>
                    <w:rPr>
                      <w:rFonts w:hint="eastAsia" w:eastAsia="宋体"/>
                      <w:sz w:val="21"/>
                      <w:szCs w:val="21"/>
                      <w:highlight w:val="none"/>
                      <w:lang w:val="en-US" w:eastAsia="zh-CN"/>
                    </w:rPr>
                  </w:pPr>
                  <w:r>
                    <w:rPr>
                      <w:rFonts w:hint="eastAsia"/>
                      <w:sz w:val="21"/>
                      <w:szCs w:val="21"/>
                      <w:highlight w:val="none"/>
                      <w:lang w:val="en-US" w:eastAsia="zh-CN"/>
                    </w:rPr>
                    <w:t>加强绿化</w:t>
                  </w:r>
                </w:p>
              </w:tc>
              <w:tc>
                <w:tcPr>
                  <w:tcW w:w="814" w:type="dxa"/>
                  <w:vAlign w:val="center"/>
                </w:tcPr>
                <w:p w14:paraId="06283EA6">
                  <w:pPr>
                    <w:jc w:val="center"/>
                    <w:rPr>
                      <w:rFonts w:hint="eastAsia"/>
                      <w:sz w:val="21"/>
                      <w:szCs w:val="21"/>
                      <w:highlight w:val="none"/>
                    </w:rPr>
                  </w:pPr>
                  <w:r>
                    <w:rPr>
                      <w:rFonts w:hint="eastAsia"/>
                      <w:sz w:val="21"/>
                      <w:szCs w:val="21"/>
                      <w:highlight w:val="none"/>
                      <w:lang w:val="en-US" w:eastAsia="zh-CN"/>
                    </w:rPr>
                    <w:t>少量</w:t>
                  </w:r>
                </w:p>
              </w:tc>
              <w:tc>
                <w:tcPr>
                  <w:tcW w:w="828" w:type="dxa"/>
                  <w:vAlign w:val="center"/>
                </w:tcPr>
                <w:p w14:paraId="1480D32C">
                  <w:pPr>
                    <w:jc w:val="center"/>
                    <w:rPr>
                      <w:rFonts w:hint="eastAsia"/>
                      <w:sz w:val="21"/>
                      <w:szCs w:val="21"/>
                      <w:highlight w:val="none"/>
                    </w:rPr>
                  </w:pPr>
                  <w:r>
                    <w:rPr>
                      <w:rFonts w:hint="eastAsia"/>
                      <w:sz w:val="21"/>
                      <w:szCs w:val="21"/>
                      <w:highlight w:val="none"/>
                      <w:lang w:val="en-US" w:eastAsia="zh-CN"/>
                    </w:rPr>
                    <w:t>少量</w:t>
                  </w:r>
                </w:p>
              </w:tc>
              <w:tc>
                <w:tcPr>
                  <w:tcW w:w="783" w:type="dxa"/>
                  <w:vAlign w:val="center"/>
                </w:tcPr>
                <w:p w14:paraId="510D1331">
                  <w:pPr>
                    <w:jc w:val="center"/>
                    <w:rPr>
                      <w:rFonts w:hint="eastAsia" w:eastAsia="宋体"/>
                      <w:sz w:val="21"/>
                      <w:szCs w:val="21"/>
                      <w:highlight w:val="none"/>
                      <w:lang w:val="en-US" w:eastAsia="zh-CN"/>
                    </w:rPr>
                  </w:pPr>
                  <w:r>
                    <w:rPr>
                      <w:rFonts w:hint="eastAsia"/>
                      <w:sz w:val="21"/>
                      <w:szCs w:val="21"/>
                      <w:highlight w:val="none"/>
                      <w:lang w:val="en-US" w:eastAsia="zh-CN"/>
                    </w:rPr>
                    <w:t>/</w:t>
                  </w:r>
                </w:p>
              </w:tc>
              <w:tc>
                <w:tcPr>
                  <w:tcW w:w="1097" w:type="dxa"/>
                  <w:vMerge w:val="restart"/>
                  <w:vAlign w:val="center"/>
                </w:tcPr>
                <w:p w14:paraId="27A63582">
                  <w:pPr>
                    <w:jc w:val="center"/>
                    <w:rPr>
                      <w:rFonts w:hint="eastAsia" w:eastAsia="宋体"/>
                      <w:sz w:val="21"/>
                      <w:szCs w:val="21"/>
                      <w:highlight w:val="none"/>
                      <w:lang w:eastAsia="zh-CN"/>
                    </w:rPr>
                  </w:pPr>
                  <w:r>
                    <w:rPr>
                      <w:rFonts w:hint="eastAsia"/>
                      <w:sz w:val="21"/>
                      <w:szCs w:val="21"/>
                      <w:highlight w:val="none"/>
                      <w:lang w:val="en-US" w:eastAsia="zh-CN"/>
                    </w:rPr>
                    <w:t>/</w:t>
                  </w:r>
                </w:p>
              </w:tc>
            </w:tr>
            <w:tr w14:paraId="388FF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dxa"/>
                  <w:vMerge w:val="continue"/>
                  <w:vAlign w:val="center"/>
                </w:tcPr>
                <w:p w14:paraId="1D4BC341">
                  <w:pPr>
                    <w:jc w:val="center"/>
                    <w:rPr>
                      <w:rFonts w:hint="eastAsia"/>
                      <w:sz w:val="21"/>
                      <w:szCs w:val="21"/>
                      <w:highlight w:val="none"/>
                    </w:rPr>
                  </w:pPr>
                </w:p>
              </w:tc>
              <w:tc>
                <w:tcPr>
                  <w:tcW w:w="626" w:type="dxa"/>
                  <w:vMerge w:val="continue"/>
                  <w:vAlign w:val="center"/>
                </w:tcPr>
                <w:p w14:paraId="514BD92E">
                  <w:pPr>
                    <w:jc w:val="center"/>
                    <w:rPr>
                      <w:rFonts w:hint="eastAsia"/>
                      <w:sz w:val="21"/>
                      <w:szCs w:val="21"/>
                      <w:highlight w:val="none"/>
                    </w:rPr>
                  </w:pPr>
                </w:p>
              </w:tc>
              <w:tc>
                <w:tcPr>
                  <w:tcW w:w="677" w:type="dxa"/>
                  <w:vAlign w:val="center"/>
                </w:tcPr>
                <w:p w14:paraId="77CA0164">
                  <w:pPr>
                    <w:jc w:val="center"/>
                    <w:rPr>
                      <w:rFonts w:hint="default" w:eastAsia="宋体"/>
                      <w:sz w:val="21"/>
                      <w:szCs w:val="21"/>
                      <w:highlight w:val="none"/>
                      <w:lang w:val="en-US" w:eastAsia="zh-CN"/>
                    </w:rPr>
                  </w:pPr>
                  <w:r>
                    <w:rPr>
                      <w:rFonts w:hint="eastAsia"/>
                      <w:sz w:val="21"/>
                      <w:szCs w:val="21"/>
                      <w:highlight w:val="none"/>
                      <w:lang w:val="en-US" w:eastAsia="zh-CN"/>
                    </w:rPr>
                    <w:t>THC</w:t>
                  </w:r>
                </w:p>
              </w:tc>
              <w:tc>
                <w:tcPr>
                  <w:tcW w:w="748" w:type="dxa"/>
                  <w:vAlign w:val="center"/>
                </w:tcPr>
                <w:p w14:paraId="76F88861">
                  <w:pPr>
                    <w:jc w:val="center"/>
                    <w:rPr>
                      <w:rFonts w:hint="eastAsia"/>
                      <w:sz w:val="21"/>
                      <w:szCs w:val="21"/>
                      <w:highlight w:val="none"/>
                    </w:rPr>
                  </w:pPr>
                  <w:r>
                    <w:rPr>
                      <w:rFonts w:hint="eastAsia"/>
                      <w:sz w:val="21"/>
                      <w:szCs w:val="21"/>
                      <w:highlight w:val="none"/>
                      <w:lang w:val="en-US" w:eastAsia="zh-CN"/>
                    </w:rPr>
                    <w:t>少量</w:t>
                  </w:r>
                </w:p>
              </w:tc>
              <w:tc>
                <w:tcPr>
                  <w:tcW w:w="586" w:type="dxa"/>
                  <w:vAlign w:val="center"/>
                </w:tcPr>
                <w:p w14:paraId="07745629">
                  <w:pPr>
                    <w:jc w:val="center"/>
                    <w:rPr>
                      <w:rFonts w:hint="eastAsia"/>
                      <w:sz w:val="21"/>
                      <w:szCs w:val="21"/>
                      <w:highlight w:val="none"/>
                    </w:rPr>
                  </w:pPr>
                  <w:r>
                    <w:rPr>
                      <w:rFonts w:hint="eastAsia"/>
                      <w:sz w:val="21"/>
                      <w:szCs w:val="21"/>
                      <w:highlight w:val="none"/>
                      <w:lang w:val="en-US" w:eastAsia="zh-CN"/>
                    </w:rPr>
                    <w:t>少量</w:t>
                  </w:r>
                </w:p>
              </w:tc>
              <w:tc>
                <w:tcPr>
                  <w:tcW w:w="706" w:type="dxa"/>
                  <w:vMerge w:val="continue"/>
                  <w:vAlign w:val="center"/>
                </w:tcPr>
                <w:p w14:paraId="48FB0B15">
                  <w:pPr>
                    <w:jc w:val="center"/>
                    <w:rPr>
                      <w:rFonts w:hint="eastAsia"/>
                      <w:sz w:val="21"/>
                      <w:szCs w:val="21"/>
                      <w:highlight w:val="none"/>
                    </w:rPr>
                  </w:pPr>
                </w:p>
              </w:tc>
              <w:tc>
                <w:tcPr>
                  <w:tcW w:w="981" w:type="dxa"/>
                  <w:vMerge w:val="continue"/>
                  <w:vAlign w:val="center"/>
                </w:tcPr>
                <w:p w14:paraId="5E97FEFE">
                  <w:pPr>
                    <w:jc w:val="center"/>
                    <w:rPr>
                      <w:rFonts w:hint="eastAsia"/>
                      <w:sz w:val="21"/>
                      <w:szCs w:val="21"/>
                      <w:highlight w:val="none"/>
                    </w:rPr>
                  </w:pPr>
                </w:p>
              </w:tc>
              <w:tc>
                <w:tcPr>
                  <w:tcW w:w="814" w:type="dxa"/>
                  <w:vAlign w:val="center"/>
                </w:tcPr>
                <w:p w14:paraId="7F498441">
                  <w:pPr>
                    <w:jc w:val="center"/>
                    <w:rPr>
                      <w:rFonts w:hint="eastAsia"/>
                      <w:sz w:val="21"/>
                      <w:szCs w:val="21"/>
                      <w:highlight w:val="none"/>
                    </w:rPr>
                  </w:pPr>
                  <w:r>
                    <w:rPr>
                      <w:rFonts w:hint="eastAsia"/>
                      <w:sz w:val="21"/>
                      <w:szCs w:val="21"/>
                      <w:highlight w:val="none"/>
                      <w:lang w:val="en-US" w:eastAsia="zh-CN"/>
                    </w:rPr>
                    <w:t>少量</w:t>
                  </w:r>
                </w:p>
              </w:tc>
              <w:tc>
                <w:tcPr>
                  <w:tcW w:w="828" w:type="dxa"/>
                  <w:vAlign w:val="center"/>
                </w:tcPr>
                <w:p w14:paraId="08A4200A">
                  <w:pPr>
                    <w:jc w:val="center"/>
                    <w:rPr>
                      <w:rFonts w:hint="eastAsia"/>
                      <w:sz w:val="21"/>
                      <w:szCs w:val="21"/>
                      <w:highlight w:val="none"/>
                    </w:rPr>
                  </w:pPr>
                  <w:r>
                    <w:rPr>
                      <w:rFonts w:hint="eastAsia"/>
                      <w:sz w:val="21"/>
                      <w:szCs w:val="21"/>
                      <w:highlight w:val="none"/>
                      <w:lang w:val="en-US" w:eastAsia="zh-CN"/>
                    </w:rPr>
                    <w:t>少量</w:t>
                  </w:r>
                </w:p>
              </w:tc>
              <w:tc>
                <w:tcPr>
                  <w:tcW w:w="783" w:type="dxa"/>
                  <w:vAlign w:val="center"/>
                </w:tcPr>
                <w:p w14:paraId="24F51DB1">
                  <w:pPr>
                    <w:jc w:val="center"/>
                    <w:rPr>
                      <w:rFonts w:hint="eastAsia" w:eastAsia="宋体"/>
                      <w:sz w:val="21"/>
                      <w:szCs w:val="21"/>
                      <w:highlight w:val="none"/>
                      <w:lang w:val="en-US" w:eastAsia="zh-CN"/>
                    </w:rPr>
                  </w:pPr>
                  <w:r>
                    <w:rPr>
                      <w:rFonts w:hint="eastAsia"/>
                      <w:sz w:val="21"/>
                      <w:szCs w:val="21"/>
                      <w:highlight w:val="none"/>
                      <w:lang w:val="en-US" w:eastAsia="zh-CN"/>
                    </w:rPr>
                    <w:t>/</w:t>
                  </w:r>
                </w:p>
              </w:tc>
              <w:tc>
                <w:tcPr>
                  <w:tcW w:w="1097" w:type="dxa"/>
                  <w:vMerge w:val="continue"/>
                  <w:vAlign w:val="center"/>
                </w:tcPr>
                <w:p w14:paraId="4BCBC48E">
                  <w:pPr>
                    <w:jc w:val="center"/>
                    <w:rPr>
                      <w:rFonts w:hint="eastAsia"/>
                      <w:sz w:val="21"/>
                      <w:szCs w:val="21"/>
                      <w:highlight w:val="none"/>
                    </w:rPr>
                  </w:pPr>
                </w:p>
              </w:tc>
            </w:tr>
            <w:tr w14:paraId="312A36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dxa"/>
                  <w:vMerge w:val="continue"/>
                  <w:vAlign w:val="center"/>
                </w:tcPr>
                <w:p w14:paraId="27F96E32">
                  <w:pPr>
                    <w:jc w:val="center"/>
                    <w:rPr>
                      <w:rFonts w:hint="eastAsia"/>
                      <w:sz w:val="21"/>
                      <w:szCs w:val="21"/>
                      <w:highlight w:val="none"/>
                    </w:rPr>
                  </w:pPr>
                </w:p>
              </w:tc>
              <w:tc>
                <w:tcPr>
                  <w:tcW w:w="626" w:type="dxa"/>
                  <w:vMerge w:val="continue"/>
                  <w:vAlign w:val="center"/>
                </w:tcPr>
                <w:p w14:paraId="72592F08">
                  <w:pPr>
                    <w:jc w:val="center"/>
                    <w:rPr>
                      <w:rFonts w:hint="eastAsia"/>
                      <w:sz w:val="21"/>
                      <w:szCs w:val="21"/>
                      <w:highlight w:val="none"/>
                    </w:rPr>
                  </w:pPr>
                </w:p>
              </w:tc>
              <w:tc>
                <w:tcPr>
                  <w:tcW w:w="677" w:type="dxa"/>
                  <w:vAlign w:val="center"/>
                </w:tcPr>
                <w:p w14:paraId="7F8908B2">
                  <w:pPr>
                    <w:jc w:val="center"/>
                    <w:rPr>
                      <w:rFonts w:hint="default" w:eastAsia="宋体"/>
                      <w:sz w:val="21"/>
                      <w:szCs w:val="21"/>
                      <w:highlight w:val="none"/>
                      <w:lang w:val="en-US" w:eastAsia="zh-CN"/>
                    </w:rPr>
                  </w:pPr>
                  <w:r>
                    <w:rPr>
                      <w:rFonts w:hint="eastAsia"/>
                      <w:sz w:val="21"/>
                      <w:szCs w:val="21"/>
                      <w:highlight w:val="none"/>
                      <w:lang w:val="en-US" w:eastAsia="zh-CN"/>
                    </w:rPr>
                    <w:t>NOx</w:t>
                  </w:r>
                </w:p>
              </w:tc>
              <w:tc>
                <w:tcPr>
                  <w:tcW w:w="748" w:type="dxa"/>
                  <w:vAlign w:val="center"/>
                </w:tcPr>
                <w:p w14:paraId="5F417BB7">
                  <w:pPr>
                    <w:jc w:val="center"/>
                    <w:rPr>
                      <w:rFonts w:hint="eastAsia"/>
                      <w:sz w:val="21"/>
                      <w:szCs w:val="21"/>
                      <w:highlight w:val="none"/>
                    </w:rPr>
                  </w:pPr>
                  <w:r>
                    <w:rPr>
                      <w:rFonts w:hint="eastAsia"/>
                      <w:sz w:val="21"/>
                      <w:szCs w:val="21"/>
                      <w:highlight w:val="none"/>
                      <w:lang w:val="en-US" w:eastAsia="zh-CN"/>
                    </w:rPr>
                    <w:t>少量</w:t>
                  </w:r>
                </w:p>
              </w:tc>
              <w:tc>
                <w:tcPr>
                  <w:tcW w:w="586" w:type="dxa"/>
                  <w:vAlign w:val="center"/>
                </w:tcPr>
                <w:p w14:paraId="168CDB28">
                  <w:pPr>
                    <w:jc w:val="center"/>
                    <w:rPr>
                      <w:rFonts w:hint="eastAsia"/>
                      <w:sz w:val="21"/>
                      <w:szCs w:val="21"/>
                      <w:highlight w:val="none"/>
                    </w:rPr>
                  </w:pPr>
                  <w:r>
                    <w:rPr>
                      <w:rFonts w:hint="eastAsia"/>
                      <w:sz w:val="21"/>
                      <w:szCs w:val="21"/>
                      <w:highlight w:val="none"/>
                      <w:lang w:val="en-US" w:eastAsia="zh-CN"/>
                    </w:rPr>
                    <w:t>少量</w:t>
                  </w:r>
                </w:p>
              </w:tc>
              <w:tc>
                <w:tcPr>
                  <w:tcW w:w="706" w:type="dxa"/>
                  <w:vMerge w:val="continue"/>
                  <w:vAlign w:val="center"/>
                </w:tcPr>
                <w:p w14:paraId="5DC4E7A7">
                  <w:pPr>
                    <w:jc w:val="center"/>
                    <w:rPr>
                      <w:rFonts w:hint="eastAsia"/>
                      <w:sz w:val="21"/>
                      <w:szCs w:val="21"/>
                      <w:highlight w:val="none"/>
                    </w:rPr>
                  </w:pPr>
                </w:p>
              </w:tc>
              <w:tc>
                <w:tcPr>
                  <w:tcW w:w="981" w:type="dxa"/>
                  <w:vMerge w:val="continue"/>
                  <w:vAlign w:val="center"/>
                </w:tcPr>
                <w:p w14:paraId="36C70911">
                  <w:pPr>
                    <w:jc w:val="center"/>
                    <w:rPr>
                      <w:rFonts w:hint="eastAsia"/>
                      <w:sz w:val="21"/>
                      <w:szCs w:val="21"/>
                      <w:highlight w:val="none"/>
                    </w:rPr>
                  </w:pPr>
                </w:p>
              </w:tc>
              <w:tc>
                <w:tcPr>
                  <w:tcW w:w="814" w:type="dxa"/>
                  <w:vAlign w:val="center"/>
                </w:tcPr>
                <w:p w14:paraId="18992542">
                  <w:pPr>
                    <w:jc w:val="center"/>
                    <w:rPr>
                      <w:rFonts w:hint="eastAsia"/>
                      <w:sz w:val="21"/>
                      <w:szCs w:val="21"/>
                      <w:highlight w:val="none"/>
                    </w:rPr>
                  </w:pPr>
                  <w:r>
                    <w:rPr>
                      <w:rFonts w:hint="eastAsia"/>
                      <w:sz w:val="21"/>
                      <w:szCs w:val="21"/>
                      <w:highlight w:val="none"/>
                      <w:lang w:val="en-US" w:eastAsia="zh-CN"/>
                    </w:rPr>
                    <w:t>少量</w:t>
                  </w:r>
                </w:p>
              </w:tc>
              <w:tc>
                <w:tcPr>
                  <w:tcW w:w="828" w:type="dxa"/>
                  <w:vAlign w:val="center"/>
                </w:tcPr>
                <w:p w14:paraId="59BFAE5C">
                  <w:pPr>
                    <w:jc w:val="center"/>
                    <w:rPr>
                      <w:rFonts w:hint="eastAsia"/>
                      <w:sz w:val="21"/>
                      <w:szCs w:val="21"/>
                      <w:highlight w:val="none"/>
                    </w:rPr>
                  </w:pPr>
                  <w:r>
                    <w:rPr>
                      <w:rFonts w:hint="eastAsia"/>
                      <w:sz w:val="21"/>
                      <w:szCs w:val="21"/>
                      <w:highlight w:val="none"/>
                      <w:lang w:val="en-US" w:eastAsia="zh-CN"/>
                    </w:rPr>
                    <w:t>少量</w:t>
                  </w:r>
                </w:p>
              </w:tc>
              <w:tc>
                <w:tcPr>
                  <w:tcW w:w="783" w:type="dxa"/>
                  <w:vAlign w:val="center"/>
                </w:tcPr>
                <w:p w14:paraId="5B0378FF">
                  <w:pPr>
                    <w:jc w:val="center"/>
                    <w:rPr>
                      <w:rFonts w:hint="eastAsia" w:eastAsia="宋体"/>
                      <w:sz w:val="21"/>
                      <w:szCs w:val="21"/>
                      <w:highlight w:val="none"/>
                      <w:lang w:val="en-US" w:eastAsia="zh-CN"/>
                    </w:rPr>
                  </w:pPr>
                  <w:r>
                    <w:rPr>
                      <w:rFonts w:hint="eastAsia"/>
                      <w:sz w:val="21"/>
                      <w:szCs w:val="21"/>
                      <w:highlight w:val="none"/>
                      <w:lang w:val="en-US" w:eastAsia="zh-CN"/>
                    </w:rPr>
                    <w:t>/</w:t>
                  </w:r>
                </w:p>
              </w:tc>
              <w:tc>
                <w:tcPr>
                  <w:tcW w:w="1097" w:type="dxa"/>
                  <w:vMerge w:val="continue"/>
                  <w:vAlign w:val="center"/>
                </w:tcPr>
                <w:p w14:paraId="5DC8A11B">
                  <w:pPr>
                    <w:jc w:val="center"/>
                    <w:rPr>
                      <w:rFonts w:hint="eastAsia"/>
                      <w:sz w:val="21"/>
                      <w:szCs w:val="21"/>
                      <w:highlight w:val="none"/>
                    </w:rPr>
                  </w:pPr>
                </w:p>
              </w:tc>
            </w:tr>
            <w:tr w14:paraId="0C18FD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442" w:type="dxa"/>
                  <w:vAlign w:val="center"/>
                </w:tcPr>
                <w:p w14:paraId="6B7B5CD1">
                  <w:pPr>
                    <w:jc w:val="center"/>
                    <w:rPr>
                      <w:rFonts w:hint="eastAsia" w:eastAsia="宋体"/>
                      <w:sz w:val="21"/>
                      <w:szCs w:val="21"/>
                      <w:highlight w:val="none"/>
                      <w:lang w:val="en-US" w:eastAsia="zh-CN"/>
                    </w:rPr>
                  </w:pPr>
                  <w:r>
                    <w:rPr>
                      <w:rFonts w:hint="eastAsia"/>
                      <w:sz w:val="21"/>
                      <w:szCs w:val="21"/>
                      <w:highlight w:val="none"/>
                      <w:lang w:val="en-US" w:eastAsia="zh-CN"/>
                    </w:rPr>
                    <w:t>6</w:t>
                  </w:r>
                </w:p>
              </w:tc>
              <w:tc>
                <w:tcPr>
                  <w:tcW w:w="626" w:type="dxa"/>
                  <w:vAlign w:val="center"/>
                </w:tcPr>
                <w:p w14:paraId="17099C2F">
                  <w:pPr>
                    <w:jc w:val="center"/>
                    <w:rPr>
                      <w:rFonts w:hint="default" w:eastAsia="宋体"/>
                      <w:sz w:val="21"/>
                      <w:szCs w:val="21"/>
                      <w:highlight w:val="none"/>
                      <w:lang w:val="en-US" w:eastAsia="zh-CN"/>
                    </w:rPr>
                  </w:pPr>
                  <w:r>
                    <w:rPr>
                      <w:rFonts w:hint="eastAsia"/>
                      <w:sz w:val="21"/>
                      <w:szCs w:val="21"/>
                      <w:highlight w:val="none"/>
                      <w:lang w:val="en-US" w:eastAsia="zh-CN"/>
                    </w:rPr>
                    <w:t>食堂油烟废气</w:t>
                  </w:r>
                </w:p>
              </w:tc>
              <w:tc>
                <w:tcPr>
                  <w:tcW w:w="677" w:type="dxa"/>
                  <w:vAlign w:val="center"/>
                </w:tcPr>
                <w:p w14:paraId="6675E3A2">
                  <w:pPr>
                    <w:jc w:val="center"/>
                    <w:rPr>
                      <w:rFonts w:hint="eastAsia" w:eastAsia="宋体"/>
                      <w:sz w:val="21"/>
                      <w:szCs w:val="21"/>
                      <w:highlight w:val="none"/>
                      <w:lang w:val="en-US" w:eastAsia="zh-CN"/>
                    </w:rPr>
                  </w:pPr>
                  <w:r>
                    <w:rPr>
                      <w:rFonts w:hint="eastAsia"/>
                      <w:sz w:val="21"/>
                      <w:szCs w:val="21"/>
                      <w:highlight w:val="none"/>
                      <w:lang w:val="en-US" w:eastAsia="zh-CN"/>
                    </w:rPr>
                    <w:t>油烟</w:t>
                  </w:r>
                </w:p>
              </w:tc>
              <w:tc>
                <w:tcPr>
                  <w:tcW w:w="748" w:type="dxa"/>
                  <w:vAlign w:val="center"/>
                </w:tcPr>
                <w:p w14:paraId="7042D213">
                  <w:pPr>
                    <w:jc w:val="center"/>
                    <w:rPr>
                      <w:rFonts w:hint="eastAsia"/>
                      <w:sz w:val="21"/>
                      <w:szCs w:val="21"/>
                      <w:highlight w:val="none"/>
                    </w:rPr>
                  </w:pPr>
                  <w:r>
                    <w:rPr>
                      <w:rFonts w:hint="eastAsia"/>
                      <w:sz w:val="21"/>
                      <w:szCs w:val="21"/>
                      <w:highlight w:val="none"/>
                      <w:lang w:val="en-US" w:eastAsia="zh-CN"/>
                    </w:rPr>
                    <w:t>0.17411</w:t>
                  </w:r>
                  <w:r>
                    <w:rPr>
                      <w:rFonts w:hint="eastAsia"/>
                      <w:sz w:val="21"/>
                      <w:szCs w:val="21"/>
                      <w:highlight w:val="none"/>
                    </w:rPr>
                    <w:t>t/a</w:t>
                  </w:r>
                </w:p>
              </w:tc>
              <w:tc>
                <w:tcPr>
                  <w:tcW w:w="586" w:type="dxa"/>
                  <w:vAlign w:val="center"/>
                </w:tcPr>
                <w:p w14:paraId="4113FAC8">
                  <w:pPr>
                    <w:jc w:val="center"/>
                    <w:rPr>
                      <w:rFonts w:hint="eastAsia"/>
                      <w:sz w:val="21"/>
                      <w:szCs w:val="21"/>
                      <w:highlight w:val="none"/>
                    </w:rPr>
                  </w:pPr>
                  <w:r>
                    <w:rPr>
                      <w:rFonts w:hint="eastAsia"/>
                      <w:sz w:val="21"/>
                      <w:szCs w:val="21"/>
                      <w:highlight w:val="none"/>
                      <w:lang w:val="en-US" w:eastAsia="zh-CN"/>
                    </w:rPr>
                    <w:t>6.625</w:t>
                  </w:r>
                </w:p>
              </w:tc>
              <w:tc>
                <w:tcPr>
                  <w:tcW w:w="706" w:type="dxa"/>
                  <w:vAlign w:val="center"/>
                </w:tcPr>
                <w:p w14:paraId="31CEEC1B">
                  <w:pPr>
                    <w:jc w:val="center"/>
                    <w:rPr>
                      <w:rFonts w:hint="eastAsia" w:eastAsia="宋体"/>
                      <w:sz w:val="21"/>
                      <w:szCs w:val="21"/>
                      <w:highlight w:val="none"/>
                      <w:lang w:val="en-US" w:eastAsia="zh-CN"/>
                    </w:rPr>
                  </w:pPr>
                  <w:r>
                    <w:rPr>
                      <w:rFonts w:hint="eastAsia"/>
                      <w:sz w:val="21"/>
                      <w:szCs w:val="21"/>
                      <w:highlight w:val="none"/>
                      <w:lang w:val="en-US" w:eastAsia="zh-CN"/>
                    </w:rPr>
                    <w:t>有组织</w:t>
                  </w:r>
                </w:p>
              </w:tc>
              <w:tc>
                <w:tcPr>
                  <w:tcW w:w="981" w:type="dxa"/>
                  <w:vAlign w:val="center"/>
                </w:tcPr>
                <w:p w14:paraId="35FBC795">
                  <w:pPr>
                    <w:jc w:val="center"/>
                    <w:rPr>
                      <w:rFonts w:hint="default" w:eastAsia="宋体"/>
                      <w:sz w:val="21"/>
                      <w:szCs w:val="21"/>
                      <w:highlight w:val="none"/>
                      <w:lang w:val="en-US" w:eastAsia="zh-CN"/>
                    </w:rPr>
                  </w:pPr>
                  <w:r>
                    <w:rPr>
                      <w:rFonts w:hint="eastAsia"/>
                      <w:sz w:val="21"/>
                      <w:szCs w:val="21"/>
                      <w:highlight w:val="none"/>
                      <w:lang w:val="en-US" w:eastAsia="zh-CN"/>
                    </w:rPr>
                    <w:t>静电油烟净化器</w:t>
                  </w:r>
                </w:p>
              </w:tc>
              <w:tc>
                <w:tcPr>
                  <w:tcW w:w="814" w:type="dxa"/>
                  <w:vAlign w:val="center"/>
                </w:tcPr>
                <w:p w14:paraId="4EE92A7F">
                  <w:pPr>
                    <w:jc w:val="center"/>
                    <w:rPr>
                      <w:rFonts w:hint="eastAsia"/>
                      <w:sz w:val="21"/>
                      <w:szCs w:val="21"/>
                      <w:highlight w:val="none"/>
                    </w:rPr>
                  </w:pPr>
                  <w:r>
                    <w:rPr>
                      <w:rFonts w:hint="eastAsia"/>
                      <w:sz w:val="21"/>
                      <w:szCs w:val="21"/>
                      <w:highlight w:val="none"/>
                      <w:lang w:val="en-US" w:eastAsia="zh-CN"/>
                    </w:rPr>
                    <w:t>0.994</w:t>
                  </w:r>
                </w:p>
              </w:tc>
              <w:tc>
                <w:tcPr>
                  <w:tcW w:w="828" w:type="dxa"/>
                  <w:vAlign w:val="center"/>
                </w:tcPr>
                <w:p w14:paraId="7F6A77B9">
                  <w:pPr>
                    <w:jc w:val="center"/>
                    <w:rPr>
                      <w:rFonts w:hint="eastAsia"/>
                      <w:sz w:val="21"/>
                      <w:szCs w:val="21"/>
                      <w:highlight w:val="none"/>
                    </w:rPr>
                  </w:pPr>
                  <w:r>
                    <w:rPr>
                      <w:rFonts w:hint="eastAsia"/>
                      <w:sz w:val="21"/>
                      <w:szCs w:val="21"/>
                      <w:highlight w:val="none"/>
                      <w:lang w:val="en-US" w:eastAsia="zh-CN"/>
                    </w:rPr>
                    <w:t>0.02612</w:t>
                  </w:r>
                  <w:r>
                    <w:rPr>
                      <w:rFonts w:hint="eastAsia"/>
                      <w:sz w:val="21"/>
                      <w:szCs w:val="21"/>
                      <w:highlight w:val="none"/>
                    </w:rPr>
                    <w:t>t/a</w:t>
                  </w:r>
                </w:p>
              </w:tc>
              <w:tc>
                <w:tcPr>
                  <w:tcW w:w="783" w:type="dxa"/>
                  <w:vAlign w:val="center"/>
                </w:tcPr>
                <w:p w14:paraId="10152C06">
                  <w:pPr>
                    <w:jc w:val="center"/>
                    <w:rPr>
                      <w:rFonts w:hint="default" w:eastAsia="宋体"/>
                      <w:sz w:val="21"/>
                      <w:szCs w:val="21"/>
                      <w:highlight w:val="none"/>
                      <w:lang w:val="en-US" w:eastAsia="zh-CN"/>
                    </w:rPr>
                  </w:pPr>
                  <w:r>
                    <w:rPr>
                      <w:rFonts w:hint="eastAsia"/>
                      <w:sz w:val="21"/>
                      <w:szCs w:val="21"/>
                      <w:highlight w:val="none"/>
                      <w:lang w:val="en-US" w:eastAsia="zh-CN"/>
                    </w:rPr>
                    <w:t>2.0</w:t>
                  </w:r>
                  <w:r>
                    <w:rPr>
                      <w:rFonts w:hint="eastAsia"/>
                      <w:sz w:val="21"/>
                      <w:szCs w:val="21"/>
                      <w:highlight w:val="none"/>
                    </w:rPr>
                    <w:t>mg/m</w:t>
                  </w:r>
                  <w:r>
                    <w:rPr>
                      <w:rFonts w:hint="eastAsia"/>
                      <w:sz w:val="21"/>
                      <w:szCs w:val="21"/>
                      <w:highlight w:val="none"/>
                      <w:vertAlign w:val="superscript"/>
                    </w:rPr>
                    <w:t>3</w:t>
                  </w:r>
                </w:p>
              </w:tc>
              <w:tc>
                <w:tcPr>
                  <w:tcW w:w="1097" w:type="dxa"/>
                  <w:vAlign w:val="center"/>
                </w:tcPr>
                <w:p w14:paraId="729B11B9">
                  <w:pPr>
                    <w:jc w:val="center"/>
                    <w:rPr>
                      <w:rFonts w:hint="eastAsia"/>
                      <w:sz w:val="21"/>
                      <w:szCs w:val="21"/>
                      <w:highlight w:val="none"/>
                    </w:rPr>
                  </w:pPr>
                  <w:r>
                    <w:rPr>
                      <w:rFonts w:hint="eastAsia"/>
                      <w:sz w:val="21"/>
                      <w:szCs w:val="21"/>
                      <w:highlight w:val="none"/>
                      <w:lang w:val="en-US" w:eastAsia="zh-CN"/>
                    </w:rPr>
                    <w:t>《饮食业油烟排放标准（试行）》（GB18483-2001）</w:t>
                  </w:r>
                </w:p>
              </w:tc>
            </w:tr>
          </w:tbl>
          <w:p w14:paraId="68704CB2">
            <w:pPr>
              <w:adjustRightInd w:val="0"/>
              <w:snapToGrid w:val="0"/>
              <w:spacing w:line="360" w:lineRule="auto"/>
              <w:rPr>
                <w:rFonts w:eastAsia="宋体"/>
                <w:b/>
                <w:bCs/>
                <w:color w:val="000000"/>
                <w:szCs w:val="24"/>
              </w:rPr>
            </w:pPr>
            <w:r>
              <w:rPr>
                <w:b/>
                <w:bCs/>
                <w:color w:val="000000"/>
                <w:sz w:val="24"/>
                <w:szCs w:val="24"/>
              </w:rPr>
              <w:t>1.</w:t>
            </w:r>
            <w:r>
              <w:rPr>
                <w:rFonts w:hint="eastAsia"/>
                <w:b/>
                <w:bCs/>
                <w:color w:val="000000"/>
                <w:sz w:val="24"/>
                <w:szCs w:val="24"/>
                <w:lang w:val="en-US" w:eastAsia="zh-CN"/>
              </w:rPr>
              <w:t>2</w:t>
            </w:r>
            <w:r>
              <w:rPr>
                <w:rFonts w:eastAsia="宋体"/>
                <w:b/>
                <w:bCs/>
                <w:color w:val="000000"/>
                <w:szCs w:val="24"/>
              </w:rPr>
              <w:t>排放口基本情况</w:t>
            </w:r>
          </w:p>
          <w:p w14:paraId="5D42F1AA">
            <w:pPr>
              <w:pStyle w:val="16"/>
              <w:rPr>
                <w:rFonts w:eastAsia="宋体"/>
                <w:color w:val="000000"/>
                <w:szCs w:val="24"/>
              </w:rPr>
            </w:pPr>
            <w:r>
              <w:rPr>
                <w:rFonts w:hint="default" w:ascii="Times New Roman" w:hAnsi="Times New Roman" w:eastAsia="宋体" w:cs="Times New Roman"/>
                <w:b/>
                <w:sz w:val="24"/>
              </w:rPr>
              <w:t>表4-</w:t>
            </w:r>
            <w:r>
              <w:rPr>
                <w:rFonts w:hint="default" w:ascii="Times New Roman" w:hAnsi="Times New Roman" w:eastAsia="宋体" w:cs="Times New Roman"/>
                <w:b/>
                <w:sz w:val="24"/>
                <w:lang w:val="en-US" w:eastAsia="zh-CN"/>
              </w:rPr>
              <w:t>3</w:t>
            </w:r>
            <w:r>
              <w:rPr>
                <w:rFonts w:hint="default" w:ascii="Times New Roman" w:hAnsi="Times New Roman" w:eastAsia="宋体" w:cs="Times New Roman"/>
                <w:b/>
                <w:sz w:val="24"/>
              </w:rPr>
              <w:t xml:space="preserve">  </w:t>
            </w:r>
            <w:r>
              <w:rPr>
                <w:rFonts w:eastAsia="宋体"/>
                <w:b/>
                <w:color w:val="000000"/>
                <w:szCs w:val="24"/>
              </w:rPr>
              <w:t>大气污染物有组织排放量核算表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7"/>
              <w:gridCol w:w="1901"/>
              <w:gridCol w:w="1502"/>
              <w:gridCol w:w="1452"/>
              <w:gridCol w:w="1298"/>
              <w:gridCol w:w="1428"/>
            </w:tblGrid>
            <w:tr w14:paraId="671C9C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426" w:type="pct"/>
                  <w:vAlign w:val="center"/>
                </w:tcPr>
                <w:p w14:paraId="0439A27C">
                  <w:pPr>
                    <w:pStyle w:val="156"/>
                    <w:rPr>
                      <w:b/>
                      <w:bCs/>
                      <w:szCs w:val="21"/>
                    </w:rPr>
                  </w:pPr>
                  <w:r>
                    <w:rPr>
                      <w:b/>
                      <w:bCs/>
                      <w:szCs w:val="21"/>
                    </w:rPr>
                    <w:t>序号</w:t>
                  </w:r>
                </w:p>
              </w:tc>
              <w:tc>
                <w:tcPr>
                  <w:tcW w:w="1146" w:type="pct"/>
                  <w:vAlign w:val="center"/>
                </w:tcPr>
                <w:p w14:paraId="39CF8543">
                  <w:pPr>
                    <w:pStyle w:val="156"/>
                    <w:rPr>
                      <w:b/>
                      <w:bCs/>
                      <w:szCs w:val="21"/>
                    </w:rPr>
                  </w:pPr>
                  <w:r>
                    <w:rPr>
                      <w:b/>
                      <w:bCs/>
                      <w:szCs w:val="21"/>
                    </w:rPr>
                    <w:t>排放口编号</w:t>
                  </w:r>
                </w:p>
              </w:tc>
              <w:tc>
                <w:tcPr>
                  <w:tcW w:w="906" w:type="pct"/>
                  <w:vAlign w:val="center"/>
                </w:tcPr>
                <w:p w14:paraId="0B1B4B5A">
                  <w:pPr>
                    <w:pStyle w:val="156"/>
                    <w:rPr>
                      <w:b/>
                      <w:bCs/>
                      <w:szCs w:val="21"/>
                    </w:rPr>
                  </w:pPr>
                  <w:r>
                    <w:rPr>
                      <w:b/>
                      <w:bCs/>
                      <w:szCs w:val="21"/>
                    </w:rPr>
                    <w:t>污染物</w:t>
                  </w:r>
                </w:p>
              </w:tc>
              <w:tc>
                <w:tcPr>
                  <w:tcW w:w="875" w:type="pct"/>
                  <w:vAlign w:val="center"/>
                </w:tcPr>
                <w:p w14:paraId="66321075">
                  <w:pPr>
                    <w:pStyle w:val="156"/>
                    <w:rPr>
                      <w:b/>
                      <w:bCs/>
                      <w:szCs w:val="21"/>
                    </w:rPr>
                  </w:pPr>
                  <w:r>
                    <w:rPr>
                      <w:b/>
                      <w:bCs/>
                      <w:szCs w:val="21"/>
                    </w:rPr>
                    <w:t>核算排放浓度（mg/m³）</w:t>
                  </w:r>
                </w:p>
              </w:tc>
              <w:tc>
                <w:tcPr>
                  <w:tcW w:w="782" w:type="pct"/>
                  <w:vAlign w:val="center"/>
                </w:tcPr>
                <w:p w14:paraId="5E2E2917">
                  <w:pPr>
                    <w:pStyle w:val="156"/>
                    <w:rPr>
                      <w:b/>
                      <w:bCs/>
                      <w:szCs w:val="21"/>
                    </w:rPr>
                  </w:pPr>
                  <w:r>
                    <w:rPr>
                      <w:b/>
                      <w:bCs/>
                      <w:szCs w:val="21"/>
                    </w:rPr>
                    <w:t>核算排放速率（kg/h）</w:t>
                  </w:r>
                </w:p>
              </w:tc>
              <w:tc>
                <w:tcPr>
                  <w:tcW w:w="861" w:type="pct"/>
                  <w:vAlign w:val="center"/>
                </w:tcPr>
                <w:p w14:paraId="2C76D81C">
                  <w:pPr>
                    <w:pStyle w:val="156"/>
                    <w:rPr>
                      <w:b/>
                      <w:bCs/>
                      <w:szCs w:val="21"/>
                    </w:rPr>
                  </w:pPr>
                  <w:r>
                    <w:rPr>
                      <w:b/>
                      <w:bCs/>
                      <w:szCs w:val="21"/>
                    </w:rPr>
                    <w:t>核算年排放量（t/a）</w:t>
                  </w:r>
                </w:p>
              </w:tc>
            </w:tr>
            <w:tr w14:paraId="1A8AF2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5000" w:type="pct"/>
                  <w:gridSpan w:val="6"/>
                  <w:vAlign w:val="center"/>
                </w:tcPr>
                <w:p w14:paraId="623F96DC">
                  <w:pPr>
                    <w:pStyle w:val="156"/>
                    <w:rPr>
                      <w:szCs w:val="21"/>
                    </w:rPr>
                  </w:pPr>
                  <w:r>
                    <w:rPr>
                      <w:szCs w:val="21"/>
                    </w:rPr>
                    <w:t>主要排放口</w:t>
                  </w:r>
                </w:p>
              </w:tc>
            </w:tr>
            <w:tr w14:paraId="447FCC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426" w:type="pct"/>
                  <w:vAlign w:val="center"/>
                </w:tcPr>
                <w:p w14:paraId="1B75CD8A">
                  <w:pPr>
                    <w:pStyle w:val="156"/>
                    <w:rPr>
                      <w:szCs w:val="21"/>
                    </w:rPr>
                  </w:pPr>
                  <w:r>
                    <w:rPr>
                      <w:szCs w:val="21"/>
                    </w:rPr>
                    <w:t>1</w:t>
                  </w:r>
                </w:p>
              </w:tc>
              <w:tc>
                <w:tcPr>
                  <w:tcW w:w="1146" w:type="pct"/>
                  <w:vAlign w:val="center"/>
                </w:tcPr>
                <w:p w14:paraId="29665345">
                  <w:pPr>
                    <w:pStyle w:val="156"/>
                    <w:rPr>
                      <w:szCs w:val="21"/>
                    </w:rPr>
                  </w:pPr>
                  <w:r>
                    <w:rPr>
                      <w:rFonts w:hint="eastAsia"/>
                      <w:szCs w:val="21"/>
                    </w:rPr>
                    <w:t>/</w:t>
                  </w:r>
                </w:p>
              </w:tc>
              <w:tc>
                <w:tcPr>
                  <w:tcW w:w="906" w:type="pct"/>
                  <w:vAlign w:val="center"/>
                </w:tcPr>
                <w:p w14:paraId="7F71735B">
                  <w:pPr>
                    <w:pStyle w:val="156"/>
                    <w:rPr>
                      <w:szCs w:val="21"/>
                    </w:rPr>
                  </w:pPr>
                  <w:r>
                    <w:rPr>
                      <w:rFonts w:hint="eastAsia"/>
                      <w:szCs w:val="21"/>
                    </w:rPr>
                    <w:t>/</w:t>
                  </w:r>
                </w:p>
              </w:tc>
              <w:tc>
                <w:tcPr>
                  <w:tcW w:w="875" w:type="pct"/>
                  <w:vAlign w:val="center"/>
                </w:tcPr>
                <w:p w14:paraId="2F8FB616">
                  <w:pPr>
                    <w:widowControl/>
                    <w:jc w:val="center"/>
                    <w:textAlignment w:val="center"/>
                    <w:rPr>
                      <w:szCs w:val="21"/>
                    </w:rPr>
                  </w:pPr>
                  <w:r>
                    <w:rPr>
                      <w:rFonts w:hint="eastAsia"/>
                      <w:bCs/>
                      <w:color w:val="000000"/>
                    </w:rPr>
                    <w:t>/</w:t>
                  </w:r>
                </w:p>
              </w:tc>
              <w:tc>
                <w:tcPr>
                  <w:tcW w:w="782" w:type="pct"/>
                  <w:vAlign w:val="center"/>
                </w:tcPr>
                <w:p w14:paraId="535A84AB">
                  <w:pPr>
                    <w:widowControl/>
                    <w:jc w:val="center"/>
                    <w:textAlignment w:val="center"/>
                    <w:rPr>
                      <w:rFonts w:eastAsia="等线"/>
                      <w:color w:val="000000"/>
                    </w:rPr>
                  </w:pPr>
                  <w:r>
                    <w:rPr>
                      <w:rFonts w:hint="eastAsia" w:eastAsia="等线"/>
                      <w:color w:val="000000"/>
                    </w:rPr>
                    <w:t>/</w:t>
                  </w:r>
                </w:p>
              </w:tc>
              <w:tc>
                <w:tcPr>
                  <w:tcW w:w="861" w:type="pct"/>
                  <w:vAlign w:val="center"/>
                </w:tcPr>
                <w:p w14:paraId="3B7FB047">
                  <w:pPr>
                    <w:widowControl/>
                    <w:jc w:val="center"/>
                    <w:textAlignment w:val="center"/>
                    <w:rPr>
                      <w:szCs w:val="21"/>
                    </w:rPr>
                  </w:pPr>
                  <w:r>
                    <w:rPr>
                      <w:rFonts w:hint="eastAsia" w:eastAsia="等线"/>
                      <w:color w:val="000000"/>
                    </w:rPr>
                    <w:t>/</w:t>
                  </w:r>
                </w:p>
              </w:tc>
            </w:tr>
            <w:tr w14:paraId="04E3A5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573" w:type="pct"/>
                  <w:gridSpan w:val="2"/>
                  <w:vAlign w:val="center"/>
                </w:tcPr>
                <w:p w14:paraId="1F551EB6">
                  <w:pPr>
                    <w:pStyle w:val="156"/>
                    <w:rPr>
                      <w:szCs w:val="21"/>
                    </w:rPr>
                  </w:pPr>
                  <w:r>
                    <w:rPr>
                      <w:szCs w:val="21"/>
                    </w:rPr>
                    <w:t>主要排放口合计</w:t>
                  </w:r>
                </w:p>
              </w:tc>
              <w:tc>
                <w:tcPr>
                  <w:tcW w:w="2564" w:type="pct"/>
                  <w:gridSpan w:val="3"/>
                  <w:vAlign w:val="center"/>
                </w:tcPr>
                <w:p w14:paraId="403ED606">
                  <w:pPr>
                    <w:pStyle w:val="156"/>
                    <w:rPr>
                      <w:szCs w:val="21"/>
                    </w:rPr>
                  </w:pPr>
                  <w:r>
                    <w:rPr>
                      <w:rFonts w:hint="eastAsia"/>
                      <w:szCs w:val="21"/>
                    </w:rPr>
                    <w:t>/</w:t>
                  </w:r>
                </w:p>
              </w:tc>
              <w:tc>
                <w:tcPr>
                  <w:tcW w:w="861" w:type="pct"/>
                  <w:vAlign w:val="center"/>
                </w:tcPr>
                <w:p w14:paraId="4E2012EC">
                  <w:pPr>
                    <w:pStyle w:val="156"/>
                    <w:rPr>
                      <w:szCs w:val="21"/>
                    </w:rPr>
                  </w:pPr>
                  <w:r>
                    <w:rPr>
                      <w:rFonts w:hint="eastAsia"/>
                      <w:szCs w:val="21"/>
                    </w:rPr>
                    <w:t>/</w:t>
                  </w:r>
                </w:p>
              </w:tc>
            </w:tr>
            <w:tr w14:paraId="0A8EA4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00" w:type="pct"/>
                  <w:gridSpan w:val="6"/>
                  <w:vAlign w:val="center"/>
                </w:tcPr>
                <w:p w14:paraId="304A90EB">
                  <w:pPr>
                    <w:pStyle w:val="156"/>
                    <w:rPr>
                      <w:szCs w:val="21"/>
                    </w:rPr>
                  </w:pPr>
                  <w:r>
                    <w:rPr>
                      <w:szCs w:val="21"/>
                    </w:rPr>
                    <w:t>一般排放口</w:t>
                  </w:r>
                </w:p>
              </w:tc>
            </w:tr>
            <w:tr w14:paraId="4F9FC7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26" w:type="pct"/>
                  <w:vAlign w:val="center"/>
                </w:tcPr>
                <w:p w14:paraId="7D43A61D">
                  <w:pPr>
                    <w:pStyle w:val="156"/>
                    <w:rPr>
                      <w:szCs w:val="21"/>
                    </w:rPr>
                  </w:pPr>
                  <w:r>
                    <w:rPr>
                      <w:szCs w:val="21"/>
                    </w:rPr>
                    <w:t>1</w:t>
                  </w:r>
                </w:p>
              </w:tc>
              <w:tc>
                <w:tcPr>
                  <w:tcW w:w="1146" w:type="pct"/>
                  <w:vAlign w:val="center"/>
                </w:tcPr>
                <w:p w14:paraId="039A9164">
                  <w:pPr>
                    <w:pStyle w:val="156"/>
                    <w:rPr>
                      <w:szCs w:val="21"/>
                    </w:rPr>
                  </w:pPr>
                  <w:r>
                    <w:rPr>
                      <w:szCs w:val="21"/>
                    </w:rPr>
                    <w:t>DA001排气筒</w:t>
                  </w:r>
                </w:p>
              </w:tc>
              <w:tc>
                <w:tcPr>
                  <w:tcW w:w="906" w:type="pct"/>
                  <w:vAlign w:val="center"/>
                </w:tcPr>
                <w:p w14:paraId="53AD9F1E">
                  <w:pPr>
                    <w:pStyle w:val="156"/>
                    <w:rPr>
                      <w:szCs w:val="21"/>
                    </w:rPr>
                  </w:pPr>
                  <w:r>
                    <w:rPr>
                      <w:szCs w:val="21"/>
                    </w:rPr>
                    <w:t>油烟</w:t>
                  </w:r>
                </w:p>
              </w:tc>
              <w:tc>
                <w:tcPr>
                  <w:tcW w:w="875" w:type="pct"/>
                  <w:vAlign w:val="center"/>
                </w:tcPr>
                <w:p w14:paraId="32847A2D">
                  <w:pPr>
                    <w:widowControl/>
                    <w:jc w:val="center"/>
                    <w:textAlignment w:val="center"/>
                    <w:rPr>
                      <w:rFonts w:hint="default" w:eastAsia="宋体"/>
                      <w:szCs w:val="21"/>
                      <w:lang w:val="en-US" w:eastAsia="zh-CN"/>
                    </w:rPr>
                  </w:pPr>
                  <w:r>
                    <w:rPr>
                      <w:rFonts w:hint="eastAsia"/>
                      <w:bCs/>
                      <w:color w:val="000000"/>
                      <w:lang w:val="en-US" w:eastAsia="zh-CN"/>
                    </w:rPr>
                    <w:t>0.944</w:t>
                  </w:r>
                </w:p>
              </w:tc>
              <w:tc>
                <w:tcPr>
                  <w:tcW w:w="782" w:type="pct"/>
                  <w:vAlign w:val="center"/>
                </w:tcPr>
                <w:p w14:paraId="2510E5A8">
                  <w:pPr>
                    <w:widowControl/>
                    <w:jc w:val="center"/>
                    <w:textAlignment w:val="center"/>
                    <w:rPr>
                      <w:rFonts w:eastAsia="等线"/>
                      <w:color w:val="000000"/>
                    </w:rPr>
                  </w:pPr>
                  <w:r>
                    <w:rPr>
                      <w:rFonts w:hint="eastAsia" w:eastAsia="等线"/>
                      <w:color w:val="000000"/>
                      <w:lang w:val="en-US" w:eastAsia="zh-CN"/>
                    </w:rPr>
                    <w:t>0.008</w:t>
                  </w:r>
                </w:p>
              </w:tc>
              <w:tc>
                <w:tcPr>
                  <w:tcW w:w="861" w:type="pct"/>
                  <w:vAlign w:val="center"/>
                </w:tcPr>
                <w:p w14:paraId="4E8BC82A">
                  <w:pPr>
                    <w:widowControl/>
                    <w:jc w:val="center"/>
                    <w:textAlignment w:val="center"/>
                    <w:rPr>
                      <w:szCs w:val="21"/>
                    </w:rPr>
                  </w:pPr>
                  <w:r>
                    <w:rPr>
                      <w:rFonts w:hint="eastAsia"/>
                      <w:szCs w:val="21"/>
                      <w:lang w:val="en-US" w:eastAsia="zh-CN"/>
                    </w:rPr>
                    <w:t>0.02612</w:t>
                  </w:r>
                </w:p>
              </w:tc>
            </w:tr>
            <w:tr w14:paraId="32F5CF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73" w:type="pct"/>
                  <w:gridSpan w:val="2"/>
                  <w:vAlign w:val="center"/>
                </w:tcPr>
                <w:p w14:paraId="0B49E04E">
                  <w:pPr>
                    <w:pStyle w:val="156"/>
                    <w:rPr>
                      <w:szCs w:val="21"/>
                    </w:rPr>
                  </w:pPr>
                  <w:r>
                    <w:rPr>
                      <w:szCs w:val="21"/>
                    </w:rPr>
                    <w:t>一般排放口合计</w:t>
                  </w:r>
                </w:p>
              </w:tc>
              <w:tc>
                <w:tcPr>
                  <w:tcW w:w="2564" w:type="pct"/>
                  <w:gridSpan w:val="3"/>
                  <w:vAlign w:val="center"/>
                </w:tcPr>
                <w:p w14:paraId="6CB2E599">
                  <w:pPr>
                    <w:pStyle w:val="156"/>
                    <w:rPr>
                      <w:rFonts w:hint="eastAsia" w:eastAsia="等线"/>
                      <w:color w:val="000000"/>
                      <w:lang w:eastAsia="zh-CN"/>
                    </w:rPr>
                  </w:pPr>
                  <w:r>
                    <w:rPr>
                      <w:rFonts w:hint="eastAsia" w:eastAsia="等线"/>
                      <w:szCs w:val="21"/>
                      <w:lang w:val="en-US" w:eastAsia="zh-CN"/>
                    </w:rPr>
                    <w:t>油烟</w:t>
                  </w:r>
                </w:p>
              </w:tc>
              <w:tc>
                <w:tcPr>
                  <w:tcW w:w="861" w:type="pct"/>
                  <w:vAlign w:val="center"/>
                </w:tcPr>
                <w:p w14:paraId="05E1C17C">
                  <w:pPr>
                    <w:pStyle w:val="156"/>
                    <w:rPr>
                      <w:rFonts w:hint="default" w:eastAsia="等线"/>
                      <w:color w:val="000000"/>
                      <w:lang w:val="en-US" w:eastAsia="zh-CN"/>
                    </w:rPr>
                  </w:pPr>
                  <w:r>
                    <w:rPr>
                      <w:rFonts w:hint="eastAsia" w:eastAsia="等线"/>
                      <w:szCs w:val="21"/>
                      <w:lang w:val="en-US" w:eastAsia="zh-CN"/>
                    </w:rPr>
                    <w:t>0.03</w:t>
                  </w:r>
                </w:p>
              </w:tc>
            </w:tr>
            <w:tr w14:paraId="348C47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jc w:val="center"/>
              </w:trPr>
              <w:tc>
                <w:tcPr>
                  <w:tcW w:w="5000" w:type="pct"/>
                  <w:gridSpan w:val="6"/>
                  <w:vAlign w:val="center"/>
                </w:tcPr>
                <w:p w14:paraId="2DD17ED5">
                  <w:pPr>
                    <w:pStyle w:val="156"/>
                    <w:rPr>
                      <w:szCs w:val="21"/>
                    </w:rPr>
                  </w:pPr>
                  <w:r>
                    <w:rPr>
                      <w:szCs w:val="21"/>
                    </w:rPr>
                    <w:t>有组织排放总计</w:t>
                  </w:r>
                </w:p>
              </w:tc>
            </w:tr>
            <w:tr w14:paraId="403138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73" w:type="pct"/>
                  <w:gridSpan w:val="2"/>
                  <w:vAlign w:val="center"/>
                </w:tcPr>
                <w:p w14:paraId="5F3F48B4">
                  <w:pPr>
                    <w:pStyle w:val="156"/>
                    <w:rPr>
                      <w:szCs w:val="21"/>
                    </w:rPr>
                  </w:pPr>
                  <w:r>
                    <w:rPr>
                      <w:szCs w:val="21"/>
                    </w:rPr>
                    <w:t>有组织排放总计</w:t>
                  </w:r>
                </w:p>
              </w:tc>
              <w:tc>
                <w:tcPr>
                  <w:tcW w:w="2564" w:type="pct"/>
                  <w:gridSpan w:val="3"/>
                  <w:vAlign w:val="center"/>
                </w:tcPr>
                <w:p w14:paraId="480690C0">
                  <w:pPr>
                    <w:pStyle w:val="156"/>
                    <w:rPr>
                      <w:rFonts w:hint="eastAsia" w:eastAsia="宋体"/>
                      <w:szCs w:val="21"/>
                      <w:lang w:eastAsia="zh-CN"/>
                    </w:rPr>
                  </w:pPr>
                  <w:r>
                    <w:rPr>
                      <w:rFonts w:hint="eastAsia"/>
                      <w:szCs w:val="21"/>
                      <w:lang w:val="en-US" w:eastAsia="zh-CN"/>
                    </w:rPr>
                    <w:t>油烟</w:t>
                  </w:r>
                </w:p>
              </w:tc>
              <w:tc>
                <w:tcPr>
                  <w:tcW w:w="861" w:type="pct"/>
                  <w:vAlign w:val="center"/>
                </w:tcPr>
                <w:p w14:paraId="1A848401">
                  <w:pPr>
                    <w:pStyle w:val="156"/>
                    <w:rPr>
                      <w:rFonts w:hint="default" w:eastAsia="宋体"/>
                      <w:szCs w:val="21"/>
                      <w:lang w:val="en-US" w:eastAsia="zh-CN"/>
                    </w:rPr>
                  </w:pPr>
                  <w:r>
                    <w:rPr>
                      <w:rFonts w:hint="eastAsia"/>
                      <w:szCs w:val="21"/>
                      <w:lang w:val="en-US" w:eastAsia="zh-CN"/>
                    </w:rPr>
                    <w:t>0.03</w:t>
                  </w:r>
                </w:p>
              </w:tc>
            </w:tr>
          </w:tbl>
          <w:p w14:paraId="5FB040C7">
            <w:pPr>
              <w:spacing w:line="360" w:lineRule="auto"/>
              <w:jc w:val="center"/>
              <w:rPr>
                <w:sz w:val="24"/>
              </w:rPr>
            </w:pPr>
            <w:r>
              <w:rPr>
                <w:rFonts w:hint="default" w:ascii="Times New Roman" w:hAnsi="Times New Roman" w:eastAsia="宋体" w:cs="Times New Roman"/>
                <w:b/>
                <w:sz w:val="24"/>
              </w:rPr>
              <w:t>表4-</w:t>
            </w:r>
            <w:r>
              <w:rPr>
                <w:rFonts w:hint="eastAsia" w:eastAsia="宋体" w:cs="Times New Roman"/>
                <w:b/>
                <w:sz w:val="24"/>
                <w:lang w:val="en-US" w:eastAsia="zh-CN"/>
              </w:rPr>
              <w:t>4</w:t>
            </w:r>
            <w:r>
              <w:rPr>
                <w:rFonts w:hint="default" w:ascii="Times New Roman" w:hAnsi="Times New Roman" w:eastAsia="宋体" w:cs="Times New Roman"/>
                <w:b/>
                <w:sz w:val="24"/>
              </w:rPr>
              <w:t xml:space="preserve">  </w:t>
            </w:r>
            <w:r>
              <w:rPr>
                <w:b/>
                <w:color w:val="000000"/>
                <w:sz w:val="24"/>
                <w:szCs w:val="24"/>
              </w:rPr>
              <w:t>大气排放口基本情况</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37"/>
              <w:gridCol w:w="857"/>
              <w:gridCol w:w="836"/>
              <w:gridCol w:w="1108"/>
              <w:gridCol w:w="1597"/>
              <w:gridCol w:w="1446"/>
              <w:gridCol w:w="693"/>
              <w:gridCol w:w="691"/>
              <w:gridCol w:w="622"/>
            </w:tblGrid>
            <w:tr w14:paraId="6BFFDD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63" w:type="pct"/>
                  <w:vMerge w:val="restart"/>
                  <w:vAlign w:val="center"/>
                </w:tcPr>
                <w:p w14:paraId="2613ADE0">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序号</w:t>
                  </w:r>
                </w:p>
              </w:tc>
              <w:tc>
                <w:tcPr>
                  <w:tcW w:w="517" w:type="pct"/>
                  <w:vMerge w:val="restart"/>
                  <w:vAlign w:val="center"/>
                </w:tcPr>
                <w:p w14:paraId="37330239">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排放口</w:t>
                  </w:r>
                </w:p>
                <w:p w14:paraId="44C2E127">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编号</w:t>
                  </w:r>
                </w:p>
              </w:tc>
              <w:tc>
                <w:tcPr>
                  <w:tcW w:w="504" w:type="pct"/>
                  <w:vMerge w:val="restart"/>
                  <w:vAlign w:val="center"/>
                </w:tcPr>
                <w:p w14:paraId="79C4A935">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排放口</w:t>
                  </w:r>
                </w:p>
                <w:p w14:paraId="750C0A54">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名称</w:t>
                  </w:r>
                </w:p>
              </w:tc>
              <w:tc>
                <w:tcPr>
                  <w:tcW w:w="668" w:type="pct"/>
                  <w:vMerge w:val="restart"/>
                  <w:vAlign w:val="center"/>
                </w:tcPr>
                <w:p w14:paraId="3E1D5F2B">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污染物</w:t>
                  </w:r>
                </w:p>
                <w:p w14:paraId="5E2E1E92">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种类</w:t>
                  </w:r>
                </w:p>
              </w:tc>
              <w:tc>
                <w:tcPr>
                  <w:tcW w:w="1835" w:type="pct"/>
                  <w:gridSpan w:val="2"/>
                  <w:vAlign w:val="center"/>
                </w:tcPr>
                <w:p w14:paraId="1591D0D1">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排放口地理坐标</w:t>
                  </w:r>
                </w:p>
              </w:tc>
              <w:tc>
                <w:tcPr>
                  <w:tcW w:w="418" w:type="pct"/>
                  <w:vMerge w:val="restart"/>
                  <w:vAlign w:val="center"/>
                </w:tcPr>
                <w:p w14:paraId="4B11D8E1">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排气筒</w:t>
                  </w:r>
                </w:p>
                <w:p w14:paraId="45601787">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高度</w:t>
                  </w:r>
                </w:p>
              </w:tc>
              <w:tc>
                <w:tcPr>
                  <w:tcW w:w="416" w:type="pct"/>
                  <w:vMerge w:val="restart"/>
                  <w:vAlign w:val="center"/>
                </w:tcPr>
                <w:p w14:paraId="0DBF74D7">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排气筒</w:t>
                  </w:r>
                </w:p>
                <w:p w14:paraId="7237EA1B">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出口内径</w:t>
                  </w:r>
                </w:p>
              </w:tc>
              <w:tc>
                <w:tcPr>
                  <w:tcW w:w="375" w:type="pct"/>
                  <w:vMerge w:val="restart"/>
                  <w:vAlign w:val="center"/>
                </w:tcPr>
                <w:p w14:paraId="45308015">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排气温度</w:t>
                  </w:r>
                </w:p>
              </w:tc>
            </w:tr>
            <w:tr w14:paraId="75724E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63" w:type="pct"/>
                  <w:vMerge w:val="continue"/>
                  <w:vAlign w:val="center"/>
                </w:tcPr>
                <w:p w14:paraId="17B50BAF">
                  <w:pPr>
                    <w:pStyle w:val="115"/>
                    <w:adjustRightInd/>
                    <w:snapToGrid/>
                    <w:spacing w:beforeLines="0" w:line="240" w:lineRule="auto"/>
                    <w:ind w:left="-105" w:leftChars="-50" w:right="-105" w:rightChars="-50"/>
                    <w:rPr>
                      <w:rFonts w:ascii="Times New Roman" w:hAnsi="Times New Roman"/>
                      <w:b/>
                      <w:bCs/>
                      <w:sz w:val="21"/>
                      <w:szCs w:val="21"/>
                    </w:rPr>
                  </w:pPr>
                </w:p>
              </w:tc>
              <w:tc>
                <w:tcPr>
                  <w:tcW w:w="517" w:type="pct"/>
                  <w:vMerge w:val="continue"/>
                  <w:vAlign w:val="center"/>
                </w:tcPr>
                <w:p w14:paraId="509766FC">
                  <w:pPr>
                    <w:pStyle w:val="115"/>
                    <w:adjustRightInd/>
                    <w:snapToGrid/>
                    <w:spacing w:beforeLines="0" w:line="240" w:lineRule="auto"/>
                    <w:ind w:left="-105" w:leftChars="-50" w:right="-105" w:rightChars="-50"/>
                    <w:rPr>
                      <w:rFonts w:ascii="Times New Roman" w:hAnsi="Times New Roman"/>
                      <w:b/>
                      <w:bCs/>
                      <w:sz w:val="21"/>
                      <w:szCs w:val="21"/>
                    </w:rPr>
                  </w:pPr>
                </w:p>
              </w:tc>
              <w:tc>
                <w:tcPr>
                  <w:tcW w:w="504" w:type="pct"/>
                  <w:vMerge w:val="continue"/>
                  <w:vAlign w:val="center"/>
                </w:tcPr>
                <w:p w14:paraId="0418FFA5">
                  <w:pPr>
                    <w:pStyle w:val="115"/>
                    <w:adjustRightInd/>
                    <w:snapToGrid/>
                    <w:spacing w:beforeLines="0" w:line="240" w:lineRule="auto"/>
                    <w:ind w:left="-105" w:leftChars="-50" w:right="-105" w:rightChars="-50"/>
                    <w:rPr>
                      <w:rFonts w:ascii="Times New Roman" w:hAnsi="Times New Roman"/>
                      <w:b/>
                      <w:bCs/>
                      <w:sz w:val="21"/>
                      <w:szCs w:val="21"/>
                    </w:rPr>
                  </w:pPr>
                </w:p>
              </w:tc>
              <w:tc>
                <w:tcPr>
                  <w:tcW w:w="668" w:type="pct"/>
                  <w:vMerge w:val="continue"/>
                  <w:vAlign w:val="center"/>
                </w:tcPr>
                <w:p w14:paraId="2F689367">
                  <w:pPr>
                    <w:pStyle w:val="115"/>
                    <w:adjustRightInd/>
                    <w:snapToGrid/>
                    <w:spacing w:beforeLines="0" w:line="240" w:lineRule="auto"/>
                    <w:ind w:left="-105" w:leftChars="-50" w:right="-105" w:rightChars="-50"/>
                    <w:rPr>
                      <w:rFonts w:ascii="Times New Roman" w:hAnsi="Times New Roman"/>
                      <w:b/>
                      <w:bCs/>
                      <w:sz w:val="21"/>
                      <w:szCs w:val="21"/>
                    </w:rPr>
                  </w:pPr>
                </w:p>
              </w:tc>
              <w:tc>
                <w:tcPr>
                  <w:tcW w:w="963" w:type="pct"/>
                  <w:vAlign w:val="center"/>
                </w:tcPr>
                <w:p w14:paraId="5ECE5F00">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经度</w:t>
                  </w:r>
                </w:p>
              </w:tc>
              <w:tc>
                <w:tcPr>
                  <w:tcW w:w="872" w:type="pct"/>
                  <w:vAlign w:val="center"/>
                </w:tcPr>
                <w:p w14:paraId="562F595C">
                  <w:pPr>
                    <w:pStyle w:val="115"/>
                    <w:adjustRightInd/>
                    <w:snapToGrid/>
                    <w:spacing w:beforeLines="0" w:line="240" w:lineRule="auto"/>
                    <w:ind w:left="-105" w:leftChars="-50" w:right="-105" w:rightChars="-50"/>
                    <w:rPr>
                      <w:rFonts w:ascii="Times New Roman" w:hAnsi="Times New Roman"/>
                      <w:b/>
                      <w:bCs/>
                      <w:sz w:val="21"/>
                      <w:szCs w:val="21"/>
                    </w:rPr>
                  </w:pPr>
                  <w:r>
                    <w:rPr>
                      <w:rFonts w:ascii="Times New Roman" w:hAnsi="Times New Roman"/>
                      <w:b/>
                      <w:bCs/>
                      <w:sz w:val="21"/>
                      <w:szCs w:val="21"/>
                    </w:rPr>
                    <w:t>纬度</w:t>
                  </w:r>
                </w:p>
              </w:tc>
              <w:tc>
                <w:tcPr>
                  <w:tcW w:w="418" w:type="pct"/>
                  <w:vMerge w:val="continue"/>
                  <w:vAlign w:val="center"/>
                </w:tcPr>
                <w:p w14:paraId="4F4922EF">
                  <w:pPr>
                    <w:pStyle w:val="115"/>
                    <w:adjustRightInd/>
                    <w:snapToGrid/>
                    <w:spacing w:beforeLines="0" w:line="240" w:lineRule="auto"/>
                    <w:ind w:left="-105" w:leftChars="-50" w:right="-105" w:rightChars="-50"/>
                    <w:rPr>
                      <w:rFonts w:ascii="Times New Roman" w:hAnsi="Times New Roman"/>
                      <w:b/>
                      <w:bCs/>
                      <w:sz w:val="21"/>
                      <w:szCs w:val="21"/>
                    </w:rPr>
                  </w:pPr>
                </w:p>
              </w:tc>
              <w:tc>
                <w:tcPr>
                  <w:tcW w:w="416" w:type="pct"/>
                  <w:vMerge w:val="continue"/>
                  <w:vAlign w:val="center"/>
                </w:tcPr>
                <w:p w14:paraId="5EDADF50">
                  <w:pPr>
                    <w:pStyle w:val="115"/>
                    <w:adjustRightInd/>
                    <w:snapToGrid/>
                    <w:spacing w:beforeLines="0" w:line="240" w:lineRule="auto"/>
                    <w:ind w:left="-105" w:leftChars="-50" w:right="-105" w:rightChars="-50"/>
                    <w:rPr>
                      <w:rFonts w:ascii="Times New Roman" w:hAnsi="Times New Roman"/>
                      <w:b/>
                      <w:bCs/>
                      <w:sz w:val="21"/>
                      <w:szCs w:val="21"/>
                    </w:rPr>
                  </w:pPr>
                </w:p>
              </w:tc>
              <w:tc>
                <w:tcPr>
                  <w:tcW w:w="375" w:type="pct"/>
                  <w:vMerge w:val="continue"/>
                  <w:vAlign w:val="center"/>
                </w:tcPr>
                <w:p w14:paraId="5F5AB681">
                  <w:pPr>
                    <w:pStyle w:val="115"/>
                    <w:adjustRightInd/>
                    <w:snapToGrid/>
                    <w:spacing w:beforeLines="0" w:line="240" w:lineRule="auto"/>
                    <w:ind w:left="-105" w:leftChars="-50" w:right="-105" w:rightChars="-50"/>
                    <w:rPr>
                      <w:rFonts w:ascii="Times New Roman" w:hAnsi="Times New Roman"/>
                      <w:b/>
                      <w:bCs/>
                      <w:sz w:val="21"/>
                      <w:szCs w:val="21"/>
                    </w:rPr>
                  </w:pPr>
                </w:p>
              </w:tc>
            </w:tr>
            <w:tr w14:paraId="19F0F7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63" w:type="pct"/>
                  <w:vAlign w:val="center"/>
                </w:tcPr>
                <w:p w14:paraId="347F8334">
                  <w:pPr>
                    <w:pStyle w:val="44"/>
                    <w:widowControl w:val="0"/>
                    <w:spacing w:before="24" w:beforeLines="10" w:beforeAutospacing="0" w:after="0" w:afterAutospacing="0"/>
                    <w:jc w:val="center"/>
                    <w:rPr>
                      <w:rFonts w:hint="eastAsia" w:ascii="Times New Roman" w:hAnsi="Times New Roman" w:eastAsia="宋体"/>
                      <w:sz w:val="21"/>
                      <w:szCs w:val="21"/>
                      <w:lang w:eastAsia="zh-CN"/>
                    </w:rPr>
                  </w:pPr>
                  <w:r>
                    <w:rPr>
                      <w:rFonts w:hint="eastAsia" w:ascii="Times New Roman" w:hAnsi="Times New Roman"/>
                      <w:kern w:val="0"/>
                      <w:sz w:val="21"/>
                      <w:szCs w:val="21"/>
                      <w:lang w:val="en-US" w:eastAsia="zh-CN" w:bidi="ar"/>
                    </w:rPr>
                    <w:t>1</w:t>
                  </w:r>
                </w:p>
              </w:tc>
              <w:tc>
                <w:tcPr>
                  <w:tcW w:w="517" w:type="pct"/>
                  <w:vAlign w:val="center"/>
                </w:tcPr>
                <w:p w14:paraId="0472B984">
                  <w:pPr>
                    <w:pStyle w:val="44"/>
                    <w:widowControl w:val="0"/>
                    <w:spacing w:before="24" w:beforeLines="10" w:beforeAutospacing="0" w:after="0" w:afterAutospacing="0"/>
                    <w:jc w:val="center"/>
                    <w:rPr>
                      <w:rFonts w:hint="eastAsia" w:ascii="Times New Roman" w:hAnsi="Times New Roman" w:eastAsia="宋体"/>
                      <w:sz w:val="21"/>
                      <w:szCs w:val="21"/>
                      <w:lang w:eastAsia="zh-CN"/>
                    </w:rPr>
                  </w:pPr>
                  <w:r>
                    <w:rPr>
                      <w:rFonts w:ascii="Times New Roman" w:hAnsi="Times New Roman"/>
                      <w:kern w:val="0"/>
                      <w:sz w:val="21"/>
                      <w:szCs w:val="21"/>
                      <w:lang w:bidi="ar"/>
                    </w:rPr>
                    <w:t>DA00</w:t>
                  </w:r>
                  <w:r>
                    <w:rPr>
                      <w:rFonts w:hint="eastAsia" w:ascii="Times New Roman" w:hAnsi="Times New Roman"/>
                      <w:kern w:val="0"/>
                      <w:sz w:val="21"/>
                      <w:szCs w:val="21"/>
                      <w:lang w:val="en-US" w:eastAsia="zh-CN" w:bidi="ar"/>
                    </w:rPr>
                    <w:t>1</w:t>
                  </w:r>
                </w:p>
              </w:tc>
              <w:tc>
                <w:tcPr>
                  <w:tcW w:w="504" w:type="pct"/>
                  <w:vAlign w:val="center"/>
                </w:tcPr>
                <w:p w14:paraId="08D777B8">
                  <w:pPr>
                    <w:pStyle w:val="44"/>
                    <w:widowControl w:val="0"/>
                    <w:spacing w:before="24" w:beforeLines="10" w:beforeAutospacing="0" w:after="0" w:afterAutospacing="0"/>
                    <w:jc w:val="center"/>
                    <w:rPr>
                      <w:rFonts w:ascii="Times New Roman" w:hAnsi="Times New Roman"/>
                      <w:sz w:val="21"/>
                      <w:szCs w:val="21"/>
                    </w:rPr>
                  </w:pPr>
                  <w:r>
                    <w:rPr>
                      <w:rFonts w:hint="eastAsia" w:ascii="Times New Roman" w:hAnsi="Times New Roman"/>
                      <w:kern w:val="0"/>
                      <w:sz w:val="21"/>
                      <w:szCs w:val="21"/>
                      <w:lang w:val="en-US" w:eastAsia="zh-CN" w:bidi="ar"/>
                    </w:rPr>
                    <w:t>食堂油烟</w:t>
                  </w:r>
                  <w:r>
                    <w:rPr>
                      <w:rFonts w:ascii="Times New Roman" w:hAnsi="Times New Roman"/>
                      <w:kern w:val="0"/>
                      <w:sz w:val="21"/>
                      <w:szCs w:val="21"/>
                      <w:lang w:bidi="ar"/>
                    </w:rPr>
                    <w:t>废气排放口</w:t>
                  </w:r>
                </w:p>
              </w:tc>
              <w:tc>
                <w:tcPr>
                  <w:tcW w:w="668" w:type="pct"/>
                  <w:vAlign w:val="center"/>
                </w:tcPr>
                <w:p w14:paraId="07F00FAD">
                  <w:pPr>
                    <w:pStyle w:val="44"/>
                    <w:widowControl w:val="0"/>
                    <w:spacing w:before="24" w:beforeLines="10" w:beforeAutospacing="0" w:after="0" w:afterAutospacing="0"/>
                    <w:jc w:val="center"/>
                    <w:rPr>
                      <w:rFonts w:ascii="Times New Roman" w:hAnsi="Times New Roman"/>
                      <w:sz w:val="21"/>
                      <w:szCs w:val="21"/>
                    </w:rPr>
                  </w:pPr>
                  <w:r>
                    <w:rPr>
                      <w:rFonts w:ascii="Times New Roman" w:hAnsi="Times New Roman"/>
                      <w:kern w:val="0"/>
                      <w:sz w:val="21"/>
                      <w:szCs w:val="21"/>
                      <w:lang w:bidi="ar"/>
                    </w:rPr>
                    <w:t>油烟</w:t>
                  </w:r>
                </w:p>
              </w:tc>
              <w:tc>
                <w:tcPr>
                  <w:tcW w:w="963" w:type="pct"/>
                  <w:vAlign w:val="center"/>
                </w:tcPr>
                <w:p w14:paraId="38B852E7">
                  <w:pPr>
                    <w:pStyle w:val="44"/>
                    <w:widowControl w:val="0"/>
                    <w:spacing w:before="24" w:beforeLines="10" w:beforeAutospacing="0" w:after="0" w:afterAutospacing="0"/>
                    <w:jc w:val="center"/>
                    <w:rPr>
                      <w:rFonts w:hint="default" w:ascii="Times New Roman" w:hAnsi="Times New Roman" w:cs="Times New Roman"/>
                      <w:sz w:val="21"/>
                      <w:szCs w:val="21"/>
                      <w:highlight w:val="none"/>
                    </w:rPr>
                  </w:pPr>
                  <w:r>
                    <w:rPr>
                      <w:rFonts w:hint="default" w:ascii="Times New Roman" w:hAnsi="Times New Roman" w:cs="Times New Roman"/>
                      <w:kern w:val="0"/>
                      <w:sz w:val="21"/>
                      <w:szCs w:val="21"/>
                      <w:highlight w:val="none"/>
                      <w:lang w:bidi="ar"/>
                    </w:rPr>
                    <w:t>111°11′35.02</w:t>
                  </w:r>
                  <w:r>
                    <w:rPr>
                      <w:rFonts w:hint="eastAsia" w:ascii="Times New Roman" w:hAnsi="Times New Roman" w:cs="Times New Roman"/>
                      <w:kern w:val="0"/>
                      <w:sz w:val="21"/>
                      <w:szCs w:val="21"/>
                      <w:highlight w:val="none"/>
                      <w:lang w:val="en-US" w:eastAsia="zh-CN" w:bidi="ar"/>
                    </w:rPr>
                    <w:t>6</w:t>
                  </w:r>
                  <w:r>
                    <w:rPr>
                      <w:rFonts w:hint="default" w:ascii="Times New Roman" w:hAnsi="Times New Roman" w:cs="Times New Roman"/>
                      <w:kern w:val="0"/>
                      <w:sz w:val="21"/>
                      <w:szCs w:val="21"/>
                      <w:highlight w:val="none"/>
                      <w:lang w:bidi="ar"/>
                    </w:rPr>
                    <w:t>″</w:t>
                  </w:r>
                </w:p>
              </w:tc>
              <w:tc>
                <w:tcPr>
                  <w:tcW w:w="872" w:type="pct"/>
                  <w:vAlign w:val="center"/>
                </w:tcPr>
                <w:p w14:paraId="6CB221FE">
                  <w:pPr>
                    <w:pStyle w:val="44"/>
                    <w:widowControl w:val="0"/>
                    <w:spacing w:before="24" w:beforeLines="10" w:beforeAutospacing="0" w:after="0" w:afterAutospacing="0"/>
                    <w:jc w:val="center"/>
                    <w:rPr>
                      <w:rFonts w:hint="default" w:ascii="Times New Roman" w:hAnsi="Times New Roman" w:cs="Times New Roman"/>
                      <w:sz w:val="21"/>
                      <w:szCs w:val="21"/>
                      <w:highlight w:val="none"/>
                    </w:rPr>
                  </w:pPr>
                  <w:r>
                    <w:rPr>
                      <w:rFonts w:hint="default" w:ascii="Times New Roman" w:hAnsi="Times New Roman" w:cs="Times New Roman"/>
                      <w:kern w:val="0"/>
                      <w:sz w:val="21"/>
                      <w:szCs w:val="21"/>
                      <w:highlight w:val="none"/>
                      <w:lang w:bidi="ar"/>
                    </w:rPr>
                    <w:t>28°22′12.883″</w:t>
                  </w:r>
                </w:p>
              </w:tc>
              <w:tc>
                <w:tcPr>
                  <w:tcW w:w="418" w:type="pct"/>
                  <w:vAlign w:val="center"/>
                </w:tcPr>
                <w:p w14:paraId="77B401E6">
                  <w:pPr>
                    <w:pStyle w:val="44"/>
                    <w:widowControl w:val="0"/>
                    <w:spacing w:before="24" w:beforeLines="10" w:beforeAutospacing="0" w:after="0" w:afterAutospacing="0"/>
                    <w:jc w:val="center"/>
                    <w:rPr>
                      <w:rFonts w:ascii="Times New Roman" w:hAnsi="Times New Roman"/>
                      <w:sz w:val="21"/>
                      <w:szCs w:val="21"/>
                    </w:rPr>
                  </w:pPr>
                  <w:r>
                    <w:rPr>
                      <w:rFonts w:ascii="Times New Roman" w:hAnsi="Times New Roman"/>
                      <w:kern w:val="0"/>
                      <w:sz w:val="21"/>
                      <w:szCs w:val="21"/>
                      <w:lang w:bidi="ar"/>
                    </w:rPr>
                    <w:t>高于屋顶排放</w:t>
                  </w:r>
                </w:p>
              </w:tc>
              <w:tc>
                <w:tcPr>
                  <w:tcW w:w="416" w:type="pct"/>
                  <w:vAlign w:val="center"/>
                </w:tcPr>
                <w:p w14:paraId="684144E5">
                  <w:pPr>
                    <w:pStyle w:val="44"/>
                    <w:widowControl w:val="0"/>
                    <w:spacing w:before="24" w:beforeLines="10" w:beforeAutospacing="0" w:after="0" w:afterAutospacing="0"/>
                    <w:jc w:val="center"/>
                    <w:rPr>
                      <w:rFonts w:ascii="Times New Roman" w:hAnsi="Times New Roman"/>
                      <w:sz w:val="21"/>
                      <w:szCs w:val="21"/>
                    </w:rPr>
                  </w:pPr>
                  <w:r>
                    <w:rPr>
                      <w:rFonts w:hint="eastAsia" w:ascii="Times New Roman" w:hAnsi="Times New Roman"/>
                      <w:kern w:val="0"/>
                      <w:sz w:val="21"/>
                      <w:szCs w:val="21"/>
                      <w:lang w:bidi="ar"/>
                    </w:rPr>
                    <w:t>0.4m</w:t>
                  </w:r>
                </w:p>
              </w:tc>
              <w:tc>
                <w:tcPr>
                  <w:tcW w:w="375" w:type="pct"/>
                  <w:vAlign w:val="center"/>
                </w:tcPr>
                <w:p w14:paraId="2A4D1829">
                  <w:pPr>
                    <w:pStyle w:val="44"/>
                    <w:widowControl w:val="0"/>
                    <w:spacing w:before="24" w:beforeLines="10" w:beforeAutospacing="0" w:after="0" w:afterAutospacing="0"/>
                    <w:jc w:val="center"/>
                    <w:rPr>
                      <w:rFonts w:ascii="Times New Roman" w:hAnsi="Times New Roman"/>
                      <w:sz w:val="21"/>
                      <w:szCs w:val="21"/>
                    </w:rPr>
                  </w:pPr>
                  <w:r>
                    <w:rPr>
                      <w:rFonts w:ascii="Times New Roman" w:hAnsi="Times New Roman"/>
                      <w:kern w:val="0"/>
                      <w:sz w:val="21"/>
                      <w:szCs w:val="21"/>
                      <w:lang w:bidi="ar"/>
                    </w:rPr>
                    <w:t>60℃</w:t>
                  </w:r>
                </w:p>
              </w:tc>
            </w:tr>
          </w:tbl>
          <w:p w14:paraId="59635144">
            <w:pPr>
              <w:adjustRightInd w:val="0"/>
              <w:snapToGrid w:val="0"/>
              <w:spacing w:line="360" w:lineRule="auto"/>
              <w:rPr>
                <w:b/>
                <w:bCs/>
                <w:color w:val="000000"/>
                <w:sz w:val="24"/>
                <w:szCs w:val="24"/>
              </w:rPr>
            </w:pPr>
            <w:r>
              <w:rPr>
                <w:rFonts w:hint="eastAsia"/>
                <w:b/>
                <w:bCs/>
                <w:color w:val="000000"/>
                <w:sz w:val="24"/>
                <w:szCs w:val="24"/>
                <w:lang w:val="en-US" w:eastAsia="zh-CN"/>
              </w:rPr>
              <w:t>1.3</w:t>
            </w:r>
            <w:r>
              <w:rPr>
                <w:b/>
                <w:color w:val="000000"/>
                <w:sz w:val="24"/>
                <w:szCs w:val="24"/>
              </w:rPr>
              <w:t>废气污染治理设施</w:t>
            </w:r>
          </w:p>
          <w:p w14:paraId="7F7FE936">
            <w:pPr>
              <w:spacing w:line="360" w:lineRule="auto"/>
              <w:ind w:firstLine="482" w:firstLineChars="200"/>
              <w:rPr>
                <w:b/>
                <w:bCs/>
                <w:color w:val="000000"/>
                <w:sz w:val="24"/>
              </w:rPr>
            </w:pPr>
            <w:r>
              <w:rPr>
                <w:rFonts w:hint="eastAsia"/>
                <w:b/>
                <w:bCs/>
                <w:color w:val="000000"/>
                <w:sz w:val="24"/>
              </w:rPr>
              <w:t>（1）措施可行性</w:t>
            </w:r>
          </w:p>
          <w:p w14:paraId="4525EBF9">
            <w:pPr>
              <w:adjustRightInd w:val="0"/>
              <w:snapToGrid w:val="0"/>
              <w:spacing w:line="360" w:lineRule="auto"/>
              <w:ind w:firstLine="482" w:firstLineChars="200"/>
              <w:rPr>
                <w:rFonts w:hint="eastAsia"/>
                <w:color w:val="000000"/>
                <w:sz w:val="24"/>
                <w:szCs w:val="24"/>
                <w:highlight w:val="yellow"/>
              </w:rPr>
            </w:pPr>
            <w:r>
              <w:rPr>
                <w:rFonts w:hint="eastAsia"/>
                <w:b/>
                <w:bCs/>
                <w:color w:val="000000"/>
                <w:sz w:val="24"/>
                <w:szCs w:val="24"/>
                <w:highlight w:val="none"/>
              </w:rPr>
              <w:t>①医疗废物暂存臭气污染防治措施可行性分析</w:t>
            </w:r>
          </w:p>
          <w:p w14:paraId="098854C0">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rPr>
              <w:t>建设单位</w:t>
            </w:r>
            <w:r>
              <w:rPr>
                <w:rFonts w:hint="eastAsia"/>
                <w:color w:val="000000"/>
                <w:sz w:val="24"/>
                <w:szCs w:val="24"/>
                <w:highlight w:val="none"/>
                <w:lang w:val="en-US" w:eastAsia="zh-CN"/>
              </w:rPr>
              <w:t>拟</w:t>
            </w:r>
            <w:r>
              <w:rPr>
                <w:rFonts w:hint="eastAsia"/>
                <w:color w:val="000000"/>
                <w:sz w:val="24"/>
                <w:szCs w:val="24"/>
                <w:highlight w:val="none"/>
              </w:rPr>
              <w:t>设置1间</w:t>
            </w:r>
            <w:r>
              <w:rPr>
                <w:rFonts w:hint="eastAsia"/>
                <w:color w:val="000000"/>
                <w:sz w:val="24"/>
                <w:szCs w:val="24"/>
                <w:highlight w:val="none"/>
                <w:lang w:val="en-US" w:eastAsia="zh-CN"/>
              </w:rPr>
              <w:t>30</w:t>
            </w:r>
            <w:r>
              <w:rPr>
                <w:rFonts w:hint="eastAsia"/>
                <w:color w:val="000000"/>
                <w:sz w:val="24"/>
                <w:szCs w:val="24"/>
                <w:highlight w:val="none"/>
              </w:rPr>
              <w:t>m</w:t>
            </w:r>
            <w:r>
              <w:rPr>
                <w:rFonts w:hint="eastAsia"/>
                <w:color w:val="000000"/>
                <w:sz w:val="24"/>
                <w:szCs w:val="24"/>
                <w:highlight w:val="none"/>
                <w:vertAlign w:val="superscript"/>
              </w:rPr>
              <w:t>2</w:t>
            </w:r>
            <w:r>
              <w:rPr>
                <w:rFonts w:hint="eastAsia"/>
                <w:color w:val="000000"/>
                <w:sz w:val="24"/>
                <w:szCs w:val="24"/>
                <w:highlight w:val="none"/>
              </w:rPr>
              <w:t>的医疗废物暂存间，医疗固废堆积会产生一定的异味（以臭气浓度表征），环评要求建设单位对产生的医疗废物按照类别分置于防渗漏、防锐器穿透的专用包装物或者密闭的容器内，在医疗废物暂存间停留的时间不超过48h，尽量做到日产日清，避免腐败发臭。</w:t>
            </w:r>
          </w:p>
          <w:p w14:paraId="4F0F683E">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rPr>
              <w:t>因此，医疗废物暂存间通过采取上述措施后，产生的臭气对周围环境影响不大。</w:t>
            </w:r>
          </w:p>
          <w:p w14:paraId="1BF78EA4">
            <w:pPr>
              <w:adjustRightInd w:val="0"/>
              <w:snapToGrid w:val="0"/>
              <w:spacing w:line="360" w:lineRule="auto"/>
              <w:ind w:firstLine="482" w:firstLineChars="200"/>
              <w:rPr>
                <w:rFonts w:hint="eastAsia"/>
                <w:color w:val="000000"/>
                <w:sz w:val="24"/>
                <w:szCs w:val="24"/>
                <w:highlight w:val="none"/>
              </w:rPr>
            </w:pPr>
            <w:r>
              <w:rPr>
                <w:rStyle w:val="87"/>
                <w:rFonts w:hint="eastAsia"/>
                <w:b/>
                <w:bCs/>
                <w:color w:val="000000"/>
                <w:lang w:val="en-US" w:eastAsia="zh-CN"/>
              </w:rPr>
              <w:t>②一般固废暂存废气</w:t>
            </w:r>
            <w:r>
              <w:rPr>
                <w:rFonts w:hint="eastAsia"/>
                <w:b/>
                <w:bCs/>
                <w:color w:val="000000"/>
                <w:sz w:val="24"/>
                <w:szCs w:val="24"/>
                <w:highlight w:val="none"/>
              </w:rPr>
              <w:t>污染防治措施可行性分析</w:t>
            </w:r>
          </w:p>
          <w:p w14:paraId="304E6DBD">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lang w:val="en-US" w:eastAsia="zh-CN"/>
              </w:rPr>
              <w:t>一般固废仓库废气主要为生活垃圾、餐厨垃圾及废油脂堆放过程中有机质腐败产生的恶臭，恶臭污染物主要包含硫化氢、氨、甲硫醇、甲硫醚、三甲基胺等嗅阈值极低的异味物质。项目一般固废仓库采用密闭式设计，垃圾仅投料作业时临时开启；生活垃圾采用垃圾桶收集，严格落实日产日清，在场区内暂存停留时间较短，从源头缩短易腐垃圾发酵周期，减少恶臭产生量。同时库区采取地面硬化、防雨淋、防扬尘设施，配套实施每日集中清扫、定期杀灭蚊蝇、常态化喷洒生物除臭剂等管控措施，及时清理散落垃圾，抑制微生物厌氧分解，并对逸散恶臭进行降解，降低恶臭无组织扩散影响。</w:t>
            </w:r>
          </w:p>
          <w:p w14:paraId="537DA812">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lang w:val="en-US" w:eastAsia="zh-CN"/>
              </w:rPr>
              <w:t>本项目恶臭以低浓度无组织排放为主，优先通过缩短垃圾贮存时间削减恶臭产生源，利用密闭仓库减少臭气向外逸散，辅以清洁保洁、生物除臭等措施进一步降低异味影响，结合生活垃圾日产日清、场内滞留时间短的工况条件，落实上述措施后可有效控制恶臭无组织排放，减轻对周边大气环境的不利影响，因此本项目一般固废仓库恶臭废气防治措施具备技术可行性、经济合理性。</w:t>
            </w:r>
          </w:p>
          <w:p w14:paraId="2A4FE75B">
            <w:pPr>
              <w:adjustRightInd w:val="0"/>
              <w:snapToGrid w:val="0"/>
              <w:spacing w:line="360" w:lineRule="auto"/>
              <w:ind w:firstLine="482" w:firstLineChars="200"/>
              <w:rPr>
                <w:rFonts w:hint="eastAsia" w:eastAsia="宋体"/>
                <w:color w:val="000000"/>
                <w:sz w:val="24"/>
                <w:szCs w:val="24"/>
                <w:highlight w:val="none"/>
                <w:lang w:val="en-US" w:eastAsia="zh-CN"/>
              </w:rPr>
            </w:pPr>
            <w:r>
              <w:rPr>
                <w:rFonts w:hint="eastAsia"/>
                <w:b/>
                <w:bCs/>
                <w:color w:val="000000"/>
                <w:sz w:val="24"/>
                <w:szCs w:val="24"/>
                <w:highlight w:val="none"/>
                <w:lang w:val="en-US" w:eastAsia="zh-CN"/>
              </w:rPr>
              <w:t>③污水处理站</w:t>
            </w:r>
            <w:r>
              <w:rPr>
                <w:rFonts w:hint="eastAsia"/>
                <w:b/>
                <w:bCs/>
              </w:rPr>
              <w:t>废气</w:t>
            </w:r>
            <w:r>
              <w:rPr>
                <w:rFonts w:hint="eastAsia"/>
                <w:b/>
                <w:bCs/>
                <w:color w:val="000000"/>
                <w:sz w:val="24"/>
                <w:szCs w:val="24"/>
                <w:highlight w:val="none"/>
              </w:rPr>
              <w:t>污染防治措施可行性分析</w:t>
            </w:r>
          </w:p>
          <w:p w14:paraId="28542ED9">
            <w:pPr>
              <w:adjustRightInd w:val="0"/>
              <w:snapToGrid w:val="0"/>
              <w:spacing w:line="360" w:lineRule="auto"/>
              <w:ind w:firstLine="480" w:firstLineChars="200"/>
              <w:rPr>
                <w:color w:val="000000"/>
                <w:sz w:val="24"/>
                <w:szCs w:val="24"/>
              </w:rPr>
            </w:pPr>
            <w:r>
              <w:rPr>
                <w:rFonts w:hint="eastAsia"/>
                <w:color w:val="000000"/>
                <w:sz w:val="24"/>
                <w:szCs w:val="24"/>
                <w:highlight w:val="none"/>
              </w:rPr>
              <w:t>为防止污水处理站恶臭</w:t>
            </w:r>
            <w:r>
              <w:rPr>
                <w:rFonts w:hint="eastAsia"/>
                <w:color w:val="000000"/>
                <w:sz w:val="24"/>
                <w:szCs w:val="24"/>
              </w:rPr>
              <w:t>影响居民区环境质量，也为了防止污水处理设施外溢废气造成病毒的二次传播污染，结合本项目实际情况，本项目污水处理站采用整体地下式设计，污水处理池池体设盖板封闭，污水处理站周边定期喷洒除臭剂。具体如下：</w:t>
            </w:r>
          </w:p>
          <w:p w14:paraId="5D040223">
            <w:pPr>
              <w:adjustRightInd w:val="0"/>
              <w:snapToGrid w:val="0"/>
              <w:spacing w:line="360" w:lineRule="auto"/>
              <w:ind w:firstLine="480" w:firstLineChars="200"/>
              <w:rPr>
                <w:color w:val="000000"/>
                <w:sz w:val="24"/>
                <w:szCs w:val="24"/>
              </w:rPr>
            </w:pPr>
            <w:r>
              <w:rPr>
                <w:rFonts w:hint="eastAsia"/>
                <w:color w:val="000000"/>
                <w:sz w:val="24"/>
                <w:szCs w:val="24"/>
              </w:rPr>
              <w:t>①污水站整体地埋式建设，各水处理池加盖密闭；</w:t>
            </w:r>
          </w:p>
          <w:p w14:paraId="0D56EDAA">
            <w:pPr>
              <w:adjustRightInd w:val="0"/>
              <w:snapToGrid w:val="0"/>
              <w:spacing w:line="360" w:lineRule="auto"/>
              <w:ind w:firstLine="480" w:firstLineChars="200"/>
              <w:rPr>
                <w:color w:val="000000"/>
                <w:sz w:val="24"/>
                <w:szCs w:val="24"/>
              </w:rPr>
            </w:pPr>
            <w:r>
              <w:rPr>
                <w:rFonts w:hint="eastAsia"/>
                <w:color w:val="000000"/>
                <w:sz w:val="24"/>
                <w:szCs w:val="24"/>
              </w:rPr>
              <w:t>②污水管设计流速应足够大，避免产生拥堵，导致污染淤积腐败产生臭气；</w:t>
            </w:r>
          </w:p>
          <w:p w14:paraId="1D27F3F0">
            <w:pPr>
              <w:adjustRightInd w:val="0"/>
              <w:snapToGrid w:val="0"/>
              <w:spacing w:line="360" w:lineRule="auto"/>
              <w:ind w:firstLine="480" w:firstLineChars="200"/>
              <w:rPr>
                <w:color w:val="000000"/>
                <w:sz w:val="24"/>
                <w:szCs w:val="24"/>
              </w:rPr>
            </w:pPr>
            <w:r>
              <w:rPr>
                <w:rFonts w:hint="eastAsia"/>
                <w:color w:val="000000"/>
                <w:sz w:val="24"/>
                <w:szCs w:val="24"/>
              </w:rPr>
              <w:t>③污水站四周定期喷洒除臭剂，减少污水、污泥的气味向外扩散的影响。</w:t>
            </w:r>
          </w:p>
          <w:p w14:paraId="681F85B2">
            <w:pPr>
              <w:adjustRightInd w:val="0"/>
              <w:snapToGrid w:val="0"/>
              <w:spacing w:line="360" w:lineRule="auto"/>
              <w:ind w:firstLine="480" w:firstLineChars="200"/>
              <w:rPr>
                <w:rFonts w:hint="eastAsia"/>
                <w:color w:val="000000"/>
                <w:sz w:val="24"/>
                <w:szCs w:val="24"/>
              </w:rPr>
            </w:pPr>
            <w:r>
              <w:rPr>
                <w:rFonts w:hint="eastAsia"/>
                <w:color w:val="000000"/>
                <w:sz w:val="24"/>
                <w:szCs w:val="24"/>
              </w:rPr>
              <w:t>根据《排污许可证申请与核发技术规范 医疗机构》</w:t>
            </w:r>
            <w:r>
              <w:rPr>
                <w:rFonts w:hint="eastAsia" w:ascii="宋体" w:hAnsi="宋体" w:cs="宋体"/>
                <w:color w:val="000000"/>
                <w:sz w:val="24"/>
                <w:szCs w:val="24"/>
              </w:rPr>
              <w:t>(</w:t>
            </w:r>
            <w:r>
              <w:rPr>
                <w:rFonts w:hint="eastAsia"/>
                <w:color w:val="000000"/>
                <w:sz w:val="24"/>
                <w:szCs w:val="24"/>
              </w:rPr>
              <w:t>HJ1105-2020</w:t>
            </w:r>
            <w:r>
              <w:rPr>
                <w:rFonts w:hint="eastAsia" w:ascii="宋体" w:hAnsi="宋体" w:cs="宋体"/>
                <w:color w:val="000000"/>
                <w:sz w:val="24"/>
                <w:szCs w:val="24"/>
              </w:rPr>
              <w:t>)中</w:t>
            </w:r>
            <w:r>
              <w:rPr>
                <w:rFonts w:hint="eastAsia"/>
                <w:color w:val="000000"/>
                <w:sz w:val="24"/>
                <w:szCs w:val="24"/>
              </w:rPr>
              <w:t>废气污染防治可行技术，本项目污水处理站废气采用的处理工艺属于技术规范中推荐的可行技术。</w:t>
            </w:r>
          </w:p>
          <w:p w14:paraId="290F4866">
            <w:pPr>
              <w:keepNext w:val="0"/>
              <w:keepLines w:val="0"/>
              <w:pageBreakBefore w:val="0"/>
              <w:kinsoku/>
              <w:wordWrap/>
              <w:overflowPunct/>
              <w:topLinePunct w:val="0"/>
              <w:autoSpaceDE/>
              <w:autoSpaceDN/>
              <w:bidi w:val="0"/>
              <w:adjustRightInd/>
              <w:snapToGrid/>
              <w:spacing w:line="360" w:lineRule="auto"/>
              <w:textAlignment w:val="auto"/>
              <w:rPr>
                <w:rFonts w:hint="eastAsia"/>
                <w:color w:val="000000"/>
                <w:sz w:val="24"/>
                <w:szCs w:val="24"/>
              </w:rPr>
            </w:pPr>
          </w:p>
          <w:p w14:paraId="12E0035E">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color w:val="000000"/>
                <w:sz w:val="24"/>
                <w:szCs w:val="24"/>
              </w:rPr>
            </w:pPr>
          </w:p>
          <w:p w14:paraId="3677ECD0">
            <w:pPr>
              <w:keepNext w:val="0"/>
              <w:keepLines w:val="0"/>
              <w:pageBreakBefore w:val="0"/>
              <w:kinsoku/>
              <w:wordWrap/>
              <w:overflowPunct/>
              <w:topLinePunct w:val="0"/>
              <w:autoSpaceDE/>
              <w:autoSpaceDN/>
              <w:bidi w:val="0"/>
              <w:adjustRightInd/>
              <w:snapToGrid/>
              <w:spacing w:line="360" w:lineRule="auto"/>
              <w:textAlignment w:val="auto"/>
            </w:pPr>
          </w:p>
          <w:p w14:paraId="1441AD79">
            <w:pPr>
              <w:adjustRightInd w:val="0"/>
              <w:snapToGrid w:val="0"/>
              <w:spacing w:line="360" w:lineRule="auto"/>
              <w:jc w:val="center"/>
              <w:rPr>
                <w:b/>
                <w:bCs/>
                <w:color w:val="000000"/>
                <w:sz w:val="24"/>
                <w:szCs w:val="24"/>
              </w:rPr>
            </w:pPr>
            <w:r>
              <w:rPr>
                <w:rFonts w:hint="eastAsia"/>
                <w:b/>
                <w:bCs/>
                <w:color w:val="000000"/>
                <w:sz w:val="24"/>
                <w:szCs w:val="24"/>
              </w:rPr>
              <w:t>表4-</w:t>
            </w:r>
            <w:r>
              <w:rPr>
                <w:rFonts w:hint="eastAsia"/>
                <w:b/>
                <w:bCs/>
                <w:color w:val="000000"/>
                <w:sz w:val="24"/>
                <w:szCs w:val="24"/>
                <w:lang w:val="en-US" w:eastAsia="zh-CN"/>
              </w:rPr>
              <w:t>5</w:t>
            </w:r>
            <w:r>
              <w:rPr>
                <w:rFonts w:hint="eastAsia"/>
                <w:b/>
                <w:bCs/>
                <w:color w:val="000000"/>
                <w:sz w:val="24"/>
                <w:szCs w:val="24"/>
              </w:rPr>
              <w:t xml:space="preserve">  医疗机构排污单位废气治理可行技术参照表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3219"/>
              <w:gridCol w:w="1293"/>
              <w:gridCol w:w="2071"/>
            </w:tblGrid>
            <w:tr w14:paraId="052FC3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63" w:type="dxa"/>
                  <w:vAlign w:val="center"/>
                </w:tcPr>
                <w:p w14:paraId="55BA0882">
                  <w:pPr>
                    <w:adjustRightInd w:val="0"/>
                    <w:snapToGrid w:val="0"/>
                    <w:jc w:val="center"/>
                    <w:rPr>
                      <w:b/>
                      <w:bCs/>
                      <w:color w:val="000000"/>
                      <w:szCs w:val="21"/>
                    </w:rPr>
                  </w:pPr>
                  <w:r>
                    <w:rPr>
                      <w:rFonts w:hint="eastAsia"/>
                      <w:b/>
                      <w:bCs/>
                      <w:color w:val="000000"/>
                      <w:szCs w:val="21"/>
                    </w:rPr>
                    <w:t>污染物产生设施</w:t>
                  </w:r>
                </w:p>
              </w:tc>
              <w:tc>
                <w:tcPr>
                  <w:tcW w:w="3338" w:type="dxa"/>
                  <w:vAlign w:val="center"/>
                </w:tcPr>
                <w:p w14:paraId="5C24BADB">
                  <w:pPr>
                    <w:adjustRightInd w:val="0"/>
                    <w:snapToGrid w:val="0"/>
                    <w:jc w:val="center"/>
                    <w:rPr>
                      <w:b/>
                      <w:bCs/>
                      <w:color w:val="000000"/>
                      <w:szCs w:val="21"/>
                    </w:rPr>
                  </w:pPr>
                  <w:r>
                    <w:rPr>
                      <w:rFonts w:hint="eastAsia"/>
                      <w:b/>
                      <w:bCs/>
                      <w:color w:val="000000"/>
                      <w:szCs w:val="21"/>
                    </w:rPr>
                    <w:t>污染物种类</w:t>
                  </w:r>
                </w:p>
              </w:tc>
              <w:tc>
                <w:tcPr>
                  <w:tcW w:w="1334" w:type="dxa"/>
                  <w:vAlign w:val="center"/>
                </w:tcPr>
                <w:p w14:paraId="7E5EE0C7">
                  <w:pPr>
                    <w:adjustRightInd w:val="0"/>
                    <w:snapToGrid w:val="0"/>
                    <w:jc w:val="center"/>
                    <w:rPr>
                      <w:b/>
                      <w:bCs/>
                      <w:color w:val="000000"/>
                      <w:szCs w:val="21"/>
                    </w:rPr>
                  </w:pPr>
                  <w:r>
                    <w:rPr>
                      <w:rFonts w:hint="eastAsia"/>
                      <w:b/>
                      <w:bCs/>
                      <w:color w:val="000000"/>
                      <w:szCs w:val="21"/>
                    </w:rPr>
                    <w:t>排放形式</w:t>
                  </w:r>
                </w:p>
              </w:tc>
              <w:tc>
                <w:tcPr>
                  <w:tcW w:w="2145" w:type="dxa"/>
                  <w:vAlign w:val="center"/>
                </w:tcPr>
                <w:p w14:paraId="59748317">
                  <w:pPr>
                    <w:adjustRightInd w:val="0"/>
                    <w:snapToGrid w:val="0"/>
                    <w:jc w:val="center"/>
                    <w:rPr>
                      <w:b/>
                      <w:bCs/>
                      <w:color w:val="000000"/>
                      <w:szCs w:val="21"/>
                    </w:rPr>
                  </w:pPr>
                  <w:r>
                    <w:rPr>
                      <w:rFonts w:hint="eastAsia"/>
                      <w:b/>
                      <w:bCs/>
                      <w:color w:val="000000"/>
                      <w:szCs w:val="21"/>
                    </w:rPr>
                    <w:t>可行技术</w:t>
                  </w:r>
                </w:p>
              </w:tc>
            </w:tr>
            <w:tr w14:paraId="664020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63" w:type="dxa"/>
                  <w:vAlign w:val="center"/>
                </w:tcPr>
                <w:p w14:paraId="2C66FD1C">
                  <w:pPr>
                    <w:adjustRightInd w:val="0"/>
                    <w:snapToGrid w:val="0"/>
                    <w:jc w:val="center"/>
                    <w:rPr>
                      <w:color w:val="000000"/>
                      <w:szCs w:val="21"/>
                    </w:rPr>
                  </w:pPr>
                  <w:r>
                    <w:rPr>
                      <w:rFonts w:hint="eastAsia"/>
                      <w:color w:val="000000"/>
                      <w:szCs w:val="21"/>
                    </w:rPr>
                    <w:t>污水处理站</w:t>
                  </w:r>
                </w:p>
              </w:tc>
              <w:tc>
                <w:tcPr>
                  <w:tcW w:w="3338" w:type="dxa"/>
                  <w:vAlign w:val="center"/>
                </w:tcPr>
                <w:p w14:paraId="2D076CFC">
                  <w:pPr>
                    <w:adjustRightInd w:val="0"/>
                    <w:snapToGrid w:val="0"/>
                    <w:jc w:val="center"/>
                    <w:rPr>
                      <w:color w:val="000000"/>
                      <w:szCs w:val="21"/>
                    </w:rPr>
                  </w:pPr>
                  <w:r>
                    <w:rPr>
                      <w:rFonts w:hint="eastAsia"/>
                      <w:color w:val="000000"/>
                      <w:szCs w:val="21"/>
                    </w:rPr>
                    <w:t>氨、硫化氢、臭气浓度、甲烷（指处理站内最高体积百分数）</w:t>
                  </w:r>
                </w:p>
              </w:tc>
              <w:tc>
                <w:tcPr>
                  <w:tcW w:w="1334" w:type="dxa"/>
                  <w:vAlign w:val="center"/>
                </w:tcPr>
                <w:p w14:paraId="19041CCD">
                  <w:pPr>
                    <w:adjustRightInd w:val="0"/>
                    <w:snapToGrid w:val="0"/>
                    <w:jc w:val="center"/>
                    <w:rPr>
                      <w:color w:val="000000"/>
                      <w:szCs w:val="21"/>
                    </w:rPr>
                  </w:pPr>
                  <w:r>
                    <w:rPr>
                      <w:rFonts w:hint="eastAsia"/>
                      <w:color w:val="000000"/>
                      <w:szCs w:val="21"/>
                    </w:rPr>
                    <w:t>无组织</w:t>
                  </w:r>
                </w:p>
              </w:tc>
              <w:tc>
                <w:tcPr>
                  <w:tcW w:w="2145" w:type="dxa"/>
                  <w:vAlign w:val="center"/>
                </w:tcPr>
                <w:p w14:paraId="3FF5125E">
                  <w:pPr>
                    <w:adjustRightInd w:val="0"/>
                    <w:snapToGrid w:val="0"/>
                    <w:jc w:val="center"/>
                    <w:rPr>
                      <w:color w:val="000000"/>
                      <w:szCs w:val="21"/>
                    </w:rPr>
                  </w:pPr>
                  <w:r>
                    <w:rPr>
                      <w:rFonts w:hint="eastAsia"/>
                      <w:color w:val="000000"/>
                      <w:szCs w:val="21"/>
                    </w:rPr>
                    <w:t>产生恶臭区域加罩或加盖，投放除臭剂；</w:t>
                  </w:r>
                </w:p>
              </w:tc>
            </w:tr>
          </w:tbl>
          <w:p w14:paraId="2E8213FB">
            <w:pPr>
              <w:adjustRightInd w:val="0"/>
              <w:snapToGrid w:val="0"/>
              <w:spacing w:line="360" w:lineRule="auto"/>
              <w:ind w:firstLine="482" w:firstLineChars="200"/>
              <w:rPr>
                <w:rFonts w:hint="eastAsia"/>
                <w:b/>
                <w:bCs/>
                <w:color w:val="000000"/>
                <w:sz w:val="24"/>
                <w:szCs w:val="24"/>
                <w:highlight w:val="none"/>
              </w:rPr>
            </w:pPr>
            <w:r>
              <w:rPr>
                <w:rFonts w:hint="eastAsia"/>
                <w:b/>
                <w:bCs/>
                <w:color w:val="000000"/>
                <w:sz w:val="24"/>
                <w:szCs w:val="24"/>
                <w:highlight w:val="none"/>
              </w:rPr>
              <w:t>异味影响分析</w:t>
            </w:r>
          </w:p>
          <w:p w14:paraId="2E47FFDD">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rPr>
              <w:t>建设项目废水处理站所产生的氨、硫化氢等具有恶臭异味，其主要危害为心理影响和生理影响。</w:t>
            </w:r>
          </w:p>
          <w:p w14:paraId="0AC8780B">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rPr>
              <w:t>心理影响：恶臭会使人的感觉器官受到刺激，使人心情烦躁、压抑。已有研究表明，恶臭物质特别是室内污染物会使人的情绪焦虑不安，最终产生心理健康问题；长期的臭味影响，对人身体有损伤，并可能会引起呼吸道病变，恶心呕吐打喷嚏等，也不利于精神身体发育的，可以多锻炼锻炼身体，这样就可以增强体质。</w:t>
            </w:r>
          </w:p>
          <w:p w14:paraId="0E667173">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rPr>
              <w:t>生理影响：恶臭对生理的影响是多方面的，主要表现在以下几点：</w:t>
            </w:r>
          </w:p>
          <w:p w14:paraId="504AAD56">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rPr>
              <w:t>①使人体反射性地抑制吸气，造成呼吸障碍。</w:t>
            </w:r>
          </w:p>
          <w:p w14:paraId="7DFBBD2E">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rPr>
              <w:t>②恶臭对神经系统有较大的毒害作用，若长期受到低浓度恶臭的刺激，会丧失嗅觉，大脑皮层兴奋与抑制的调节功能也会随之失调。</w:t>
            </w:r>
          </w:p>
          <w:p w14:paraId="47E772E8">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rPr>
              <w:t>③恶臭气体中的氨和硫化氢等会影响血液中氧的运输，使机体循环系统受到干扰。</w:t>
            </w:r>
          </w:p>
          <w:p w14:paraId="3ABDCC28">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rPr>
              <w:t>④臭气会打破人体原有的新陈代谢，会使分泌和消化系统变得紊乱，造成食欲不振、恶心呕吐等后果，此外，有些臭气还对眼睛有较强的刺激作用。</w:t>
            </w:r>
          </w:p>
          <w:p w14:paraId="28046709">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rPr>
              <w:t>本项目污水处理站产生的臭气量较小，并且经各废水池加盖密闭处理，在该种情况下逸散的臭气物质有限，对周围环境及敏感点影响不大；其次，污水处理站</w:t>
            </w:r>
            <w:r>
              <w:rPr>
                <w:rFonts w:hint="eastAsia"/>
                <w:color w:val="000000"/>
                <w:sz w:val="24"/>
                <w:szCs w:val="24"/>
              </w:rPr>
              <w:t>定期喷洒除臭剂</w:t>
            </w:r>
            <w:r>
              <w:rPr>
                <w:rFonts w:hint="eastAsia"/>
                <w:color w:val="000000"/>
                <w:sz w:val="24"/>
                <w:szCs w:val="24"/>
                <w:highlight w:val="none"/>
              </w:rPr>
              <w:t>，亦可减少异味对敏感点的影响。</w:t>
            </w:r>
          </w:p>
          <w:p w14:paraId="33D5F8C5">
            <w:pPr>
              <w:adjustRightInd w:val="0"/>
              <w:snapToGrid w:val="0"/>
              <w:spacing w:line="360" w:lineRule="auto"/>
              <w:ind w:firstLine="482" w:firstLineChars="200"/>
              <w:rPr>
                <w:rFonts w:hint="eastAsia"/>
                <w:color w:val="000000"/>
                <w:sz w:val="24"/>
                <w:szCs w:val="24"/>
                <w:highlight w:val="none"/>
              </w:rPr>
            </w:pPr>
            <w:r>
              <w:rPr>
                <w:rFonts w:hint="eastAsia"/>
                <w:b/>
                <w:bCs/>
                <w:color w:val="000000"/>
                <w:sz w:val="24"/>
                <w:szCs w:val="24"/>
                <w:highlight w:val="none"/>
              </w:rPr>
              <w:t>④汽车尾气污染防治措施可行性分析</w:t>
            </w:r>
          </w:p>
          <w:p w14:paraId="15058FD3">
            <w:pPr>
              <w:adjustRightInd w:val="0"/>
              <w:snapToGrid w:val="0"/>
              <w:spacing w:line="360" w:lineRule="auto"/>
              <w:ind w:firstLine="480" w:firstLineChars="200"/>
              <w:rPr>
                <w:rFonts w:hint="eastAsia"/>
                <w:color w:val="000000"/>
                <w:sz w:val="24"/>
                <w:szCs w:val="24"/>
                <w:highlight w:val="none"/>
              </w:rPr>
            </w:pPr>
            <w:r>
              <w:rPr>
                <w:rFonts w:hint="eastAsia"/>
                <w:color w:val="000000"/>
                <w:sz w:val="24"/>
                <w:szCs w:val="24"/>
                <w:highlight w:val="none"/>
              </w:rPr>
              <w:t>由于汽车尾气污染物浓度较小，周围场地较为宽阔，排放的污染物不会在局部聚集，建设单位通过加强绿化后，对周围环境影响很小，能达到相关环保要求。</w:t>
            </w:r>
          </w:p>
          <w:p w14:paraId="44C5C033">
            <w:pPr>
              <w:adjustRightInd w:val="0"/>
              <w:snapToGrid w:val="0"/>
              <w:spacing w:line="360" w:lineRule="auto"/>
              <w:ind w:firstLine="482" w:firstLineChars="200"/>
              <w:rPr>
                <w:rFonts w:hint="eastAsia"/>
                <w:color w:val="000000"/>
                <w:sz w:val="24"/>
                <w:szCs w:val="24"/>
                <w:highlight w:val="yellow"/>
              </w:rPr>
            </w:pPr>
            <w:r>
              <w:rPr>
                <w:rFonts w:hint="eastAsia"/>
                <w:b/>
                <w:bCs/>
                <w:color w:val="000000"/>
                <w:sz w:val="24"/>
                <w:lang w:val="en-US" w:eastAsia="zh-CN"/>
              </w:rPr>
              <w:t>⑤食堂油烟废气</w:t>
            </w:r>
            <w:r>
              <w:rPr>
                <w:rFonts w:hint="eastAsia"/>
                <w:b/>
                <w:bCs/>
                <w:color w:val="000000"/>
                <w:sz w:val="24"/>
                <w:szCs w:val="24"/>
                <w:highlight w:val="none"/>
              </w:rPr>
              <w:t>污染防治措施可行性分析</w:t>
            </w:r>
          </w:p>
          <w:p w14:paraId="4E22D389">
            <w:pPr>
              <w:spacing w:line="360" w:lineRule="auto"/>
              <w:ind w:firstLine="482" w:firstLineChars="200"/>
              <w:rPr>
                <w:rFonts w:hint="eastAsia"/>
                <w:color w:val="000000"/>
                <w:sz w:val="24"/>
              </w:rPr>
            </w:pPr>
            <w:r>
              <w:rPr>
                <w:rFonts w:hint="eastAsia"/>
                <w:b/>
                <w:bCs/>
                <w:color w:val="000000"/>
                <w:sz w:val="24"/>
              </w:rPr>
              <w:t>静电油烟净化器：</w:t>
            </w:r>
            <w:r>
              <w:rPr>
                <w:rFonts w:hint="eastAsia"/>
                <w:color w:val="000000"/>
                <w:sz w:val="24"/>
              </w:rPr>
              <w:t>工作原理为油烟由风机吸入静电式油烟净化器，其中部分较大的油雾滴、油污颗粒在均流板上由于机械碰撞、阻留而被捕集。当气流进入高压静电场时，在高压电场的作用下，油烟气体电离，油雾荷电，大部分得以降解炭化；少部分微小油粒在吸附电场的电场力及气流作用下向电场的正负极板运动被收集在极板上并在自身重力的作用下流到集油盘，经排油通道排出，余下的微米级油雾被电场降解成二氧化碳和水，最终排出洁净空气；同时在高压发生器的作用下，电场内空气产生臭氧，除去了烟气中大部分的气味。静电油烟净化器具有以下优点：</w:t>
            </w:r>
          </w:p>
          <w:p w14:paraId="6BC8B2C3">
            <w:pPr>
              <w:spacing w:line="360" w:lineRule="auto"/>
              <w:ind w:firstLine="480" w:firstLineChars="200"/>
              <w:rPr>
                <w:rFonts w:hint="eastAsia"/>
                <w:color w:val="000000"/>
                <w:sz w:val="24"/>
              </w:rPr>
            </w:pPr>
            <w:r>
              <w:rPr>
                <w:rFonts w:hint="eastAsia"/>
                <w:color w:val="000000"/>
                <w:sz w:val="24"/>
              </w:rPr>
              <w:t>除烟、除雾性能优异；压力损失小，能源消耗低；适用范围广；维护保养简单；安装方便。</w:t>
            </w:r>
          </w:p>
          <w:p w14:paraId="700A57E0">
            <w:pPr>
              <w:spacing w:line="360" w:lineRule="auto"/>
              <w:ind w:firstLine="480" w:firstLineChars="200"/>
              <w:rPr>
                <w:rFonts w:hint="eastAsia"/>
                <w:color w:val="000000"/>
                <w:sz w:val="24"/>
              </w:rPr>
            </w:pPr>
            <w:r>
              <w:rPr>
                <w:rFonts w:hint="eastAsia"/>
                <w:color w:val="000000"/>
                <w:sz w:val="24"/>
              </w:rPr>
              <w:t>静电油烟净化器的除油效率可达85%，项目食堂产生的油烟经静电油烟净化器处理后浓度小于2mg/m</w:t>
            </w:r>
            <w:r>
              <w:rPr>
                <w:rFonts w:hint="eastAsia"/>
                <w:color w:val="000000"/>
                <w:sz w:val="24"/>
                <w:vertAlign w:val="superscript"/>
              </w:rPr>
              <w:t>3</w:t>
            </w:r>
            <w:r>
              <w:rPr>
                <w:rFonts w:hint="eastAsia"/>
                <w:color w:val="000000"/>
                <w:sz w:val="24"/>
              </w:rPr>
              <w:t>，可达到《饮食业油烟排放标准（试行）》（GB18483-2001）中型排放标准的要求，不会对周围大气环境产生明显影响。因此项目采用的油烟治理措施是可行的。</w:t>
            </w:r>
          </w:p>
          <w:p w14:paraId="1CA0E5E0">
            <w:pPr>
              <w:tabs>
                <w:tab w:val="left" w:pos="2196"/>
              </w:tabs>
              <w:spacing w:line="360" w:lineRule="auto"/>
              <w:ind w:firstLine="482"/>
              <w:jc w:val="center"/>
              <w:rPr>
                <w:b/>
                <w:color w:val="000000"/>
                <w:sz w:val="24"/>
                <w:szCs w:val="24"/>
              </w:rPr>
            </w:pPr>
            <w:r>
              <w:rPr>
                <w:b/>
                <w:color w:val="000000"/>
                <w:sz w:val="24"/>
                <w:szCs w:val="24"/>
              </w:rPr>
              <w:t>表4-</w:t>
            </w:r>
            <w:r>
              <w:rPr>
                <w:rFonts w:hint="eastAsia"/>
                <w:b/>
                <w:color w:val="000000"/>
                <w:sz w:val="24"/>
                <w:szCs w:val="24"/>
                <w:lang w:val="en-US" w:eastAsia="zh-CN"/>
              </w:rPr>
              <w:t>6</w:t>
            </w:r>
            <w:r>
              <w:rPr>
                <w:b/>
                <w:color w:val="000000"/>
                <w:sz w:val="24"/>
                <w:szCs w:val="24"/>
              </w:rPr>
              <w:t xml:space="preserve">  </w:t>
            </w:r>
            <w:r>
              <w:rPr>
                <w:rFonts w:hint="eastAsia"/>
                <w:b/>
                <w:color w:val="000000"/>
                <w:sz w:val="24"/>
                <w:szCs w:val="24"/>
              </w:rPr>
              <w:t>项目废气产污节点、污染物及</w:t>
            </w:r>
            <w:r>
              <w:rPr>
                <w:b/>
                <w:color w:val="000000"/>
                <w:sz w:val="24"/>
                <w:szCs w:val="24"/>
              </w:rPr>
              <w:t>污染治理设施信息表</w:t>
            </w:r>
          </w:p>
          <w:tbl>
            <w:tblPr>
              <w:tblStyle w:val="4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1036"/>
              <w:gridCol w:w="1035"/>
              <w:gridCol w:w="1908"/>
              <w:gridCol w:w="682"/>
              <w:gridCol w:w="813"/>
              <w:gridCol w:w="695"/>
              <w:gridCol w:w="1081"/>
            </w:tblGrid>
            <w:tr w14:paraId="45F679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6" w:type="dxa"/>
                  <w:vMerge w:val="restart"/>
                  <w:vAlign w:val="center"/>
                </w:tcPr>
                <w:p w14:paraId="639F78EC">
                  <w:pPr>
                    <w:tabs>
                      <w:tab w:val="left" w:pos="2196"/>
                    </w:tabs>
                    <w:jc w:val="center"/>
                    <w:rPr>
                      <w:b/>
                      <w:color w:val="000000"/>
                      <w:szCs w:val="21"/>
                    </w:rPr>
                  </w:pPr>
                  <w:r>
                    <w:rPr>
                      <w:rFonts w:hint="eastAsia"/>
                      <w:b/>
                      <w:color w:val="000000"/>
                      <w:szCs w:val="21"/>
                    </w:rPr>
                    <w:t>产污环节</w:t>
                  </w:r>
                </w:p>
              </w:tc>
              <w:tc>
                <w:tcPr>
                  <w:tcW w:w="1036" w:type="dxa"/>
                  <w:vMerge w:val="restart"/>
                  <w:vAlign w:val="center"/>
                </w:tcPr>
                <w:p w14:paraId="77EED890">
                  <w:pPr>
                    <w:tabs>
                      <w:tab w:val="left" w:pos="2196"/>
                    </w:tabs>
                    <w:jc w:val="center"/>
                    <w:rPr>
                      <w:b/>
                      <w:color w:val="000000"/>
                      <w:szCs w:val="21"/>
                    </w:rPr>
                  </w:pPr>
                  <w:r>
                    <w:rPr>
                      <w:rFonts w:hint="eastAsia"/>
                      <w:b/>
                      <w:color w:val="000000"/>
                      <w:szCs w:val="21"/>
                    </w:rPr>
                    <w:t>污染物种类</w:t>
                  </w:r>
                </w:p>
              </w:tc>
              <w:tc>
                <w:tcPr>
                  <w:tcW w:w="1035" w:type="dxa"/>
                  <w:vMerge w:val="restart"/>
                  <w:vAlign w:val="center"/>
                </w:tcPr>
                <w:p w14:paraId="20F6FC8F">
                  <w:pPr>
                    <w:tabs>
                      <w:tab w:val="left" w:pos="2196"/>
                    </w:tabs>
                    <w:jc w:val="center"/>
                    <w:rPr>
                      <w:b/>
                      <w:color w:val="000000"/>
                      <w:szCs w:val="21"/>
                    </w:rPr>
                  </w:pPr>
                  <w:r>
                    <w:rPr>
                      <w:rFonts w:hint="eastAsia"/>
                      <w:b/>
                      <w:color w:val="000000"/>
                      <w:szCs w:val="21"/>
                    </w:rPr>
                    <w:t>排放形式</w:t>
                  </w:r>
                </w:p>
              </w:tc>
              <w:tc>
                <w:tcPr>
                  <w:tcW w:w="5179" w:type="dxa"/>
                  <w:gridSpan w:val="5"/>
                  <w:vAlign w:val="center"/>
                </w:tcPr>
                <w:p w14:paraId="3E43B152">
                  <w:pPr>
                    <w:tabs>
                      <w:tab w:val="left" w:pos="2196"/>
                    </w:tabs>
                    <w:jc w:val="center"/>
                    <w:rPr>
                      <w:b/>
                      <w:color w:val="000000"/>
                      <w:szCs w:val="21"/>
                    </w:rPr>
                  </w:pPr>
                  <w:r>
                    <w:rPr>
                      <w:rFonts w:hint="eastAsia"/>
                      <w:b/>
                      <w:color w:val="000000"/>
                      <w:szCs w:val="21"/>
                    </w:rPr>
                    <w:t>治理设施</w:t>
                  </w:r>
                </w:p>
              </w:tc>
            </w:tr>
            <w:tr w14:paraId="017648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6" w:type="dxa"/>
                  <w:vMerge w:val="continue"/>
                  <w:vAlign w:val="center"/>
                </w:tcPr>
                <w:p w14:paraId="1BA1B2C6">
                  <w:pPr>
                    <w:tabs>
                      <w:tab w:val="left" w:pos="2196"/>
                    </w:tabs>
                    <w:jc w:val="center"/>
                    <w:rPr>
                      <w:b/>
                      <w:color w:val="000000"/>
                      <w:szCs w:val="21"/>
                    </w:rPr>
                  </w:pPr>
                </w:p>
              </w:tc>
              <w:tc>
                <w:tcPr>
                  <w:tcW w:w="1036" w:type="dxa"/>
                  <w:vMerge w:val="continue"/>
                  <w:vAlign w:val="center"/>
                </w:tcPr>
                <w:p w14:paraId="25541146">
                  <w:pPr>
                    <w:tabs>
                      <w:tab w:val="left" w:pos="2196"/>
                    </w:tabs>
                    <w:jc w:val="center"/>
                    <w:rPr>
                      <w:b/>
                      <w:color w:val="000000"/>
                      <w:szCs w:val="21"/>
                    </w:rPr>
                  </w:pPr>
                </w:p>
              </w:tc>
              <w:tc>
                <w:tcPr>
                  <w:tcW w:w="1035" w:type="dxa"/>
                  <w:vMerge w:val="continue"/>
                  <w:vAlign w:val="center"/>
                </w:tcPr>
                <w:p w14:paraId="25277EE0">
                  <w:pPr>
                    <w:tabs>
                      <w:tab w:val="left" w:pos="2196"/>
                    </w:tabs>
                    <w:jc w:val="center"/>
                    <w:rPr>
                      <w:b/>
                      <w:color w:val="000000"/>
                      <w:szCs w:val="21"/>
                    </w:rPr>
                  </w:pPr>
                </w:p>
              </w:tc>
              <w:tc>
                <w:tcPr>
                  <w:tcW w:w="1908" w:type="dxa"/>
                  <w:vAlign w:val="center"/>
                </w:tcPr>
                <w:p w14:paraId="773B260C">
                  <w:pPr>
                    <w:tabs>
                      <w:tab w:val="left" w:pos="2196"/>
                    </w:tabs>
                    <w:jc w:val="center"/>
                    <w:rPr>
                      <w:b/>
                      <w:color w:val="000000"/>
                      <w:szCs w:val="21"/>
                    </w:rPr>
                  </w:pPr>
                  <w:r>
                    <w:rPr>
                      <w:rFonts w:hint="eastAsia"/>
                      <w:b/>
                      <w:color w:val="000000"/>
                      <w:szCs w:val="21"/>
                    </w:rPr>
                    <w:t>名称</w:t>
                  </w:r>
                </w:p>
              </w:tc>
              <w:tc>
                <w:tcPr>
                  <w:tcW w:w="682" w:type="dxa"/>
                  <w:vAlign w:val="center"/>
                </w:tcPr>
                <w:p w14:paraId="332F8FEC">
                  <w:pPr>
                    <w:tabs>
                      <w:tab w:val="left" w:pos="2196"/>
                    </w:tabs>
                    <w:jc w:val="center"/>
                    <w:rPr>
                      <w:b/>
                      <w:color w:val="000000"/>
                      <w:szCs w:val="21"/>
                    </w:rPr>
                  </w:pPr>
                  <w:r>
                    <w:rPr>
                      <w:rFonts w:hint="eastAsia"/>
                      <w:b/>
                      <w:color w:val="000000"/>
                      <w:szCs w:val="21"/>
                    </w:rPr>
                    <w:t>处理能力</w:t>
                  </w:r>
                </w:p>
              </w:tc>
              <w:tc>
                <w:tcPr>
                  <w:tcW w:w="813" w:type="dxa"/>
                  <w:vAlign w:val="center"/>
                </w:tcPr>
                <w:p w14:paraId="42B12A6C">
                  <w:pPr>
                    <w:tabs>
                      <w:tab w:val="left" w:pos="2196"/>
                    </w:tabs>
                    <w:jc w:val="center"/>
                    <w:rPr>
                      <w:b/>
                      <w:color w:val="000000"/>
                      <w:szCs w:val="21"/>
                    </w:rPr>
                  </w:pPr>
                  <w:r>
                    <w:rPr>
                      <w:rFonts w:hint="eastAsia"/>
                      <w:b/>
                      <w:color w:val="000000"/>
                      <w:szCs w:val="21"/>
                    </w:rPr>
                    <w:t>收集效率</w:t>
                  </w:r>
                </w:p>
              </w:tc>
              <w:tc>
                <w:tcPr>
                  <w:tcW w:w="695" w:type="dxa"/>
                  <w:vAlign w:val="center"/>
                </w:tcPr>
                <w:p w14:paraId="21B55B56">
                  <w:pPr>
                    <w:tabs>
                      <w:tab w:val="left" w:pos="2196"/>
                    </w:tabs>
                    <w:jc w:val="center"/>
                    <w:rPr>
                      <w:b/>
                      <w:color w:val="000000"/>
                      <w:szCs w:val="21"/>
                    </w:rPr>
                  </w:pPr>
                  <w:r>
                    <w:rPr>
                      <w:rFonts w:hint="eastAsia"/>
                      <w:b/>
                      <w:color w:val="000000"/>
                      <w:szCs w:val="21"/>
                    </w:rPr>
                    <w:t>去除效率</w:t>
                  </w:r>
                </w:p>
              </w:tc>
              <w:tc>
                <w:tcPr>
                  <w:tcW w:w="1081" w:type="dxa"/>
                  <w:vAlign w:val="center"/>
                </w:tcPr>
                <w:p w14:paraId="457DAD83">
                  <w:pPr>
                    <w:tabs>
                      <w:tab w:val="left" w:pos="2196"/>
                    </w:tabs>
                    <w:jc w:val="center"/>
                    <w:rPr>
                      <w:b/>
                      <w:color w:val="000000"/>
                      <w:szCs w:val="21"/>
                    </w:rPr>
                  </w:pPr>
                  <w:r>
                    <w:rPr>
                      <w:rFonts w:hint="eastAsia"/>
                      <w:b/>
                      <w:color w:val="000000"/>
                      <w:szCs w:val="21"/>
                    </w:rPr>
                    <w:t>是否为可行技术</w:t>
                  </w:r>
                </w:p>
              </w:tc>
            </w:tr>
            <w:tr w14:paraId="79FC1B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6" w:type="dxa"/>
                  <w:vAlign w:val="center"/>
                </w:tcPr>
                <w:p w14:paraId="31B786F9">
                  <w:pPr>
                    <w:tabs>
                      <w:tab w:val="left" w:pos="2196"/>
                    </w:tabs>
                    <w:jc w:val="center"/>
                    <w:rPr>
                      <w:bCs/>
                      <w:color w:val="000000"/>
                      <w:szCs w:val="21"/>
                    </w:rPr>
                  </w:pPr>
                  <w:r>
                    <w:rPr>
                      <w:rFonts w:hint="eastAsia"/>
                      <w:bCs/>
                      <w:color w:val="000000"/>
                      <w:szCs w:val="21"/>
                    </w:rPr>
                    <w:t>污水处理站</w:t>
                  </w:r>
                </w:p>
              </w:tc>
              <w:tc>
                <w:tcPr>
                  <w:tcW w:w="1036" w:type="dxa"/>
                  <w:vAlign w:val="center"/>
                </w:tcPr>
                <w:p w14:paraId="68C1CD48">
                  <w:pPr>
                    <w:tabs>
                      <w:tab w:val="left" w:pos="2196"/>
                    </w:tabs>
                    <w:jc w:val="center"/>
                    <w:rPr>
                      <w:bCs/>
                      <w:color w:val="000000"/>
                      <w:szCs w:val="21"/>
                    </w:rPr>
                  </w:pPr>
                  <w:r>
                    <w:rPr>
                      <w:rFonts w:hint="eastAsia"/>
                      <w:bCs/>
                      <w:color w:val="000000"/>
                      <w:szCs w:val="21"/>
                    </w:rPr>
                    <w:t>氨、硫化氢</w:t>
                  </w:r>
                </w:p>
              </w:tc>
              <w:tc>
                <w:tcPr>
                  <w:tcW w:w="1035" w:type="dxa"/>
                  <w:vAlign w:val="center"/>
                </w:tcPr>
                <w:p w14:paraId="6DED2BCB">
                  <w:pPr>
                    <w:tabs>
                      <w:tab w:val="left" w:pos="2196"/>
                    </w:tabs>
                    <w:jc w:val="center"/>
                    <w:rPr>
                      <w:bCs/>
                      <w:color w:val="000000"/>
                      <w:szCs w:val="21"/>
                    </w:rPr>
                  </w:pPr>
                  <w:r>
                    <w:rPr>
                      <w:rFonts w:hint="eastAsia"/>
                      <w:bCs/>
                      <w:color w:val="000000"/>
                      <w:szCs w:val="21"/>
                    </w:rPr>
                    <w:t>无组织</w:t>
                  </w:r>
                </w:p>
              </w:tc>
              <w:tc>
                <w:tcPr>
                  <w:tcW w:w="1908" w:type="dxa"/>
                  <w:vAlign w:val="center"/>
                </w:tcPr>
                <w:p w14:paraId="3EB5EACE">
                  <w:pPr>
                    <w:tabs>
                      <w:tab w:val="left" w:pos="2196"/>
                    </w:tabs>
                    <w:jc w:val="center"/>
                    <w:rPr>
                      <w:bCs/>
                      <w:color w:val="000000"/>
                      <w:szCs w:val="21"/>
                    </w:rPr>
                  </w:pPr>
                  <w:r>
                    <w:rPr>
                      <w:rFonts w:hint="eastAsia"/>
                      <w:bCs/>
                      <w:color w:val="000000"/>
                      <w:szCs w:val="21"/>
                    </w:rPr>
                    <w:t>设施为密闭式、加强污水处理站周边绿化等措施处理</w:t>
                  </w:r>
                </w:p>
              </w:tc>
              <w:tc>
                <w:tcPr>
                  <w:tcW w:w="682" w:type="dxa"/>
                  <w:vAlign w:val="center"/>
                </w:tcPr>
                <w:p w14:paraId="63FDB594">
                  <w:pPr>
                    <w:tabs>
                      <w:tab w:val="left" w:pos="2196"/>
                    </w:tabs>
                    <w:jc w:val="center"/>
                    <w:rPr>
                      <w:bCs/>
                      <w:color w:val="000000"/>
                      <w:szCs w:val="21"/>
                    </w:rPr>
                  </w:pPr>
                  <w:r>
                    <w:rPr>
                      <w:rFonts w:hint="eastAsia"/>
                      <w:bCs/>
                      <w:color w:val="000000"/>
                      <w:szCs w:val="21"/>
                    </w:rPr>
                    <w:t>/</w:t>
                  </w:r>
                </w:p>
              </w:tc>
              <w:tc>
                <w:tcPr>
                  <w:tcW w:w="813" w:type="dxa"/>
                  <w:vAlign w:val="center"/>
                </w:tcPr>
                <w:p w14:paraId="172BD951">
                  <w:pPr>
                    <w:tabs>
                      <w:tab w:val="left" w:pos="2196"/>
                    </w:tabs>
                    <w:jc w:val="center"/>
                    <w:rPr>
                      <w:bCs/>
                      <w:color w:val="000000"/>
                      <w:szCs w:val="21"/>
                    </w:rPr>
                  </w:pPr>
                  <w:r>
                    <w:rPr>
                      <w:rFonts w:hint="eastAsia"/>
                      <w:bCs/>
                      <w:color w:val="000000"/>
                      <w:szCs w:val="21"/>
                    </w:rPr>
                    <w:t>/</w:t>
                  </w:r>
                </w:p>
              </w:tc>
              <w:tc>
                <w:tcPr>
                  <w:tcW w:w="695" w:type="dxa"/>
                  <w:vAlign w:val="center"/>
                </w:tcPr>
                <w:p w14:paraId="083CB725">
                  <w:pPr>
                    <w:tabs>
                      <w:tab w:val="left" w:pos="2196"/>
                    </w:tabs>
                    <w:jc w:val="center"/>
                    <w:rPr>
                      <w:bCs/>
                      <w:color w:val="000000"/>
                      <w:szCs w:val="21"/>
                    </w:rPr>
                  </w:pPr>
                  <w:r>
                    <w:rPr>
                      <w:rFonts w:hint="eastAsia"/>
                      <w:bCs/>
                      <w:color w:val="000000"/>
                      <w:szCs w:val="21"/>
                    </w:rPr>
                    <w:t>40％</w:t>
                  </w:r>
                </w:p>
              </w:tc>
              <w:tc>
                <w:tcPr>
                  <w:tcW w:w="1081" w:type="dxa"/>
                  <w:vAlign w:val="center"/>
                </w:tcPr>
                <w:p w14:paraId="1C4ABB32">
                  <w:pPr>
                    <w:tabs>
                      <w:tab w:val="left" w:pos="2196"/>
                    </w:tabs>
                    <w:jc w:val="center"/>
                    <w:rPr>
                      <w:bCs/>
                      <w:color w:val="000000"/>
                      <w:szCs w:val="21"/>
                    </w:rPr>
                  </w:pPr>
                  <w:r>
                    <w:rPr>
                      <w:rFonts w:hint="eastAsia"/>
                      <w:bCs/>
                      <w:color w:val="000000"/>
                      <w:szCs w:val="21"/>
                    </w:rPr>
                    <w:t>是</w:t>
                  </w:r>
                </w:p>
              </w:tc>
            </w:tr>
          </w:tbl>
          <w:p w14:paraId="01B7E808">
            <w:pPr>
              <w:adjustRightInd w:val="0"/>
              <w:snapToGrid w:val="0"/>
              <w:spacing w:line="360" w:lineRule="auto"/>
              <w:rPr>
                <w:rFonts w:hint="eastAsia" w:ascii="宋体" w:hAnsi="宋体"/>
                <w:b/>
                <w:sz w:val="24"/>
              </w:rPr>
            </w:pPr>
            <w:r>
              <w:rPr>
                <w:b/>
                <w:sz w:val="24"/>
              </w:rPr>
              <w:t>1.5</w:t>
            </w:r>
            <w:bookmarkStart w:id="15" w:name="OLE_LINK74"/>
            <w:r>
              <w:rPr>
                <w:rFonts w:hint="eastAsia" w:ascii="宋体" w:hAnsi="宋体"/>
                <w:b/>
                <w:sz w:val="24"/>
              </w:rPr>
              <w:t>废气监测</w:t>
            </w:r>
          </w:p>
          <w:bookmarkEnd w:id="15"/>
          <w:p w14:paraId="074D2F96">
            <w:pPr>
              <w:adjustRightInd w:val="0"/>
              <w:snapToGrid w:val="0"/>
              <w:spacing w:line="360" w:lineRule="auto"/>
              <w:ind w:firstLine="480" w:firstLineChars="200"/>
              <w:rPr>
                <w:sz w:val="24"/>
              </w:rPr>
            </w:pPr>
            <w:r>
              <w:rPr>
                <w:rFonts w:hint="eastAsia"/>
                <w:sz w:val="24"/>
              </w:rPr>
              <w:t>本项目属于Q8416疗养院，本次评价参照《排污单位自行监测技术指南-总则》</w:t>
            </w:r>
            <w:r>
              <w:rPr>
                <w:rFonts w:hint="eastAsia" w:ascii="宋体" w:hAnsi="宋体" w:cs="宋体"/>
                <w:sz w:val="24"/>
              </w:rPr>
              <w:t>(</w:t>
            </w:r>
            <w:r>
              <w:rPr>
                <w:rFonts w:hint="eastAsia"/>
                <w:sz w:val="24"/>
              </w:rPr>
              <w:t>HJ819-2017</w:t>
            </w:r>
            <w:r>
              <w:rPr>
                <w:rFonts w:hint="eastAsia" w:ascii="宋体" w:hAnsi="宋体" w:cs="宋体"/>
                <w:sz w:val="24"/>
              </w:rPr>
              <w:t>)</w:t>
            </w:r>
            <w:r>
              <w:rPr>
                <w:rFonts w:hint="eastAsia"/>
                <w:sz w:val="24"/>
              </w:rPr>
              <w:t>、《排污许可证申请与核发技术规范 医疗机构》</w:t>
            </w:r>
            <w:r>
              <w:rPr>
                <w:rFonts w:hint="eastAsia" w:ascii="宋体" w:hAnsi="宋体" w:cs="宋体"/>
                <w:sz w:val="24"/>
              </w:rPr>
              <w:t>(</w:t>
            </w:r>
            <w:r>
              <w:rPr>
                <w:rFonts w:hint="eastAsia"/>
                <w:sz w:val="24"/>
              </w:rPr>
              <w:t>HJ1105-2020</w:t>
            </w:r>
            <w:r>
              <w:rPr>
                <w:rFonts w:hint="eastAsia" w:ascii="宋体" w:hAnsi="宋体" w:cs="宋体"/>
                <w:sz w:val="24"/>
              </w:rPr>
              <w:t>)</w:t>
            </w:r>
            <w:r>
              <w:rPr>
                <w:rFonts w:hint="eastAsia"/>
                <w:sz w:val="24"/>
              </w:rPr>
              <w:t>等相关文件和技术规范编制废气监测计划，具体如下。</w:t>
            </w:r>
          </w:p>
          <w:p w14:paraId="37273535">
            <w:pPr>
              <w:tabs>
                <w:tab w:val="left" w:pos="2196"/>
              </w:tabs>
              <w:spacing w:line="360" w:lineRule="auto"/>
              <w:jc w:val="center"/>
              <w:rPr>
                <w:b/>
                <w:color w:val="000000"/>
                <w:sz w:val="24"/>
                <w:szCs w:val="24"/>
              </w:rPr>
            </w:pPr>
            <w:r>
              <w:rPr>
                <w:b/>
                <w:color w:val="000000"/>
                <w:sz w:val="24"/>
                <w:szCs w:val="24"/>
              </w:rPr>
              <w:t>表4-</w:t>
            </w:r>
            <w:r>
              <w:rPr>
                <w:rFonts w:hint="eastAsia"/>
                <w:b/>
                <w:color w:val="000000"/>
                <w:sz w:val="24"/>
                <w:szCs w:val="24"/>
                <w:lang w:val="en-US" w:eastAsia="zh-CN"/>
              </w:rPr>
              <w:t>7</w:t>
            </w:r>
            <w:r>
              <w:rPr>
                <w:b/>
                <w:color w:val="000000"/>
                <w:sz w:val="24"/>
                <w:szCs w:val="24"/>
              </w:rPr>
              <w:t xml:space="preserve">  自行监测信息表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349"/>
              <w:gridCol w:w="1831"/>
              <w:gridCol w:w="2411"/>
              <w:gridCol w:w="1263"/>
              <w:gridCol w:w="947"/>
            </w:tblGrid>
            <w:tr w14:paraId="550C77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4" w:type="pct"/>
                  <w:vAlign w:val="center"/>
                </w:tcPr>
                <w:p w14:paraId="7631070F">
                  <w:pPr>
                    <w:pStyle w:val="115"/>
                    <w:adjustRightInd/>
                    <w:snapToGrid/>
                    <w:spacing w:beforeLines="0" w:line="240" w:lineRule="auto"/>
                    <w:rPr>
                      <w:rFonts w:ascii="Times New Roman" w:hAnsi="Times New Roman"/>
                      <w:b/>
                      <w:bCs/>
                      <w:color w:val="000000"/>
                      <w:szCs w:val="21"/>
                    </w:rPr>
                  </w:pPr>
                  <w:r>
                    <w:rPr>
                      <w:rFonts w:ascii="Times New Roman" w:hAnsi="Times New Roman"/>
                      <w:b/>
                      <w:bCs/>
                      <w:color w:val="000000"/>
                      <w:szCs w:val="21"/>
                    </w:rPr>
                    <w:t>序号</w:t>
                  </w:r>
                </w:p>
              </w:tc>
              <w:tc>
                <w:tcPr>
                  <w:tcW w:w="813" w:type="pct"/>
                  <w:vAlign w:val="center"/>
                </w:tcPr>
                <w:p w14:paraId="51E8D30B">
                  <w:pPr>
                    <w:pStyle w:val="115"/>
                    <w:adjustRightInd/>
                    <w:snapToGrid/>
                    <w:spacing w:beforeLines="0" w:line="240" w:lineRule="auto"/>
                    <w:rPr>
                      <w:rFonts w:ascii="Times New Roman" w:hAnsi="Times New Roman"/>
                      <w:b/>
                      <w:bCs/>
                      <w:color w:val="000000"/>
                      <w:szCs w:val="21"/>
                    </w:rPr>
                  </w:pPr>
                  <w:r>
                    <w:rPr>
                      <w:rFonts w:hint="eastAsia" w:ascii="Times New Roman" w:hAnsi="Times New Roman"/>
                      <w:b/>
                      <w:bCs/>
                      <w:color w:val="000000"/>
                      <w:szCs w:val="21"/>
                    </w:rPr>
                    <w:t>类别</w:t>
                  </w:r>
                </w:p>
              </w:tc>
              <w:tc>
                <w:tcPr>
                  <w:tcW w:w="1104" w:type="pct"/>
                  <w:vAlign w:val="center"/>
                </w:tcPr>
                <w:p w14:paraId="6BF52BEE">
                  <w:pPr>
                    <w:pStyle w:val="115"/>
                    <w:adjustRightInd/>
                    <w:snapToGrid/>
                    <w:spacing w:beforeLines="0" w:line="240" w:lineRule="auto"/>
                    <w:rPr>
                      <w:rFonts w:ascii="Times New Roman" w:hAnsi="Times New Roman"/>
                      <w:b/>
                      <w:bCs/>
                      <w:color w:val="000000"/>
                      <w:szCs w:val="21"/>
                    </w:rPr>
                  </w:pPr>
                  <w:r>
                    <w:rPr>
                      <w:rFonts w:ascii="Times New Roman" w:hAnsi="Times New Roman"/>
                      <w:b/>
                      <w:bCs/>
                      <w:color w:val="000000"/>
                      <w:szCs w:val="21"/>
                    </w:rPr>
                    <w:t>监测点位</w:t>
                  </w:r>
                </w:p>
              </w:tc>
              <w:tc>
                <w:tcPr>
                  <w:tcW w:w="1454" w:type="pct"/>
                  <w:vAlign w:val="center"/>
                </w:tcPr>
                <w:p w14:paraId="37A3289F">
                  <w:pPr>
                    <w:pStyle w:val="115"/>
                    <w:adjustRightInd/>
                    <w:snapToGrid/>
                    <w:spacing w:beforeLines="0" w:line="240" w:lineRule="auto"/>
                    <w:rPr>
                      <w:rFonts w:ascii="Times New Roman" w:hAnsi="Times New Roman"/>
                      <w:b/>
                      <w:bCs/>
                      <w:color w:val="000000"/>
                      <w:szCs w:val="21"/>
                    </w:rPr>
                  </w:pPr>
                  <w:r>
                    <w:rPr>
                      <w:rFonts w:ascii="Times New Roman" w:hAnsi="Times New Roman"/>
                      <w:b/>
                      <w:bCs/>
                      <w:color w:val="000000"/>
                      <w:szCs w:val="21"/>
                    </w:rPr>
                    <w:t>污染物名称</w:t>
                  </w:r>
                </w:p>
                <w:p w14:paraId="095A299E">
                  <w:pPr>
                    <w:pStyle w:val="115"/>
                    <w:adjustRightInd/>
                    <w:snapToGrid/>
                    <w:spacing w:beforeLines="0" w:line="240" w:lineRule="auto"/>
                    <w:rPr>
                      <w:rFonts w:ascii="Times New Roman" w:hAnsi="Times New Roman"/>
                      <w:b/>
                      <w:bCs/>
                      <w:color w:val="000000"/>
                      <w:szCs w:val="21"/>
                    </w:rPr>
                  </w:pPr>
                  <w:r>
                    <w:rPr>
                      <w:rFonts w:ascii="Times New Roman" w:hAnsi="Times New Roman"/>
                      <w:b/>
                      <w:bCs/>
                      <w:color w:val="000000"/>
                      <w:szCs w:val="21"/>
                    </w:rPr>
                    <w:t>（监测因子）</w:t>
                  </w:r>
                </w:p>
              </w:tc>
              <w:tc>
                <w:tcPr>
                  <w:tcW w:w="761" w:type="pct"/>
                  <w:vAlign w:val="center"/>
                </w:tcPr>
                <w:p w14:paraId="62FB3B4F">
                  <w:pPr>
                    <w:pStyle w:val="115"/>
                    <w:adjustRightInd/>
                    <w:snapToGrid/>
                    <w:spacing w:beforeLines="0" w:line="240" w:lineRule="auto"/>
                    <w:rPr>
                      <w:rFonts w:ascii="Times New Roman" w:hAnsi="Times New Roman"/>
                      <w:b/>
                      <w:bCs/>
                      <w:color w:val="000000"/>
                      <w:szCs w:val="21"/>
                    </w:rPr>
                  </w:pPr>
                  <w:r>
                    <w:rPr>
                      <w:rFonts w:ascii="Times New Roman" w:hAnsi="Times New Roman"/>
                      <w:b/>
                      <w:bCs/>
                      <w:color w:val="000000"/>
                      <w:szCs w:val="21"/>
                    </w:rPr>
                    <w:t>监测频次</w:t>
                  </w:r>
                </w:p>
              </w:tc>
              <w:tc>
                <w:tcPr>
                  <w:tcW w:w="571" w:type="pct"/>
                  <w:vAlign w:val="center"/>
                </w:tcPr>
                <w:p w14:paraId="5B1F2648">
                  <w:pPr>
                    <w:pStyle w:val="115"/>
                    <w:adjustRightInd/>
                    <w:snapToGrid/>
                    <w:spacing w:beforeLines="0" w:line="240" w:lineRule="auto"/>
                    <w:rPr>
                      <w:rFonts w:ascii="Times New Roman" w:hAnsi="Times New Roman"/>
                      <w:b/>
                      <w:bCs/>
                      <w:color w:val="000000"/>
                      <w:szCs w:val="21"/>
                    </w:rPr>
                  </w:pPr>
                  <w:r>
                    <w:rPr>
                      <w:rFonts w:ascii="Times New Roman" w:hAnsi="Times New Roman"/>
                      <w:b/>
                      <w:bCs/>
                      <w:color w:val="000000"/>
                      <w:szCs w:val="21"/>
                    </w:rPr>
                    <w:t>是否自动监测</w:t>
                  </w:r>
                </w:p>
              </w:tc>
            </w:tr>
            <w:tr w14:paraId="3CDCEB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4" w:type="pct"/>
                  <w:vAlign w:val="center"/>
                </w:tcPr>
                <w:p w14:paraId="5A446C62">
                  <w:pPr>
                    <w:pStyle w:val="115"/>
                    <w:adjustRightInd/>
                    <w:snapToGrid/>
                    <w:spacing w:beforeLines="0" w:line="240" w:lineRule="auto"/>
                    <w:rPr>
                      <w:rFonts w:ascii="Times New Roman" w:hAnsi="Times New Roman"/>
                      <w:color w:val="000000"/>
                      <w:szCs w:val="21"/>
                    </w:rPr>
                  </w:pPr>
                  <w:r>
                    <w:rPr>
                      <w:rFonts w:ascii="Times New Roman" w:hAnsi="Times New Roman"/>
                      <w:color w:val="000000"/>
                      <w:szCs w:val="21"/>
                    </w:rPr>
                    <w:t>1</w:t>
                  </w:r>
                </w:p>
              </w:tc>
              <w:tc>
                <w:tcPr>
                  <w:tcW w:w="813" w:type="pct"/>
                  <w:vAlign w:val="center"/>
                </w:tcPr>
                <w:p w14:paraId="0DFEDB8C">
                  <w:pPr>
                    <w:pStyle w:val="115"/>
                    <w:adjustRightInd/>
                    <w:snapToGrid/>
                    <w:spacing w:beforeLines="0" w:line="240" w:lineRule="auto"/>
                    <w:rPr>
                      <w:rFonts w:ascii="Times New Roman" w:hAnsi="Times New Roman"/>
                      <w:color w:val="000000"/>
                      <w:szCs w:val="21"/>
                    </w:rPr>
                  </w:pPr>
                  <w:r>
                    <w:rPr>
                      <w:rFonts w:hint="eastAsia" w:ascii="Times New Roman" w:hAnsi="Times New Roman"/>
                      <w:color w:val="000000"/>
                      <w:szCs w:val="21"/>
                    </w:rPr>
                    <w:t>无组织废气</w:t>
                  </w:r>
                </w:p>
              </w:tc>
              <w:tc>
                <w:tcPr>
                  <w:tcW w:w="1104" w:type="pct"/>
                  <w:vAlign w:val="center"/>
                </w:tcPr>
                <w:p w14:paraId="05394B93">
                  <w:pPr>
                    <w:pStyle w:val="115"/>
                    <w:adjustRightInd/>
                    <w:snapToGrid/>
                    <w:spacing w:beforeLines="0" w:line="240" w:lineRule="auto"/>
                    <w:rPr>
                      <w:rFonts w:ascii="Times New Roman" w:hAnsi="Times New Roman"/>
                      <w:color w:val="000000"/>
                      <w:szCs w:val="21"/>
                    </w:rPr>
                  </w:pPr>
                  <w:r>
                    <w:rPr>
                      <w:rFonts w:hint="eastAsia" w:ascii="Times New Roman" w:hAnsi="Times New Roman"/>
                      <w:color w:val="000000"/>
                      <w:szCs w:val="21"/>
                    </w:rPr>
                    <w:t>污水处理站周界</w:t>
                  </w:r>
                </w:p>
              </w:tc>
              <w:tc>
                <w:tcPr>
                  <w:tcW w:w="1454" w:type="pct"/>
                  <w:vAlign w:val="center"/>
                </w:tcPr>
                <w:p w14:paraId="02150559">
                  <w:pPr>
                    <w:pStyle w:val="115"/>
                    <w:adjustRightInd/>
                    <w:snapToGrid/>
                    <w:spacing w:beforeLines="0" w:line="240" w:lineRule="auto"/>
                    <w:rPr>
                      <w:rFonts w:ascii="Times New Roman" w:hAnsi="Times New Roman"/>
                      <w:color w:val="000000"/>
                      <w:szCs w:val="21"/>
                    </w:rPr>
                  </w:pPr>
                  <w:r>
                    <w:rPr>
                      <w:rFonts w:hint="eastAsia" w:ascii="Times New Roman" w:hAnsi="Times New Roman"/>
                      <w:color w:val="000000"/>
                      <w:szCs w:val="21"/>
                    </w:rPr>
                    <w:t>NH</w:t>
                  </w:r>
                  <w:r>
                    <w:rPr>
                      <w:rFonts w:hint="eastAsia" w:ascii="Times New Roman" w:hAnsi="Times New Roman"/>
                      <w:color w:val="000000"/>
                      <w:szCs w:val="21"/>
                      <w:vertAlign w:val="subscript"/>
                    </w:rPr>
                    <w:t>3</w:t>
                  </w:r>
                  <w:r>
                    <w:rPr>
                      <w:rFonts w:hint="eastAsia" w:ascii="Times New Roman" w:hAnsi="Times New Roman"/>
                      <w:color w:val="000000"/>
                      <w:szCs w:val="21"/>
                    </w:rPr>
                    <w:t>、H</w:t>
                  </w:r>
                  <w:r>
                    <w:rPr>
                      <w:rFonts w:hint="eastAsia" w:ascii="Times New Roman" w:hAnsi="Times New Roman"/>
                      <w:color w:val="000000"/>
                      <w:szCs w:val="21"/>
                      <w:vertAlign w:val="subscript"/>
                    </w:rPr>
                    <w:t>2</w:t>
                  </w:r>
                  <w:r>
                    <w:rPr>
                      <w:rFonts w:hint="eastAsia" w:ascii="Times New Roman" w:hAnsi="Times New Roman"/>
                      <w:color w:val="000000"/>
                      <w:szCs w:val="21"/>
                    </w:rPr>
                    <w:t>S、臭气浓度、甲烷</w:t>
                  </w:r>
                </w:p>
              </w:tc>
              <w:tc>
                <w:tcPr>
                  <w:tcW w:w="761" w:type="pct"/>
                  <w:vAlign w:val="center"/>
                </w:tcPr>
                <w:p w14:paraId="7B7ACA9F">
                  <w:pPr>
                    <w:pStyle w:val="115"/>
                    <w:adjustRightInd/>
                    <w:snapToGrid/>
                    <w:spacing w:beforeLines="0" w:line="240" w:lineRule="auto"/>
                    <w:rPr>
                      <w:rFonts w:ascii="Times New Roman" w:hAnsi="Times New Roman"/>
                      <w:color w:val="000000"/>
                      <w:szCs w:val="21"/>
                    </w:rPr>
                  </w:pPr>
                  <w:r>
                    <w:rPr>
                      <w:rFonts w:ascii="Times New Roman" w:hAnsi="Times New Roman"/>
                      <w:color w:val="000000"/>
                      <w:szCs w:val="21"/>
                    </w:rPr>
                    <w:t>1次/</w:t>
                  </w:r>
                  <w:r>
                    <w:rPr>
                      <w:rFonts w:hint="eastAsia" w:ascii="Times New Roman" w:hAnsi="Times New Roman"/>
                      <w:color w:val="000000"/>
                      <w:szCs w:val="21"/>
                    </w:rPr>
                    <w:t>季度</w:t>
                  </w:r>
                </w:p>
              </w:tc>
              <w:tc>
                <w:tcPr>
                  <w:tcW w:w="571" w:type="pct"/>
                  <w:vAlign w:val="center"/>
                </w:tcPr>
                <w:p w14:paraId="30BC24CF">
                  <w:pPr>
                    <w:pStyle w:val="115"/>
                    <w:adjustRightInd/>
                    <w:snapToGrid/>
                    <w:spacing w:beforeLines="0" w:line="240" w:lineRule="auto"/>
                    <w:rPr>
                      <w:rFonts w:ascii="Times New Roman" w:hAnsi="Times New Roman"/>
                      <w:color w:val="000000"/>
                      <w:szCs w:val="21"/>
                    </w:rPr>
                  </w:pPr>
                  <w:r>
                    <w:rPr>
                      <w:rFonts w:ascii="Times New Roman" w:hAnsi="Times New Roman"/>
                      <w:color w:val="000000"/>
                      <w:szCs w:val="21"/>
                    </w:rPr>
                    <w:t>否</w:t>
                  </w:r>
                </w:p>
              </w:tc>
            </w:tr>
            <w:tr w14:paraId="4C535A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4" w:type="pct"/>
                  <w:vAlign w:val="center"/>
                </w:tcPr>
                <w:p w14:paraId="3188595C">
                  <w:pPr>
                    <w:pStyle w:val="115"/>
                    <w:adjustRightInd/>
                    <w:snapToGrid/>
                    <w:spacing w:beforeLines="0" w:line="240" w:lineRule="auto"/>
                    <w:rPr>
                      <w:rFonts w:hint="eastAsia" w:ascii="Times New Roman" w:hAnsi="Times New Roman" w:eastAsia="宋体"/>
                      <w:color w:val="000000"/>
                      <w:szCs w:val="21"/>
                      <w:lang w:val="en-US" w:eastAsia="zh-CN"/>
                    </w:rPr>
                  </w:pPr>
                  <w:r>
                    <w:rPr>
                      <w:rFonts w:hint="eastAsia" w:ascii="Times New Roman" w:hAnsi="Times New Roman"/>
                      <w:color w:val="000000"/>
                      <w:szCs w:val="21"/>
                      <w:lang w:val="en-US" w:eastAsia="zh-CN"/>
                    </w:rPr>
                    <w:t>2</w:t>
                  </w:r>
                </w:p>
              </w:tc>
              <w:tc>
                <w:tcPr>
                  <w:tcW w:w="1349" w:type="dxa"/>
                  <w:vAlign w:val="center"/>
                </w:tcPr>
                <w:p w14:paraId="1966D048">
                  <w:pPr>
                    <w:pStyle w:val="23"/>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color w:val="000000"/>
                      <w:szCs w:val="21"/>
                      <w:lang w:val="en-US"/>
                    </w:rPr>
                  </w:pPr>
                  <w:r>
                    <w:rPr>
                      <w:rFonts w:hint="eastAsia" w:ascii="Times New Roman" w:hAnsi="Times New Roman"/>
                      <w:sz w:val="21"/>
                      <w:szCs w:val="21"/>
                      <w:highlight w:val="none"/>
                      <w:lang w:val="en-US" w:eastAsia="zh-CN"/>
                    </w:rPr>
                    <w:t>有组织</w:t>
                  </w:r>
                  <w:r>
                    <w:rPr>
                      <w:rFonts w:hint="eastAsia"/>
                      <w:sz w:val="21"/>
                      <w:szCs w:val="21"/>
                      <w:highlight w:val="none"/>
                      <w:lang w:val="en-US" w:eastAsia="zh-CN"/>
                    </w:rPr>
                    <w:t>废气</w:t>
                  </w:r>
                </w:p>
              </w:tc>
              <w:tc>
                <w:tcPr>
                  <w:tcW w:w="1831" w:type="dxa"/>
                  <w:vAlign w:val="center"/>
                </w:tcPr>
                <w:p w14:paraId="0F454ACF">
                  <w:pPr>
                    <w:pStyle w:val="23"/>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eastAsia" w:ascii="Times New Roman" w:hAnsi="Times New Roman"/>
                      <w:color w:val="000000"/>
                      <w:szCs w:val="21"/>
                    </w:rPr>
                  </w:pPr>
                  <w:r>
                    <w:rPr>
                      <w:rFonts w:hint="eastAsia" w:ascii="Times New Roman" w:hAnsi="Times New Roman"/>
                      <w:sz w:val="21"/>
                      <w:szCs w:val="21"/>
                      <w:highlight w:val="none"/>
                      <w:lang w:val="en-US" w:eastAsia="zh-CN"/>
                    </w:rPr>
                    <w:t>食堂油烟排气管道</w:t>
                  </w:r>
                </w:p>
              </w:tc>
              <w:tc>
                <w:tcPr>
                  <w:tcW w:w="2411" w:type="dxa"/>
                  <w:vAlign w:val="center"/>
                </w:tcPr>
                <w:p w14:paraId="448E4346">
                  <w:pPr>
                    <w:pStyle w:val="23"/>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eastAsia" w:ascii="Times New Roman" w:hAnsi="Times New Roman"/>
                      <w:color w:val="000000"/>
                      <w:szCs w:val="21"/>
                    </w:rPr>
                  </w:pPr>
                  <w:r>
                    <w:rPr>
                      <w:rFonts w:hint="eastAsia" w:ascii="Times New Roman" w:hAnsi="Times New Roman"/>
                      <w:sz w:val="21"/>
                      <w:szCs w:val="21"/>
                      <w:lang w:val="en-US" w:eastAsia="zh-CN"/>
                    </w:rPr>
                    <w:t>油烟</w:t>
                  </w:r>
                </w:p>
              </w:tc>
              <w:tc>
                <w:tcPr>
                  <w:tcW w:w="761" w:type="pct"/>
                  <w:vAlign w:val="center"/>
                </w:tcPr>
                <w:p w14:paraId="012A71D5">
                  <w:pPr>
                    <w:pStyle w:val="115"/>
                    <w:adjustRightInd/>
                    <w:snapToGrid/>
                    <w:spacing w:beforeLines="0" w:line="240" w:lineRule="auto"/>
                    <w:rPr>
                      <w:rFonts w:hint="eastAsia" w:ascii="Times New Roman" w:hAnsi="Times New Roman" w:eastAsia="宋体"/>
                      <w:color w:val="000000"/>
                      <w:szCs w:val="21"/>
                      <w:lang w:eastAsia="zh-CN"/>
                    </w:rPr>
                  </w:pPr>
                  <w:r>
                    <w:rPr>
                      <w:rFonts w:ascii="Times New Roman" w:hAnsi="Times New Roman"/>
                      <w:color w:val="000000"/>
                      <w:szCs w:val="21"/>
                    </w:rPr>
                    <w:t>1次/</w:t>
                  </w:r>
                  <w:r>
                    <w:rPr>
                      <w:rFonts w:hint="eastAsia" w:ascii="Times New Roman" w:hAnsi="Times New Roman"/>
                      <w:color w:val="000000"/>
                      <w:szCs w:val="21"/>
                      <w:lang w:val="en-US" w:eastAsia="zh-CN"/>
                    </w:rPr>
                    <w:t>年</w:t>
                  </w:r>
                </w:p>
              </w:tc>
              <w:tc>
                <w:tcPr>
                  <w:tcW w:w="571" w:type="pct"/>
                  <w:vAlign w:val="center"/>
                </w:tcPr>
                <w:p w14:paraId="32EAC1C4">
                  <w:pPr>
                    <w:pStyle w:val="115"/>
                    <w:adjustRightInd/>
                    <w:snapToGrid/>
                    <w:spacing w:beforeLines="0" w:line="240" w:lineRule="auto"/>
                    <w:rPr>
                      <w:rFonts w:ascii="Times New Roman" w:hAnsi="Times New Roman"/>
                      <w:color w:val="000000"/>
                      <w:szCs w:val="21"/>
                    </w:rPr>
                  </w:pPr>
                  <w:r>
                    <w:rPr>
                      <w:rFonts w:ascii="Times New Roman" w:hAnsi="Times New Roman"/>
                      <w:color w:val="000000"/>
                      <w:szCs w:val="21"/>
                    </w:rPr>
                    <w:t>否</w:t>
                  </w:r>
                </w:p>
              </w:tc>
            </w:tr>
          </w:tbl>
          <w:p w14:paraId="0233E604">
            <w:pPr>
              <w:spacing w:line="360" w:lineRule="auto"/>
              <w:ind w:firstLine="480" w:firstLineChars="200"/>
              <w:rPr>
                <w:color w:val="FF0000"/>
                <w:sz w:val="24"/>
              </w:rPr>
            </w:pPr>
            <w:r>
              <w:rPr>
                <w:rFonts w:hint="eastAsia"/>
                <w:color w:val="000000"/>
                <w:sz w:val="24"/>
              </w:rPr>
              <w:t>根据本项目上述废气污染物产生及排放情况、大气污染治理情况等内容，本项目污水处理站的规模较小，污水处理站设计为地埋式，污水处理设施设置在地下，同时建设单位拟在污水处理站周边加强绿化，种植花草、树木等，确保污水站周边污染物达到《医疗机构水污染物排放标准》</w:t>
            </w:r>
            <w:r>
              <w:rPr>
                <w:rFonts w:hint="eastAsia" w:ascii="宋体" w:hAnsi="宋体" w:cs="宋体"/>
                <w:color w:val="000000"/>
                <w:sz w:val="24"/>
              </w:rPr>
              <w:t>(</w:t>
            </w:r>
            <w:r>
              <w:rPr>
                <w:rFonts w:hint="eastAsia"/>
                <w:color w:val="000000"/>
                <w:sz w:val="24"/>
              </w:rPr>
              <w:t>GB18466-2005</w:t>
            </w:r>
            <w:r>
              <w:rPr>
                <w:rFonts w:hint="eastAsia" w:ascii="宋体" w:hAnsi="宋体" w:cs="宋体"/>
                <w:color w:val="000000"/>
                <w:sz w:val="24"/>
              </w:rPr>
              <w:t>)表</w:t>
            </w:r>
            <w:r>
              <w:rPr>
                <w:rFonts w:hint="eastAsia"/>
                <w:color w:val="000000"/>
                <w:sz w:val="24"/>
              </w:rPr>
              <w:t>3污水处理站周边大气污染物最高允许浓度的要求。</w:t>
            </w:r>
            <w:r>
              <w:rPr>
                <w:rFonts w:hint="eastAsia"/>
                <w:color w:val="auto"/>
                <w:sz w:val="24"/>
              </w:rPr>
              <w:t>建设单位</w:t>
            </w:r>
            <w:r>
              <w:rPr>
                <w:rFonts w:hint="eastAsia"/>
                <w:color w:val="auto"/>
                <w:sz w:val="24"/>
                <w:lang w:val="en-US" w:eastAsia="zh-CN"/>
              </w:rPr>
              <w:t>医疗废物暂存间废气主要采取定期清运、消毒、医疗垃圾采取密闭存储、加强通风等措施，</w:t>
            </w:r>
            <w:r>
              <w:rPr>
                <w:rFonts w:hint="eastAsia"/>
                <w:color w:val="auto"/>
                <w:sz w:val="24"/>
              </w:rPr>
              <w:t>确保废气达到《恶臭污染物排放标准》(GB14554-93)表1中二级新改扩建限值</w:t>
            </w:r>
            <w:r>
              <w:rPr>
                <w:rFonts w:hint="eastAsia"/>
                <w:color w:val="auto"/>
                <w:sz w:val="24"/>
                <w:lang w:val="en-US" w:eastAsia="zh-CN"/>
              </w:rPr>
              <w:t>；一般固废暂存废气通过生活垃圾“日产日清”，定期杀灭蚊蝇，喷洒生物除臭剂</w:t>
            </w:r>
            <w:r>
              <w:rPr>
                <w:rFonts w:hint="eastAsia"/>
                <w:color w:val="auto"/>
                <w:sz w:val="24"/>
              </w:rPr>
              <w:t>等，确保废气达到《恶臭污染物排放标准》(GB14554-93)表1中二级新改扩建限值</w:t>
            </w:r>
            <w:r>
              <w:rPr>
                <w:rFonts w:hint="eastAsia"/>
                <w:color w:val="auto"/>
                <w:sz w:val="24"/>
                <w:lang w:eastAsia="zh-CN"/>
              </w:rPr>
              <w:t>；</w:t>
            </w:r>
            <w:r>
              <w:rPr>
                <w:rFonts w:hint="eastAsia"/>
                <w:color w:val="auto"/>
                <w:sz w:val="24"/>
                <w:lang w:val="en-US" w:eastAsia="zh-CN"/>
              </w:rPr>
              <w:t>消毒水异味通过加强通风，</w:t>
            </w:r>
            <w:r>
              <w:rPr>
                <w:rFonts w:hint="eastAsia"/>
                <w:color w:val="auto"/>
                <w:sz w:val="24"/>
              </w:rPr>
              <w:t>废气达到《恶臭污染物排放标准》(GB14554-93)表1中二级新改扩建限值</w:t>
            </w:r>
            <w:r>
              <w:rPr>
                <w:rFonts w:hint="eastAsia"/>
                <w:color w:val="auto"/>
                <w:sz w:val="24"/>
                <w:lang w:eastAsia="zh-CN"/>
              </w:rPr>
              <w:t>；食堂油烟经烟罩收集至静电油烟净化装置处理后通过专用的排气筒排放，排放浓度能达到《饮食业油烟排放标准（试行）》（GB18483-2001）标准。</w:t>
            </w:r>
          </w:p>
          <w:p w14:paraId="1C0BE951">
            <w:pPr>
              <w:spacing w:line="360" w:lineRule="auto"/>
              <w:ind w:firstLine="480" w:firstLineChars="200"/>
              <w:rPr>
                <w:color w:val="000000"/>
                <w:sz w:val="24"/>
              </w:rPr>
            </w:pPr>
            <w:r>
              <w:rPr>
                <w:rFonts w:hint="eastAsia"/>
                <w:color w:val="000000"/>
                <w:sz w:val="24"/>
              </w:rPr>
              <w:t>建设单位严格落实环评提出的各项废气污染防治措施的前提下，项目废气对大气环境及院内以及周边敏感点影响是可接受的</w:t>
            </w:r>
            <w:r>
              <w:rPr>
                <w:color w:val="000000"/>
                <w:sz w:val="24"/>
              </w:rPr>
              <w:t>。</w:t>
            </w:r>
          </w:p>
          <w:p w14:paraId="1002954F">
            <w:pPr>
              <w:adjustRightInd w:val="0"/>
              <w:snapToGrid w:val="0"/>
              <w:spacing w:line="360" w:lineRule="auto"/>
              <w:rPr>
                <w:bCs/>
                <w:color w:val="000000"/>
                <w:spacing w:val="-10"/>
                <w:sz w:val="24"/>
                <w:szCs w:val="24"/>
              </w:rPr>
            </w:pPr>
            <w:r>
              <w:rPr>
                <w:b/>
                <w:color w:val="000000"/>
                <w:sz w:val="24"/>
                <w:szCs w:val="24"/>
              </w:rPr>
              <w:t>2 废水</w:t>
            </w:r>
          </w:p>
          <w:p w14:paraId="4E26A9C0">
            <w:pPr>
              <w:adjustRightInd w:val="0"/>
              <w:snapToGrid w:val="0"/>
              <w:spacing w:line="360" w:lineRule="auto"/>
              <w:rPr>
                <w:bCs/>
                <w:color w:val="000000"/>
                <w:spacing w:val="-10"/>
                <w:sz w:val="24"/>
                <w:szCs w:val="24"/>
              </w:rPr>
            </w:pPr>
            <w:r>
              <w:rPr>
                <w:b/>
                <w:color w:val="000000"/>
                <w:sz w:val="24"/>
                <w:szCs w:val="24"/>
              </w:rPr>
              <w:t>2.1 废水源强</w:t>
            </w:r>
          </w:p>
          <w:p w14:paraId="3C4B117A">
            <w:pPr>
              <w:spacing w:line="360" w:lineRule="auto"/>
              <w:ind w:firstLine="480" w:firstLineChars="200"/>
              <w:rPr>
                <w:color w:val="000000"/>
                <w:sz w:val="24"/>
                <w:szCs w:val="24"/>
              </w:rPr>
            </w:pPr>
            <w:r>
              <w:rPr>
                <w:rFonts w:hint="eastAsia"/>
                <w:color w:val="000000"/>
                <w:sz w:val="24"/>
                <w:szCs w:val="24"/>
              </w:rPr>
              <w:t>根据本项目工艺流程和产排污环节分析内容</w:t>
            </w:r>
            <w:r>
              <w:rPr>
                <w:rFonts w:hint="eastAsia"/>
                <w:color w:val="000000"/>
                <w:sz w:val="24"/>
                <w:szCs w:val="24"/>
                <w:highlight w:val="none"/>
              </w:rPr>
              <w:t>，本项目运营期废水主要是医</w:t>
            </w:r>
            <w:r>
              <w:rPr>
                <w:rFonts w:hint="eastAsia" w:cs="宋体"/>
                <w:kern w:val="2"/>
                <w:sz w:val="24"/>
                <w:szCs w:val="24"/>
                <w:highlight w:val="none"/>
                <w:lang w:val="en-US" w:eastAsia="zh-CN" w:bidi="ar-SA"/>
              </w:rPr>
              <w:t>疗</w:t>
            </w:r>
            <w:r>
              <w:rPr>
                <w:rFonts w:hint="eastAsia"/>
                <w:color w:val="000000"/>
                <w:sz w:val="24"/>
                <w:szCs w:val="24"/>
                <w:highlight w:val="none"/>
              </w:rPr>
              <w:t>活动产生的医疗废水，以及</w:t>
            </w:r>
            <w:r>
              <w:rPr>
                <w:rFonts w:hint="eastAsia"/>
                <w:color w:val="000000"/>
                <w:sz w:val="24"/>
                <w:szCs w:val="24"/>
                <w:highlight w:val="none"/>
                <w:lang w:val="en-US" w:eastAsia="zh-CN"/>
              </w:rPr>
              <w:t>养老用水、食堂、人员</w:t>
            </w:r>
            <w:r>
              <w:rPr>
                <w:rFonts w:hint="eastAsia"/>
                <w:color w:val="000000"/>
                <w:sz w:val="24"/>
                <w:szCs w:val="24"/>
                <w:highlight w:val="none"/>
              </w:rPr>
              <w:t>办公生活产生的生活污水。医疗废水主要来源于门诊、</w:t>
            </w:r>
            <w:r>
              <w:rPr>
                <w:rFonts w:hint="eastAsia"/>
                <w:color w:val="000000"/>
                <w:sz w:val="24"/>
                <w:szCs w:val="24"/>
                <w:highlight w:val="none"/>
                <w:lang w:val="en-US" w:eastAsia="zh-CN"/>
              </w:rPr>
              <w:t>医</w:t>
            </w:r>
            <w:r>
              <w:rPr>
                <w:rFonts w:hint="eastAsia" w:cs="宋体"/>
                <w:kern w:val="2"/>
                <w:sz w:val="24"/>
                <w:szCs w:val="24"/>
                <w:highlight w:val="none"/>
                <w:lang w:val="en-US" w:eastAsia="zh-CN" w:bidi="ar-SA"/>
              </w:rPr>
              <w:t>疗</w:t>
            </w:r>
            <w:r>
              <w:rPr>
                <w:rFonts w:hint="eastAsia"/>
                <w:color w:val="000000"/>
                <w:sz w:val="24"/>
                <w:szCs w:val="24"/>
                <w:highlight w:val="none"/>
              </w:rPr>
              <w:t>病房、治疗室、检验科等医疗科室；生活污水主要来源于</w:t>
            </w:r>
            <w:r>
              <w:rPr>
                <w:rFonts w:hint="eastAsia"/>
                <w:color w:val="000000"/>
                <w:sz w:val="24"/>
                <w:szCs w:val="24"/>
                <w:highlight w:val="none"/>
                <w:lang w:val="en-US" w:eastAsia="zh-CN"/>
              </w:rPr>
              <w:t>养老用水、食堂、</w:t>
            </w:r>
            <w:r>
              <w:rPr>
                <w:rFonts w:hint="eastAsia"/>
                <w:color w:val="000000"/>
                <w:sz w:val="24"/>
                <w:szCs w:val="24"/>
                <w:highlight w:val="none"/>
              </w:rPr>
              <w:t>工作人员</w:t>
            </w:r>
            <w:r>
              <w:rPr>
                <w:rFonts w:hint="eastAsia"/>
                <w:color w:val="000000"/>
                <w:sz w:val="24"/>
                <w:szCs w:val="24"/>
              </w:rPr>
              <w:t>。</w:t>
            </w:r>
          </w:p>
          <w:p w14:paraId="26EA5049">
            <w:pPr>
              <w:spacing w:line="360" w:lineRule="auto"/>
              <w:ind w:firstLine="482" w:firstLineChars="200"/>
              <w:rPr>
                <w:b/>
                <w:bCs/>
                <w:color w:val="000000"/>
                <w:sz w:val="24"/>
                <w:szCs w:val="24"/>
                <w:u w:val="single"/>
              </w:rPr>
            </w:pPr>
            <w:r>
              <w:rPr>
                <w:rFonts w:hint="eastAsia"/>
                <w:b/>
                <w:bCs/>
                <w:color w:val="000000"/>
                <w:sz w:val="24"/>
                <w:szCs w:val="24"/>
                <w:u w:val="none"/>
                <w:lang w:val="en-US" w:eastAsia="zh-CN"/>
              </w:rPr>
              <w:t>医疗</w:t>
            </w:r>
            <w:r>
              <w:rPr>
                <w:b/>
                <w:bCs/>
                <w:color w:val="000000"/>
                <w:sz w:val="24"/>
                <w:szCs w:val="24"/>
                <w:u w:val="none"/>
              </w:rPr>
              <w:t>废水</w:t>
            </w:r>
          </w:p>
          <w:p w14:paraId="254ABA41">
            <w:pPr>
              <w:adjustRightInd w:val="0"/>
              <w:snapToGrid w:val="0"/>
              <w:spacing w:line="360" w:lineRule="auto"/>
              <w:ind w:firstLine="480" w:firstLineChars="200"/>
              <w:rPr>
                <w:rFonts w:hint="eastAsia"/>
                <w:bCs/>
                <w:sz w:val="24"/>
                <w:szCs w:val="28"/>
                <w:u w:val="single"/>
                <w:lang w:eastAsia="zh-CN"/>
              </w:rPr>
            </w:pPr>
            <w:r>
              <w:rPr>
                <w:rFonts w:hint="eastAsia"/>
                <w:sz w:val="24"/>
                <w:szCs w:val="28"/>
                <w:lang w:val="en-US" w:eastAsia="zh-CN"/>
              </w:rPr>
              <w:t>《</w:t>
            </w:r>
            <w:r>
              <w:rPr>
                <w:rFonts w:hint="eastAsia"/>
                <w:sz w:val="24"/>
                <w:szCs w:val="28"/>
                <w:u w:val="single"/>
                <w:lang w:val="en-US" w:eastAsia="zh-CN"/>
              </w:rPr>
              <w:t>用水定额 第3部分：生活、服务业及建筑业》（DB43/T388.3-2025）中“用水定额第3部分：生活、服务业及建筑业”“表4公共事业用水定额”二级及以下医院住院部用水定额先进值400L/（床·d）、通用值760L/（床·d），本项目取中间值580L/（床·d），根据建设单位提供资料本项目拟建医疗床位100张，本项目医疗人员按100人计，则医疗用水量为58m</w:t>
            </w:r>
            <w:r>
              <w:rPr>
                <w:rFonts w:hint="eastAsia"/>
                <w:sz w:val="24"/>
                <w:szCs w:val="28"/>
                <w:u w:val="single"/>
                <w:vertAlign w:val="superscript"/>
                <w:lang w:val="en-US" w:eastAsia="zh-CN"/>
              </w:rPr>
              <w:t>3</w:t>
            </w:r>
            <w:r>
              <w:rPr>
                <w:rFonts w:hint="eastAsia"/>
                <w:sz w:val="24"/>
                <w:szCs w:val="28"/>
                <w:u w:val="single"/>
                <w:lang w:val="en-US" w:eastAsia="zh-CN"/>
              </w:rPr>
              <w:t>/d（21170</w:t>
            </w:r>
            <w:r>
              <w:rPr>
                <w:rFonts w:hint="eastAsia"/>
                <w:bCs/>
                <w:sz w:val="24"/>
                <w:szCs w:val="28"/>
                <w:u w:val="single"/>
              </w:rPr>
              <w:t>m</w:t>
            </w:r>
            <w:r>
              <w:rPr>
                <w:rFonts w:hint="eastAsia"/>
                <w:bCs/>
                <w:sz w:val="24"/>
                <w:szCs w:val="28"/>
                <w:u w:val="single"/>
                <w:vertAlign w:val="superscript"/>
                <w:lang w:val="en-US" w:eastAsia="zh-CN"/>
              </w:rPr>
              <w:t>3</w:t>
            </w:r>
            <w:r>
              <w:rPr>
                <w:rFonts w:hint="eastAsia"/>
                <w:bCs/>
                <w:sz w:val="24"/>
                <w:szCs w:val="28"/>
                <w:u w:val="single"/>
              </w:rPr>
              <w:t>/a</w:t>
            </w:r>
            <w:r>
              <w:rPr>
                <w:rFonts w:hint="eastAsia"/>
                <w:sz w:val="24"/>
                <w:szCs w:val="28"/>
                <w:u w:val="single"/>
                <w:lang w:val="en-US" w:eastAsia="zh-CN"/>
              </w:rPr>
              <w:t>），</w:t>
            </w:r>
            <w:r>
              <w:rPr>
                <w:rFonts w:hint="eastAsia"/>
                <w:bCs/>
                <w:color w:val="000000"/>
                <w:sz w:val="24"/>
                <w:szCs w:val="28"/>
                <w:u w:val="single"/>
              </w:rPr>
              <w:t>污水排放系数按0.8计，则</w:t>
            </w:r>
            <w:r>
              <w:rPr>
                <w:rFonts w:hint="eastAsia"/>
                <w:sz w:val="24"/>
                <w:szCs w:val="28"/>
                <w:u w:val="single"/>
                <w:lang w:val="en-US" w:eastAsia="zh-CN"/>
              </w:rPr>
              <w:t>医疗</w:t>
            </w:r>
            <w:r>
              <w:rPr>
                <w:rFonts w:hint="eastAsia"/>
                <w:bCs/>
                <w:color w:val="000000"/>
                <w:sz w:val="24"/>
                <w:szCs w:val="28"/>
                <w:u w:val="single"/>
                <w:lang w:val="en-US" w:eastAsia="zh-CN"/>
              </w:rPr>
              <w:t>废水量为46.4</w:t>
            </w:r>
            <w:r>
              <w:rPr>
                <w:rFonts w:hint="eastAsia"/>
                <w:sz w:val="24"/>
                <w:szCs w:val="28"/>
                <w:u w:val="single"/>
                <w:lang w:val="en-US" w:eastAsia="zh-CN"/>
              </w:rPr>
              <w:t>m</w:t>
            </w:r>
            <w:r>
              <w:rPr>
                <w:rFonts w:hint="eastAsia"/>
                <w:sz w:val="24"/>
                <w:szCs w:val="28"/>
                <w:u w:val="single"/>
                <w:vertAlign w:val="superscript"/>
                <w:lang w:val="en-US" w:eastAsia="zh-CN"/>
              </w:rPr>
              <w:t>3</w:t>
            </w:r>
            <w:r>
              <w:rPr>
                <w:rFonts w:hint="eastAsia"/>
                <w:sz w:val="24"/>
                <w:szCs w:val="28"/>
                <w:u w:val="single"/>
                <w:lang w:val="en-US" w:eastAsia="zh-CN"/>
              </w:rPr>
              <w:t>/d</w:t>
            </w:r>
            <w:r>
              <w:rPr>
                <w:rFonts w:hint="eastAsia"/>
                <w:bCs/>
                <w:color w:val="000000"/>
                <w:sz w:val="24"/>
                <w:szCs w:val="28"/>
                <w:u w:val="single"/>
                <w:lang w:val="en-US" w:eastAsia="zh-CN"/>
              </w:rPr>
              <w:t>（16936）</w:t>
            </w:r>
            <w:r>
              <w:rPr>
                <w:rFonts w:hint="eastAsia"/>
                <w:bCs/>
                <w:sz w:val="24"/>
                <w:szCs w:val="28"/>
                <w:u w:val="single"/>
              </w:rPr>
              <w:t>m</w:t>
            </w:r>
            <w:r>
              <w:rPr>
                <w:rFonts w:hint="eastAsia"/>
                <w:bCs/>
                <w:sz w:val="24"/>
                <w:szCs w:val="28"/>
                <w:u w:val="single"/>
                <w:vertAlign w:val="superscript"/>
                <w:lang w:val="en-US" w:eastAsia="zh-CN"/>
              </w:rPr>
              <w:t>3</w:t>
            </w:r>
            <w:r>
              <w:rPr>
                <w:rFonts w:hint="eastAsia"/>
                <w:bCs/>
                <w:sz w:val="24"/>
                <w:szCs w:val="28"/>
                <w:u w:val="single"/>
              </w:rPr>
              <w:t>/a</w:t>
            </w:r>
            <w:r>
              <w:rPr>
                <w:rFonts w:hint="eastAsia"/>
                <w:bCs/>
                <w:sz w:val="24"/>
                <w:szCs w:val="28"/>
                <w:u w:val="single"/>
                <w:lang w:eastAsia="zh-CN"/>
              </w:rPr>
              <w:t>。</w:t>
            </w:r>
          </w:p>
          <w:p w14:paraId="11395309">
            <w:pPr>
              <w:adjustRightInd w:val="0"/>
              <w:snapToGrid w:val="0"/>
              <w:spacing w:line="360" w:lineRule="auto"/>
              <w:ind w:firstLine="480" w:firstLineChars="200"/>
              <w:rPr>
                <w:bCs/>
                <w:sz w:val="24"/>
                <w:szCs w:val="24"/>
                <w:u w:val="single"/>
              </w:rPr>
            </w:pPr>
            <w:r>
              <w:rPr>
                <w:rFonts w:hint="eastAsia"/>
                <w:bCs/>
                <w:sz w:val="24"/>
                <w:szCs w:val="24"/>
                <w:u w:val="single"/>
              </w:rPr>
              <w:t>参照《医院污水处理工程技术规范》</w:t>
            </w:r>
            <w:r>
              <w:rPr>
                <w:rFonts w:hint="eastAsia" w:ascii="宋体" w:hAnsi="宋体" w:cs="宋体"/>
                <w:bCs/>
                <w:sz w:val="24"/>
                <w:szCs w:val="24"/>
                <w:u w:val="single"/>
              </w:rPr>
              <w:t>(</w:t>
            </w:r>
            <w:r>
              <w:rPr>
                <w:rFonts w:hint="eastAsia"/>
                <w:bCs/>
                <w:sz w:val="24"/>
                <w:szCs w:val="24"/>
                <w:u w:val="single"/>
              </w:rPr>
              <w:t>HJ2029-2013</w:t>
            </w:r>
            <w:r>
              <w:rPr>
                <w:rFonts w:hint="eastAsia" w:ascii="宋体" w:hAnsi="宋体" w:cs="宋体"/>
                <w:bCs/>
                <w:sz w:val="24"/>
                <w:szCs w:val="24"/>
                <w:u w:val="single"/>
              </w:rPr>
              <w:t>)表1</w:t>
            </w:r>
            <w:r>
              <w:rPr>
                <w:rFonts w:hint="eastAsia"/>
                <w:bCs/>
                <w:sz w:val="24"/>
                <w:szCs w:val="24"/>
                <w:u w:val="single"/>
              </w:rPr>
              <w:t>中医院污水水质指标参考数据，项目</w:t>
            </w:r>
            <w:r>
              <w:rPr>
                <w:rFonts w:hint="eastAsia"/>
                <w:sz w:val="24"/>
                <w:szCs w:val="28"/>
                <w:u w:val="single"/>
                <w:lang w:val="en-US" w:eastAsia="zh-CN"/>
              </w:rPr>
              <w:t>医疗</w:t>
            </w:r>
            <w:r>
              <w:rPr>
                <w:rFonts w:hint="eastAsia"/>
                <w:bCs/>
                <w:sz w:val="24"/>
                <w:szCs w:val="24"/>
                <w:u w:val="single"/>
                <w:lang w:val="en-US" w:eastAsia="zh-CN"/>
              </w:rPr>
              <w:t>废水</w:t>
            </w:r>
            <w:r>
              <w:rPr>
                <w:rFonts w:hint="eastAsia"/>
                <w:bCs/>
                <w:sz w:val="24"/>
                <w:szCs w:val="24"/>
                <w:u w:val="single"/>
              </w:rPr>
              <w:t xml:space="preserve">产生浓度为：COD </w:t>
            </w:r>
            <w:r>
              <w:rPr>
                <w:rFonts w:hint="eastAsia"/>
                <w:bCs/>
                <w:sz w:val="24"/>
                <w:szCs w:val="24"/>
                <w:u w:val="single"/>
                <w:lang w:val="en-US" w:eastAsia="zh-CN"/>
              </w:rPr>
              <w:t>30</w:t>
            </w:r>
            <w:r>
              <w:rPr>
                <w:rFonts w:hint="eastAsia"/>
                <w:bCs/>
                <w:sz w:val="24"/>
                <w:szCs w:val="24"/>
                <w:u w:val="single"/>
              </w:rPr>
              <w:t>0mg/L、BOD</w:t>
            </w:r>
            <w:r>
              <w:rPr>
                <w:rFonts w:hint="eastAsia"/>
                <w:bCs/>
                <w:sz w:val="24"/>
                <w:szCs w:val="24"/>
                <w:u w:val="single"/>
                <w:vertAlign w:val="subscript"/>
              </w:rPr>
              <w:t>5</w:t>
            </w:r>
            <w:r>
              <w:rPr>
                <w:rFonts w:hint="eastAsia"/>
                <w:bCs/>
                <w:sz w:val="24"/>
                <w:szCs w:val="24"/>
                <w:u w:val="single"/>
              </w:rPr>
              <w:t xml:space="preserve"> 1</w:t>
            </w:r>
            <w:r>
              <w:rPr>
                <w:rFonts w:hint="eastAsia"/>
                <w:bCs/>
                <w:sz w:val="24"/>
                <w:szCs w:val="24"/>
                <w:u w:val="single"/>
                <w:lang w:val="en-US" w:eastAsia="zh-CN"/>
              </w:rPr>
              <w:t>5</w:t>
            </w:r>
            <w:r>
              <w:rPr>
                <w:rFonts w:hint="eastAsia"/>
                <w:bCs/>
                <w:sz w:val="24"/>
                <w:szCs w:val="24"/>
                <w:u w:val="single"/>
              </w:rPr>
              <w:t>0mg/L、氨氮30mg/L、SS 80mg/L、粪大肠菌群1.6×10</w:t>
            </w:r>
            <w:r>
              <w:rPr>
                <w:rFonts w:hint="eastAsia"/>
                <w:bCs/>
                <w:sz w:val="24"/>
                <w:szCs w:val="24"/>
                <w:u w:val="single"/>
                <w:vertAlign w:val="superscript"/>
              </w:rPr>
              <w:t>8</w:t>
            </w:r>
            <w:r>
              <w:rPr>
                <w:rFonts w:hint="eastAsia"/>
                <w:bCs/>
                <w:sz w:val="24"/>
                <w:szCs w:val="24"/>
                <w:u w:val="single"/>
              </w:rPr>
              <w:t>个/L；因参照《医院污水处理工程技术规范》</w:t>
            </w:r>
            <w:r>
              <w:rPr>
                <w:rFonts w:hint="eastAsia" w:ascii="宋体" w:hAnsi="宋体" w:cs="宋体"/>
                <w:bCs/>
                <w:sz w:val="24"/>
                <w:szCs w:val="24"/>
                <w:u w:val="single"/>
              </w:rPr>
              <w:t>(</w:t>
            </w:r>
            <w:r>
              <w:rPr>
                <w:rFonts w:hint="eastAsia"/>
                <w:bCs/>
                <w:sz w:val="24"/>
                <w:szCs w:val="24"/>
                <w:u w:val="single"/>
              </w:rPr>
              <w:t>HJ2029-2013</w:t>
            </w:r>
            <w:r>
              <w:rPr>
                <w:rFonts w:hint="eastAsia" w:ascii="宋体" w:hAnsi="宋体" w:cs="宋体"/>
                <w:bCs/>
                <w:sz w:val="24"/>
                <w:szCs w:val="24"/>
                <w:u w:val="single"/>
              </w:rPr>
              <w:t>)表1</w:t>
            </w:r>
            <w:r>
              <w:rPr>
                <w:rFonts w:hint="eastAsia"/>
                <w:bCs/>
                <w:sz w:val="24"/>
                <w:szCs w:val="24"/>
                <w:u w:val="single"/>
              </w:rPr>
              <w:t>中医院污水水质指标参考数据中</w:t>
            </w:r>
            <w:r>
              <w:rPr>
                <w:rFonts w:hint="eastAsia"/>
                <w:bCs/>
                <w:sz w:val="24"/>
                <w:szCs w:val="24"/>
                <w:u w:val="single"/>
                <w:lang w:val="en-US" w:eastAsia="zh-CN"/>
              </w:rPr>
              <w:t>无</w:t>
            </w:r>
            <w:r>
              <w:rPr>
                <w:rFonts w:hint="eastAsia"/>
                <w:bCs/>
                <w:sz w:val="24"/>
                <w:szCs w:val="24"/>
                <w:u w:val="single"/>
              </w:rPr>
              <w:t>总磷、总氮浓度参考数据，本项目参考同类型项目，总磷浓度为5 mg/L、总氮浓度为60 mg/L。</w:t>
            </w:r>
          </w:p>
          <w:p w14:paraId="35D0A1C6">
            <w:pPr>
              <w:pStyle w:val="445"/>
              <w:ind w:firstLine="480"/>
              <w:rPr>
                <w:rFonts w:hint="eastAsia"/>
                <w:b/>
                <w:bCs w:val="0"/>
                <w:lang w:val="en-US" w:eastAsia="zh-CN"/>
              </w:rPr>
            </w:pPr>
            <w:r>
              <w:rPr>
                <w:rFonts w:hint="eastAsia"/>
                <w:b/>
                <w:bCs w:val="0"/>
                <w:lang w:val="en-US" w:eastAsia="zh-CN"/>
              </w:rPr>
              <w:t>门诊废水</w:t>
            </w:r>
          </w:p>
          <w:p w14:paraId="34F8CF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宋体"/>
                <w:kern w:val="2"/>
                <w:sz w:val="24"/>
                <w:szCs w:val="24"/>
                <w:lang w:val="en-US" w:eastAsia="zh-CN" w:bidi="ar-SA"/>
              </w:rPr>
            </w:pPr>
            <w:r>
              <w:rPr>
                <w:rFonts w:hint="eastAsia" w:ascii="Times New Roman" w:hAnsi="Times New Roman" w:eastAsia="宋体" w:cs="宋体"/>
                <w:kern w:val="2"/>
                <w:sz w:val="24"/>
                <w:szCs w:val="24"/>
                <w:lang w:val="en-US" w:eastAsia="zh-CN" w:bidi="ar-SA"/>
              </w:rPr>
              <w:t>参考《综合医院建筑设计标准》（GB51039-2014）（2024年修订版），门诊用水量为10~15L/人·次，本项目取15L/人·次，</w:t>
            </w:r>
            <w:r>
              <w:rPr>
                <w:rFonts w:hint="eastAsia" w:cs="宋体"/>
                <w:kern w:val="2"/>
                <w:sz w:val="24"/>
                <w:szCs w:val="24"/>
                <w:lang w:val="en-US" w:eastAsia="zh-CN" w:bidi="ar-SA"/>
              </w:rPr>
              <w:t>根据建设单位提供资料，每日接纳约30名患者，则门诊医疗活动用水量为0.45m</w:t>
            </w:r>
            <w:r>
              <w:rPr>
                <w:rFonts w:hint="eastAsia" w:cs="宋体"/>
                <w:kern w:val="2"/>
                <w:sz w:val="24"/>
                <w:szCs w:val="24"/>
                <w:vertAlign w:val="superscript"/>
                <w:lang w:val="en-US" w:eastAsia="zh-CN" w:bidi="ar-SA"/>
              </w:rPr>
              <w:t>3</w:t>
            </w:r>
            <w:r>
              <w:rPr>
                <w:rFonts w:hint="eastAsia" w:cs="宋体"/>
                <w:kern w:val="2"/>
                <w:sz w:val="24"/>
                <w:szCs w:val="24"/>
                <w:lang w:val="en-US" w:eastAsia="zh-CN" w:bidi="ar-SA"/>
              </w:rPr>
              <w:t>/d（164.25m</w:t>
            </w:r>
            <w:r>
              <w:rPr>
                <w:rFonts w:hint="eastAsia" w:cs="宋体"/>
                <w:kern w:val="2"/>
                <w:sz w:val="24"/>
                <w:szCs w:val="24"/>
                <w:vertAlign w:val="superscript"/>
                <w:lang w:val="en-US" w:eastAsia="zh-CN" w:bidi="ar-SA"/>
              </w:rPr>
              <w:t>3</w:t>
            </w:r>
            <w:r>
              <w:rPr>
                <w:rFonts w:hint="eastAsia" w:cs="宋体"/>
                <w:kern w:val="2"/>
                <w:sz w:val="24"/>
                <w:szCs w:val="24"/>
                <w:lang w:val="en-US" w:eastAsia="zh-CN" w:bidi="ar-SA"/>
              </w:rPr>
              <w:t>/a），污水排放系数按0.8计，则门诊废水量为0.36m</w:t>
            </w:r>
            <w:r>
              <w:rPr>
                <w:rFonts w:hint="eastAsia" w:cs="宋体"/>
                <w:kern w:val="2"/>
                <w:sz w:val="24"/>
                <w:szCs w:val="24"/>
                <w:vertAlign w:val="superscript"/>
                <w:lang w:val="en-US" w:eastAsia="zh-CN" w:bidi="ar-SA"/>
              </w:rPr>
              <w:t>3</w:t>
            </w:r>
            <w:r>
              <w:rPr>
                <w:rFonts w:hint="eastAsia" w:cs="宋体"/>
                <w:kern w:val="2"/>
                <w:sz w:val="24"/>
                <w:szCs w:val="24"/>
                <w:lang w:val="en-US" w:eastAsia="zh-CN" w:bidi="ar-SA"/>
              </w:rPr>
              <w:t>/d(131.4m</w:t>
            </w:r>
            <w:r>
              <w:rPr>
                <w:rFonts w:hint="eastAsia" w:cs="宋体"/>
                <w:kern w:val="2"/>
                <w:sz w:val="24"/>
                <w:szCs w:val="24"/>
                <w:vertAlign w:val="superscript"/>
                <w:lang w:val="en-US" w:eastAsia="zh-CN" w:bidi="ar-SA"/>
              </w:rPr>
              <w:t>3</w:t>
            </w:r>
            <w:r>
              <w:rPr>
                <w:rFonts w:hint="eastAsia" w:cs="宋体"/>
                <w:kern w:val="2"/>
                <w:sz w:val="24"/>
                <w:szCs w:val="24"/>
                <w:lang w:val="en-US" w:eastAsia="zh-CN" w:bidi="ar-SA"/>
              </w:rPr>
              <w:t>/a)。</w:t>
            </w:r>
          </w:p>
          <w:p w14:paraId="344456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bCs/>
                <w:u w:val="none"/>
                <w:lang w:val="en-US" w:eastAsia="zh-CN"/>
              </w:rPr>
            </w:pPr>
            <w:r>
              <w:rPr>
                <w:rFonts w:hint="eastAsia"/>
                <w:bCs/>
                <w:sz w:val="24"/>
                <w:szCs w:val="24"/>
                <w:u w:val="none"/>
              </w:rPr>
              <w:t>参照《医院污水处理工程技术规范》</w:t>
            </w:r>
            <w:r>
              <w:rPr>
                <w:rFonts w:hint="eastAsia" w:ascii="宋体" w:hAnsi="宋体" w:cs="宋体"/>
                <w:bCs/>
                <w:sz w:val="24"/>
                <w:szCs w:val="24"/>
                <w:u w:val="none"/>
              </w:rPr>
              <w:t>(</w:t>
            </w:r>
            <w:r>
              <w:rPr>
                <w:rFonts w:hint="eastAsia"/>
                <w:bCs/>
                <w:sz w:val="24"/>
                <w:szCs w:val="24"/>
                <w:u w:val="none"/>
              </w:rPr>
              <w:t>HJ2029-2013</w:t>
            </w:r>
            <w:r>
              <w:rPr>
                <w:rFonts w:hint="eastAsia" w:ascii="宋体" w:hAnsi="宋体" w:cs="宋体"/>
                <w:bCs/>
                <w:sz w:val="24"/>
                <w:szCs w:val="24"/>
                <w:u w:val="none"/>
              </w:rPr>
              <w:t>)表</w:t>
            </w:r>
            <w:r>
              <w:rPr>
                <w:rFonts w:hint="default" w:ascii="Times New Roman" w:hAnsi="Times New Roman" w:eastAsia="宋体" w:cs="Times New Roman"/>
                <w:bCs/>
                <w:sz w:val="24"/>
                <w:szCs w:val="24"/>
                <w:u w:val="none"/>
              </w:rPr>
              <w:t>1</w:t>
            </w:r>
            <w:r>
              <w:rPr>
                <w:rFonts w:hint="eastAsia"/>
                <w:bCs/>
                <w:sz w:val="24"/>
                <w:szCs w:val="24"/>
                <w:u w:val="none"/>
              </w:rPr>
              <w:t>中医院污水水质指标参考数据，项目门诊废水各污染物因子产生浓度为：COD 2</w:t>
            </w:r>
            <w:r>
              <w:rPr>
                <w:rFonts w:hint="eastAsia"/>
                <w:bCs/>
                <w:sz w:val="24"/>
                <w:szCs w:val="24"/>
                <w:u w:val="none"/>
                <w:lang w:val="en-US" w:eastAsia="zh-CN"/>
              </w:rPr>
              <w:t>2</w:t>
            </w:r>
            <w:r>
              <w:rPr>
                <w:rFonts w:hint="eastAsia"/>
                <w:bCs/>
                <w:sz w:val="24"/>
                <w:szCs w:val="24"/>
                <w:u w:val="none"/>
              </w:rPr>
              <w:t>0mg/L、BOD</w:t>
            </w:r>
            <w:r>
              <w:rPr>
                <w:rFonts w:hint="eastAsia"/>
                <w:bCs/>
                <w:sz w:val="24"/>
                <w:szCs w:val="24"/>
                <w:u w:val="none"/>
                <w:vertAlign w:val="subscript"/>
              </w:rPr>
              <w:t>5</w:t>
            </w:r>
            <w:r>
              <w:rPr>
                <w:rFonts w:hint="eastAsia"/>
                <w:bCs/>
                <w:sz w:val="24"/>
                <w:szCs w:val="24"/>
                <w:u w:val="none"/>
              </w:rPr>
              <w:t xml:space="preserve"> 100mg/L、氨氮30mg/L、SS 80mg/L、粪大肠菌群1.6×10</w:t>
            </w:r>
            <w:r>
              <w:rPr>
                <w:rFonts w:hint="eastAsia"/>
                <w:bCs/>
                <w:sz w:val="24"/>
                <w:szCs w:val="24"/>
                <w:u w:val="none"/>
                <w:vertAlign w:val="superscript"/>
              </w:rPr>
              <w:t>8</w:t>
            </w:r>
            <w:r>
              <w:rPr>
                <w:rFonts w:hint="eastAsia"/>
                <w:bCs/>
                <w:sz w:val="24"/>
                <w:szCs w:val="24"/>
                <w:u w:val="none"/>
              </w:rPr>
              <w:t>个/L；因参照《医院污水处理工程技术规范》</w:t>
            </w:r>
            <w:r>
              <w:rPr>
                <w:rFonts w:hint="eastAsia" w:ascii="宋体" w:hAnsi="宋体" w:cs="宋体"/>
                <w:bCs/>
                <w:sz w:val="24"/>
                <w:szCs w:val="24"/>
                <w:u w:val="none"/>
              </w:rPr>
              <w:t>(</w:t>
            </w:r>
            <w:r>
              <w:rPr>
                <w:rFonts w:hint="eastAsia"/>
                <w:bCs/>
                <w:sz w:val="24"/>
                <w:szCs w:val="24"/>
                <w:u w:val="none"/>
              </w:rPr>
              <w:t>HJ2029-2013</w:t>
            </w:r>
            <w:r>
              <w:rPr>
                <w:rFonts w:hint="eastAsia" w:ascii="宋体" w:hAnsi="宋体" w:cs="宋体"/>
                <w:bCs/>
                <w:sz w:val="24"/>
                <w:szCs w:val="24"/>
                <w:u w:val="none"/>
              </w:rPr>
              <w:t>)表1</w:t>
            </w:r>
            <w:r>
              <w:rPr>
                <w:rFonts w:hint="eastAsia"/>
                <w:bCs/>
                <w:sz w:val="24"/>
                <w:szCs w:val="24"/>
                <w:u w:val="none"/>
              </w:rPr>
              <w:t>医院污水水质指标参考数据中</w:t>
            </w:r>
            <w:r>
              <w:rPr>
                <w:rFonts w:hint="eastAsia"/>
                <w:bCs/>
                <w:sz w:val="24"/>
                <w:szCs w:val="24"/>
                <w:u w:val="none"/>
                <w:lang w:val="en-US" w:eastAsia="zh-CN"/>
              </w:rPr>
              <w:t>无</w:t>
            </w:r>
            <w:r>
              <w:rPr>
                <w:rFonts w:hint="eastAsia"/>
                <w:bCs/>
                <w:sz w:val="24"/>
                <w:szCs w:val="24"/>
                <w:u w:val="none"/>
              </w:rPr>
              <w:t>总磷、总氮浓度参考数据，本项目参考同类型项目，总磷浓度为3 mg/L、总氮浓度为40 mg/L。</w:t>
            </w:r>
          </w:p>
          <w:p w14:paraId="134FDD07">
            <w:pPr>
              <w:pStyle w:val="445"/>
              <w:ind w:firstLine="480"/>
              <w:rPr>
                <w:b/>
                <w:bCs w:val="0"/>
              </w:rPr>
            </w:pPr>
            <w:r>
              <w:rPr>
                <w:rFonts w:hint="eastAsia"/>
                <w:b/>
                <w:bCs w:val="0"/>
              </w:rPr>
              <w:t>检验</w:t>
            </w:r>
            <w:r>
              <w:rPr>
                <w:rFonts w:hint="eastAsia"/>
                <w:b/>
                <w:bCs w:val="0"/>
                <w:lang w:val="en-US" w:eastAsia="zh-CN"/>
              </w:rPr>
              <w:t>废</w:t>
            </w:r>
            <w:r>
              <w:rPr>
                <w:rFonts w:hint="eastAsia"/>
                <w:b/>
                <w:bCs w:val="0"/>
              </w:rPr>
              <w:t>水</w:t>
            </w:r>
          </w:p>
          <w:p w14:paraId="75CB7B0B">
            <w:pPr>
              <w:pStyle w:val="445"/>
              <w:ind w:firstLine="480"/>
              <w:rPr>
                <w:bCs/>
                <w:color w:val="000000"/>
              </w:rPr>
            </w:pPr>
            <w:r>
              <w:t>根据建设</w:t>
            </w:r>
            <w:r>
              <w:rPr>
                <w:rFonts w:hint="eastAsia"/>
                <w:lang w:val="en-US" w:eastAsia="zh-CN"/>
              </w:rPr>
              <w:t>单位</w:t>
            </w:r>
            <w:r>
              <w:t>提供资料，</w:t>
            </w:r>
            <w:r>
              <w:rPr>
                <w:rFonts w:hint="eastAsia"/>
              </w:rPr>
              <w:t>项目医疗检验使用检验用试剂盒，在医疗检验过程中不使用含汞试剂、含镉的医疗器械清洗液，医疗活动中不涉及含铅、铬等重金属的药物或治疗手段，因此项目废水不涉及重金属废水。仅有检验设备需进行一人一检一洗，</w:t>
            </w:r>
            <w:r>
              <w:rPr>
                <w:bCs/>
              </w:rPr>
              <w:t>参照</w:t>
            </w:r>
            <w:r>
              <w:rPr>
                <w:rFonts w:hint="eastAsia"/>
                <w:bCs/>
              </w:rPr>
              <w:t>《</w:t>
            </w:r>
            <w:r>
              <w:rPr>
                <w:bCs/>
              </w:rPr>
              <w:t>综合医院建筑设计规范</w:t>
            </w:r>
            <w:r>
              <w:rPr>
                <w:rFonts w:hint="eastAsia"/>
                <w:bCs/>
              </w:rPr>
              <w:t>》</w:t>
            </w:r>
            <w:r>
              <w:rPr>
                <w:rFonts w:ascii="宋体" w:hAnsi="宋体"/>
                <w:bCs/>
              </w:rPr>
              <w:t>(</w:t>
            </w:r>
            <w:r>
              <w:rPr>
                <w:bCs/>
              </w:rPr>
              <w:t>GB51039-2014</w:t>
            </w:r>
            <w:r>
              <w:rPr>
                <w:rFonts w:ascii="宋体" w:hAnsi="宋体"/>
                <w:bCs/>
              </w:rPr>
              <w:t>)</w:t>
            </w:r>
            <w:r>
              <w:rPr>
                <w:bCs/>
              </w:rPr>
              <w:t>，项目检验科用水定额取30L/人</w:t>
            </w:r>
            <w:r>
              <w:rPr>
                <w:rFonts w:hint="eastAsia"/>
                <w:bCs/>
              </w:rPr>
              <w:t>·</w:t>
            </w:r>
            <w:r>
              <w:rPr>
                <w:bCs/>
              </w:rPr>
              <w:t>d，</w:t>
            </w:r>
            <w:r>
              <w:rPr>
                <w:rFonts w:hint="eastAsia"/>
                <w:bCs/>
              </w:rPr>
              <w:t>但本项目仅全自动分析仪进行清洗，</w:t>
            </w:r>
            <w:r>
              <w:rPr>
                <w:rFonts w:hint="eastAsia"/>
                <w:bCs/>
                <w:highlight w:val="none"/>
              </w:rPr>
              <w:t>因此项目检验科用水定额区</w:t>
            </w:r>
            <w:r>
              <w:rPr>
                <w:rFonts w:hint="eastAsia"/>
                <w:bCs/>
                <w:highlight w:val="none"/>
                <w:lang w:val="en-US" w:eastAsia="zh-CN"/>
              </w:rPr>
              <w:t>取15</w:t>
            </w:r>
            <w:r>
              <w:rPr>
                <w:bCs/>
              </w:rPr>
              <w:t>L</w:t>
            </w:r>
            <w:r>
              <w:rPr>
                <w:bCs/>
                <w:highlight w:val="none"/>
              </w:rPr>
              <w:t>/人</w:t>
            </w:r>
            <w:r>
              <w:rPr>
                <w:rFonts w:hint="eastAsia"/>
                <w:bCs/>
                <w:highlight w:val="none"/>
              </w:rPr>
              <w:t>·</w:t>
            </w:r>
            <w:r>
              <w:rPr>
                <w:bCs/>
                <w:highlight w:val="none"/>
              </w:rPr>
              <w:t>d，最大检验人数</w:t>
            </w:r>
            <w:r>
              <w:rPr>
                <w:rFonts w:hint="eastAsia"/>
                <w:bCs/>
                <w:highlight w:val="none"/>
              </w:rPr>
              <w:t>预计</w:t>
            </w:r>
            <w:r>
              <w:rPr>
                <w:bCs/>
                <w:highlight w:val="none"/>
              </w:rPr>
              <w:t>为</w:t>
            </w:r>
            <w:r>
              <w:rPr>
                <w:rFonts w:hint="eastAsia"/>
                <w:bCs/>
                <w:highlight w:val="none"/>
                <w:lang w:val="en-US" w:eastAsia="zh-CN"/>
              </w:rPr>
              <w:t>50</w:t>
            </w:r>
            <w:r>
              <w:rPr>
                <w:bCs/>
                <w:highlight w:val="none"/>
              </w:rPr>
              <w:t>人/d，则检验科用水量为</w:t>
            </w:r>
            <w:r>
              <w:rPr>
                <w:rFonts w:hint="eastAsia"/>
                <w:bCs/>
                <w:highlight w:val="none"/>
              </w:rPr>
              <w:t>0.</w:t>
            </w:r>
            <w:r>
              <w:rPr>
                <w:rFonts w:hint="eastAsia"/>
                <w:bCs/>
                <w:highlight w:val="none"/>
                <w:lang w:val="en-US" w:eastAsia="zh-CN"/>
              </w:rPr>
              <w:t>75</w:t>
            </w:r>
            <w:r>
              <w:rPr>
                <w:rFonts w:hint="eastAsia"/>
                <w:bCs/>
                <w:highlight w:val="none"/>
              </w:rPr>
              <w:t>m</w:t>
            </w:r>
            <w:r>
              <w:rPr>
                <w:rFonts w:hint="eastAsia"/>
                <w:bCs/>
                <w:highlight w:val="none"/>
                <w:vertAlign w:val="superscript"/>
              </w:rPr>
              <w:t>3</w:t>
            </w:r>
            <w:r>
              <w:rPr>
                <w:rFonts w:hint="eastAsia"/>
                <w:bCs/>
                <w:highlight w:val="none"/>
              </w:rPr>
              <w:t>/d</w:t>
            </w:r>
            <w:r>
              <w:rPr>
                <w:rFonts w:ascii="宋体" w:hAnsi="宋体"/>
                <w:bCs/>
                <w:highlight w:val="none"/>
              </w:rPr>
              <w:t>(</w:t>
            </w:r>
            <w:r>
              <w:rPr>
                <w:rFonts w:hint="eastAsia"/>
                <w:bCs/>
                <w:highlight w:val="none"/>
                <w:lang w:val="en-US" w:eastAsia="zh-CN"/>
              </w:rPr>
              <w:t>273.75</w:t>
            </w:r>
            <w:r>
              <w:rPr>
                <w:rFonts w:hint="eastAsia"/>
                <w:bCs/>
                <w:highlight w:val="none"/>
              </w:rPr>
              <w:t>m</w:t>
            </w:r>
            <w:r>
              <w:rPr>
                <w:rFonts w:hint="eastAsia"/>
                <w:bCs/>
                <w:highlight w:val="none"/>
                <w:vertAlign w:val="superscript"/>
              </w:rPr>
              <w:t>3</w:t>
            </w:r>
            <w:r>
              <w:rPr>
                <w:rFonts w:hint="eastAsia"/>
                <w:bCs/>
                <w:highlight w:val="none"/>
              </w:rPr>
              <w:t>/a</w:t>
            </w:r>
            <w:r>
              <w:rPr>
                <w:rFonts w:ascii="宋体" w:hAnsi="宋体"/>
                <w:bCs/>
                <w:highlight w:val="none"/>
              </w:rPr>
              <w:t>)</w:t>
            </w:r>
            <w:r>
              <w:rPr>
                <w:bCs/>
                <w:highlight w:val="none"/>
              </w:rPr>
              <w:t>，污水排放系数按0.8计，则</w:t>
            </w:r>
            <w:r>
              <w:rPr>
                <w:rFonts w:hint="eastAsia"/>
                <w:bCs/>
                <w:highlight w:val="none"/>
              </w:rPr>
              <w:t>检验</w:t>
            </w:r>
            <w:r>
              <w:rPr>
                <w:bCs/>
                <w:highlight w:val="none"/>
              </w:rPr>
              <w:t>废水量为</w:t>
            </w:r>
            <w:r>
              <w:rPr>
                <w:rFonts w:hint="eastAsia"/>
                <w:bCs/>
                <w:highlight w:val="none"/>
              </w:rPr>
              <w:t>0.</w:t>
            </w:r>
            <w:r>
              <w:rPr>
                <w:rFonts w:hint="eastAsia"/>
                <w:bCs/>
                <w:highlight w:val="none"/>
                <w:lang w:val="en-US" w:eastAsia="zh-CN"/>
              </w:rPr>
              <w:t>6</w:t>
            </w:r>
            <w:r>
              <w:rPr>
                <w:rFonts w:hint="eastAsia"/>
                <w:bCs/>
                <w:highlight w:val="none"/>
              </w:rPr>
              <w:t>m</w:t>
            </w:r>
            <w:r>
              <w:rPr>
                <w:rFonts w:hint="eastAsia"/>
                <w:bCs/>
                <w:highlight w:val="none"/>
                <w:vertAlign w:val="superscript"/>
              </w:rPr>
              <w:t>3</w:t>
            </w:r>
            <w:r>
              <w:rPr>
                <w:rFonts w:hint="eastAsia"/>
                <w:bCs/>
                <w:highlight w:val="none"/>
              </w:rPr>
              <w:t>/d</w:t>
            </w:r>
            <w:r>
              <w:rPr>
                <w:rFonts w:hint="eastAsia" w:ascii="宋体" w:hAnsi="宋体"/>
                <w:bCs/>
                <w:highlight w:val="none"/>
              </w:rPr>
              <w:t>(</w:t>
            </w:r>
            <w:r>
              <w:rPr>
                <w:rFonts w:hint="eastAsia"/>
                <w:bCs/>
                <w:highlight w:val="none"/>
                <w:lang w:val="en-US" w:eastAsia="zh-CN"/>
              </w:rPr>
              <w:t>219</w:t>
            </w:r>
            <w:r>
              <w:rPr>
                <w:rFonts w:hint="eastAsia"/>
                <w:bCs/>
                <w:highlight w:val="none"/>
              </w:rPr>
              <w:t>m</w:t>
            </w:r>
            <w:r>
              <w:rPr>
                <w:rFonts w:hint="eastAsia"/>
                <w:bCs/>
                <w:highlight w:val="none"/>
                <w:vertAlign w:val="superscript"/>
              </w:rPr>
              <w:t>3</w:t>
            </w:r>
            <w:r>
              <w:rPr>
                <w:rFonts w:hint="eastAsia"/>
                <w:bCs/>
                <w:highlight w:val="none"/>
              </w:rPr>
              <w:t>/a</w:t>
            </w:r>
            <w:r>
              <w:rPr>
                <w:rFonts w:ascii="宋体" w:hAnsi="宋体"/>
                <w:bCs/>
                <w:highlight w:val="none"/>
              </w:rPr>
              <w:t>)</w:t>
            </w:r>
            <w:r>
              <w:rPr>
                <w:bCs/>
                <w:color w:val="000000"/>
              </w:rPr>
              <w:t>。</w:t>
            </w:r>
          </w:p>
          <w:p w14:paraId="73424C6D">
            <w:pPr>
              <w:pStyle w:val="445"/>
              <w:ind w:firstLine="480"/>
              <w:rPr>
                <w:bCs/>
                <w:color w:val="000000"/>
              </w:rPr>
            </w:pPr>
            <w:r>
              <w:rPr>
                <w:rFonts w:hint="eastAsia" w:ascii="宋体" w:hAnsi="宋体" w:cs="宋体"/>
                <w:bCs/>
                <w:sz w:val="24"/>
                <w:szCs w:val="24"/>
                <w:u w:val="none"/>
              </w:rPr>
              <w:t>根据《医院污水处理工程技术规范》（</w:t>
            </w:r>
            <w:r>
              <w:rPr>
                <w:bCs/>
                <w:sz w:val="24"/>
                <w:szCs w:val="24"/>
                <w:u w:val="none"/>
              </w:rPr>
              <w:t>HJ 2029-2013</w:t>
            </w:r>
            <w:r>
              <w:rPr>
                <w:rFonts w:hint="eastAsia" w:ascii="宋体" w:hAnsi="宋体" w:cs="宋体"/>
                <w:bCs/>
                <w:sz w:val="24"/>
                <w:szCs w:val="24"/>
                <w:u w:val="none"/>
              </w:rPr>
              <w:t>）明确普通检验科常规清洗废水水质指标范围，不含特殊化验废液的检验废水水质介于门诊废水与病房废水之间；因此，检验废水主要含有</w:t>
            </w:r>
            <w:r>
              <w:rPr>
                <w:color w:val="000000"/>
                <w:sz w:val="24"/>
                <w:szCs w:val="24"/>
                <w:u w:val="none"/>
              </w:rPr>
              <w:t>COD</w:t>
            </w:r>
            <w:r>
              <w:rPr>
                <w:sz w:val="24"/>
                <w:szCs w:val="24"/>
                <w:u w:val="none"/>
              </w:rPr>
              <w:t>、</w:t>
            </w:r>
            <w:r>
              <w:rPr>
                <w:color w:val="000000"/>
                <w:sz w:val="24"/>
                <w:szCs w:val="24"/>
                <w:u w:val="none"/>
              </w:rPr>
              <w:t>BOD</w:t>
            </w:r>
            <w:r>
              <w:rPr>
                <w:color w:val="000000"/>
                <w:sz w:val="24"/>
                <w:szCs w:val="24"/>
                <w:u w:val="none"/>
                <w:vertAlign w:val="subscript"/>
              </w:rPr>
              <w:t>5</w:t>
            </w:r>
            <w:r>
              <w:rPr>
                <w:color w:val="000000"/>
                <w:sz w:val="24"/>
                <w:szCs w:val="24"/>
                <w:u w:val="none"/>
              </w:rPr>
              <w:t>​</w:t>
            </w:r>
            <w:r>
              <w:rPr>
                <w:sz w:val="24"/>
                <w:szCs w:val="24"/>
                <w:u w:val="none"/>
              </w:rPr>
              <w:t>、SS、氨氮、总磷</w:t>
            </w:r>
            <w:r>
              <w:rPr>
                <w:rFonts w:hint="eastAsia"/>
                <w:sz w:val="24"/>
                <w:szCs w:val="24"/>
                <w:u w:val="none"/>
              </w:rPr>
              <w:t>、粪大肠菌群等。</w:t>
            </w:r>
            <w:r>
              <w:rPr>
                <w:rFonts w:hint="eastAsia"/>
                <w:bCs/>
                <w:sz w:val="24"/>
                <w:szCs w:val="24"/>
                <w:u w:val="none"/>
              </w:rPr>
              <w:t>参照《医院污水处理工程技术规范》</w:t>
            </w:r>
            <w:r>
              <w:rPr>
                <w:rFonts w:hint="eastAsia" w:ascii="宋体" w:hAnsi="宋体" w:cs="宋体"/>
                <w:bCs/>
                <w:sz w:val="24"/>
                <w:szCs w:val="24"/>
                <w:u w:val="none"/>
              </w:rPr>
              <w:t>(</w:t>
            </w:r>
            <w:r>
              <w:rPr>
                <w:rFonts w:hint="eastAsia"/>
                <w:bCs/>
                <w:sz w:val="24"/>
                <w:szCs w:val="24"/>
                <w:u w:val="none"/>
              </w:rPr>
              <w:t>HJ2029-2013</w:t>
            </w:r>
            <w:r>
              <w:rPr>
                <w:rFonts w:hint="eastAsia" w:ascii="宋体" w:hAnsi="宋体" w:cs="宋体"/>
                <w:bCs/>
                <w:sz w:val="24"/>
                <w:szCs w:val="24"/>
                <w:u w:val="none"/>
              </w:rPr>
              <w:t>)表1</w:t>
            </w:r>
            <w:r>
              <w:rPr>
                <w:rFonts w:hint="eastAsia"/>
                <w:bCs/>
                <w:sz w:val="24"/>
                <w:szCs w:val="24"/>
                <w:u w:val="none"/>
              </w:rPr>
              <w:t>医院污水水质指标参考数据，项目检验废水各污染物因子产生浓度为：COD 300mg/L、BOD</w:t>
            </w:r>
            <w:r>
              <w:rPr>
                <w:rFonts w:hint="eastAsia"/>
                <w:bCs/>
                <w:sz w:val="24"/>
                <w:szCs w:val="24"/>
                <w:u w:val="none"/>
                <w:vertAlign w:val="subscript"/>
              </w:rPr>
              <w:t>5</w:t>
            </w:r>
            <w:r>
              <w:rPr>
                <w:rFonts w:hint="eastAsia"/>
                <w:bCs/>
                <w:sz w:val="24"/>
                <w:szCs w:val="24"/>
                <w:u w:val="none"/>
              </w:rPr>
              <w:t xml:space="preserve"> 150mg/L、氨氮35mg/L、SS 100mg/L、粪大肠菌群1.6×10</w:t>
            </w:r>
            <w:r>
              <w:rPr>
                <w:rFonts w:hint="eastAsia"/>
                <w:bCs/>
                <w:sz w:val="24"/>
                <w:szCs w:val="24"/>
                <w:u w:val="none"/>
                <w:vertAlign w:val="superscript"/>
              </w:rPr>
              <w:t>8</w:t>
            </w:r>
            <w:r>
              <w:rPr>
                <w:rFonts w:hint="eastAsia"/>
                <w:bCs/>
                <w:sz w:val="24"/>
                <w:szCs w:val="24"/>
                <w:u w:val="none"/>
              </w:rPr>
              <w:t>个/L；因参照《医院污水处理工程技术规范》</w:t>
            </w:r>
            <w:r>
              <w:rPr>
                <w:rFonts w:hint="eastAsia" w:ascii="宋体" w:hAnsi="宋体" w:cs="宋体"/>
                <w:bCs/>
                <w:sz w:val="24"/>
                <w:szCs w:val="24"/>
                <w:u w:val="none"/>
              </w:rPr>
              <w:t>(</w:t>
            </w:r>
            <w:r>
              <w:rPr>
                <w:rFonts w:hint="eastAsia"/>
                <w:bCs/>
                <w:sz w:val="24"/>
                <w:szCs w:val="24"/>
                <w:u w:val="none"/>
              </w:rPr>
              <w:t>HJ2029-2013</w:t>
            </w:r>
            <w:r>
              <w:rPr>
                <w:rFonts w:hint="eastAsia" w:ascii="宋体" w:hAnsi="宋体" w:cs="宋体"/>
                <w:bCs/>
                <w:sz w:val="24"/>
                <w:szCs w:val="24"/>
                <w:u w:val="none"/>
              </w:rPr>
              <w:t>)表</w:t>
            </w:r>
            <w:r>
              <w:rPr>
                <w:rFonts w:hint="default" w:ascii="Times New Roman" w:hAnsi="Times New Roman" w:cs="Times New Roman"/>
                <w:bCs/>
                <w:sz w:val="24"/>
                <w:szCs w:val="24"/>
                <w:u w:val="none"/>
              </w:rPr>
              <w:t>1医</w:t>
            </w:r>
            <w:r>
              <w:rPr>
                <w:rFonts w:hint="eastAsia"/>
                <w:bCs/>
                <w:sz w:val="24"/>
                <w:szCs w:val="24"/>
                <w:u w:val="none"/>
              </w:rPr>
              <w:t>院污水水质指标参考数据中</w:t>
            </w:r>
            <w:r>
              <w:rPr>
                <w:rFonts w:hint="eastAsia"/>
                <w:bCs/>
                <w:sz w:val="24"/>
                <w:szCs w:val="24"/>
                <w:u w:val="none"/>
                <w:lang w:val="en-US" w:eastAsia="zh-CN"/>
              </w:rPr>
              <w:t>无</w:t>
            </w:r>
            <w:r>
              <w:rPr>
                <w:rFonts w:hint="eastAsia"/>
                <w:bCs/>
                <w:sz w:val="24"/>
                <w:szCs w:val="24"/>
                <w:u w:val="none"/>
              </w:rPr>
              <w:t>总磷浓度参考数据，本项目参考同类型项目，总磷浓度为4 mg/L。</w:t>
            </w:r>
          </w:p>
          <w:p w14:paraId="30B5E6F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b/>
                <w:bCs/>
                <w:sz w:val="24"/>
                <w:szCs w:val="24"/>
                <w:u w:val="none"/>
              </w:rPr>
            </w:pPr>
            <w:bookmarkStart w:id="16" w:name="OLE_LINK2"/>
            <w:r>
              <w:rPr>
                <w:b/>
                <w:bCs/>
                <w:sz w:val="24"/>
                <w:szCs w:val="24"/>
                <w:u w:val="none"/>
              </w:rPr>
              <w:t>生活污水</w:t>
            </w:r>
          </w:p>
          <w:p w14:paraId="5C19FC9B">
            <w:pPr>
              <w:pStyle w:val="445"/>
              <w:ind w:firstLine="480"/>
              <w:rPr>
                <w:rFonts w:hint="eastAsia"/>
                <w:bCs/>
              </w:rPr>
            </w:pPr>
            <w:r>
              <w:rPr>
                <w:rFonts w:hint="eastAsia"/>
                <w:b/>
                <w:bCs w:val="0"/>
              </w:rPr>
              <w:t>养老</w:t>
            </w:r>
            <w:r>
              <w:rPr>
                <w:rFonts w:hint="eastAsia"/>
                <w:b/>
                <w:bCs w:val="0"/>
                <w:lang w:val="en-US" w:eastAsia="zh-CN"/>
              </w:rPr>
              <w:t>废</w:t>
            </w:r>
            <w:r>
              <w:rPr>
                <w:rFonts w:hint="eastAsia"/>
                <w:b/>
                <w:bCs w:val="0"/>
              </w:rPr>
              <w:t>水</w:t>
            </w:r>
          </w:p>
          <w:p w14:paraId="6C076BCE">
            <w:pPr>
              <w:pStyle w:val="445"/>
              <w:ind w:firstLine="480"/>
              <w:rPr>
                <w:rFonts w:hint="default" w:eastAsia="宋体"/>
                <w:bCs/>
                <w:lang w:val="en-US" w:eastAsia="zh-CN"/>
              </w:rPr>
            </w:pPr>
            <w:r>
              <w:rPr>
                <w:rFonts w:hint="eastAsia"/>
                <w:bCs/>
                <w:color w:val="auto"/>
                <w:u w:val="single"/>
              </w:rPr>
              <w:t>根据</w:t>
            </w:r>
            <w:r>
              <w:rPr>
                <w:rFonts w:cs="Times New Roman"/>
                <w:bCs/>
                <w:color w:val="auto"/>
                <w:u w:val="single"/>
              </w:rPr>
              <w:t>《</w:t>
            </w:r>
            <w:r>
              <w:rPr>
                <w:rFonts w:hint="eastAsia" w:cs="Times New Roman"/>
                <w:bCs/>
                <w:color w:val="auto"/>
                <w:u w:val="single"/>
              </w:rPr>
              <w:t>用水定额 第3部分：生活、服务业及建筑业</w:t>
            </w:r>
            <w:r>
              <w:rPr>
                <w:rFonts w:cs="Times New Roman"/>
                <w:bCs/>
                <w:color w:val="auto"/>
                <w:u w:val="single"/>
              </w:rPr>
              <w:t>》（</w:t>
            </w:r>
            <w:r>
              <w:rPr>
                <w:rFonts w:hint="eastAsia" w:cs="Times New Roman"/>
                <w:bCs/>
                <w:color w:val="auto"/>
                <w:u w:val="single"/>
              </w:rPr>
              <w:t>DB43/T388.3-2025</w:t>
            </w:r>
            <w:r>
              <w:rPr>
                <w:rFonts w:cs="Times New Roman"/>
                <w:bCs/>
                <w:color w:val="auto"/>
                <w:u w:val="single"/>
              </w:rPr>
              <w:t>）</w:t>
            </w:r>
            <w:r>
              <w:rPr>
                <w:rFonts w:hint="eastAsia"/>
                <w:color w:val="auto"/>
                <w:u w:val="single"/>
                <w:lang w:val="en-US" w:eastAsia="zh-CN"/>
              </w:rPr>
              <w:t>中“用水定额第3部分：生活、服务业及建筑业”“</w:t>
            </w:r>
            <w:r>
              <w:rPr>
                <w:rFonts w:hint="eastAsia"/>
                <w:bCs/>
                <w:color w:val="auto"/>
                <w:u w:val="single"/>
                <w:lang w:val="en-US" w:eastAsia="zh-CN"/>
              </w:rPr>
              <w:t>表1城镇居民生活用水定额</w:t>
            </w:r>
            <w:r>
              <w:rPr>
                <w:rFonts w:hint="eastAsia"/>
                <w:color w:val="auto"/>
                <w:u w:val="single"/>
                <w:lang w:val="en-US" w:eastAsia="zh-CN"/>
              </w:rPr>
              <w:t>”</w:t>
            </w:r>
            <w:r>
              <w:rPr>
                <w:rFonts w:hint="eastAsia"/>
                <w:bCs/>
                <w:color w:val="auto"/>
                <w:u w:val="single"/>
                <w:lang w:val="en-US" w:eastAsia="zh-CN"/>
              </w:rPr>
              <w:t>中小城市通用值，</w:t>
            </w:r>
            <w:r>
              <w:rPr>
                <w:rFonts w:hint="eastAsia"/>
                <w:bCs/>
                <w:color w:val="auto"/>
                <w:u w:val="single"/>
              </w:rPr>
              <w:t>按</w:t>
            </w:r>
            <w:r>
              <w:rPr>
                <w:rFonts w:hint="eastAsia"/>
                <w:bCs/>
                <w:color w:val="auto"/>
                <w:u w:val="single"/>
                <w:lang w:val="en-US" w:eastAsia="zh-CN"/>
              </w:rPr>
              <w:t>145</w:t>
            </w:r>
            <w:r>
              <w:rPr>
                <w:rFonts w:hint="eastAsia"/>
                <w:bCs/>
                <w:color w:val="auto"/>
                <w:u w:val="single"/>
              </w:rPr>
              <w:t>L/人</w:t>
            </w:r>
            <w:r>
              <w:rPr>
                <w:rFonts w:hint="eastAsia"/>
                <w:bCs/>
                <w:color w:val="auto"/>
                <w:u w:val="single"/>
                <w:lang w:val="en-US" w:eastAsia="zh-CN"/>
              </w:rPr>
              <w:t>·</w:t>
            </w:r>
            <w:r>
              <w:rPr>
                <w:rFonts w:hint="eastAsia"/>
                <w:bCs/>
                <w:color w:val="auto"/>
                <w:u w:val="single"/>
              </w:rPr>
              <w:t>d计算，本项目</w:t>
            </w:r>
            <w:r>
              <w:rPr>
                <w:rFonts w:hint="eastAsia"/>
                <w:bCs/>
                <w:color w:val="auto"/>
                <w:u w:val="single"/>
                <w:lang w:val="en-US" w:eastAsia="zh-CN"/>
              </w:rPr>
              <w:t>拟建</w:t>
            </w:r>
            <w:r>
              <w:rPr>
                <w:rFonts w:hint="eastAsia"/>
                <w:bCs/>
                <w:color w:val="auto"/>
                <w:u w:val="single"/>
              </w:rPr>
              <w:t>养老床位</w:t>
            </w:r>
            <w:r>
              <w:rPr>
                <w:rFonts w:hint="eastAsia"/>
                <w:bCs/>
                <w:color w:val="auto"/>
                <w:u w:val="single"/>
                <w:lang w:val="en-US" w:eastAsia="zh-CN"/>
              </w:rPr>
              <w:t>400</w:t>
            </w:r>
            <w:r>
              <w:rPr>
                <w:rFonts w:hint="eastAsia"/>
                <w:bCs/>
                <w:color w:val="auto"/>
                <w:u w:val="single"/>
              </w:rPr>
              <w:t>床，视为养老人员为</w:t>
            </w:r>
            <w:r>
              <w:rPr>
                <w:rFonts w:hint="eastAsia"/>
                <w:bCs/>
                <w:color w:val="auto"/>
                <w:u w:val="single"/>
                <w:lang w:val="en-US" w:eastAsia="zh-CN"/>
              </w:rPr>
              <w:t>400</w:t>
            </w:r>
            <w:r>
              <w:rPr>
                <w:rFonts w:hint="eastAsia"/>
                <w:bCs/>
                <w:color w:val="auto"/>
                <w:u w:val="single"/>
              </w:rPr>
              <w:t>人，则用水量为</w:t>
            </w:r>
            <w:r>
              <w:rPr>
                <w:rFonts w:hint="eastAsia"/>
                <w:bCs/>
                <w:color w:val="auto"/>
                <w:u w:val="single"/>
                <w:lang w:val="en-US" w:eastAsia="zh-CN"/>
              </w:rPr>
              <w:t>58</w:t>
            </w:r>
            <w:r>
              <w:rPr>
                <w:rFonts w:hint="eastAsia"/>
                <w:bCs/>
                <w:color w:val="auto"/>
                <w:u w:val="single"/>
              </w:rPr>
              <w:t>m</w:t>
            </w:r>
            <w:r>
              <w:rPr>
                <w:rFonts w:hint="eastAsia"/>
                <w:bCs/>
                <w:color w:val="auto"/>
                <w:u w:val="single"/>
                <w:vertAlign w:val="superscript"/>
                <w:lang w:val="en-US" w:eastAsia="zh-CN"/>
              </w:rPr>
              <w:t>3</w:t>
            </w:r>
            <w:r>
              <w:rPr>
                <w:rFonts w:hint="eastAsia"/>
                <w:bCs/>
                <w:color w:val="auto"/>
                <w:u w:val="single"/>
              </w:rPr>
              <w:t>/d，</w:t>
            </w:r>
            <w:r>
              <w:rPr>
                <w:rFonts w:hint="eastAsia"/>
                <w:bCs/>
                <w:color w:val="auto"/>
                <w:u w:val="single"/>
                <w:lang w:val="en-US" w:eastAsia="zh-CN"/>
              </w:rPr>
              <w:t>21170</w:t>
            </w:r>
            <w:r>
              <w:rPr>
                <w:rFonts w:hint="eastAsia"/>
                <w:bCs/>
                <w:color w:val="auto"/>
                <w:u w:val="single"/>
              </w:rPr>
              <w:t>m</w:t>
            </w:r>
            <w:r>
              <w:rPr>
                <w:rFonts w:hint="eastAsia"/>
                <w:bCs/>
                <w:color w:val="auto"/>
                <w:u w:val="single"/>
                <w:vertAlign w:val="superscript"/>
                <w:lang w:val="en-US" w:eastAsia="zh-CN"/>
              </w:rPr>
              <w:t>3</w:t>
            </w:r>
            <w:r>
              <w:rPr>
                <w:rFonts w:hint="eastAsia"/>
                <w:bCs/>
                <w:color w:val="auto"/>
                <w:u w:val="single"/>
              </w:rPr>
              <w:t>/a；</w:t>
            </w:r>
            <w:r>
              <w:rPr>
                <w:bCs/>
                <w:color w:val="auto"/>
                <w:u w:val="single"/>
              </w:rPr>
              <w:t>生活污水产生系数约为80%，</w:t>
            </w:r>
            <w:r>
              <w:rPr>
                <w:rFonts w:hint="eastAsia"/>
                <w:bCs/>
                <w:color w:val="auto"/>
                <w:u w:val="single"/>
                <w:lang w:val="en-US" w:eastAsia="zh-CN"/>
              </w:rPr>
              <w:t>项目养老废水日排放量为46.4</w:t>
            </w:r>
            <w:r>
              <w:rPr>
                <w:rFonts w:hint="eastAsia"/>
                <w:bCs/>
                <w:color w:val="auto"/>
                <w:u w:val="single"/>
              </w:rPr>
              <w:t>m</w:t>
            </w:r>
            <w:r>
              <w:rPr>
                <w:rFonts w:hint="eastAsia"/>
                <w:bCs/>
                <w:color w:val="auto"/>
                <w:u w:val="single"/>
                <w:vertAlign w:val="superscript"/>
                <w:lang w:val="en-US" w:eastAsia="zh-CN"/>
              </w:rPr>
              <w:t>3</w:t>
            </w:r>
            <w:r>
              <w:rPr>
                <w:rFonts w:hint="eastAsia"/>
                <w:bCs/>
                <w:color w:val="auto"/>
                <w:u w:val="single"/>
              </w:rPr>
              <w:t>/d</w:t>
            </w:r>
            <w:r>
              <w:rPr>
                <w:rFonts w:hint="eastAsia"/>
                <w:bCs/>
                <w:color w:val="auto"/>
                <w:u w:val="single"/>
                <w:lang w:val="en-US" w:eastAsia="zh-CN"/>
              </w:rPr>
              <w:t>，年排放量为16936</w:t>
            </w:r>
            <w:r>
              <w:rPr>
                <w:rFonts w:hint="eastAsia"/>
                <w:bCs/>
                <w:color w:val="auto"/>
                <w:u w:val="single"/>
              </w:rPr>
              <w:t>m</w:t>
            </w:r>
            <w:r>
              <w:rPr>
                <w:rFonts w:hint="eastAsia"/>
                <w:bCs/>
                <w:color w:val="auto"/>
                <w:u w:val="single"/>
                <w:vertAlign w:val="superscript"/>
                <w:lang w:val="en-US" w:eastAsia="zh-CN"/>
              </w:rPr>
              <w:t>3</w:t>
            </w:r>
            <w:r>
              <w:rPr>
                <w:rFonts w:hint="eastAsia"/>
                <w:bCs/>
                <w:color w:val="auto"/>
                <w:u w:val="single"/>
              </w:rPr>
              <w:t>/a</w:t>
            </w:r>
            <w:r>
              <w:rPr>
                <w:rFonts w:hint="eastAsia"/>
                <w:bCs/>
                <w:lang w:eastAsia="zh-CN"/>
              </w:rPr>
              <w:t>。</w:t>
            </w:r>
            <w:r>
              <w:rPr>
                <w:rFonts w:hint="eastAsia"/>
                <w:bCs/>
                <w:u w:val="single"/>
                <w:lang w:val="en-US" w:eastAsia="zh-CN"/>
              </w:rPr>
              <w:t>养老废水</w:t>
            </w:r>
            <w:r>
              <w:rPr>
                <w:rFonts w:hint="eastAsia"/>
                <w:bCs/>
                <w:color w:val="000000"/>
                <w:u w:val="single"/>
                <w:lang w:val="en-US" w:eastAsia="zh-CN"/>
              </w:rPr>
              <w:t>主要含有</w:t>
            </w:r>
            <w:r>
              <w:rPr>
                <w:bCs/>
                <w:sz w:val="24"/>
                <w:szCs w:val="24"/>
                <w:u w:val="single"/>
              </w:rPr>
              <w:t>pH</w:t>
            </w:r>
            <w:r>
              <w:rPr>
                <w:rFonts w:hint="eastAsia" w:ascii="宋体" w:hAnsi="宋体" w:cs="宋体"/>
                <w:bCs/>
                <w:sz w:val="24"/>
                <w:szCs w:val="24"/>
                <w:u w:val="single"/>
              </w:rPr>
              <w:t>、</w:t>
            </w:r>
            <w:r>
              <w:rPr>
                <w:color w:val="000000"/>
                <w:sz w:val="24"/>
                <w:szCs w:val="24"/>
                <w:u w:val="single"/>
              </w:rPr>
              <w:t>COD</w:t>
            </w:r>
            <w:r>
              <w:rPr>
                <w:sz w:val="24"/>
                <w:szCs w:val="24"/>
                <w:u w:val="single"/>
              </w:rPr>
              <w:t>、</w:t>
            </w:r>
            <w:r>
              <w:rPr>
                <w:color w:val="000000"/>
                <w:sz w:val="24"/>
                <w:szCs w:val="24"/>
                <w:u w:val="single"/>
              </w:rPr>
              <w:t>BOD</w:t>
            </w:r>
            <w:r>
              <w:rPr>
                <w:color w:val="000000"/>
                <w:sz w:val="24"/>
                <w:szCs w:val="24"/>
                <w:u w:val="single"/>
                <w:vertAlign w:val="subscript"/>
              </w:rPr>
              <w:t>5</w:t>
            </w:r>
            <w:r>
              <w:rPr>
                <w:color w:val="000000"/>
                <w:sz w:val="24"/>
                <w:szCs w:val="24"/>
                <w:u w:val="single"/>
              </w:rPr>
              <w:t>​</w:t>
            </w:r>
            <w:r>
              <w:rPr>
                <w:sz w:val="24"/>
                <w:szCs w:val="24"/>
                <w:u w:val="single"/>
              </w:rPr>
              <w:t>、SS、氨氮</w:t>
            </w:r>
            <w:r>
              <w:rPr>
                <w:rFonts w:hint="eastAsia"/>
                <w:sz w:val="24"/>
                <w:szCs w:val="24"/>
                <w:u w:val="single"/>
              </w:rPr>
              <w:t>、总磷</w:t>
            </w:r>
            <w:r>
              <w:rPr>
                <w:rFonts w:hint="eastAsia"/>
                <w:sz w:val="24"/>
                <w:szCs w:val="24"/>
                <w:u w:val="single"/>
                <w:lang w:eastAsia="zh-CN"/>
              </w:rPr>
              <w:t>、</w:t>
            </w:r>
            <w:r>
              <w:rPr>
                <w:rFonts w:hint="eastAsia"/>
                <w:sz w:val="24"/>
                <w:szCs w:val="24"/>
                <w:u w:val="single"/>
                <w:lang w:val="en-US" w:eastAsia="zh-CN"/>
              </w:rPr>
              <w:t>动植物油等污染物因子。</w:t>
            </w:r>
          </w:p>
          <w:p w14:paraId="1852F386">
            <w:pPr>
              <w:pStyle w:val="445"/>
              <w:ind w:firstLine="480"/>
              <w:rPr>
                <w:rFonts w:hint="eastAsia"/>
                <w:b/>
                <w:bCs w:val="0"/>
                <w:color w:val="000000"/>
              </w:rPr>
            </w:pPr>
            <w:r>
              <w:rPr>
                <w:rFonts w:hint="eastAsia"/>
                <w:b/>
                <w:bCs w:val="0"/>
                <w:color w:val="000000"/>
              </w:rPr>
              <w:t>食堂</w:t>
            </w:r>
            <w:r>
              <w:rPr>
                <w:rFonts w:hint="eastAsia"/>
                <w:b/>
                <w:bCs w:val="0"/>
                <w:color w:val="000000"/>
                <w:lang w:val="en-US" w:eastAsia="zh-CN"/>
              </w:rPr>
              <w:t>废</w:t>
            </w:r>
            <w:r>
              <w:rPr>
                <w:rFonts w:hint="eastAsia"/>
                <w:b/>
                <w:bCs w:val="0"/>
                <w:color w:val="000000"/>
              </w:rPr>
              <w:t>水</w:t>
            </w:r>
          </w:p>
          <w:p w14:paraId="3E68B1D2">
            <w:pPr>
              <w:pStyle w:val="445"/>
              <w:ind w:firstLine="480"/>
              <w:rPr>
                <w:rFonts w:hint="default" w:eastAsia="宋体"/>
                <w:bCs/>
                <w:color w:val="000000"/>
                <w:lang w:val="en-US" w:eastAsia="zh-CN"/>
              </w:rPr>
            </w:pPr>
            <w:r>
              <w:rPr>
                <w:rFonts w:hint="eastAsia"/>
                <w:bCs/>
                <w:color w:val="000000"/>
              </w:rPr>
              <w:t>项目共有各类工作人员</w:t>
            </w:r>
            <w:r>
              <w:rPr>
                <w:rFonts w:hint="eastAsia"/>
                <w:bCs/>
                <w:color w:val="000000"/>
                <w:lang w:val="en-US" w:eastAsia="zh-CN"/>
              </w:rPr>
              <w:t>90</w:t>
            </w:r>
            <w:r>
              <w:rPr>
                <w:rFonts w:hint="eastAsia"/>
                <w:bCs/>
                <w:color w:val="000000"/>
              </w:rPr>
              <w:t>人</w:t>
            </w:r>
            <w:r>
              <w:rPr>
                <w:rFonts w:hint="eastAsia"/>
                <w:bCs/>
                <w:color w:val="000000"/>
                <w:lang w:eastAsia="zh-CN"/>
              </w:rPr>
              <w:t>，</w:t>
            </w:r>
            <w:r>
              <w:rPr>
                <w:rFonts w:hint="eastAsia"/>
                <w:bCs/>
                <w:color w:val="000000"/>
                <w:lang w:val="en-US" w:eastAsia="zh-CN"/>
              </w:rPr>
              <w:t>分三班，每班30人</w:t>
            </w:r>
            <w:r>
              <w:rPr>
                <w:rFonts w:hint="eastAsia"/>
                <w:bCs/>
                <w:color w:val="000000"/>
                <w:lang w:eastAsia="zh-CN"/>
              </w:rPr>
              <w:t>；</w:t>
            </w:r>
            <w:r>
              <w:rPr>
                <w:rFonts w:hint="eastAsia"/>
                <w:bCs/>
                <w:color w:val="000000"/>
                <w:lang w:val="en-US" w:eastAsia="zh-CN"/>
              </w:rPr>
              <w:t>养老人员400人、医</w:t>
            </w:r>
            <w:r>
              <w:rPr>
                <w:rFonts w:hint="eastAsia" w:cs="宋体"/>
                <w:kern w:val="2"/>
                <w:sz w:val="24"/>
                <w:szCs w:val="24"/>
                <w:highlight w:val="none"/>
                <w:lang w:val="en-US" w:eastAsia="zh-CN" w:bidi="ar-SA"/>
              </w:rPr>
              <w:t>疗</w:t>
            </w:r>
            <w:r>
              <w:rPr>
                <w:rFonts w:hint="eastAsia"/>
                <w:bCs/>
                <w:color w:val="000000"/>
                <w:lang w:val="en-US" w:eastAsia="zh-CN"/>
              </w:rPr>
              <w:t>人员100人</w:t>
            </w:r>
            <w:r>
              <w:rPr>
                <w:rFonts w:hint="eastAsia"/>
                <w:bCs/>
                <w:color w:val="000000"/>
              </w:rPr>
              <w:t>，</w:t>
            </w:r>
            <w:r>
              <w:rPr>
                <w:rFonts w:hint="eastAsia"/>
                <w:bCs/>
                <w:color w:val="000000"/>
                <w:lang w:val="en-US" w:eastAsia="zh-CN"/>
              </w:rPr>
              <w:t>每次用餐人数为</w:t>
            </w:r>
            <w:r>
              <w:rPr>
                <w:rFonts w:hint="eastAsia"/>
                <w:bCs/>
                <w:color w:val="000000"/>
              </w:rPr>
              <w:t>共</w:t>
            </w:r>
            <w:r>
              <w:rPr>
                <w:rFonts w:hint="eastAsia"/>
                <w:bCs/>
                <w:color w:val="000000"/>
                <w:lang w:val="en-US" w:eastAsia="zh-CN"/>
              </w:rPr>
              <w:t>530</w:t>
            </w:r>
            <w:r>
              <w:rPr>
                <w:rFonts w:hint="eastAsia"/>
                <w:bCs/>
                <w:color w:val="000000"/>
              </w:rPr>
              <w:t>人，</w:t>
            </w:r>
            <w:r>
              <w:rPr>
                <w:rFonts w:hint="eastAsia"/>
                <w:bCs/>
                <w:color w:val="000000"/>
                <w:lang w:val="en-US" w:eastAsia="zh-CN"/>
              </w:rPr>
              <w:t>三餐</w:t>
            </w:r>
            <w:r>
              <w:rPr>
                <w:rFonts w:hint="eastAsia"/>
                <w:bCs/>
                <w:color w:val="000000"/>
              </w:rPr>
              <w:t>均于项目内用餐。参考《建筑给水排水设计标准》（GB50015-2019）中表 3.2.2</w:t>
            </w:r>
            <w:r>
              <w:rPr>
                <w:rFonts w:hint="eastAsia"/>
                <w:bCs/>
                <w:color w:val="000000"/>
                <w:lang w:eastAsia="zh-CN"/>
              </w:rPr>
              <w:t>“</w:t>
            </w:r>
            <w:r>
              <w:rPr>
                <w:rFonts w:hint="eastAsia"/>
                <w:bCs/>
                <w:color w:val="000000"/>
              </w:rPr>
              <w:t>快餐店、职工及学生食堂每顾客每次的平均用水量为15~20L</w:t>
            </w:r>
            <w:r>
              <w:rPr>
                <w:rFonts w:hint="eastAsia"/>
                <w:bCs/>
                <w:color w:val="000000"/>
                <w:lang w:eastAsia="zh-CN"/>
              </w:rPr>
              <w:t>”</w:t>
            </w:r>
            <w:r>
              <w:rPr>
                <w:rFonts w:hint="eastAsia"/>
                <w:bCs/>
                <w:color w:val="000000"/>
              </w:rPr>
              <w:t>，</w:t>
            </w:r>
            <w:r>
              <w:rPr>
                <w:rFonts w:hint="eastAsia"/>
                <w:bCs/>
                <w:color w:val="000000"/>
                <w:lang w:val="en-US" w:eastAsia="zh-CN"/>
              </w:rPr>
              <w:t>本项目</w:t>
            </w:r>
            <w:r>
              <w:rPr>
                <w:rFonts w:hint="eastAsia"/>
                <w:bCs/>
                <w:color w:val="000000"/>
              </w:rPr>
              <w:t>取</w:t>
            </w:r>
            <w:r>
              <w:rPr>
                <w:rFonts w:hint="eastAsia"/>
                <w:bCs/>
                <w:color w:val="000000"/>
                <w:lang w:val="en-US" w:eastAsia="zh-CN"/>
              </w:rPr>
              <w:t>均值17.5</w:t>
            </w:r>
            <w:r>
              <w:rPr>
                <w:rFonts w:hint="eastAsia"/>
                <w:bCs/>
                <w:color w:val="000000"/>
              </w:rPr>
              <w:t>L</w:t>
            </w:r>
            <w:r>
              <w:rPr>
                <w:rFonts w:hint="eastAsia"/>
                <w:bCs/>
                <w:color w:val="000000"/>
                <w:lang w:eastAsia="zh-CN"/>
              </w:rPr>
              <w:t>。</w:t>
            </w:r>
            <w:r>
              <w:rPr>
                <w:rFonts w:hint="eastAsia"/>
                <w:bCs/>
                <w:color w:val="000000"/>
                <w:lang w:val="en-US" w:eastAsia="zh-CN"/>
              </w:rPr>
              <w:t>项目食堂每天供应3餐</w:t>
            </w:r>
            <w:r>
              <w:rPr>
                <w:rFonts w:hint="eastAsia"/>
                <w:bCs/>
                <w:color w:val="000000"/>
                <w:lang w:eastAsia="zh-CN"/>
              </w:rPr>
              <w:t>，</w:t>
            </w:r>
            <w:r>
              <w:rPr>
                <w:rFonts w:hint="eastAsia"/>
                <w:bCs/>
                <w:color w:val="000000"/>
                <w:lang w:val="en-US" w:eastAsia="zh-CN"/>
              </w:rPr>
              <w:t>食堂用水量为</w:t>
            </w:r>
            <w:r>
              <w:rPr>
                <w:rFonts w:hint="eastAsia"/>
                <w:bCs/>
                <w:color w:val="000000"/>
                <w:highlight w:val="none"/>
                <w:lang w:val="en-US" w:eastAsia="zh-CN"/>
              </w:rPr>
              <w:t>27.825</w:t>
            </w:r>
            <w:r>
              <w:rPr>
                <w:rFonts w:hint="eastAsia"/>
                <w:bCs/>
                <w:color w:val="000000"/>
              </w:rPr>
              <w:t>m</w:t>
            </w:r>
            <w:r>
              <w:rPr>
                <w:rFonts w:hint="eastAsia"/>
                <w:bCs/>
                <w:color w:val="000000"/>
                <w:vertAlign w:val="superscript"/>
              </w:rPr>
              <w:t>3</w:t>
            </w:r>
            <w:r>
              <w:rPr>
                <w:rFonts w:hint="eastAsia"/>
                <w:bCs/>
                <w:color w:val="000000"/>
              </w:rPr>
              <w:t>/d</w:t>
            </w:r>
            <w:r>
              <w:rPr>
                <w:rFonts w:hint="eastAsia"/>
                <w:bCs/>
                <w:color w:val="000000"/>
                <w:lang w:val="en-US" w:eastAsia="zh-CN"/>
              </w:rPr>
              <w:t>，</w:t>
            </w:r>
            <w:r>
              <w:rPr>
                <w:rFonts w:hint="eastAsia"/>
                <w:bCs/>
                <w:color w:val="000000"/>
                <w:highlight w:val="none"/>
                <w:lang w:val="en-US" w:eastAsia="zh-CN"/>
              </w:rPr>
              <w:t>10156.125</w:t>
            </w:r>
            <w:r>
              <w:rPr>
                <w:rFonts w:hint="eastAsia"/>
                <w:bCs/>
                <w:color w:val="000000"/>
              </w:rPr>
              <w:t>m</w:t>
            </w:r>
            <w:r>
              <w:rPr>
                <w:rFonts w:hint="eastAsia"/>
                <w:bCs/>
                <w:color w:val="000000"/>
                <w:vertAlign w:val="superscript"/>
              </w:rPr>
              <w:t>3</w:t>
            </w:r>
            <w:r>
              <w:rPr>
                <w:rFonts w:hint="eastAsia"/>
                <w:bCs/>
                <w:color w:val="000000"/>
              </w:rPr>
              <w:t>/a</w:t>
            </w:r>
            <w:r>
              <w:rPr>
                <w:rFonts w:hint="eastAsia"/>
                <w:bCs/>
                <w:color w:val="000000"/>
                <w:lang w:val="en-US" w:eastAsia="zh-CN"/>
              </w:rPr>
              <w:t>；</w:t>
            </w:r>
            <w:r>
              <w:rPr>
                <w:bCs/>
                <w:color w:val="auto"/>
              </w:rPr>
              <w:t>污水产生系数约为80%，</w:t>
            </w:r>
            <w:r>
              <w:rPr>
                <w:rFonts w:hint="eastAsia"/>
                <w:bCs/>
                <w:color w:val="auto"/>
                <w:lang w:val="en-US" w:eastAsia="zh-CN"/>
              </w:rPr>
              <w:t>则食堂废水量约为</w:t>
            </w:r>
            <w:r>
              <w:rPr>
                <w:rFonts w:hint="eastAsia"/>
                <w:bCs/>
                <w:color w:val="auto"/>
                <w:highlight w:val="none"/>
                <w:lang w:val="en-US" w:eastAsia="zh-CN"/>
              </w:rPr>
              <w:t>22.26</w:t>
            </w:r>
            <w:r>
              <w:rPr>
                <w:rFonts w:hint="eastAsia"/>
                <w:bCs/>
                <w:color w:val="auto"/>
              </w:rPr>
              <w:t>m</w:t>
            </w:r>
            <w:r>
              <w:rPr>
                <w:rFonts w:hint="eastAsia"/>
                <w:bCs/>
                <w:color w:val="auto"/>
                <w:vertAlign w:val="superscript"/>
              </w:rPr>
              <w:t>3</w:t>
            </w:r>
            <w:r>
              <w:rPr>
                <w:rFonts w:hint="eastAsia"/>
                <w:bCs/>
                <w:color w:val="auto"/>
              </w:rPr>
              <w:t>/d</w:t>
            </w:r>
            <w:r>
              <w:rPr>
                <w:rFonts w:hint="eastAsia"/>
                <w:bCs/>
                <w:color w:val="auto"/>
                <w:lang w:val="en-US" w:eastAsia="zh-CN"/>
              </w:rPr>
              <w:t>，</w:t>
            </w:r>
            <w:r>
              <w:rPr>
                <w:rFonts w:hint="eastAsia"/>
                <w:bCs/>
                <w:color w:val="auto"/>
                <w:highlight w:val="none"/>
                <w:lang w:val="en-US" w:eastAsia="zh-CN"/>
              </w:rPr>
              <w:t>8124.9</w:t>
            </w:r>
            <w:r>
              <w:rPr>
                <w:rFonts w:hint="eastAsia"/>
                <w:bCs/>
                <w:color w:val="auto"/>
              </w:rPr>
              <w:t>m</w:t>
            </w:r>
            <w:r>
              <w:rPr>
                <w:rFonts w:hint="eastAsia"/>
                <w:bCs/>
                <w:color w:val="auto"/>
                <w:vertAlign w:val="superscript"/>
              </w:rPr>
              <w:t>3</w:t>
            </w:r>
            <w:r>
              <w:rPr>
                <w:rFonts w:hint="eastAsia"/>
                <w:bCs/>
                <w:color w:val="000000"/>
              </w:rPr>
              <w:t>/a</w:t>
            </w:r>
            <w:r>
              <w:rPr>
                <w:rFonts w:hint="eastAsia"/>
                <w:bCs/>
                <w:color w:val="000000"/>
                <w:lang w:eastAsia="zh-CN"/>
              </w:rPr>
              <w:t>。</w:t>
            </w:r>
            <w:r>
              <w:rPr>
                <w:rFonts w:hint="eastAsia"/>
                <w:bCs/>
                <w:color w:val="000000"/>
                <w:lang w:val="en-US" w:eastAsia="zh-CN"/>
              </w:rPr>
              <w:t>食堂废水主要含有</w:t>
            </w:r>
            <w:r>
              <w:rPr>
                <w:bCs/>
                <w:sz w:val="24"/>
                <w:szCs w:val="24"/>
                <w:u w:val="none"/>
              </w:rPr>
              <w:t>pH</w:t>
            </w:r>
            <w:r>
              <w:rPr>
                <w:rFonts w:hint="eastAsia" w:ascii="宋体" w:hAnsi="宋体" w:cs="宋体"/>
                <w:bCs/>
                <w:sz w:val="24"/>
                <w:szCs w:val="24"/>
                <w:u w:val="none"/>
              </w:rPr>
              <w:t>、</w:t>
            </w:r>
            <w:r>
              <w:rPr>
                <w:color w:val="000000"/>
                <w:sz w:val="24"/>
                <w:szCs w:val="24"/>
                <w:u w:val="none"/>
              </w:rPr>
              <w:t>COD</w:t>
            </w:r>
            <w:r>
              <w:rPr>
                <w:sz w:val="24"/>
                <w:szCs w:val="24"/>
                <w:u w:val="none"/>
              </w:rPr>
              <w:t>、</w:t>
            </w:r>
            <w:r>
              <w:rPr>
                <w:color w:val="000000"/>
                <w:sz w:val="24"/>
                <w:szCs w:val="24"/>
                <w:u w:val="none"/>
              </w:rPr>
              <w:t>BOD</w:t>
            </w:r>
            <w:r>
              <w:rPr>
                <w:color w:val="000000"/>
                <w:sz w:val="24"/>
                <w:szCs w:val="24"/>
                <w:u w:val="none"/>
                <w:vertAlign w:val="subscript"/>
              </w:rPr>
              <w:t>5</w:t>
            </w:r>
            <w:r>
              <w:rPr>
                <w:color w:val="000000"/>
                <w:sz w:val="24"/>
                <w:szCs w:val="24"/>
                <w:u w:val="none"/>
              </w:rPr>
              <w:t>​</w:t>
            </w:r>
            <w:r>
              <w:rPr>
                <w:sz w:val="24"/>
                <w:szCs w:val="24"/>
                <w:u w:val="none"/>
              </w:rPr>
              <w:t>、SS、氨氮</w:t>
            </w:r>
            <w:r>
              <w:rPr>
                <w:rFonts w:hint="eastAsia"/>
                <w:sz w:val="24"/>
                <w:szCs w:val="24"/>
                <w:u w:val="none"/>
              </w:rPr>
              <w:t>、总磷</w:t>
            </w:r>
            <w:r>
              <w:rPr>
                <w:rFonts w:hint="eastAsia"/>
                <w:sz w:val="24"/>
                <w:szCs w:val="24"/>
                <w:u w:val="none"/>
                <w:lang w:eastAsia="zh-CN"/>
              </w:rPr>
              <w:t>、</w:t>
            </w:r>
            <w:r>
              <w:rPr>
                <w:rFonts w:hint="eastAsia"/>
                <w:sz w:val="24"/>
                <w:szCs w:val="24"/>
                <w:u w:val="none"/>
                <w:lang w:val="en-US" w:eastAsia="zh-CN"/>
              </w:rPr>
              <w:t>动植物油、氯化物、LAS等。</w:t>
            </w:r>
          </w:p>
          <w:p w14:paraId="03743F4B">
            <w:pPr>
              <w:pStyle w:val="445"/>
              <w:ind w:firstLine="480"/>
              <w:rPr>
                <w:b/>
                <w:bCs w:val="0"/>
                <w:color w:val="auto"/>
              </w:rPr>
            </w:pPr>
            <w:r>
              <w:rPr>
                <w:rFonts w:hint="eastAsia"/>
                <w:b/>
                <w:bCs w:val="0"/>
                <w:color w:val="auto"/>
              </w:rPr>
              <w:t>人员办公</w:t>
            </w:r>
            <w:r>
              <w:rPr>
                <w:rFonts w:hint="eastAsia"/>
                <w:b/>
                <w:bCs w:val="0"/>
                <w:color w:val="auto"/>
                <w:lang w:val="en-US" w:eastAsia="zh-CN"/>
              </w:rPr>
              <w:t>废</w:t>
            </w:r>
            <w:r>
              <w:rPr>
                <w:rFonts w:hint="eastAsia"/>
                <w:b/>
                <w:bCs w:val="0"/>
                <w:color w:val="auto"/>
              </w:rPr>
              <w:t>水</w:t>
            </w:r>
          </w:p>
          <w:p w14:paraId="4D6A7B3B">
            <w:pPr>
              <w:pStyle w:val="445"/>
              <w:ind w:firstLine="480"/>
              <w:rPr>
                <w:rFonts w:hint="eastAsia"/>
                <w:bCs/>
                <w:sz w:val="24"/>
                <w:szCs w:val="24"/>
                <w:u w:val="none"/>
              </w:rPr>
            </w:pPr>
            <w:r>
              <w:rPr>
                <w:bCs/>
                <w:color w:val="auto"/>
              </w:rPr>
              <w:t>本项目职工定员约</w:t>
            </w:r>
            <w:r>
              <w:rPr>
                <w:rFonts w:hint="eastAsia"/>
                <w:bCs/>
                <w:color w:val="auto"/>
                <w:lang w:val="en-US" w:eastAsia="zh-CN"/>
              </w:rPr>
              <w:t>90</w:t>
            </w:r>
            <w:r>
              <w:rPr>
                <w:bCs/>
                <w:color w:val="auto"/>
              </w:rPr>
              <w:t>人，年工作时间约</w:t>
            </w:r>
            <w:r>
              <w:rPr>
                <w:rFonts w:hint="eastAsia"/>
                <w:bCs/>
                <w:color w:val="auto"/>
              </w:rPr>
              <w:t>365</w:t>
            </w:r>
            <w:r>
              <w:rPr>
                <w:bCs/>
                <w:color w:val="auto"/>
              </w:rPr>
              <w:t>天，</w:t>
            </w:r>
            <w:r>
              <w:rPr>
                <w:rFonts w:hint="eastAsia"/>
                <w:bCs/>
                <w:color w:val="auto"/>
              </w:rPr>
              <w:t>参考</w:t>
            </w:r>
            <w:r>
              <w:rPr>
                <w:rFonts w:cs="Times New Roman"/>
                <w:bCs/>
                <w:color w:val="auto"/>
              </w:rPr>
              <w:t>《</w:t>
            </w:r>
            <w:r>
              <w:rPr>
                <w:rFonts w:hint="eastAsia" w:cs="Times New Roman"/>
                <w:bCs/>
                <w:color w:val="auto"/>
              </w:rPr>
              <w:t>用水定额 第3部分：生活、服务业及建筑业</w:t>
            </w:r>
            <w:r>
              <w:rPr>
                <w:rFonts w:cs="Times New Roman"/>
                <w:bCs/>
                <w:color w:val="auto"/>
              </w:rPr>
              <w:t>》（</w:t>
            </w:r>
            <w:r>
              <w:rPr>
                <w:rFonts w:hint="eastAsia" w:cs="Times New Roman"/>
                <w:bCs/>
                <w:color w:val="auto"/>
              </w:rPr>
              <w:t>DB43/T388.3-2025</w:t>
            </w:r>
            <w:r>
              <w:rPr>
                <w:rFonts w:cs="Times New Roman"/>
                <w:bCs/>
                <w:color w:val="auto"/>
              </w:rPr>
              <w:t>）</w:t>
            </w:r>
            <w:r>
              <w:rPr>
                <w:rFonts w:hint="eastAsia" w:cs="Times New Roman"/>
                <w:bCs/>
                <w:color w:val="auto"/>
              </w:rPr>
              <w:t>表4</w:t>
            </w:r>
            <w:r>
              <w:rPr>
                <w:rFonts w:hint="eastAsia"/>
                <w:bCs/>
                <w:color w:val="auto"/>
              </w:rPr>
              <w:t>中S9101国家机构-机关人员用水定额通用值为38m</w:t>
            </w:r>
            <w:r>
              <w:rPr>
                <w:rFonts w:hint="eastAsia"/>
                <w:bCs/>
                <w:color w:val="auto"/>
                <w:vertAlign w:val="superscript"/>
              </w:rPr>
              <w:t>3</w:t>
            </w:r>
            <w:r>
              <w:rPr>
                <w:rFonts w:hint="eastAsia"/>
                <w:bCs/>
                <w:color w:val="auto"/>
              </w:rPr>
              <w:t>/人·a。</w:t>
            </w:r>
            <w:r>
              <w:rPr>
                <w:bCs/>
                <w:color w:val="auto"/>
              </w:rPr>
              <w:t>生活用水合计为</w:t>
            </w:r>
            <w:r>
              <w:rPr>
                <w:rFonts w:hint="eastAsia"/>
                <w:bCs/>
                <w:color w:val="auto"/>
                <w:lang w:val="en-US" w:eastAsia="zh-CN"/>
              </w:rPr>
              <w:t>9.37</w:t>
            </w:r>
            <w:r>
              <w:rPr>
                <w:bCs/>
                <w:color w:val="auto"/>
              </w:rPr>
              <w:t>m</w:t>
            </w:r>
            <w:r>
              <w:rPr>
                <w:bCs/>
                <w:color w:val="auto"/>
                <w:vertAlign w:val="superscript"/>
              </w:rPr>
              <w:t>3</w:t>
            </w:r>
            <w:r>
              <w:rPr>
                <w:bCs/>
                <w:color w:val="auto"/>
              </w:rPr>
              <w:t>/d（</w:t>
            </w:r>
            <w:r>
              <w:rPr>
                <w:rFonts w:hint="eastAsia"/>
                <w:bCs/>
                <w:color w:val="auto"/>
                <w:lang w:val="en-US" w:eastAsia="zh-CN"/>
              </w:rPr>
              <w:t>3420</w:t>
            </w:r>
            <w:r>
              <w:rPr>
                <w:bCs/>
                <w:color w:val="auto"/>
              </w:rPr>
              <w:t>m</w:t>
            </w:r>
            <w:r>
              <w:rPr>
                <w:bCs/>
                <w:color w:val="auto"/>
                <w:vertAlign w:val="superscript"/>
              </w:rPr>
              <w:t>3</w:t>
            </w:r>
            <w:r>
              <w:rPr>
                <w:bCs/>
                <w:color w:val="auto"/>
              </w:rPr>
              <w:t>/a）。生活污水产生系数约为80%，则本项目生活污水产生量约</w:t>
            </w:r>
            <w:r>
              <w:rPr>
                <w:rFonts w:hint="eastAsia"/>
                <w:bCs/>
                <w:color w:val="auto"/>
                <w:lang w:val="en-US" w:eastAsia="zh-CN"/>
              </w:rPr>
              <w:t>7.5</w:t>
            </w:r>
            <w:r>
              <w:rPr>
                <w:bCs/>
                <w:color w:val="auto"/>
              </w:rPr>
              <w:t>m</w:t>
            </w:r>
            <w:r>
              <w:rPr>
                <w:bCs/>
                <w:color w:val="auto"/>
                <w:vertAlign w:val="superscript"/>
              </w:rPr>
              <w:t>3</w:t>
            </w:r>
            <w:r>
              <w:rPr>
                <w:bCs/>
                <w:color w:val="auto"/>
              </w:rPr>
              <w:t>/d（</w:t>
            </w:r>
            <w:r>
              <w:rPr>
                <w:rFonts w:hint="eastAsia"/>
                <w:bCs/>
                <w:color w:val="auto"/>
                <w:lang w:val="en-US" w:eastAsia="zh-CN"/>
              </w:rPr>
              <w:t>2736</w:t>
            </w:r>
            <w:r>
              <w:rPr>
                <w:bCs/>
                <w:color w:val="auto"/>
              </w:rPr>
              <w:t>m</w:t>
            </w:r>
            <w:r>
              <w:rPr>
                <w:bCs/>
                <w:color w:val="auto"/>
                <w:vertAlign w:val="superscript"/>
              </w:rPr>
              <w:t>3</w:t>
            </w:r>
            <w:r>
              <w:rPr>
                <w:bCs/>
                <w:color w:val="auto"/>
              </w:rPr>
              <w:t>/a）。</w:t>
            </w:r>
            <w:bookmarkEnd w:id="16"/>
            <w:r>
              <w:rPr>
                <w:rFonts w:hint="eastAsia"/>
                <w:bCs/>
                <w:color w:val="auto"/>
              </w:rPr>
              <w:t>人员办公</w:t>
            </w:r>
            <w:r>
              <w:rPr>
                <w:rFonts w:hint="eastAsia"/>
                <w:bCs/>
                <w:sz w:val="24"/>
                <w:szCs w:val="24"/>
                <w:u w:val="none"/>
              </w:rPr>
              <w:t>污水</w:t>
            </w:r>
            <w:r>
              <w:rPr>
                <w:rFonts w:hint="eastAsia" w:ascii="宋体" w:hAnsi="宋体" w:cs="宋体"/>
                <w:bCs/>
                <w:sz w:val="24"/>
                <w:szCs w:val="24"/>
                <w:u w:val="none"/>
              </w:rPr>
              <w:t>主要含有</w:t>
            </w:r>
            <w:r>
              <w:rPr>
                <w:bCs/>
                <w:sz w:val="24"/>
                <w:szCs w:val="24"/>
                <w:u w:val="none"/>
              </w:rPr>
              <w:t>pH</w:t>
            </w:r>
            <w:r>
              <w:rPr>
                <w:rFonts w:hint="eastAsia" w:ascii="宋体" w:hAnsi="宋体" w:cs="宋体"/>
                <w:bCs/>
                <w:sz w:val="24"/>
                <w:szCs w:val="24"/>
                <w:u w:val="none"/>
              </w:rPr>
              <w:t>、</w:t>
            </w:r>
            <w:r>
              <w:rPr>
                <w:color w:val="000000"/>
                <w:sz w:val="24"/>
                <w:szCs w:val="24"/>
                <w:u w:val="none"/>
              </w:rPr>
              <w:t>COD</w:t>
            </w:r>
            <w:r>
              <w:rPr>
                <w:sz w:val="24"/>
                <w:szCs w:val="24"/>
                <w:u w:val="none"/>
              </w:rPr>
              <w:t>、</w:t>
            </w:r>
            <w:r>
              <w:rPr>
                <w:color w:val="000000"/>
                <w:sz w:val="24"/>
                <w:szCs w:val="24"/>
                <w:u w:val="none"/>
              </w:rPr>
              <w:t>BOD</w:t>
            </w:r>
            <w:r>
              <w:rPr>
                <w:color w:val="000000"/>
                <w:sz w:val="24"/>
                <w:szCs w:val="24"/>
                <w:u w:val="none"/>
                <w:vertAlign w:val="subscript"/>
              </w:rPr>
              <w:t>5</w:t>
            </w:r>
            <w:r>
              <w:rPr>
                <w:color w:val="000000"/>
                <w:sz w:val="24"/>
                <w:szCs w:val="24"/>
                <w:u w:val="none"/>
              </w:rPr>
              <w:t>​</w:t>
            </w:r>
            <w:r>
              <w:rPr>
                <w:sz w:val="24"/>
                <w:szCs w:val="24"/>
                <w:u w:val="none"/>
              </w:rPr>
              <w:t>、SS、氨氮</w:t>
            </w:r>
            <w:r>
              <w:rPr>
                <w:rFonts w:hint="eastAsia"/>
                <w:sz w:val="24"/>
                <w:szCs w:val="24"/>
                <w:u w:val="none"/>
              </w:rPr>
              <w:t>、总磷等</w:t>
            </w:r>
            <w:r>
              <w:rPr>
                <w:rFonts w:hint="eastAsia"/>
                <w:bCs/>
                <w:sz w:val="24"/>
                <w:szCs w:val="24"/>
                <w:u w:val="none"/>
              </w:rPr>
              <w:t>。</w:t>
            </w:r>
          </w:p>
          <w:p w14:paraId="61892816">
            <w:pPr>
              <w:keepNext w:val="0"/>
              <w:keepLines w:val="0"/>
              <w:pageBreakBefore w:val="0"/>
              <w:kinsoku/>
              <w:wordWrap/>
              <w:overflowPunct/>
              <w:topLinePunct w:val="0"/>
              <w:autoSpaceDE/>
              <w:autoSpaceDN/>
              <w:bidi w:val="0"/>
              <w:adjustRightInd/>
              <w:snapToGrid/>
              <w:spacing w:line="360" w:lineRule="auto"/>
              <w:textAlignment w:val="auto"/>
              <w:rPr>
                <w:rFonts w:hint="eastAsia"/>
                <w:bCs/>
                <w:sz w:val="24"/>
                <w:szCs w:val="24"/>
                <w:u w:val="none"/>
              </w:rPr>
            </w:pPr>
          </w:p>
          <w:p w14:paraId="433220E5">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bCs/>
                <w:sz w:val="24"/>
                <w:szCs w:val="24"/>
                <w:u w:val="none"/>
              </w:rPr>
            </w:pPr>
          </w:p>
          <w:p w14:paraId="2160962B">
            <w:pPr>
              <w:keepNext w:val="0"/>
              <w:keepLines w:val="0"/>
              <w:pageBreakBefore w:val="0"/>
              <w:kinsoku/>
              <w:wordWrap/>
              <w:overflowPunct/>
              <w:topLinePunct w:val="0"/>
              <w:autoSpaceDE/>
              <w:autoSpaceDN/>
              <w:bidi w:val="0"/>
              <w:adjustRightInd/>
              <w:snapToGrid/>
              <w:spacing w:line="360" w:lineRule="auto"/>
              <w:textAlignment w:val="auto"/>
              <w:rPr>
                <w:rFonts w:hint="eastAsia"/>
                <w:bCs/>
                <w:sz w:val="24"/>
                <w:szCs w:val="24"/>
                <w:u w:val="none"/>
              </w:rPr>
            </w:pPr>
          </w:p>
          <w:p w14:paraId="4D19C026">
            <w:pPr>
              <w:pStyle w:val="2"/>
              <w:keepNext w:val="0"/>
              <w:keepLines w:val="0"/>
              <w:pageBreakBefore w:val="0"/>
              <w:kinsoku/>
              <w:wordWrap/>
              <w:overflowPunct/>
              <w:topLinePunct w:val="0"/>
              <w:autoSpaceDE/>
              <w:autoSpaceDN/>
              <w:bidi w:val="0"/>
              <w:adjustRightInd/>
              <w:snapToGrid/>
              <w:spacing w:line="360" w:lineRule="auto"/>
              <w:textAlignment w:val="auto"/>
            </w:pPr>
          </w:p>
          <w:p w14:paraId="1B2CCE80"/>
          <w:p w14:paraId="7A0DB303">
            <w:pPr>
              <w:tabs>
                <w:tab w:val="left" w:pos="2196"/>
              </w:tabs>
              <w:spacing w:line="360" w:lineRule="auto"/>
              <w:jc w:val="center"/>
              <w:rPr>
                <w:b/>
                <w:color w:val="000000"/>
                <w:sz w:val="24"/>
                <w:szCs w:val="24"/>
                <w:u w:val="single"/>
              </w:rPr>
            </w:pPr>
            <w:r>
              <w:rPr>
                <w:b/>
                <w:color w:val="000000"/>
                <w:sz w:val="24"/>
                <w:szCs w:val="24"/>
                <w:u w:val="single"/>
              </w:rPr>
              <w:t>表4-</w:t>
            </w:r>
            <w:r>
              <w:rPr>
                <w:rFonts w:hint="eastAsia"/>
                <w:b/>
                <w:color w:val="000000"/>
                <w:sz w:val="24"/>
                <w:szCs w:val="24"/>
                <w:u w:val="single"/>
                <w:lang w:val="en-US" w:eastAsia="zh-CN"/>
              </w:rPr>
              <w:t>8</w:t>
            </w:r>
            <w:r>
              <w:rPr>
                <w:b/>
                <w:color w:val="000000"/>
                <w:sz w:val="24"/>
                <w:szCs w:val="24"/>
                <w:u w:val="single"/>
              </w:rPr>
              <w:t xml:space="preserve">  废水污染物信息表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61"/>
              <w:gridCol w:w="521"/>
              <w:gridCol w:w="821"/>
              <w:gridCol w:w="838"/>
              <w:gridCol w:w="596"/>
              <w:gridCol w:w="937"/>
              <w:gridCol w:w="730"/>
              <w:gridCol w:w="708"/>
              <w:gridCol w:w="1188"/>
              <w:gridCol w:w="594"/>
              <w:gridCol w:w="594"/>
            </w:tblGrid>
            <w:tr w14:paraId="32DDE1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459" w:type="pct"/>
                  <w:vMerge w:val="restart"/>
                  <w:vAlign w:val="center"/>
                </w:tcPr>
                <w:p w14:paraId="7A99629D">
                  <w:pPr>
                    <w:jc w:val="center"/>
                    <w:rPr>
                      <w:rFonts w:hint="default" w:ascii="Times New Roman" w:hAnsi="Times New Roman" w:cs="Times New Roman"/>
                      <w:b/>
                      <w:sz w:val="21"/>
                      <w:szCs w:val="21"/>
                      <w:highlight w:val="none"/>
                      <w:u w:val="single"/>
                    </w:rPr>
                  </w:pPr>
                  <w:r>
                    <w:rPr>
                      <w:rFonts w:hint="default" w:ascii="Times New Roman" w:hAnsi="Times New Roman" w:cs="Times New Roman"/>
                      <w:b/>
                      <w:sz w:val="21"/>
                      <w:szCs w:val="21"/>
                      <w:highlight w:val="none"/>
                      <w:u w:val="single"/>
                    </w:rPr>
                    <w:t>废水名称</w:t>
                  </w:r>
                </w:p>
              </w:tc>
              <w:tc>
                <w:tcPr>
                  <w:tcW w:w="314" w:type="pct"/>
                  <w:vMerge w:val="restart"/>
                  <w:vAlign w:val="center"/>
                </w:tcPr>
                <w:p w14:paraId="696909DC">
                  <w:pPr>
                    <w:jc w:val="center"/>
                    <w:rPr>
                      <w:rFonts w:hint="default" w:ascii="Times New Roman" w:hAnsi="Times New Roman" w:cs="Times New Roman"/>
                      <w:b/>
                      <w:sz w:val="21"/>
                      <w:szCs w:val="21"/>
                      <w:highlight w:val="none"/>
                      <w:u w:val="single"/>
                    </w:rPr>
                  </w:pPr>
                  <w:r>
                    <w:rPr>
                      <w:rFonts w:hint="default" w:ascii="Times New Roman" w:hAnsi="Times New Roman" w:cs="Times New Roman"/>
                      <w:b/>
                      <w:sz w:val="21"/>
                      <w:szCs w:val="21"/>
                      <w:highlight w:val="none"/>
                      <w:u w:val="single"/>
                    </w:rPr>
                    <w:t>污染物</w:t>
                  </w:r>
                </w:p>
              </w:tc>
              <w:tc>
                <w:tcPr>
                  <w:tcW w:w="1000" w:type="pct"/>
                  <w:gridSpan w:val="2"/>
                  <w:vAlign w:val="center"/>
                </w:tcPr>
                <w:p w14:paraId="7DAC1B41">
                  <w:pPr>
                    <w:jc w:val="center"/>
                    <w:rPr>
                      <w:rFonts w:hint="default" w:ascii="Times New Roman" w:hAnsi="Times New Roman" w:cs="Times New Roman"/>
                      <w:b/>
                      <w:sz w:val="21"/>
                      <w:szCs w:val="21"/>
                      <w:highlight w:val="none"/>
                      <w:u w:val="single"/>
                    </w:rPr>
                  </w:pPr>
                  <w:r>
                    <w:rPr>
                      <w:rFonts w:hint="default" w:ascii="Times New Roman" w:hAnsi="Times New Roman" w:cs="Times New Roman"/>
                      <w:b/>
                      <w:sz w:val="21"/>
                      <w:szCs w:val="21"/>
                      <w:highlight w:val="none"/>
                      <w:u w:val="single"/>
                    </w:rPr>
                    <w:t>污染物产生情况</w:t>
                  </w:r>
                </w:p>
              </w:tc>
              <w:tc>
                <w:tcPr>
                  <w:tcW w:w="359" w:type="pct"/>
                  <w:vMerge w:val="restart"/>
                  <w:vAlign w:val="center"/>
                </w:tcPr>
                <w:p w14:paraId="4E9E80C0">
                  <w:pPr>
                    <w:jc w:val="center"/>
                    <w:rPr>
                      <w:rFonts w:hint="default" w:ascii="Times New Roman" w:hAnsi="Times New Roman" w:cs="Times New Roman"/>
                      <w:b/>
                      <w:sz w:val="21"/>
                      <w:szCs w:val="21"/>
                      <w:highlight w:val="none"/>
                      <w:u w:val="single"/>
                    </w:rPr>
                  </w:pPr>
                  <w:r>
                    <w:rPr>
                      <w:rFonts w:hint="default" w:ascii="Times New Roman" w:hAnsi="Times New Roman" w:cs="Times New Roman"/>
                      <w:b/>
                      <w:sz w:val="21"/>
                      <w:szCs w:val="21"/>
                      <w:highlight w:val="none"/>
                      <w:u w:val="single"/>
                    </w:rPr>
                    <w:t>治理措施</w:t>
                  </w:r>
                </w:p>
              </w:tc>
              <w:tc>
                <w:tcPr>
                  <w:tcW w:w="1005" w:type="pct"/>
                  <w:gridSpan w:val="2"/>
                  <w:vAlign w:val="center"/>
                </w:tcPr>
                <w:p w14:paraId="31BE3492">
                  <w:pPr>
                    <w:jc w:val="center"/>
                    <w:rPr>
                      <w:rFonts w:hint="default" w:ascii="Times New Roman" w:hAnsi="Times New Roman" w:cs="Times New Roman"/>
                      <w:b/>
                      <w:sz w:val="21"/>
                      <w:szCs w:val="21"/>
                      <w:highlight w:val="none"/>
                      <w:u w:val="single"/>
                    </w:rPr>
                  </w:pPr>
                  <w:r>
                    <w:rPr>
                      <w:rFonts w:hint="eastAsia" w:cs="Times New Roman"/>
                      <w:b/>
                      <w:sz w:val="21"/>
                      <w:szCs w:val="21"/>
                      <w:highlight w:val="none"/>
                      <w:u w:val="single"/>
                      <w:lang w:val="en-US" w:eastAsia="zh-CN"/>
                    </w:rPr>
                    <w:t>厂区污</w:t>
                  </w:r>
                  <w:r>
                    <w:rPr>
                      <w:rFonts w:hint="default" w:ascii="Times New Roman" w:hAnsi="Times New Roman" w:cs="Times New Roman"/>
                      <w:b/>
                      <w:sz w:val="21"/>
                      <w:szCs w:val="21"/>
                      <w:highlight w:val="none"/>
                      <w:u w:val="single"/>
                    </w:rPr>
                    <w:t>染物排放情况</w:t>
                  </w:r>
                </w:p>
              </w:tc>
              <w:tc>
                <w:tcPr>
                  <w:tcW w:w="427" w:type="pct"/>
                  <w:vMerge w:val="restart"/>
                  <w:vAlign w:val="center"/>
                </w:tcPr>
                <w:p w14:paraId="68F39150">
                  <w:pPr>
                    <w:jc w:val="center"/>
                    <w:rPr>
                      <w:rFonts w:hint="eastAsia" w:ascii="Times New Roman" w:hAnsi="Times New Roman" w:eastAsia="宋体" w:cs="Times New Roman"/>
                      <w:b/>
                      <w:sz w:val="21"/>
                      <w:szCs w:val="21"/>
                      <w:highlight w:val="none"/>
                      <w:u w:val="single"/>
                      <w:lang w:val="en-US" w:eastAsia="zh-CN"/>
                    </w:rPr>
                  </w:pPr>
                  <w:r>
                    <w:rPr>
                      <w:rFonts w:hint="default" w:ascii="Times New Roman" w:hAnsi="Times New Roman" w:cs="Times New Roman"/>
                      <w:b/>
                      <w:sz w:val="21"/>
                      <w:szCs w:val="21"/>
                      <w:highlight w:val="none"/>
                      <w:u w:val="single"/>
                    </w:rPr>
                    <w:t>排放标准</w:t>
                  </w:r>
                  <w:r>
                    <w:rPr>
                      <w:rFonts w:hint="eastAsia" w:cs="Times New Roman"/>
                      <w:b/>
                      <w:sz w:val="21"/>
                      <w:szCs w:val="21"/>
                      <w:highlight w:val="none"/>
                      <w:u w:val="single"/>
                      <w:lang w:val="en-US" w:eastAsia="zh-CN"/>
                    </w:rPr>
                    <w:t>限值</w:t>
                  </w:r>
                </w:p>
              </w:tc>
              <w:tc>
                <w:tcPr>
                  <w:tcW w:w="716" w:type="pct"/>
                  <w:vMerge w:val="restart"/>
                  <w:vAlign w:val="center"/>
                </w:tcPr>
                <w:p w14:paraId="08E6B908">
                  <w:pPr>
                    <w:jc w:val="center"/>
                    <w:rPr>
                      <w:rFonts w:hint="default" w:ascii="Times New Roman" w:hAnsi="Times New Roman" w:eastAsia="宋体" w:cs="Times New Roman"/>
                      <w:b/>
                      <w:sz w:val="21"/>
                      <w:szCs w:val="21"/>
                      <w:highlight w:val="none"/>
                      <w:u w:val="single"/>
                      <w:lang w:val="en-US" w:eastAsia="zh-CN"/>
                    </w:rPr>
                  </w:pPr>
                  <w:r>
                    <w:rPr>
                      <w:rFonts w:hint="eastAsia" w:cs="Times New Roman"/>
                      <w:b/>
                      <w:sz w:val="21"/>
                      <w:szCs w:val="21"/>
                      <w:highlight w:val="none"/>
                      <w:u w:val="single"/>
                      <w:lang w:val="en-US" w:eastAsia="zh-CN"/>
                    </w:rPr>
                    <w:t>排放标准</w:t>
                  </w:r>
                </w:p>
              </w:tc>
              <w:tc>
                <w:tcPr>
                  <w:tcW w:w="716" w:type="pct"/>
                  <w:gridSpan w:val="2"/>
                  <w:vAlign w:val="center"/>
                </w:tcPr>
                <w:p w14:paraId="5ED3DBAE">
                  <w:pPr>
                    <w:jc w:val="center"/>
                    <w:rPr>
                      <w:rFonts w:hint="default" w:ascii="Times New Roman" w:hAnsi="Times New Roman" w:cs="Times New Roman"/>
                      <w:b/>
                      <w:sz w:val="21"/>
                      <w:szCs w:val="21"/>
                      <w:highlight w:val="none"/>
                      <w:u w:val="single"/>
                    </w:rPr>
                  </w:pPr>
                  <w:r>
                    <w:rPr>
                      <w:rFonts w:hint="eastAsia"/>
                      <w:b/>
                      <w:bCs/>
                      <w:color w:val="000000"/>
                      <w:sz w:val="21"/>
                      <w:szCs w:val="21"/>
                      <w:u w:val="single"/>
                    </w:rPr>
                    <w:t>环境排放量</w:t>
                  </w:r>
                </w:p>
              </w:tc>
            </w:tr>
            <w:tr w14:paraId="62EA49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459" w:type="pct"/>
                  <w:vMerge w:val="continue"/>
                  <w:vAlign w:val="center"/>
                </w:tcPr>
                <w:p w14:paraId="107E8A54">
                  <w:pPr>
                    <w:jc w:val="center"/>
                    <w:rPr>
                      <w:rFonts w:hint="default" w:ascii="Times New Roman" w:hAnsi="Times New Roman" w:cs="Times New Roman"/>
                      <w:b/>
                      <w:sz w:val="21"/>
                      <w:szCs w:val="21"/>
                      <w:highlight w:val="none"/>
                      <w:u w:val="single"/>
                    </w:rPr>
                  </w:pPr>
                </w:p>
              </w:tc>
              <w:tc>
                <w:tcPr>
                  <w:tcW w:w="314" w:type="pct"/>
                  <w:vMerge w:val="continue"/>
                  <w:vAlign w:val="center"/>
                </w:tcPr>
                <w:p w14:paraId="618D694B">
                  <w:pPr>
                    <w:jc w:val="center"/>
                    <w:rPr>
                      <w:rFonts w:hint="default" w:ascii="Times New Roman" w:hAnsi="Times New Roman" w:cs="Times New Roman"/>
                      <w:b/>
                      <w:sz w:val="21"/>
                      <w:szCs w:val="21"/>
                      <w:highlight w:val="none"/>
                      <w:u w:val="single"/>
                    </w:rPr>
                  </w:pPr>
                </w:p>
              </w:tc>
              <w:tc>
                <w:tcPr>
                  <w:tcW w:w="495" w:type="pct"/>
                  <w:vAlign w:val="center"/>
                </w:tcPr>
                <w:p w14:paraId="090D459B">
                  <w:pPr>
                    <w:jc w:val="center"/>
                    <w:rPr>
                      <w:rFonts w:hint="default" w:ascii="Times New Roman" w:hAnsi="Times New Roman" w:cs="Times New Roman"/>
                      <w:b/>
                      <w:sz w:val="21"/>
                      <w:szCs w:val="21"/>
                      <w:highlight w:val="none"/>
                      <w:u w:val="single"/>
                    </w:rPr>
                  </w:pPr>
                  <w:r>
                    <w:rPr>
                      <w:rFonts w:hint="default" w:ascii="Times New Roman" w:hAnsi="Times New Roman" w:cs="Times New Roman"/>
                      <w:b/>
                      <w:sz w:val="21"/>
                      <w:szCs w:val="21"/>
                      <w:highlight w:val="none"/>
                      <w:u w:val="single"/>
                    </w:rPr>
                    <w:t>产生浓度</w:t>
                  </w:r>
                </w:p>
                <w:p w14:paraId="5D33F93D">
                  <w:pPr>
                    <w:jc w:val="center"/>
                    <w:rPr>
                      <w:rFonts w:hint="default" w:ascii="Times New Roman" w:hAnsi="Times New Roman" w:cs="Times New Roman"/>
                      <w:b/>
                      <w:sz w:val="21"/>
                      <w:szCs w:val="21"/>
                      <w:highlight w:val="none"/>
                      <w:u w:val="single"/>
                    </w:rPr>
                  </w:pPr>
                  <w:r>
                    <w:rPr>
                      <w:rFonts w:hint="default" w:ascii="Times New Roman" w:hAnsi="Times New Roman" w:cs="Times New Roman"/>
                      <w:b/>
                      <w:sz w:val="21"/>
                      <w:szCs w:val="21"/>
                      <w:highlight w:val="none"/>
                      <w:u w:val="single"/>
                    </w:rPr>
                    <w:t>mg/L</w:t>
                  </w:r>
                </w:p>
              </w:tc>
              <w:tc>
                <w:tcPr>
                  <w:tcW w:w="505" w:type="pct"/>
                  <w:vAlign w:val="center"/>
                </w:tcPr>
                <w:p w14:paraId="2DED8043">
                  <w:pPr>
                    <w:jc w:val="center"/>
                    <w:rPr>
                      <w:rFonts w:hint="default" w:ascii="Times New Roman" w:hAnsi="Times New Roman" w:cs="Times New Roman"/>
                      <w:b/>
                      <w:sz w:val="21"/>
                      <w:szCs w:val="21"/>
                      <w:highlight w:val="none"/>
                      <w:u w:val="single"/>
                    </w:rPr>
                  </w:pPr>
                  <w:r>
                    <w:rPr>
                      <w:rFonts w:hint="default" w:ascii="Times New Roman" w:hAnsi="Times New Roman" w:cs="Times New Roman"/>
                      <w:b/>
                      <w:sz w:val="21"/>
                      <w:szCs w:val="21"/>
                      <w:highlight w:val="none"/>
                      <w:u w:val="single"/>
                    </w:rPr>
                    <w:t>产生量t/a</w:t>
                  </w:r>
                </w:p>
              </w:tc>
              <w:tc>
                <w:tcPr>
                  <w:tcW w:w="359" w:type="pct"/>
                  <w:vMerge w:val="continue"/>
                  <w:vAlign w:val="center"/>
                </w:tcPr>
                <w:p w14:paraId="0B5E61C9">
                  <w:pPr>
                    <w:jc w:val="center"/>
                    <w:rPr>
                      <w:rFonts w:hint="default" w:ascii="Times New Roman" w:hAnsi="Times New Roman" w:cs="Times New Roman"/>
                      <w:b/>
                      <w:sz w:val="21"/>
                      <w:szCs w:val="21"/>
                      <w:highlight w:val="none"/>
                      <w:u w:val="single"/>
                    </w:rPr>
                  </w:pPr>
                </w:p>
              </w:tc>
              <w:tc>
                <w:tcPr>
                  <w:tcW w:w="565" w:type="pct"/>
                  <w:vAlign w:val="center"/>
                </w:tcPr>
                <w:p w14:paraId="3EDA0E86">
                  <w:pPr>
                    <w:jc w:val="center"/>
                    <w:rPr>
                      <w:rFonts w:hint="default" w:ascii="Times New Roman" w:hAnsi="Times New Roman" w:cs="Times New Roman"/>
                      <w:b/>
                      <w:sz w:val="21"/>
                      <w:szCs w:val="21"/>
                      <w:highlight w:val="none"/>
                      <w:u w:val="single"/>
                    </w:rPr>
                  </w:pPr>
                  <w:r>
                    <w:rPr>
                      <w:rFonts w:hint="default" w:ascii="Times New Roman" w:hAnsi="Times New Roman" w:cs="Times New Roman"/>
                      <w:b/>
                      <w:sz w:val="21"/>
                      <w:szCs w:val="21"/>
                      <w:highlight w:val="none"/>
                      <w:u w:val="single"/>
                    </w:rPr>
                    <w:t>浓度</w:t>
                  </w:r>
                </w:p>
                <w:p w14:paraId="4E6BEE7D">
                  <w:pPr>
                    <w:jc w:val="center"/>
                    <w:rPr>
                      <w:rFonts w:hint="default" w:ascii="Times New Roman" w:hAnsi="Times New Roman" w:cs="Times New Roman"/>
                      <w:b/>
                      <w:sz w:val="21"/>
                      <w:szCs w:val="21"/>
                      <w:highlight w:val="none"/>
                      <w:u w:val="single"/>
                    </w:rPr>
                  </w:pPr>
                  <w:r>
                    <w:rPr>
                      <w:rFonts w:hint="default" w:ascii="Times New Roman" w:hAnsi="Times New Roman" w:cs="Times New Roman"/>
                      <w:b/>
                      <w:sz w:val="21"/>
                      <w:szCs w:val="21"/>
                      <w:highlight w:val="none"/>
                      <w:u w:val="single"/>
                    </w:rPr>
                    <w:t>mg/L</w:t>
                  </w:r>
                </w:p>
              </w:tc>
              <w:tc>
                <w:tcPr>
                  <w:tcW w:w="440" w:type="pct"/>
                  <w:vAlign w:val="center"/>
                </w:tcPr>
                <w:p w14:paraId="1DA91A03">
                  <w:pPr>
                    <w:jc w:val="center"/>
                    <w:rPr>
                      <w:rFonts w:hint="default" w:ascii="Times New Roman" w:hAnsi="Times New Roman" w:cs="Times New Roman"/>
                      <w:b/>
                      <w:sz w:val="21"/>
                      <w:szCs w:val="21"/>
                      <w:highlight w:val="none"/>
                      <w:u w:val="single"/>
                    </w:rPr>
                  </w:pPr>
                  <w:r>
                    <w:rPr>
                      <w:rFonts w:hint="default" w:ascii="Times New Roman" w:hAnsi="Times New Roman" w:cs="Times New Roman"/>
                      <w:b/>
                      <w:sz w:val="21"/>
                      <w:szCs w:val="21"/>
                      <w:highlight w:val="none"/>
                      <w:u w:val="single"/>
                    </w:rPr>
                    <w:t>排放量</w:t>
                  </w:r>
                  <w:r>
                    <w:rPr>
                      <w:rFonts w:hint="eastAsia" w:cs="Times New Roman"/>
                      <w:b/>
                      <w:sz w:val="21"/>
                      <w:szCs w:val="21"/>
                      <w:highlight w:val="none"/>
                      <w:u w:val="single"/>
                      <w:lang w:val="en-US" w:eastAsia="zh-CN"/>
                    </w:rPr>
                    <w:t>/</w:t>
                  </w:r>
                  <w:r>
                    <w:rPr>
                      <w:rFonts w:hint="default" w:ascii="Times New Roman" w:hAnsi="Times New Roman" w:cs="Times New Roman"/>
                      <w:b/>
                      <w:sz w:val="21"/>
                      <w:szCs w:val="21"/>
                      <w:highlight w:val="none"/>
                      <w:u w:val="single"/>
                    </w:rPr>
                    <w:t>t/a</w:t>
                  </w:r>
                </w:p>
              </w:tc>
              <w:tc>
                <w:tcPr>
                  <w:tcW w:w="427" w:type="pct"/>
                  <w:vMerge w:val="continue"/>
                  <w:vAlign w:val="center"/>
                </w:tcPr>
                <w:p w14:paraId="7B57AE71">
                  <w:pPr>
                    <w:jc w:val="center"/>
                    <w:rPr>
                      <w:rFonts w:hint="default" w:ascii="Times New Roman" w:hAnsi="Times New Roman" w:cs="Times New Roman"/>
                      <w:b/>
                      <w:sz w:val="21"/>
                      <w:szCs w:val="21"/>
                      <w:highlight w:val="none"/>
                      <w:u w:val="single"/>
                    </w:rPr>
                  </w:pPr>
                </w:p>
              </w:tc>
              <w:tc>
                <w:tcPr>
                  <w:tcW w:w="716" w:type="pct"/>
                  <w:vMerge w:val="continue"/>
                  <w:vAlign w:val="center"/>
                </w:tcPr>
                <w:p w14:paraId="12239D0C">
                  <w:pPr>
                    <w:jc w:val="center"/>
                    <w:rPr>
                      <w:rFonts w:hint="default" w:ascii="Times New Roman" w:hAnsi="Times New Roman" w:cs="Times New Roman"/>
                      <w:b/>
                      <w:sz w:val="21"/>
                      <w:szCs w:val="21"/>
                      <w:highlight w:val="none"/>
                      <w:u w:val="single"/>
                      <w:lang w:val="en-US"/>
                    </w:rPr>
                  </w:pPr>
                </w:p>
              </w:tc>
              <w:tc>
                <w:tcPr>
                  <w:tcW w:w="358" w:type="pct"/>
                  <w:vAlign w:val="center"/>
                </w:tcPr>
                <w:p w14:paraId="4D374266">
                  <w:pPr>
                    <w:widowControl/>
                    <w:jc w:val="center"/>
                    <w:textAlignment w:val="center"/>
                    <w:rPr>
                      <w:rFonts w:hint="eastAsia"/>
                      <w:b/>
                      <w:bCs/>
                      <w:color w:val="000000"/>
                      <w:kern w:val="0"/>
                      <w:sz w:val="21"/>
                      <w:szCs w:val="21"/>
                      <w:u w:val="single"/>
                      <w:lang w:bidi="ar"/>
                    </w:rPr>
                  </w:pPr>
                  <w:r>
                    <w:rPr>
                      <w:rFonts w:hint="eastAsia"/>
                      <w:b/>
                      <w:bCs/>
                      <w:color w:val="000000"/>
                      <w:kern w:val="0"/>
                      <w:sz w:val="21"/>
                      <w:szCs w:val="21"/>
                      <w:u w:val="single"/>
                      <w:lang w:bidi="ar"/>
                    </w:rPr>
                    <w:t>浓度</w:t>
                  </w:r>
                </w:p>
                <w:p w14:paraId="29B67791">
                  <w:pPr>
                    <w:widowControl/>
                    <w:jc w:val="center"/>
                    <w:textAlignment w:val="center"/>
                    <w:rPr>
                      <w:rFonts w:hint="default" w:ascii="Times New Roman" w:hAnsi="Times New Roman" w:cs="Times New Roman"/>
                      <w:b/>
                      <w:sz w:val="21"/>
                      <w:szCs w:val="21"/>
                      <w:highlight w:val="none"/>
                      <w:u w:val="single"/>
                    </w:rPr>
                  </w:pPr>
                  <w:r>
                    <w:rPr>
                      <w:rFonts w:hint="eastAsia"/>
                      <w:b/>
                      <w:bCs/>
                      <w:color w:val="000000"/>
                      <w:kern w:val="0"/>
                      <w:sz w:val="21"/>
                      <w:szCs w:val="21"/>
                      <w:u w:val="single"/>
                      <w:lang w:bidi="ar"/>
                    </w:rPr>
                    <w:t>mg/L</w:t>
                  </w:r>
                </w:p>
              </w:tc>
              <w:tc>
                <w:tcPr>
                  <w:tcW w:w="358" w:type="pct"/>
                  <w:vAlign w:val="center"/>
                </w:tcPr>
                <w:p w14:paraId="2CAD8614">
                  <w:pPr>
                    <w:widowControl/>
                    <w:jc w:val="center"/>
                    <w:textAlignment w:val="center"/>
                    <w:rPr>
                      <w:rFonts w:hint="default" w:ascii="Times New Roman" w:hAnsi="Times New Roman" w:cs="Times New Roman"/>
                      <w:b/>
                      <w:sz w:val="21"/>
                      <w:szCs w:val="21"/>
                      <w:highlight w:val="none"/>
                      <w:u w:val="single"/>
                    </w:rPr>
                  </w:pPr>
                  <w:r>
                    <w:rPr>
                      <w:rFonts w:hint="eastAsia"/>
                      <w:b/>
                      <w:bCs/>
                      <w:color w:val="000000"/>
                      <w:kern w:val="0"/>
                      <w:sz w:val="21"/>
                      <w:szCs w:val="21"/>
                      <w:u w:val="single"/>
                      <w:lang w:bidi="ar"/>
                    </w:rPr>
                    <w:t>排放量</w:t>
                  </w:r>
                  <w:r>
                    <w:rPr>
                      <w:b/>
                      <w:bCs/>
                      <w:color w:val="000000"/>
                      <w:kern w:val="0"/>
                      <w:sz w:val="21"/>
                      <w:szCs w:val="21"/>
                      <w:u w:val="single"/>
                      <w:lang w:bidi="ar"/>
                    </w:rPr>
                    <w:t>t/a</w:t>
                  </w:r>
                </w:p>
              </w:tc>
            </w:tr>
            <w:tr w14:paraId="3DDD9F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restart"/>
                  <w:vAlign w:val="center"/>
                </w:tcPr>
                <w:p w14:paraId="12F58319">
                  <w:pPr>
                    <w:jc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医疗废水16936</w:t>
                  </w:r>
                  <w:r>
                    <w:rPr>
                      <w:rFonts w:hint="default" w:ascii="Times New Roman" w:hAnsi="Times New Roman" w:cs="Times New Roman"/>
                      <w:sz w:val="21"/>
                      <w:szCs w:val="21"/>
                      <w:highlight w:val="none"/>
                      <w:u w:val="single"/>
                      <w:lang w:val="en-US" w:eastAsia="zh-CN"/>
                    </w:rPr>
                    <w:t>m</w:t>
                  </w:r>
                  <w:r>
                    <w:rPr>
                      <w:rFonts w:hint="default" w:ascii="Times New Roman" w:hAnsi="Times New Roman" w:cs="Times New Roman"/>
                      <w:sz w:val="21"/>
                      <w:szCs w:val="21"/>
                      <w:highlight w:val="none"/>
                      <w:u w:val="single"/>
                      <w:vertAlign w:val="superscript"/>
                      <w:lang w:val="en-US" w:eastAsia="zh-CN"/>
                    </w:rPr>
                    <w:t>3</w:t>
                  </w:r>
                  <w:r>
                    <w:rPr>
                      <w:rFonts w:hint="default" w:ascii="Times New Roman" w:hAnsi="Times New Roman" w:cs="Times New Roman"/>
                      <w:sz w:val="21"/>
                      <w:szCs w:val="21"/>
                      <w:highlight w:val="none"/>
                      <w:u w:val="single"/>
                      <w:lang w:val="en-US" w:eastAsia="zh-CN"/>
                    </w:rPr>
                    <w:t>/a</w:t>
                  </w:r>
                </w:p>
              </w:tc>
              <w:tc>
                <w:tcPr>
                  <w:tcW w:w="314" w:type="pct"/>
                  <w:vAlign w:val="center"/>
                </w:tcPr>
                <w:p w14:paraId="527CDFB6">
                  <w:pPr>
                    <w:jc w:val="center"/>
                    <w:rPr>
                      <w:rFonts w:hint="default" w:ascii="Times New Roman" w:hAnsi="Times New Roman" w:cs="Times New Roman"/>
                      <w:sz w:val="21"/>
                      <w:szCs w:val="21"/>
                      <w:highlight w:val="none"/>
                      <w:u w:val="single"/>
                    </w:rPr>
                  </w:pPr>
                  <w:r>
                    <w:rPr>
                      <w:rFonts w:hint="default" w:ascii="Times New Roman" w:hAnsi="Times New Roman" w:cs="Times New Roman"/>
                      <w:sz w:val="21"/>
                      <w:szCs w:val="21"/>
                      <w:highlight w:val="none"/>
                      <w:u w:val="single"/>
                    </w:rPr>
                    <w:t>pH</w:t>
                  </w:r>
                </w:p>
              </w:tc>
              <w:tc>
                <w:tcPr>
                  <w:tcW w:w="495" w:type="pct"/>
                  <w:vAlign w:val="center"/>
                </w:tcPr>
                <w:p w14:paraId="1B9F280E">
                  <w:pPr>
                    <w:pStyle w:val="115"/>
                    <w:adjustRightInd/>
                    <w:snapToGrid/>
                    <w:spacing w:beforeLines="0" w:line="240" w:lineRule="auto"/>
                    <w:jc w:val="center"/>
                    <w:rPr>
                      <w:rFonts w:hint="default" w:ascii="Times New Roman" w:hAnsi="Times New Roman" w:eastAsia="宋体" w:cs="Times New Roman"/>
                      <w:sz w:val="21"/>
                      <w:szCs w:val="21"/>
                      <w:highlight w:val="none"/>
                      <w:u w:val="single"/>
                      <w:lang w:val="en-US" w:eastAsia="zh-CN"/>
                    </w:rPr>
                  </w:pPr>
                  <w:r>
                    <w:rPr>
                      <w:rFonts w:hint="default" w:ascii="Times New Roman" w:hAnsi="Times New Roman" w:cs="Times New Roman"/>
                      <w:sz w:val="21"/>
                      <w:szCs w:val="21"/>
                      <w:highlight w:val="none"/>
                      <w:u w:val="single"/>
                      <w:lang w:val="en-US" w:eastAsia="zh-CN"/>
                    </w:rPr>
                    <w:t>6-9</w:t>
                  </w:r>
                </w:p>
              </w:tc>
              <w:tc>
                <w:tcPr>
                  <w:tcW w:w="505" w:type="pct"/>
                  <w:vAlign w:val="center"/>
                </w:tcPr>
                <w:p w14:paraId="43D059E2">
                  <w:pPr>
                    <w:jc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等线" w:cs="Times New Roman"/>
                      <w:sz w:val="21"/>
                      <w:szCs w:val="21"/>
                      <w:highlight w:val="none"/>
                      <w:u w:val="single"/>
                      <w:lang w:val="en-US" w:eastAsia="zh-CN"/>
                    </w:rPr>
                    <w:t>/</w:t>
                  </w:r>
                </w:p>
              </w:tc>
              <w:tc>
                <w:tcPr>
                  <w:tcW w:w="359" w:type="pct"/>
                  <w:vMerge w:val="restart"/>
                  <w:vAlign w:val="center"/>
                </w:tcPr>
                <w:p w14:paraId="1E32FDA2">
                  <w:pPr>
                    <w:jc w:val="center"/>
                    <w:rPr>
                      <w:rFonts w:hint="default" w:ascii="Times New Roman" w:hAnsi="Times New Roman" w:cs="Times New Roman"/>
                      <w:sz w:val="21"/>
                      <w:szCs w:val="21"/>
                      <w:highlight w:val="none"/>
                      <w:u w:val="single"/>
                    </w:rPr>
                  </w:pPr>
                  <w:r>
                    <w:rPr>
                      <w:rFonts w:hint="default" w:ascii="Times New Roman" w:hAnsi="Times New Roman" w:cs="Times New Roman"/>
                      <w:sz w:val="21"/>
                      <w:szCs w:val="21"/>
                      <w:highlight w:val="none"/>
                      <w:u w:val="single"/>
                    </w:rPr>
                    <w:t>自建污水处理站</w:t>
                  </w:r>
                </w:p>
              </w:tc>
              <w:tc>
                <w:tcPr>
                  <w:tcW w:w="565" w:type="pct"/>
                  <w:vAlign w:val="center"/>
                </w:tcPr>
                <w:p w14:paraId="5FCCA02C">
                  <w:pPr>
                    <w:pStyle w:val="115"/>
                    <w:adjustRightInd/>
                    <w:snapToGrid/>
                    <w:spacing w:beforeLines="0" w:line="240" w:lineRule="auto"/>
                    <w:jc w:val="center"/>
                    <w:rPr>
                      <w:rFonts w:hint="default" w:ascii="Times New Roman" w:hAnsi="Times New Roman" w:eastAsia="等线" w:cs="Times New Roman"/>
                      <w:sz w:val="21"/>
                      <w:szCs w:val="21"/>
                      <w:highlight w:val="none"/>
                      <w:u w:val="single"/>
                    </w:rPr>
                  </w:pPr>
                  <w:r>
                    <w:rPr>
                      <w:rFonts w:hint="default" w:ascii="Times New Roman" w:hAnsi="Times New Roman" w:cs="Times New Roman"/>
                      <w:sz w:val="21"/>
                      <w:szCs w:val="21"/>
                      <w:highlight w:val="none"/>
                      <w:u w:val="single"/>
                      <w:lang w:val="en-US" w:eastAsia="zh-CN"/>
                    </w:rPr>
                    <w:t>6-9</w:t>
                  </w:r>
                </w:p>
              </w:tc>
              <w:tc>
                <w:tcPr>
                  <w:tcW w:w="440" w:type="pct"/>
                  <w:vAlign w:val="center"/>
                </w:tcPr>
                <w:p w14:paraId="4829A0CF">
                  <w:pPr>
                    <w:jc w:val="center"/>
                    <w:rPr>
                      <w:rFonts w:hint="eastAsia" w:ascii="Times New Roman" w:hAnsi="Times New Roman" w:eastAsia="等线" w:cs="Times New Roman"/>
                      <w:sz w:val="21"/>
                      <w:szCs w:val="21"/>
                      <w:highlight w:val="none"/>
                      <w:u w:val="single"/>
                      <w:lang w:val="en-US" w:eastAsia="zh-CN"/>
                    </w:rPr>
                  </w:pPr>
                  <w:r>
                    <w:rPr>
                      <w:rFonts w:hint="eastAsia" w:ascii="Times New Roman" w:hAnsi="Times New Roman" w:eastAsia="等线" w:cs="Times New Roman"/>
                      <w:sz w:val="21"/>
                      <w:szCs w:val="21"/>
                      <w:highlight w:val="none"/>
                      <w:u w:val="single"/>
                      <w:lang w:val="en-US" w:eastAsia="zh-CN"/>
                    </w:rPr>
                    <w:t>/</w:t>
                  </w:r>
                </w:p>
              </w:tc>
              <w:tc>
                <w:tcPr>
                  <w:tcW w:w="427" w:type="pct"/>
                  <w:vAlign w:val="center"/>
                </w:tcPr>
                <w:p w14:paraId="000B0377">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6-9</w:t>
                  </w:r>
                </w:p>
              </w:tc>
              <w:tc>
                <w:tcPr>
                  <w:tcW w:w="716" w:type="pct"/>
                  <w:vMerge w:val="restart"/>
                  <w:vAlign w:val="center"/>
                </w:tcPr>
                <w:p w14:paraId="6155D83D">
                  <w:pPr>
                    <w:jc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sz w:val="21"/>
                      <w:szCs w:val="21"/>
                      <w:highlight w:val="none"/>
                      <w:u w:val="single"/>
                      <w:lang w:val="en-US" w:eastAsia="zh-CN"/>
                    </w:rPr>
                    <w:t>《医疗机构水污染物排放标准》(GB18466-2005)（含2026年修改单）表2中预处理标准及安化县污水处理厂进水水质标准</w:t>
                  </w:r>
                </w:p>
              </w:tc>
              <w:tc>
                <w:tcPr>
                  <w:tcW w:w="358" w:type="pct"/>
                  <w:vAlign w:val="center"/>
                </w:tcPr>
                <w:p w14:paraId="6B6DD371">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05D3FD8A">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r>
            <w:tr w14:paraId="09D684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61719546">
                  <w:pPr>
                    <w:jc w:val="center"/>
                    <w:rPr>
                      <w:rFonts w:hint="default" w:ascii="Times New Roman" w:hAnsi="Times New Roman" w:cs="Times New Roman"/>
                      <w:sz w:val="21"/>
                      <w:szCs w:val="21"/>
                      <w:highlight w:val="none"/>
                      <w:u w:val="single"/>
                    </w:rPr>
                  </w:pPr>
                </w:p>
              </w:tc>
              <w:tc>
                <w:tcPr>
                  <w:tcW w:w="314" w:type="pct"/>
                  <w:vAlign w:val="center"/>
                </w:tcPr>
                <w:p w14:paraId="5D789065">
                  <w:pPr>
                    <w:jc w:val="center"/>
                    <w:rPr>
                      <w:rFonts w:hint="default" w:ascii="Times New Roman" w:hAnsi="Times New Roman" w:cs="Times New Roman"/>
                      <w:sz w:val="21"/>
                      <w:szCs w:val="21"/>
                      <w:highlight w:val="none"/>
                      <w:u w:val="single"/>
                    </w:rPr>
                  </w:pPr>
                  <w:r>
                    <w:rPr>
                      <w:rFonts w:hint="default" w:ascii="Times New Roman" w:hAnsi="Times New Roman" w:cs="Times New Roman"/>
                      <w:color w:val="000000"/>
                      <w:sz w:val="21"/>
                      <w:szCs w:val="21"/>
                      <w:highlight w:val="none"/>
                      <w:u w:val="single"/>
                    </w:rPr>
                    <w:t>COD</w:t>
                  </w:r>
                </w:p>
              </w:tc>
              <w:tc>
                <w:tcPr>
                  <w:tcW w:w="495" w:type="pct"/>
                  <w:vAlign w:val="center"/>
                </w:tcPr>
                <w:p w14:paraId="75485718">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300</w:t>
                  </w:r>
                </w:p>
              </w:tc>
              <w:tc>
                <w:tcPr>
                  <w:tcW w:w="505" w:type="pct"/>
                  <w:vAlign w:val="center"/>
                </w:tcPr>
                <w:p w14:paraId="73421CD7">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5.081 </w:t>
                  </w:r>
                </w:p>
              </w:tc>
              <w:tc>
                <w:tcPr>
                  <w:tcW w:w="359" w:type="pct"/>
                  <w:vMerge w:val="continue"/>
                  <w:vAlign w:val="center"/>
                </w:tcPr>
                <w:p w14:paraId="4A595E50">
                  <w:pPr>
                    <w:jc w:val="center"/>
                    <w:rPr>
                      <w:rFonts w:hint="default" w:ascii="Times New Roman" w:hAnsi="Times New Roman" w:cs="Times New Roman"/>
                      <w:sz w:val="21"/>
                      <w:szCs w:val="21"/>
                      <w:highlight w:val="none"/>
                      <w:u w:val="single"/>
                    </w:rPr>
                  </w:pPr>
                </w:p>
              </w:tc>
              <w:tc>
                <w:tcPr>
                  <w:tcW w:w="565" w:type="pct"/>
                  <w:vAlign w:val="center"/>
                </w:tcPr>
                <w:p w14:paraId="618406CA">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250</w:t>
                  </w:r>
                </w:p>
              </w:tc>
              <w:tc>
                <w:tcPr>
                  <w:tcW w:w="440" w:type="pct"/>
                  <w:vAlign w:val="center"/>
                </w:tcPr>
                <w:p w14:paraId="21056A85">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4.234 </w:t>
                  </w:r>
                </w:p>
              </w:tc>
              <w:tc>
                <w:tcPr>
                  <w:tcW w:w="427" w:type="pct"/>
                  <w:vAlign w:val="center"/>
                </w:tcPr>
                <w:p w14:paraId="67D442CF">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250</w:t>
                  </w:r>
                  <w:r>
                    <w:rPr>
                      <w:rFonts w:hint="eastAsia"/>
                      <w:bCs/>
                      <w:sz w:val="21"/>
                      <w:szCs w:val="21"/>
                      <w:highlight w:val="none"/>
                      <w:u w:val="single"/>
                    </w:rPr>
                    <w:t>mg/L</w:t>
                  </w:r>
                </w:p>
              </w:tc>
              <w:tc>
                <w:tcPr>
                  <w:tcW w:w="716" w:type="pct"/>
                  <w:vMerge w:val="continue"/>
                  <w:vAlign w:val="center"/>
                </w:tcPr>
                <w:p w14:paraId="46095D36">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44368901">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50</w:t>
                  </w:r>
                </w:p>
              </w:tc>
              <w:tc>
                <w:tcPr>
                  <w:tcW w:w="358" w:type="pct"/>
                  <w:vAlign w:val="center"/>
                </w:tcPr>
                <w:p w14:paraId="16076A1F">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0.847 </w:t>
                  </w:r>
                </w:p>
              </w:tc>
            </w:tr>
            <w:tr w14:paraId="3A5FB2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7B25C4FE">
                  <w:pPr>
                    <w:jc w:val="center"/>
                    <w:rPr>
                      <w:rFonts w:hint="default" w:ascii="Times New Roman" w:hAnsi="Times New Roman" w:cs="Times New Roman"/>
                      <w:sz w:val="21"/>
                      <w:szCs w:val="21"/>
                      <w:highlight w:val="none"/>
                      <w:u w:val="single"/>
                    </w:rPr>
                  </w:pPr>
                </w:p>
              </w:tc>
              <w:tc>
                <w:tcPr>
                  <w:tcW w:w="314" w:type="pct"/>
                  <w:vAlign w:val="center"/>
                </w:tcPr>
                <w:p w14:paraId="73033A82">
                  <w:pPr>
                    <w:jc w:val="center"/>
                    <w:rPr>
                      <w:rFonts w:hint="default" w:ascii="Times New Roman" w:hAnsi="Times New Roman" w:cs="Times New Roman"/>
                      <w:sz w:val="21"/>
                      <w:szCs w:val="21"/>
                      <w:highlight w:val="none"/>
                      <w:u w:val="single"/>
                    </w:rPr>
                  </w:pPr>
                  <w:r>
                    <w:rPr>
                      <w:rFonts w:hint="default" w:ascii="Times New Roman" w:hAnsi="Times New Roman" w:cs="Times New Roman"/>
                      <w:color w:val="000000"/>
                      <w:sz w:val="21"/>
                      <w:szCs w:val="21"/>
                      <w:highlight w:val="none"/>
                      <w:u w:val="single"/>
                    </w:rPr>
                    <w:t>BOD</w:t>
                  </w:r>
                </w:p>
              </w:tc>
              <w:tc>
                <w:tcPr>
                  <w:tcW w:w="495" w:type="pct"/>
                  <w:vAlign w:val="center"/>
                </w:tcPr>
                <w:p w14:paraId="5DE87F57">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150</w:t>
                  </w:r>
                </w:p>
              </w:tc>
              <w:tc>
                <w:tcPr>
                  <w:tcW w:w="505" w:type="pct"/>
                  <w:vAlign w:val="center"/>
                </w:tcPr>
                <w:p w14:paraId="3B6A1F06">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2.540 </w:t>
                  </w:r>
                </w:p>
              </w:tc>
              <w:tc>
                <w:tcPr>
                  <w:tcW w:w="359" w:type="pct"/>
                  <w:vMerge w:val="continue"/>
                  <w:vAlign w:val="center"/>
                </w:tcPr>
                <w:p w14:paraId="7134EAAA">
                  <w:pPr>
                    <w:jc w:val="center"/>
                    <w:rPr>
                      <w:rFonts w:hint="default" w:ascii="Times New Roman" w:hAnsi="Times New Roman" w:cs="Times New Roman"/>
                      <w:sz w:val="21"/>
                      <w:szCs w:val="21"/>
                      <w:highlight w:val="none"/>
                      <w:u w:val="single"/>
                    </w:rPr>
                  </w:pPr>
                </w:p>
              </w:tc>
              <w:tc>
                <w:tcPr>
                  <w:tcW w:w="565" w:type="pct"/>
                  <w:vAlign w:val="center"/>
                </w:tcPr>
                <w:p w14:paraId="161B7286">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100</w:t>
                  </w:r>
                </w:p>
              </w:tc>
              <w:tc>
                <w:tcPr>
                  <w:tcW w:w="440" w:type="pct"/>
                  <w:vAlign w:val="center"/>
                </w:tcPr>
                <w:p w14:paraId="36052E69">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1.694 </w:t>
                  </w:r>
                </w:p>
              </w:tc>
              <w:tc>
                <w:tcPr>
                  <w:tcW w:w="427" w:type="pct"/>
                  <w:vAlign w:val="center"/>
                </w:tcPr>
                <w:p w14:paraId="7FD240AA">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100</w:t>
                  </w:r>
                  <w:r>
                    <w:rPr>
                      <w:rFonts w:hint="eastAsia"/>
                      <w:bCs/>
                      <w:sz w:val="21"/>
                      <w:szCs w:val="21"/>
                      <w:highlight w:val="none"/>
                      <w:u w:val="single"/>
                    </w:rPr>
                    <w:t>mg/L</w:t>
                  </w:r>
                </w:p>
              </w:tc>
              <w:tc>
                <w:tcPr>
                  <w:tcW w:w="716" w:type="pct"/>
                  <w:vMerge w:val="continue"/>
                  <w:vAlign w:val="center"/>
                </w:tcPr>
                <w:p w14:paraId="61327691">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30F6C467">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45090A76">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0.169 </w:t>
                  </w:r>
                </w:p>
              </w:tc>
            </w:tr>
            <w:tr w14:paraId="4CC84E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0586CC52">
                  <w:pPr>
                    <w:jc w:val="center"/>
                    <w:rPr>
                      <w:rFonts w:hint="default" w:ascii="Times New Roman" w:hAnsi="Times New Roman" w:cs="Times New Roman"/>
                      <w:sz w:val="21"/>
                      <w:szCs w:val="21"/>
                      <w:highlight w:val="none"/>
                      <w:u w:val="single"/>
                    </w:rPr>
                  </w:pPr>
                </w:p>
              </w:tc>
              <w:tc>
                <w:tcPr>
                  <w:tcW w:w="314" w:type="pct"/>
                  <w:vAlign w:val="center"/>
                </w:tcPr>
                <w:p w14:paraId="1F5928C7">
                  <w:pPr>
                    <w:jc w:val="center"/>
                    <w:rPr>
                      <w:rFonts w:hint="default" w:ascii="Times New Roman" w:hAnsi="Times New Roman" w:cs="Times New Roman"/>
                      <w:sz w:val="21"/>
                      <w:szCs w:val="21"/>
                      <w:highlight w:val="none"/>
                      <w:u w:val="single"/>
                    </w:rPr>
                  </w:pPr>
                  <w:r>
                    <w:rPr>
                      <w:rStyle w:val="203"/>
                      <w:rFonts w:hint="default" w:ascii="Times New Roman" w:hAnsi="Times New Roman" w:cs="Times New Roman"/>
                      <w:sz w:val="21"/>
                      <w:szCs w:val="21"/>
                      <w:highlight w:val="none"/>
                      <w:u w:val="single"/>
                      <w:vertAlign w:val="baseline"/>
                    </w:rPr>
                    <w:t>氨氮</w:t>
                  </w:r>
                </w:p>
              </w:tc>
              <w:tc>
                <w:tcPr>
                  <w:tcW w:w="495" w:type="pct"/>
                  <w:vAlign w:val="center"/>
                </w:tcPr>
                <w:p w14:paraId="3A7E1C9B">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30</w:t>
                  </w:r>
                </w:p>
              </w:tc>
              <w:tc>
                <w:tcPr>
                  <w:tcW w:w="505" w:type="pct"/>
                  <w:vAlign w:val="center"/>
                </w:tcPr>
                <w:p w14:paraId="131C36A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0.508 </w:t>
                  </w:r>
                </w:p>
              </w:tc>
              <w:tc>
                <w:tcPr>
                  <w:tcW w:w="359" w:type="pct"/>
                  <w:vMerge w:val="continue"/>
                  <w:vAlign w:val="center"/>
                </w:tcPr>
                <w:p w14:paraId="3C68B3E7">
                  <w:pPr>
                    <w:jc w:val="center"/>
                    <w:rPr>
                      <w:rFonts w:hint="default" w:ascii="Times New Roman" w:hAnsi="Times New Roman" w:cs="Times New Roman"/>
                      <w:sz w:val="21"/>
                      <w:szCs w:val="21"/>
                      <w:highlight w:val="none"/>
                      <w:u w:val="single"/>
                    </w:rPr>
                  </w:pPr>
                </w:p>
              </w:tc>
              <w:tc>
                <w:tcPr>
                  <w:tcW w:w="565" w:type="pct"/>
                  <w:vAlign w:val="center"/>
                </w:tcPr>
                <w:p w14:paraId="17CA7099">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35</w:t>
                  </w:r>
                </w:p>
              </w:tc>
              <w:tc>
                <w:tcPr>
                  <w:tcW w:w="440" w:type="pct"/>
                  <w:vAlign w:val="center"/>
                </w:tcPr>
                <w:p w14:paraId="4C4E6297">
                  <w:pPr>
                    <w:keepNext w:val="0"/>
                    <w:keepLines w:val="0"/>
                    <w:widowControl/>
                    <w:suppressLineNumbers w:val="0"/>
                    <w:jc w:val="center"/>
                    <w:textAlignment w:val="center"/>
                    <w:rPr>
                      <w:rFonts w:hint="eastAsia"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0.593 </w:t>
                  </w:r>
                </w:p>
              </w:tc>
              <w:tc>
                <w:tcPr>
                  <w:tcW w:w="427" w:type="pct"/>
                  <w:vAlign w:val="center"/>
                </w:tcPr>
                <w:p w14:paraId="76291FDB">
                  <w:pPr>
                    <w:jc w:val="center"/>
                    <w:rPr>
                      <w:rFonts w:hint="default" w:ascii="Times New Roman" w:hAnsi="Times New Roman" w:eastAsia="等线" w:cs="Times New Roman"/>
                      <w:sz w:val="21"/>
                      <w:szCs w:val="21"/>
                      <w:highlight w:val="none"/>
                      <w:u w:val="single"/>
                      <w:lang w:val="en-US"/>
                    </w:rPr>
                  </w:pPr>
                  <w:r>
                    <w:rPr>
                      <w:rFonts w:hint="eastAsia" w:eastAsia="等线" w:cs="Times New Roman"/>
                      <w:sz w:val="21"/>
                      <w:szCs w:val="21"/>
                      <w:highlight w:val="none"/>
                      <w:u w:val="single"/>
                      <w:lang w:val="en-US" w:eastAsia="zh-CN"/>
                    </w:rPr>
                    <w:t>35</w:t>
                  </w:r>
                  <w:r>
                    <w:rPr>
                      <w:rFonts w:hint="eastAsia"/>
                      <w:bCs/>
                      <w:sz w:val="21"/>
                      <w:szCs w:val="21"/>
                      <w:highlight w:val="none"/>
                      <w:u w:val="single"/>
                    </w:rPr>
                    <w:t>mg/L</w:t>
                  </w:r>
                </w:p>
              </w:tc>
              <w:tc>
                <w:tcPr>
                  <w:tcW w:w="716" w:type="pct"/>
                  <w:vMerge w:val="continue"/>
                  <w:vAlign w:val="center"/>
                </w:tcPr>
                <w:p w14:paraId="63278D53">
                  <w:pPr>
                    <w:jc w:val="center"/>
                    <w:rPr>
                      <w:rFonts w:hint="eastAsia" w:eastAsia="等线" w:cs="Times New Roman"/>
                      <w:sz w:val="21"/>
                      <w:szCs w:val="21"/>
                      <w:highlight w:val="none"/>
                      <w:u w:val="single"/>
                      <w:lang w:val="en-US" w:eastAsia="zh-CN"/>
                    </w:rPr>
                  </w:pPr>
                </w:p>
              </w:tc>
              <w:tc>
                <w:tcPr>
                  <w:tcW w:w="358" w:type="pct"/>
                  <w:vAlign w:val="center"/>
                </w:tcPr>
                <w:p w14:paraId="4734CD76">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w:t>
                  </w:r>
                </w:p>
              </w:tc>
              <w:tc>
                <w:tcPr>
                  <w:tcW w:w="358" w:type="pct"/>
                  <w:vAlign w:val="center"/>
                </w:tcPr>
                <w:p w14:paraId="31E9DE82">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0.085 </w:t>
                  </w:r>
                </w:p>
              </w:tc>
            </w:tr>
            <w:tr w14:paraId="77A903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0A26D86B">
                  <w:pPr>
                    <w:jc w:val="center"/>
                    <w:rPr>
                      <w:rFonts w:hint="default" w:ascii="Times New Roman" w:hAnsi="Times New Roman" w:cs="Times New Roman"/>
                      <w:sz w:val="21"/>
                      <w:szCs w:val="21"/>
                      <w:highlight w:val="none"/>
                      <w:u w:val="single"/>
                    </w:rPr>
                  </w:pPr>
                </w:p>
              </w:tc>
              <w:tc>
                <w:tcPr>
                  <w:tcW w:w="314" w:type="pct"/>
                  <w:vAlign w:val="center"/>
                </w:tcPr>
                <w:p w14:paraId="0F49412A">
                  <w:pPr>
                    <w:jc w:val="center"/>
                    <w:rPr>
                      <w:rFonts w:hint="default" w:ascii="Times New Roman" w:hAnsi="Times New Roman" w:cs="Times New Roman"/>
                      <w:sz w:val="21"/>
                      <w:szCs w:val="21"/>
                      <w:highlight w:val="none"/>
                      <w:u w:val="single"/>
                    </w:rPr>
                  </w:pPr>
                  <w:r>
                    <w:rPr>
                      <w:rStyle w:val="203"/>
                      <w:rFonts w:hint="default" w:ascii="Times New Roman" w:hAnsi="Times New Roman" w:cs="Times New Roman"/>
                      <w:sz w:val="21"/>
                      <w:szCs w:val="21"/>
                      <w:highlight w:val="none"/>
                      <w:u w:val="single"/>
                      <w:vertAlign w:val="baseline"/>
                    </w:rPr>
                    <w:t>悬浮物</w:t>
                  </w:r>
                </w:p>
              </w:tc>
              <w:tc>
                <w:tcPr>
                  <w:tcW w:w="495" w:type="pct"/>
                  <w:vAlign w:val="center"/>
                </w:tcPr>
                <w:p w14:paraId="085595E5">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80</w:t>
                  </w:r>
                </w:p>
              </w:tc>
              <w:tc>
                <w:tcPr>
                  <w:tcW w:w="505" w:type="pct"/>
                  <w:vAlign w:val="center"/>
                </w:tcPr>
                <w:p w14:paraId="5664170E">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1.355 </w:t>
                  </w:r>
                </w:p>
              </w:tc>
              <w:tc>
                <w:tcPr>
                  <w:tcW w:w="359" w:type="pct"/>
                  <w:vMerge w:val="continue"/>
                  <w:vAlign w:val="center"/>
                </w:tcPr>
                <w:p w14:paraId="58D55C03">
                  <w:pPr>
                    <w:jc w:val="center"/>
                    <w:rPr>
                      <w:rFonts w:hint="default" w:ascii="Times New Roman" w:hAnsi="Times New Roman" w:cs="Times New Roman"/>
                      <w:sz w:val="21"/>
                      <w:szCs w:val="21"/>
                      <w:highlight w:val="none"/>
                      <w:u w:val="single"/>
                    </w:rPr>
                  </w:pPr>
                </w:p>
              </w:tc>
              <w:tc>
                <w:tcPr>
                  <w:tcW w:w="565" w:type="pct"/>
                  <w:vAlign w:val="center"/>
                </w:tcPr>
                <w:p w14:paraId="0C37B676">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60</w:t>
                  </w:r>
                </w:p>
              </w:tc>
              <w:tc>
                <w:tcPr>
                  <w:tcW w:w="440" w:type="pct"/>
                  <w:shd w:val="clear" w:color="auto" w:fill="auto"/>
                  <w:vAlign w:val="center"/>
                </w:tcPr>
                <w:p w14:paraId="505F786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highlight w:val="none"/>
                      <w:u w:val="single"/>
                      <w:lang w:val="en-US" w:eastAsia="zh-CN" w:bidi="ar-SA"/>
                    </w:rPr>
                  </w:pPr>
                  <w:r>
                    <w:rPr>
                      <w:rFonts w:hint="default" w:ascii="Times New Roman" w:hAnsi="Times New Roman" w:eastAsia="宋体" w:cs="Times New Roman"/>
                      <w:i w:val="0"/>
                      <w:iCs w:val="0"/>
                      <w:color w:val="000000"/>
                      <w:kern w:val="0"/>
                      <w:sz w:val="21"/>
                      <w:szCs w:val="21"/>
                      <w:u w:val="single"/>
                      <w:lang w:val="en-US" w:eastAsia="zh-CN" w:bidi="ar"/>
                    </w:rPr>
                    <w:t xml:space="preserve">1.016 </w:t>
                  </w:r>
                </w:p>
              </w:tc>
              <w:tc>
                <w:tcPr>
                  <w:tcW w:w="427" w:type="pct"/>
                  <w:vAlign w:val="center"/>
                </w:tcPr>
                <w:p w14:paraId="799ACF59">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60</w:t>
                  </w:r>
                  <w:r>
                    <w:rPr>
                      <w:rFonts w:hint="eastAsia"/>
                      <w:bCs/>
                      <w:sz w:val="21"/>
                      <w:szCs w:val="21"/>
                      <w:highlight w:val="none"/>
                      <w:u w:val="single"/>
                    </w:rPr>
                    <w:t>mg/L</w:t>
                  </w:r>
                </w:p>
              </w:tc>
              <w:tc>
                <w:tcPr>
                  <w:tcW w:w="716" w:type="pct"/>
                  <w:vMerge w:val="continue"/>
                  <w:vAlign w:val="center"/>
                </w:tcPr>
                <w:p w14:paraId="55CC9923">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50927299">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2F96001A">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0.169 </w:t>
                  </w:r>
                </w:p>
              </w:tc>
            </w:tr>
            <w:tr w14:paraId="2CE89C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30E47271">
                  <w:pPr>
                    <w:jc w:val="center"/>
                    <w:rPr>
                      <w:rFonts w:hint="default" w:ascii="Times New Roman" w:hAnsi="Times New Roman" w:cs="Times New Roman"/>
                      <w:sz w:val="21"/>
                      <w:szCs w:val="21"/>
                      <w:highlight w:val="none"/>
                      <w:u w:val="single"/>
                    </w:rPr>
                  </w:pPr>
                </w:p>
              </w:tc>
              <w:tc>
                <w:tcPr>
                  <w:tcW w:w="314" w:type="pct"/>
                  <w:vAlign w:val="center"/>
                </w:tcPr>
                <w:p w14:paraId="470720E8">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总磷</w:t>
                  </w:r>
                </w:p>
              </w:tc>
              <w:tc>
                <w:tcPr>
                  <w:tcW w:w="495" w:type="pct"/>
                  <w:vAlign w:val="center"/>
                </w:tcPr>
                <w:p w14:paraId="77864589">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5</w:t>
                  </w:r>
                </w:p>
              </w:tc>
              <w:tc>
                <w:tcPr>
                  <w:tcW w:w="505" w:type="pct"/>
                  <w:vAlign w:val="center"/>
                </w:tcPr>
                <w:p w14:paraId="75269021">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0.085 </w:t>
                  </w:r>
                </w:p>
              </w:tc>
              <w:tc>
                <w:tcPr>
                  <w:tcW w:w="359" w:type="pct"/>
                  <w:vMerge w:val="continue"/>
                  <w:vAlign w:val="center"/>
                </w:tcPr>
                <w:p w14:paraId="63742976">
                  <w:pPr>
                    <w:jc w:val="center"/>
                    <w:rPr>
                      <w:rFonts w:hint="default" w:ascii="Times New Roman" w:hAnsi="Times New Roman" w:cs="Times New Roman"/>
                      <w:sz w:val="21"/>
                      <w:szCs w:val="21"/>
                      <w:highlight w:val="none"/>
                      <w:u w:val="single"/>
                    </w:rPr>
                  </w:pPr>
                </w:p>
              </w:tc>
              <w:tc>
                <w:tcPr>
                  <w:tcW w:w="565" w:type="pct"/>
                  <w:vAlign w:val="center"/>
                </w:tcPr>
                <w:p w14:paraId="7A678E39">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6</w:t>
                  </w:r>
                </w:p>
              </w:tc>
              <w:tc>
                <w:tcPr>
                  <w:tcW w:w="440" w:type="pct"/>
                  <w:vAlign w:val="center"/>
                </w:tcPr>
                <w:p w14:paraId="71C8124C">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0.102 </w:t>
                  </w:r>
                </w:p>
              </w:tc>
              <w:tc>
                <w:tcPr>
                  <w:tcW w:w="427" w:type="pct"/>
                  <w:vAlign w:val="center"/>
                </w:tcPr>
                <w:p w14:paraId="2372D589">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6</w:t>
                  </w:r>
                  <w:r>
                    <w:rPr>
                      <w:rFonts w:hint="eastAsia"/>
                      <w:bCs/>
                      <w:sz w:val="21"/>
                      <w:szCs w:val="21"/>
                      <w:highlight w:val="none"/>
                      <w:u w:val="single"/>
                    </w:rPr>
                    <w:t>mg/L</w:t>
                  </w:r>
                </w:p>
              </w:tc>
              <w:tc>
                <w:tcPr>
                  <w:tcW w:w="716" w:type="pct"/>
                  <w:vMerge w:val="continue"/>
                  <w:vAlign w:val="center"/>
                </w:tcPr>
                <w:p w14:paraId="6F2A9282">
                  <w:pPr>
                    <w:jc w:val="center"/>
                    <w:rPr>
                      <w:rFonts w:hint="eastAsia" w:eastAsia="等线" w:cs="Times New Roman"/>
                      <w:sz w:val="21"/>
                      <w:szCs w:val="21"/>
                      <w:highlight w:val="none"/>
                      <w:u w:val="single"/>
                      <w:lang w:val="en-US" w:eastAsia="zh-CN"/>
                    </w:rPr>
                  </w:pPr>
                </w:p>
              </w:tc>
              <w:tc>
                <w:tcPr>
                  <w:tcW w:w="358" w:type="pct"/>
                  <w:vAlign w:val="center"/>
                </w:tcPr>
                <w:p w14:paraId="05117422">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0.5</w:t>
                  </w:r>
                </w:p>
              </w:tc>
              <w:tc>
                <w:tcPr>
                  <w:tcW w:w="358" w:type="pct"/>
                  <w:vAlign w:val="center"/>
                </w:tcPr>
                <w:p w14:paraId="12E3A173">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0.008 </w:t>
                  </w:r>
                </w:p>
              </w:tc>
            </w:tr>
            <w:tr w14:paraId="6A270E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71B8B07B">
                  <w:pPr>
                    <w:jc w:val="center"/>
                    <w:rPr>
                      <w:rFonts w:hint="default" w:ascii="Times New Roman" w:hAnsi="Times New Roman" w:cs="Times New Roman"/>
                      <w:sz w:val="21"/>
                      <w:szCs w:val="21"/>
                      <w:highlight w:val="none"/>
                      <w:u w:val="single"/>
                    </w:rPr>
                  </w:pPr>
                </w:p>
              </w:tc>
              <w:tc>
                <w:tcPr>
                  <w:tcW w:w="314" w:type="pct"/>
                  <w:vAlign w:val="center"/>
                </w:tcPr>
                <w:p w14:paraId="555748DB">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总氮</w:t>
                  </w:r>
                </w:p>
              </w:tc>
              <w:tc>
                <w:tcPr>
                  <w:tcW w:w="495" w:type="pct"/>
                  <w:vAlign w:val="center"/>
                </w:tcPr>
                <w:p w14:paraId="1092E23D">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60</w:t>
                  </w:r>
                </w:p>
              </w:tc>
              <w:tc>
                <w:tcPr>
                  <w:tcW w:w="505" w:type="pct"/>
                  <w:vAlign w:val="center"/>
                </w:tcPr>
                <w:p w14:paraId="6DFDE81E">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1.016 </w:t>
                  </w:r>
                </w:p>
              </w:tc>
              <w:tc>
                <w:tcPr>
                  <w:tcW w:w="359" w:type="pct"/>
                  <w:vMerge w:val="continue"/>
                  <w:vAlign w:val="center"/>
                </w:tcPr>
                <w:p w14:paraId="40BEBC50">
                  <w:pPr>
                    <w:jc w:val="center"/>
                    <w:rPr>
                      <w:rFonts w:hint="default" w:ascii="Times New Roman" w:hAnsi="Times New Roman" w:cs="Times New Roman"/>
                      <w:sz w:val="21"/>
                      <w:szCs w:val="21"/>
                      <w:highlight w:val="none"/>
                      <w:u w:val="single"/>
                    </w:rPr>
                  </w:pPr>
                </w:p>
              </w:tc>
              <w:tc>
                <w:tcPr>
                  <w:tcW w:w="565" w:type="pct"/>
                  <w:vAlign w:val="center"/>
                </w:tcPr>
                <w:p w14:paraId="704B14D0">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eastAsia" w:eastAsia="宋体" w:cs="Times New Roman"/>
                      <w:i w:val="0"/>
                      <w:iCs w:val="0"/>
                      <w:color w:val="000000"/>
                      <w:kern w:val="0"/>
                      <w:sz w:val="21"/>
                      <w:szCs w:val="21"/>
                      <w:u w:val="single"/>
                      <w:lang w:val="en-US" w:eastAsia="zh-CN" w:bidi="ar"/>
                    </w:rPr>
                    <w:t>/</w:t>
                  </w:r>
                </w:p>
              </w:tc>
              <w:tc>
                <w:tcPr>
                  <w:tcW w:w="440" w:type="pct"/>
                  <w:vAlign w:val="center"/>
                </w:tcPr>
                <w:p w14:paraId="0B6A61E8">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eastAsia" w:eastAsia="宋体" w:cs="Times New Roman"/>
                      <w:i w:val="0"/>
                      <w:iCs w:val="0"/>
                      <w:color w:val="000000"/>
                      <w:kern w:val="0"/>
                      <w:sz w:val="21"/>
                      <w:szCs w:val="21"/>
                      <w:u w:val="single"/>
                      <w:lang w:val="en-US" w:eastAsia="zh-CN" w:bidi="ar"/>
                    </w:rPr>
                    <w:t>/</w:t>
                  </w:r>
                  <w:r>
                    <w:rPr>
                      <w:rFonts w:hint="default" w:ascii="Times New Roman" w:hAnsi="Times New Roman" w:eastAsia="宋体" w:cs="Times New Roman"/>
                      <w:i w:val="0"/>
                      <w:iCs w:val="0"/>
                      <w:color w:val="000000"/>
                      <w:kern w:val="0"/>
                      <w:sz w:val="21"/>
                      <w:szCs w:val="21"/>
                      <w:u w:val="single"/>
                      <w:lang w:val="en-US" w:eastAsia="zh-CN" w:bidi="ar"/>
                    </w:rPr>
                    <w:t xml:space="preserve"> </w:t>
                  </w:r>
                </w:p>
              </w:tc>
              <w:tc>
                <w:tcPr>
                  <w:tcW w:w="427" w:type="pct"/>
                  <w:vAlign w:val="center"/>
                </w:tcPr>
                <w:p w14:paraId="0B3ABBF4">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w:t>
                  </w:r>
                </w:p>
              </w:tc>
              <w:tc>
                <w:tcPr>
                  <w:tcW w:w="716" w:type="pct"/>
                  <w:vMerge w:val="continue"/>
                  <w:vAlign w:val="center"/>
                </w:tcPr>
                <w:p w14:paraId="5E1E31B2">
                  <w:pPr>
                    <w:jc w:val="center"/>
                    <w:rPr>
                      <w:rFonts w:hint="eastAsia" w:eastAsia="等线" w:cs="Times New Roman"/>
                      <w:sz w:val="21"/>
                      <w:szCs w:val="21"/>
                      <w:highlight w:val="none"/>
                      <w:u w:val="single"/>
                      <w:lang w:val="en-US" w:eastAsia="zh-CN"/>
                    </w:rPr>
                  </w:pPr>
                </w:p>
              </w:tc>
              <w:tc>
                <w:tcPr>
                  <w:tcW w:w="358" w:type="pct"/>
                  <w:vAlign w:val="center"/>
                </w:tcPr>
                <w:p w14:paraId="14969B05">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0FF41971">
                  <w:pPr>
                    <w:jc w:val="center"/>
                    <w:rPr>
                      <w:rFonts w:hint="eastAsia" w:eastAsia="等线" w:cs="Times New Roman"/>
                      <w:sz w:val="21"/>
                      <w:szCs w:val="21"/>
                      <w:highlight w:val="none"/>
                      <w:u w:val="single"/>
                      <w:lang w:val="en-US" w:eastAsia="zh-CN"/>
                    </w:rPr>
                  </w:pPr>
                </w:p>
              </w:tc>
            </w:tr>
            <w:tr w14:paraId="10C2A1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restart"/>
                  <w:vAlign w:val="center"/>
                </w:tcPr>
                <w:p w14:paraId="0B5901B0">
                  <w:pPr>
                    <w:jc w:val="center"/>
                    <w:rPr>
                      <w:rFonts w:hint="default" w:ascii="Times New Roman" w:hAnsi="Times New Roman" w:cs="Times New Roman"/>
                      <w:sz w:val="21"/>
                      <w:szCs w:val="21"/>
                      <w:highlight w:val="none"/>
                      <w:u w:val="single"/>
                      <w:lang w:val="en-US" w:eastAsia="zh-CN"/>
                    </w:rPr>
                  </w:pPr>
                  <w:r>
                    <w:rPr>
                      <w:rFonts w:hint="default" w:ascii="Times New Roman" w:hAnsi="Times New Roman" w:cs="Times New Roman"/>
                      <w:sz w:val="21"/>
                      <w:szCs w:val="21"/>
                      <w:highlight w:val="none"/>
                      <w:u w:val="single"/>
                      <w:lang w:val="en-US" w:eastAsia="zh-CN"/>
                    </w:rPr>
                    <w:t>门诊废水</w:t>
                  </w:r>
                </w:p>
                <w:p w14:paraId="579A1E63">
                  <w:pPr>
                    <w:jc w:val="center"/>
                    <w:rPr>
                      <w:rFonts w:hint="default" w:ascii="Times New Roman" w:hAnsi="Times New Roman" w:cs="Times New Roman"/>
                      <w:sz w:val="21"/>
                      <w:szCs w:val="21"/>
                      <w:highlight w:val="none"/>
                      <w:u w:val="single"/>
                      <w:lang w:val="en-US" w:eastAsia="zh-CN"/>
                    </w:rPr>
                  </w:pPr>
                  <w:r>
                    <w:rPr>
                      <w:rFonts w:hint="eastAsia" w:cs="Times New Roman"/>
                      <w:sz w:val="21"/>
                      <w:szCs w:val="21"/>
                      <w:highlight w:val="none"/>
                      <w:u w:val="single"/>
                      <w:lang w:val="en-US" w:eastAsia="zh-CN"/>
                    </w:rPr>
                    <w:t>131.4</w:t>
                  </w:r>
                  <w:r>
                    <w:rPr>
                      <w:rFonts w:hint="default" w:ascii="Times New Roman" w:hAnsi="Times New Roman" w:cs="Times New Roman"/>
                      <w:sz w:val="21"/>
                      <w:szCs w:val="21"/>
                      <w:highlight w:val="none"/>
                      <w:u w:val="single"/>
                      <w:lang w:val="en-US" w:eastAsia="zh-CN"/>
                    </w:rPr>
                    <w:t>m</w:t>
                  </w:r>
                  <w:r>
                    <w:rPr>
                      <w:rFonts w:hint="default" w:ascii="Times New Roman" w:hAnsi="Times New Roman" w:cs="Times New Roman"/>
                      <w:sz w:val="21"/>
                      <w:szCs w:val="21"/>
                      <w:highlight w:val="none"/>
                      <w:u w:val="single"/>
                      <w:vertAlign w:val="superscript"/>
                      <w:lang w:val="en-US" w:eastAsia="zh-CN"/>
                    </w:rPr>
                    <w:t>3</w:t>
                  </w:r>
                  <w:r>
                    <w:rPr>
                      <w:rFonts w:hint="default" w:ascii="Times New Roman" w:hAnsi="Times New Roman" w:cs="Times New Roman"/>
                      <w:sz w:val="21"/>
                      <w:szCs w:val="21"/>
                      <w:highlight w:val="none"/>
                      <w:u w:val="single"/>
                      <w:lang w:val="en-US" w:eastAsia="zh-CN"/>
                    </w:rPr>
                    <w:t>/a</w:t>
                  </w:r>
                </w:p>
              </w:tc>
              <w:tc>
                <w:tcPr>
                  <w:tcW w:w="314" w:type="pct"/>
                  <w:shd w:val="clear" w:color="auto" w:fill="auto"/>
                  <w:vAlign w:val="center"/>
                </w:tcPr>
                <w:p w14:paraId="70A27222">
                  <w:pPr>
                    <w:jc w:val="center"/>
                    <w:rPr>
                      <w:rFonts w:hint="default" w:ascii="Times New Roman" w:hAnsi="Times New Roman" w:eastAsia="宋体" w:cs="Times New Roman"/>
                      <w:kern w:val="2"/>
                      <w:sz w:val="21"/>
                      <w:szCs w:val="21"/>
                      <w:highlight w:val="none"/>
                      <w:u w:val="single"/>
                      <w:lang w:val="en-US" w:eastAsia="zh-CN" w:bidi="ar-SA"/>
                    </w:rPr>
                  </w:pPr>
                  <w:r>
                    <w:rPr>
                      <w:rFonts w:hint="default" w:ascii="Times New Roman" w:hAnsi="Times New Roman" w:cs="Times New Roman"/>
                      <w:sz w:val="21"/>
                      <w:szCs w:val="21"/>
                      <w:highlight w:val="none"/>
                      <w:u w:val="single"/>
                    </w:rPr>
                    <w:t>pH</w:t>
                  </w:r>
                </w:p>
              </w:tc>
              <w:tc>
                <w:tcPr>
                  <w:tcW w:w="495" w:type="pct"/>
                  <w:vAlign w:val="center"/>
                </w:tcPr>
                <w:p w14:paraId="23018135">
                  <w:pPr>
                    <w:pStyle w:val="115"/>
                    <w:adjustRightInd/>
                    <w:snapToGrid/>
                    <w:spacing w:beforeLines="0" w:line="240" w:lineRule="auto"/>
                    <w:jc w:val="center"/>
                    <w:rPr>
                      <w:rFonts w:hint="default" w:ascii="Times New Roman" w:hAnsi="Times New Roman" w:eastAsia="宋体" w:cs="Times New Roman"/>
                      <w:sz w:val="21"/>
                      <w:szCs w:val="21"/>
                      <w:highlight w:val="none"/>
                      <w:u w:val="single"/>
                      <w:lang w:val="en-US" w:eastAsia="zh-CN"/>
                    </w:rPr>
                  </w:pPr>
                  <w:r>
                    <w:rPr>
                      <w:rFonts w:hint="default" w:ascii="Times New Roman" w:hAnsi="Times New Roman" w:cs="Times New Roman"/>
                      <w:sz w:val="21"/>
                      <w:szCs w:val="21"/>
                      <w:highlight w:val="none"/>
                      <w:u w:val="single"/>
                      <w:lang w:val="en-US" w:eastAsia="zh-CN"/>
                    </w:rPr>
                    <w:t>6-9</w:t>
                  </w:r>
                </w:p>
              </w:tc>
              <w:tc>
                <w:tcPr>
                  <w:tcW w:w="505" w:type="pct"/>
                  <w:vAlign w:val="center"/>
                </w:tcPr>
                <w:p w14:paraId="0BC695AA">
                  <w:pPr>
                    <w:jc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等线" w:cs="Times New Roman"/>
                      <w:sz w:val="21"/>
                      <w:szCs w:val="21"/>
                      <w:highlight w:val="none"/>
                      <w:u w:val="single"/>
                      <w:lang w:val="en-US" w:eastAsia="zh-CN"/>
                    </w:rPr>
                    <w:t>/</w:t>
                  </w:r>
                </w:p>
              </w:tc>
              <w:tc>
                <w:tcPr>
                  <w:tcW w:w="359" w:type="pct"/>
                  <w:vMerge w:val="continue"/>
                  <w:vAlign w:val="center"/>
                </w:tcPr>
                <w:p w14:paraId="5C685234">
                  <w:pPr>
                    <w:jc w:val="center"/>
                    <w:rPr>
                      <w:rFonts w:hint="default" w:ascii="Times New Roman" w:hAnsi="Times New Roman" w:cs="Times New Roman"/>
                      <w:sz w:val="21"/>
                      <w:szCs w:val="21"/>
                      <w:highlight w:val="none"/>
                      <w:u w:val="single"/>
                    </w:rPr>
                  </w:pPr>
                </w:p>
              </w:tc>
              <w:tc>
                <w:tcPr>
                  <w:tcW w:w="565" w:type="pct"/>
                  <w:vAlign w:val="center"/>
                </w:tcPr>
                <w:p w14:paraId="29267E9E">
                  <w:pPr>
                    <w:pStyle w:val="115"/>
                    <w:adjustRightInd/>
                    <w:snapToGrid/>
                    <w:spacing w:beforeLines="0" w:line="240" w:lineRule="auto"/>
                    <w:jc w:val="center"/>
                    <w:rPr>
                      <w:rFonts w:hint="default" w:ascii="Times New Roman" w:hAnsi="Times New Roman" w:eastAsia="等线" w:cs="Times New Roman"/>
                      <w:sz w:val="21"/>
                      <w:szCs w:val="21"/>
                      <w:highlight w:val="none"/>
                      <w:u w:val="single"/>
                    </w:rPr>
                  </w:pPr>
                  <w:r>
                    <w:rPr>
                      <w:rFonts w:hint="default" w:ascii="Times New Roman" w:hAnsi="Times New Roman" w:cs="Times New Roman"/>
                      <w:sz w:val="21"/>
                      <w:szCs w:val="21"/>
                      <w:highlight w:val="none"/>
                      <w:u w:val="single"/>
                      <w:lang w:val="en-US" w:eastAsia="zh-CN"/>
                    </w:rPr>
                    <w:t>6-9</w:t>
                  </w:r>
                </w:p>
              </w:tc>
              <w:tc>
                <w:tcPr>
                  <w:tcW w:w="440" w:type="pct"/>
                  <w:vAlign w:val="center"/>
                </w:tcPr>
                <w:p w14:paraId="44D43230">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w:t>
                  </w:r>
                </w:p>
              </w:tc>
              <w:tc>
                <w:tcPr>
                  <w:tcW w:w="427" w:type="pct"/>
                  <w:vAlign w:val="center"/>
                </w:tcPr>
                <w:p w14:paraId="1B963D85">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6-9</w:t>
                  </w:r>
                </w:p>
              </w:tc>
              <w:tc>
                <w:tcPr>
                  <w:tcW w:w="716" w:type="pct"/>
                  <w:vMerge w:val="continue"/>
                  <w:vAlign w:val="center"/>
                </w:tcPr>
                <w:p w14:paraId="2484B047">
                  <w:pPr>
                    <w:jc w:val="center"/>
                    <w:rPr>
                      <w:rFonts w:hint="eastAsia" w:eastAsia="等线" w:cs="Times New Roman"/>
                      <w:sz w:val="21"/>
                      <w:szCs w:val="21"/>
                      <w:highlight w:val="none"/>
                      <w:u w:val="single"/>
                      <w:lang w:val="en-US" w:eastAsia="zh-CN"/>
                    </w:rPr>
                  </w:pPr>
                </w:p>
              </w:tc>
              <w:tc>
                <w:tcPr>
                  <w:tcW w:w="358" w:type="pct"/>
                  <w:vAlign w:val="center"/>
                </w:tcPr>
                <w:p w14:paraId="18A5632B">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7D78FD38">
                  <w:pPr>
                    <w:jc w:val="center"/>
                    <w:rPr>
                      <w:rFonts w:hint="eastAsia" w:eastAsia="等线" w:cs="Times New Roman"/>
                      <w:sz w:val="21"/>
                      <w:szCs w:val="21"/>
                      <w:highlight w:val="none"/>
                      <w:u w:val="single"/>
                      <w:lang w:val="en-US" w:eastAsia="zh-CN"/>
                    </w:rPr>
                  </w:pPr>
                </w:p>
              </w:tc>
            </w:tr>
            <w:tr w14:paraId="1EE10E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69544C97">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620B345D">
                  <w:pPr>
                    <w:jc w:val="center"/>
                    <w:rPr>
                      <w:rFonts w:hint="default" w:ascii="Times New Roman" w:hAnsi="Times New Roman" w:eastAsia="宋体" w:cs="Times New Roman"/>
                      <w:kern w:val="2"/>
                      <w:sz w:val="21"/>
                      <w:szCs w:val="21"/>
                      <w:highlight w:val="none"/>
                      <w:u w:val="single"/>
                      <w:lang w:val="en-US" w:eastAsia="zh-CN" w:bidi="ar-SA"/>
                    </w:rPr>
                  </w:pPr>
                  <w:r>
                    <w:rPr>
                      <w:rFonts w:hint="default" w:ascii="Times New Roman" w:hAnsi="Times New Roman" w:cs="Times New Roman"/>
                      <w:color w:val="000000"/>
                      <w:sz w:val="21"/>
                      <w:szCs w:val="21"/>
                      <w:highlight w:val="none"/>
                      <w:u w:val="single"/>
                    </w:rPr>
                    <w:t>COD</w:t>
                  </w:r>
                </w:p>
              </w:tc>
              <w:tc>
                <w:tcPr>
                  <w:tcW w:w="495" w:type="pct"/>
                  <w:vAlign w:val="center"/>
                </w:tcPr>
                <w:p w14:paraId="62E4C91F">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220</w:t>
                  </w:r>
                </w:p>
              </w:tc>
              <w:tc>
                <w:tcPr>
                  <w:tcW w:w="505" w:type="pct"/>
                  <w:vAlign w:val="center"/>
                </w:tcPr>
                <w:p w14:paraId="7E049555">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0.029 </w:t>
                  </w:r>
                </w:p>
              </w:tc>
              <w:tc>
                <w:tcPr>
                  <w:tcW w:w="359" w:type="pct"/>
                  <w:vMerge w:val="continue"/>
                  <w:vAlign w:val="center"/>
                </w:tcPr>
                <w:p w14:paraId="10E1CD60">
                  <w:pPr>
                    <w:jc w:val="center"/>
                    <w:rPr>
                      <w:rFonts w:hint="default" w:ascii="Times New Roman" w:hAnsi="Times New Roman" w:cs="Times New Roman"/>
                      <w:sz w:val="21"/>
                      <w:szCs w:val="21"/>
                      <w:highlight w:val="none"/>
                      <w:u w:val="single"/>
                    </w:rPr>
                  </w:pPr>
                </w:p>
              </w:tc>
              <w:tc>
                <w:tcPr>
                  <w:tcW w:w="565" w:type="pct"/>
                  <w:vAlign w:val="center"/>
                </w:tcPr>
                <w:p w14:paraId="41909A24">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250</w:t>
                  </w:r>
                </w:p>
              </w:tc>
              <w:tc>
                <w:tcPr>
                  <w:tcW w:w="440" w:type="pct"/>
                  <w:vAlign w:val="center"/>
                </w:tcPr>
                <w:p w14:paraId="63762EBE">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0.033 </w:t>
                  </w:r>
                </w:p>
              </w:tc>
              <w:tc>
                <w:tcPr>
                  <w:tcW w:w="427" w:type="pct"/>
                  <w:vAlign w:val="center"/>
                </w:tcPr>
                <w:p w14:paraId="47EC1CCB">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250</w:t>
                  </w:r>
                  <w:r>
                    <w:rPr>
                      <w:rFonts w:hint="eastAsia"/>
                      <w:bCs/>
                      <w:sz w:val="21"/>
                      <w:szCs w:val="21"/>
                      <w:highlight w:val="none"/>
                      <w:u w:val="single"/>
                    </w:rPr>
                    <w:t>mg/L</w:t>
                  </w:r>
                </w:p>
              </w:tc>
              <w:tc>
                <w:tcPr>
                  <w:tcW w:w="716" w:type="pct"/>
                  <w:vMerge w:val="continue"/>
                  <w:vAlign w:val="center"/>
                </w:tcPr>
                <w:p w14:paraId="25DF9D99">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0C5B3ADD">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50</w:t>
                  </w:r>
                </w:p>
              </w:tc>
              <w:tc>
                <w:tcPr>
                  <w:tcW w:w="358" w:type="pct"/>
                  <w:vAlign w:val="center"/>
                </w:tcPr>
                <w:p w14:paraId="67E151C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0.007 </w:t>
                  </w:r>
                </w:p>
              </w:tc>
            </w:tr>
            <w:tr w14:paraId="1869A7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626F301D">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5E95B0C2">
                  <w:pPr>
                    <w:jc w:val="center"/>
                    <w:rPr>
                      <w:rFonts w:hint="default" w:ascii="Times New Roman" w:hAnsi="Times New Roman" w:eastAsia="宋体" w:cs="Times New Roman"/>
                      <w:kern w:val="2"/>
                      <w:sz w:val="21"/>
                      <w:szCs w:val="21"/>
                      <w:highlight w:val="none"/>
                      <w:u w:val="single"/>
                      <w:lang w:val="en-US" w:eastAsia="zh-CN" w:bidi="ar-SA"/>
                    </w:rPr>
                  </w:pPr>
                  <w:r>
                    <w:rPr>
                      <w:rFonts w:hint="default" w:ascii="Times New Roman" w:hAnsi="Times New Roman" w:cs="Times New Roman"/>
                      <w:color w:val="000000"/>
                      <w:sz w:val="21"/>
                      <w:szCs w:val="21"/>
                      <w:highlight w:val="none"/>
                      <w:u w:val="single"/>
                    </w:rPr>
                    <w:t>BOD</w:t>
                  </w:r>
                </w:p>
              </w:tc>
              <w:tc>
                <w:tcPr>
                  <w:tcW w:w="495" w:type="pct"/>
                  <w:vAlign w:val="center"/>
                </w:tcPr>
                <w:p w14:paraId="2FAAF5B8">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100</w:t>
                  </w:r>
                </w:p>
              </w:tc>
              <w:tc>
                <w:tcPr>
                  <w:tcW w:w="505" w:type="pct"/>
                  <w:vAlign w:val="center"/>
                </w:tcPr>
                <w:p w14:paraId="4CA15541">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0.013 </w:t>
                  </w:r>
                </w:p>
              </w:tc>
              <w:tc>
                <w:tcPr>
                  <w:tcW w:w="359" w:type="pct"/>
                  <w:vMerge w:val="continue"/>
                  <w:vAlign w:val="center"/>
                </w:tcPr>
                <w:p w14:paraId="64508E68">
                  <w:pPr>
                    <w:jc w:val="center"/>
                    <w:rPr>
                      <w:rFonts w:hint="default" w:ascii="Times New Roman" w:hAnsi="Times New Roman" w:cs="Times New Roman"/>
                      <w:sz w:val="21"/>
                      <w:szCs w:val="21"/>
                      <w:highlight w:val="none"/>
                      <w:u w:val="single"/>
                    </w:rPr>
                  </w:pPr>
                </w:p>
              </w:tc>
              <w:tc>
                <w:tcPr>
                  <w:tcW w:w="565" w:type="pct"/>
                  <w:vAlign w:val="center"/>
                </w:tcPr>
                <w:p w14:paraId="017405ED">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100</w:t>
                  </w:r>
                </w:p>
              </w:tc>
              <w:tc>
                <w:tcPr>
                  <w:tcW w:w="440" w:type="pct"/>
                  <w:vAlign w:val="center"/>
                </w:tcPr>
                <w:p w14:paraId="5B13F5EA">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0.013 </w:t>
                  </w:r>
                </w:p>
              </w:tc>
              <w:tc>
                <w:tcPr>
                  <w:tcW w:w="427" w:type="pct"/>
                  <w:vAlign w:val="center"/>
                </w:tcPr>
                <w:p w14:paraId="27CE0147">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100</w:t>
                  </w:r>
                  <w:r>
                    <w:rPr>
                      <w:rFonts w:hint="eastAsia"/>
                      <w:bCs/>
                      <w:sz w:val="21"/>
                      <w:szCs w:val="21"/>
                      <w:highlight w:val="none"/>
                      <w:u w:val="single"/>
                    </w:rPr>
                    <w:t>mg/L</w:t>
                  </w:r>
                </w:p>
              </w:tc>
              <w:tc>
                <w:tcPr>
                  <w:tcW w:w="716" w:type="pct"/>
                  <w:vMerge w:val="continue"/>
                  <w:vAlign w:val="center"/>
                </w:tcPr>
                <w:p w14:paraId="3FB94C84">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63012E96">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36D00A0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0.001 </w:t>
                  </w:r>
                </w:p>
              </w:tc>
            </w:tr>
            <w:tr w14:paraId="33ECDC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05EB0833">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24A6421A">
                  <w:pPr>
                    <w:jc w:val="center"/>
                    <w:rPr>
                      <w:rFonts w:hint="default" w:ascii="Times New Roman" w:hAnsi="Times New Roman" w:eastAsia="宋体" w:cs="Times New Roman"/>
                      <w:kern w:val="2"/>
                      <w:sz w:val="21"/>
                      <w:szCs w:val="21"/>
                      <w:highlight w:val="none"/>
                      <w:u w:val="single"/>
                      <w:lang w:val="en-US" w:eastAsia="zh-CN" w:bidi="ar-SA"/>
                    </w:rPr>
                  </w:pPr>
                  <w:r>
                    <w:rPr>
                      <w:rStyle w:val="203"/>
                      <w:rFonts w:hint="default" w:ascii="Times New Roman" w:hAnsi="Times New Roman" w:cs="Times New Roman"/>
                      <w:sz w:val="21"/>
                      <w:szCs w:val="21"/>
                      <w:highlight w:val="none"/>
                      <w:u w:val="single"/>
                      <w:vertAlign w:val="baseline"/>
                    </w:rPr>
                    <w:t>氨氮</w:t>
                  </w:r>
                </w:p>
              </w:tc>
              <w:tc>
                <w:tcPr>
                  <w:tcW w:w="495" w:type="pct"/>
                  <w:vAlign w:val="center"/>
                </w:tcPr>
                <w:p w14:paraId="1942B46B">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30</w:t>
                  </w:r>
                </w:p>
              </w:tc>
              <w:tc>
                <w:tcPr>
                  <w:tcW w:w="505" w:type="pct"/>
                  <w:vAlign w:val="center"/>
                </w:tcPr>
                <w:p w14:paraId="2F101F99">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0.004 </w:t>
                  </w:r>
                </w:p>
              </w:tc>
              <w:tc>
                <w:tcPr>
                  <w:tcW w:w="359" w:type="pct"/>
                  <w:vMerge w:val="continue"/>
                  <w:vAlign w:val="center"/>
                </w:tcPr>
                <w:p w14:paraId="1899094D">
                  <w:pPr>
                    <w:jc w:val="center"/>
                    <w:rPr>
                      <w:rFonts w:hint="default" w:ascii="Times New Roman" w:hAnsi="Times New Roman" w:cs="Times New Roman"/>
                      <w:sz w:val="21"/>
                      <w:szCs w:val="21"/>
                      <w:highlight w:val="none"/>
                      <w:u w:val="single"/>
                    </w:rPr>
                  </w:pPr>
                </w:p>
              </w:tc>
              <w:tc>
                <w:tcPr>
                  <w:tcW w:w="565" w:type="pct"/>
                  <w:vAlign w:val="center"/>
                </w:tcPr>
                <w:p w14:paraId="420684D9">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35</w:t>
                  </w:r>
                </w:p>
              </w:tc>
              <w:tc>
                <w:tcPr>
                  <w:tcW w:w="440" w:type="pct"/>
                  <w:vAlign w:val="center"/>
                </w:tcPr>
                <w:p w14:paraId="0F234350">
                  <w:pPr>
                    <w:keepNext w:val="0"/>
                    <w:keepLines w:val="0"/>
                    <w:widowControl/>
                    <w:suppressLineNumbers w:val="0"/>
                    <w:jc w:val="center"/>
                    <w:textAlignment w:val="center"/>
                    <w:rPr>
                      <w:rFonts w:hint="eastAsia"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0.005 </w:t>
                  </w:r>
                </w:p>
              </w:tc>
              <w:tc>
                <w:tcPr>
                  <w:tcW w:w="427" w:type="pct"/>
                  <w:vAlign w:val="center"/>
                </w:tcPr>
                <w:p w14:paraId="56DA1CAB">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35</w:t>
                  </w:r>
                  <w:r>
                    <w:rPr>
                      <w:rFonts w:hint="eastAsia"/>
                      <w:bCs/>
                      <w:sz w:val="21"/>
                      <w:szCs w:val="21"/>
                      <w:highlight w:val="none"/>
                      <w:u w:val="single"/>
                    </w:rPr>
                    <w:t>mg/L</w:t>
                  </w:r>
                </w:p>
              </w:tc>
              <w:tc>
                <w:tcPr>
                  <w:tcW w:w="716" w:type="pct"/>
                  <w:vMerge w:val="continue"/>
                  <w:vAlign w:val="center"/>
                </w:tcPr>
                <w:p w14:paraId="5F6D7C4C">
                  <w:pPr>
                    <w:jc w:val="center"/>
                    <w:rPr>
                      <w:rFonts w:hint="eastAsia" w:eastAsia="等线" w:cs="Times New Roman"/>
                      <w:sz w:val="21"/>
                      <w:szCs w:val="21"/>
                      <w:highlight w:val="none"/>
                      <w:u w:val="single"/>
                      <w:lang w:val="en-US" w:eastAsia="zh-CN"/>
                    </w:rPr>
                  </w:pPr>
                </w:p>
              </w:tc>
              <w:tc>
                <w:tcPr>
                  <w:tcW w:w="358" w:type="pct"/>
                  <w:vAlign w:val="center"/>
                </w:tcPr>
                <w:p w14:paraId="06FCA390">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w:t>
                  </w:r>
                </w:p>
              </w:tc>
              <w:tc>
                <w:tcPr>
                  <w:tcW w:w="358" w:type="pct"/>
                  <w:vAlign w:val="center"/>
                </w:tcPr>
                <w:p w14:paraId="6EEF76B2">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0.001 </w:t>
                  </w:r>
                </w:p>
              </w:tc>
            </w:tr>
            <w:tr w14:paraId="6C6583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4A1BFF64">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2F218A7A">
                  <w:pPr>
                    <w:jc w:val="center"/>
                    <w:rPr>
                      <w:rFonts w:hint="default" w:ascii="Times New Roman" w:hAnsi="Times New Roman" w:eastAsia="宋体" w:cs="Times New Roman"/>
                      <w:kern w:val="2"/>
                      <w:sz w:val="21"/>
                      <w:szCs w:val="21"/>
                      <w:highlight w:val="none"/>
                      <w:u w:val="single"/>
                      <w:lang w:val="en-US" w:eastAsia="zh-CN" w:bidi="ar-SA"/>
                    </w:rPr>
                  </w:pPr>
                  <w:r>
                    <w:rPr>
                      <w:rStyle w:val="203"/>
                      <w:rFonts w:hint="default" w:ascii="Times New Roman" w:hAnsi="Times New Roman" w:cs="Times New Roman"/>
                      <w:sz w:val="21"/>
                      <w:szCs w:val="21"/>
                      <w:highlight w:val="none"/>
                      <w:u w:val="single"/>
                      <w:vertAlign w:val="baseline"/>
                    </w:rPr>
                    <w:t>悬浮物</w:t>
                  </w:r>
                </w:p>
              </w:tc>
              <w:tc>
                <w:tcPr>
                  <w:tcW w:w="495" w:type="pct"/>
                  <w:vAlign w:val="center"/>
                </w:tcPr>
                <w:p w14:paraId="34CA3A6B">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80</w:t>
                  </w:r>
                </w:p>
              </w:tc>
              <w:tc>
                <w:tcPr>
                  <w:tcW w:w="505" w:type="pct"/>
                  <w:vAlign w:val="center"/>
                </w:tcPr>
                <w:p w14:paraId="4D2FFB61">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0.011 </w:t>
                  </w:r>
                </w:p>
              </w:tc>
              <w:tc>
                <w:tcPr>
                  <w:tcW w:w="359" w:type="pct"/>
                  <w:vMerge w:val="continue"/>
                  <w:vAlign w:val="center"/>
                </w:tcPr>
                <w:p w14:paraId="44CB9047">
                  <w:pPr>
                    <w:jc w:val="center"/>
                    <w:rPr>
                      <w:rFonts w:hint="default" w:ascii="Times New Roman" w:hAnsi="Times New Roman" w:cs="Times New Roman"/>
                      <w:sz w:val="21"/>
                      <w:szCs w:val="21"/>
                      <w:highlight w:val="none"/>
                      <w:u w:val="single"/>
                    </w:rPr>
                  </w:pPr>
                </w:p>
              </w:tc>
              <w:tc>
                <w:tcPr>
                  <w:tcW w:w="565" w:type="pct"/>
                  <w:vAlign w:val="center"/>
                </w:tcPr>
                <w:p w14:paraId="506ADE0A">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60</w:t>
                  </w:r>
                </w:p>
              </w:tc>
              <w:tc>
                <w:tcPr>
                  <w:tcW w:w="440" w:type="pct"/>
                  <w:shd w:val="clear" w:color="auto" w:fill="auto"/>
                  <w:vAlign w:val="center"/>
                </w:tcPr>
                <w:p w14:paraId="2ED5153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highlight w:val="none"/>
                      <w:u w:val="single"/>
                      <w:lang w:val="en-US" w:eastAsia="zh-CN" w:bidi="ar-SA"/>
                    </w:rPr>
                  </w:pPr>
                  <w:r>
                    <w:rPr>
                      <w:rFonts w:hint="default" w:ascii="Times New Roman" w:hAnsi="Times New Roman" w:eastAsia="宋体" w:cs="Times New Roman"/>
                      <w:i w:val="0"/>
                      <w:iCs w:val="0"/>
                      <w:color w:val="000000"/>
                      <w:kern w:val="0"/>
                      <w:sz w:val="21"/>
                      <w:szCs w:val="21"/>
                      <w:u w:val="single"/>
                      <w:lang w:val="en-US" w:eastAsia="zh-CN" w:bidi="ar"/>
                    </w:rPr>
                    <w:t xml:space="preserve">0.008 </w:t>
                  </w:r>
                </w:p>
              </w:tc>
              <w:tc>
                <w:tcPr>
                  <w:tcW w:w="427" w:type="pct"/>
                  <w:vAlign w:val="center"/>
                </w:tcPr>
                <w:p w14:paraId="3F9B3120">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60</w:t>
                  </w:r>
                  <w:r>
                    <w:rPr>
                      <w:rFonts w:hint="eastAsia"/>
                      <w:bCs/>
                      <w:sz w:val="21"/>
                      <w:szCs w:val="21"/>
                      <w:highlight w:val="none"/>
                      <w:u w:val="single"/>
                    </w:rPr>
                    <w:t>mg/L</w:t>
                  </w:r>
                </w:p>
              </w:tc>
              <w:tc>
                <w:tcPr>
                  <w:tcW w:w="716" w:type="pct"/>
                  <w:vMerge w:val="continue"/>
                  <w:vAlign w:val="center"/>
                </w:tcPr>
                <w:p w14:paraId="15D63DF9">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1814C154">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4F2DA462">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0.001 </w:t>
                  </w:r>
                </w:p>
              </w:tc>
            </w:tr>
            <w:tr w14:paraId="4330AB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3265E79B">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0A72FBC8">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u w:val="single"/>
                      <w:lang w:val="en-US" w:eastAsia="zh-CN" w:bidi="ar-SA"/>
                    </w:rPr>
                  </w:pPr>
                  <w:r>
                    <w:rPr>
                      <w:rFonts w:hint="default" w:ascii="Times New Roman" w:hAnsi="Times New Roman" w:eastAsia="宋体" w:cs="Times New Roman"/>
                      <w:i w:val="0"/>
                      <w:iCs w:val="0"/>
                      <w:color w:val="000000"/>
                      <w:kern w:val="0"/>
                      <w:sz w:val="21"/>
                      <w:szCs w:val="21"/>
                      <w:highlight w:val="none"/>
                      <w:u w:val="single"/>
                      <w:lang w:val="en-US" w:eastAsia="zh-CN" w:bidi="ar"/>
                    </w:rPr>
                    <w:t>总磷</w:t>
                  </w:r>
                </w:p>
              </w:tc>
              <w:tc>
                <w:tcPr>
                  <w:tcW w:w="495" w:type="pct"/>
                  <w:vAlign w:val="center"/>
                </w:tcPr>
                <w:p w14:paraId="7831CC4B">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3</w:t>
                  </w:r>
                </w:p>
              </w:tc>
              <w:tc>
                <w:tcPr>
                  <w:tcW w:w="505" w:type="pct"/>
                  <w:vAlign w:val="center"/>
                </w:tcPr>
                <w:p w14:paraId="297752A2">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0.000</w:t>
                  </w:r>
                  <w:r>
                    <w:rPr>
                      <w:rFonts w:hint="eastAsia" w:eastAsia="宋体" w:cs="Times New Roman"/>
                      <w:i w:val="0"/>
                      <w:iCs w:val="0"/>
                      <w:color w:val="000000"/>
                      <w:kern w:val="0"/>
                      <w:sz w:val="21"/>
                      <w:szCs w:val="21"/>
                      <w:u w:val="single"/>
                      <w:lang w:val="en-US" w:eastAsia="zh-CN" w:bidi="ar"/>
                    </w:rPr>
                    <w:t>4</w:t>
                  </w:r>
                </w:p>
              </w:tc>
              <w:tc>
                <w:tcPr>
                  <w:tcW w:w="359" w:type="pct"/>
                  <w:vMerge w:val="continue"/>
                  <w:vAlign w:val="center"/>
                </w:tcPr>
                <w:p w14:paraId="61A9CE37">
                  <w:pPr>
                    <w:jc w:val="center"/>
                    <w:rPr>
                      <w:rFonts w:hint="default" w:ascii="Times New Roman" w:hAnsi="Times New Roman" w:cs="Times New Roman"/>
                      <w:sz w:val="21"/>
                      <w:szCs w:val="21"/>
                      <w:highlight w:val="none"/>
                      <w:u w:val="single"/>
                    </w:rPr>
                  </w:pPr>
                </w:p>
              </w:tc>
              <w:tc>
                <w:tcPr>
                  <w:tcW w:w="565" w:type="pct"/>
                  <w:vAlign w:val="center"/>
                </w:tcPr>
                <w:p w14:paraId="4A590B1E">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6</w:t>
                  </w:r>
                </w:p>
              </w:tc>
              <w:tc>
                <w:tcPr>
                  <w:tcW w:w="440" w:type="pct"/>
                  <w:vAlign w:val="center"/>
                </w:tcPr>
                <w:p w14:paraId="550C5065">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0.001 </w:t>
                  </w:r>
                </w:p>
              </w:tc>
              <w:tc>
                <w:tcPr>
                  <w:tcW w:w="427" w:type="pct"/>
                  <w:vAlign w:val="center"/>
                </w:tcPr>
                <w:p w14:paraId="54750C01">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6</w:t>
                  </w:r>
                  <w:r>
                    <w:rPr>
                      <w:rFonts w:hint="eastAsia"/>
                      <w:bCs/>
                      <w:sz w:val="21"/>
                      <w:szCs w:val="21"/>
                      <w:highlight w:val="none"/>
                      <w:u w:val="single"/>
                    </w:rPr>
                    <w:t>mg/L</w:t>
                  </w:r>
                </w:p>
              </w:tc>
              <w:tc>
                <w:tcPr>
                  <w:tcW w:w="716" w:type="pct"/>
                  <w:vMerge w:val="continue"/>
                  <w:vAlign w:val="center"/>
                </w:tcPr>
                <w:p w14:paraId="35B00CC0">
                  <w:pPr>
                    <w:jc w:val="center"/>
                    <w:rPr>
                      <w:rFonts w:hint="eastAsia" w:eastAsia="等线" w:cs="Times New Roman"/>
                      <w:sz w:val="21"/>
                      <w:szCs w:val="21"/>
                      <w:highlight w:val="none"/>
                      <w:u w:val="single"/>
                      <w:lang w:val="en-US" w:eastAsia="zh-CN"/>
                    </w:rPr>
                  </w:pPr>
                </w:p>
              </w:tc>
              <w:tc>
                <w:tcPr>
                  <w:tcW w:w="358" w:type="pct"/>
                  <w:vAlign w:val="center"/>
                </w:tcPr>
                <w:p w14:paraId="42E95A1A">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0.5</w:t>
                  </w:r>
                </w:p>
              </w:tc>
              <w:tc>
                <w:tcPr>
                  <w:tcW w:w="358" w:type="pct"/>
                  <w:vAlign w:val="center"/>
                </w:tcPr>
                <w:p w14:paraId="22453A04">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0.0001 </w:t>
                  </w:r>
                </w:p>
              </w:tc>
            </w:tr>
            <w:tr w14:paraId="285F85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0D86E66D">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0B4288D7">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u w:val="single"/>
                      <w:lang w:val="en-US" w:eastAsia="zh-CN" w:bidi="ar-SA"/>
                    </w:rPr>
                  </w:pPr>
                  <w:r>
                    <w:rPr>
                      <w:rFonts w:hint="default" w:ascii="Times New Roman" w:hAnsi="Times New Roman" w:eastAsia="宋体" w:cs="Times New Roman"/>
                      <w:i w:val="0"/>
                      <w:iCs w:val="0"/>
                      <w:color w:val="000000"/>
                      <w:kern w:val="0"/>
                      <w:sz w:val="21"/>
                      <w:szCs w:val="21"/>
                      <w:highlight w:val="none"/>
                      <w:u w:val="single"/>
                      <w:lang w:val="en-US" w:eastAsia="zh-CN" w:bidi="ar"/>
                    </w:rPr>
                    <w:t>总氮</w:t>
                  </w:r>
                </w:p>
              </w:tc>
              <w:tc>
                <w:tcPr>
                  <w:tcW w:w="495" w:type="pct"/>
                  <w:vAlign w:val="center"/>
                </w:tcPr>
                <w:p w14:paraId="12885E26">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40</w:t>
                  </w:r>
                </w:p>
              </w:tc>
              <w:tc>
                <w:tcPr>
                  <w:tcW w:w="505" w:type="pct"/>
                  <w:vAlign w:val="center"/>
                </w:tcPr>
                <w:p w14:paraId="14909A92">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0.005 </w:t>
                  </w:r>
                </w:p>
              </w:tc>
              <w:tc>
                <w:tcPr>
                  <w:tcW w:w="359" w:type="pct"/>
                  <w:vMerge w:val="continue"/>
                  <w:vAlign w:val="center"/>
                </w:tcPr>
                <w:p w14:paraId="0A868073">
                  <w:pPr>
                    <w:jc w:val="center"/>
                    <w:rPr>
                      <w:rFonts w:hint="default" w:ascii="Times New Roman" w:hAnsi="Times New Roman" w:cs="Times New Roman"/>
                      <w:sz w:val="21"/>
                      <w:szCs w:val="21"/>
                      <w:highlight w:val="none"/>
                      <w:u w:val="single"/>
                    </w:rPr>
                  </w:pPr>
                </w:p>
              </w:tc>
              <w:tc>
                <w:tcPr>
                  <w:tcW w:w="565" w:type="pct"/>
                  <w:vAlign w:val="center"/>
                </w:tcPr>
                <w:p w14:paraId="64FA7219">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w:t>
                  </w:r>
                </w:p>
              </w:tc>
              <w:tc>
                <w:tcPr>
                  <w:tcW w:w="440" w:type="pct"/>
                  <w:vAlign w:val="center"/>
                </w:tcPr>
                <w:p w14:paraId="76F81D5E">
                  <w:pPr>
                    <w:widowControl/>
                    <w:jc w:val="center"/>
                    <w:textAlignment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w:t>
                  </w:r>
                </w:p>
              </w:tc>
              <w:tc>
                <w:tcPr>
                  <w:tcW w:w="427" w:type="pct"/>
                  <w:vAlign w:val="center"/>
                </w:tcPr>
                <w:p w14:paraId="278B9BC2">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w:t>
                  </w:r>
                </w:p>
              </w:tc>
              <w:tc>
                <w:tcPr>
                  <w:tcW w:w="716" w:type="pct"/>
                  <w:vMerge w:val="continue"/>
                  <w:vAlign w:val="center"/>
                </w:tcPr>
                <w:p w14:paraId="4BD5D82A">
                  <w:pPr>
                    <w:jc w:val="center"/>
                    <w:rPr>
                      <w:rFonts w:hint="eastAsia" w:eastAsia="等线" w:cs="Times New Roman"/>
                      <w:sz w:val="21"/>
                      <w:szCs w:val="21"/>
                      <w:highlight w:val="none"/>
                      <w:u w:val="single"/>
                      <w:lang w:val="en-US" w:eastAsia="zh-CN"/>
                    </w:rPr>
                  </w:pPr>
                </w:p>
              </w:tc>
              <w:tc>
                <w:tcPr>
                  <w:tcW w:w="358" w:type="pct"/>
                  <w:vAlign w:val="center"/>
                </w:tcPr>
                <w:p w14:paraId="51C7FF56">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6F3B5B0F">
                  <w:pPr>
                    <w:jc w:val="center"/>
                    <w:rPr>
                      <w:rFonts w:hint="eastAsia" w:eastAsia="等线" w:cs="Times New Roman"/>
                      <w:sz w:val="21"/>
                      <w:szCs w:val="21"/>
                      <w:highlight w:val="none"/>
                      <w:u w:val="single"/>
                      <w:lang w:val="en-US" w:eastAsia="zh-CN"/>
                    </w:rPr>
                  </w:pPr>
                </w:p>
              </w:tc>
            </w:tr>
            <w:tr w14:paraId="4C8905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restart"/>
                  <w:vAlign w:val="center"/>
                </w:tcPr>
                <w:p w14:paraId="31619733">
                  <w:pPr>
                    <w:jc w:val="center"/>
                    <w:rPr>
                      <w:rFonts w:hint="default" w:ascii="Times New Roman" w:hAnsi="Times New Roman" w:cs="Times New Roman"/>
                      <w:sz w:val="21"/>
                      <w:szCs w:val="21"/>
                      <w:highlight w:val="none"/>
                      <w:u w:val="single"/>
                      <w:lang w:val="en-US" w:eastAsia="zh-CN"/>
                    </w:rPr>
                  </w:pPr>
                  <w:r>
                    <w:rPr>
                      <w:rFonts w:hint="default" w:ascii="Times New Roman" w:hAnsi="Times New Roman" w:cs="Times New Roman"/>
                      <w:sz w:val="21"/>
                      <w:szCs w:val="21"/>
                      <w:highlight w:val="none"/>
                      <w:u w:val="single"/>
                      <w:lang w:val="en-US" w:eastAsia="zh-CN"/>
                    </w:rPr>
                    <w:t>检验废水</w:t>
                  </w:r>
                </w:p>
                <w:p w14:paraId="5EDB4FAD">
                  <w:pPr>
                    <w:jc w:val="center"/>
                    <w:rPr>
                      <w:rFonts w:hint="default" w:ascii="Times New Roman" w:hAnsi="Times New Roman" w:cs="Times New Roman"/>
                      <w:sz w:val="21"/>
                      <w:szCs w:val="21"/>
                      <w:highlight w:val="none"/>
                      <w:u w:val="single"/>
                      <w:lang w:val="en-US" w:eastAsia="zh-CN"/>
                    </w:rPr>
                  </w:pPr>
                  <w:r>
                    <w:rPr>
                      <w:rFonts w:hint="eastAsia" w:cs="Times New Roman"/>
                      <w:sz w:val="21"/>
                      <w:szCs w:val="21"/>
                      <w:highlight w:val="none"/>
                      <w:u w:val="single"/>
                      <w:lang w:val="en-US" w:eastAsia="zh-CN"/>
                    </w:rPr>
                    <w:t>219</w:t>
                  </w:r>
                  <w:r>
                    <w:rPr>
                      <w:rFonts w:hint="default" w:ascii="Times New Roman" w:hAnsi="Times New Roman" w:cs="Times New Roman"/>
                      <w:sz w:val="21"/>
                      <w:szCs w:val="21"/>
                      <w:highlight w:val="none"/>
                      <w:u w:val="single"/>
                      <w:lang w:val="en-US" w:eastAsia="zh-CN"/>
                    </w:rPr>
                    <w:t>m</w:t>
                  </w:r>
                  <w:r>
                    <w:rPr>
                      <w:rFonts w:hint="default" w:ascii="Times New Roman" w:hAnsi="Times New Roman" w:cs="Times New Roman"/>
                      <w:sz w:val="21"/>
                      <w:szCs w:val="21"/>
                      <w:highlight w:val="none"/>
                      <w:u w:val="single"/>
                      <w:vertAlign w:val="superscript"/>
                      <w:lang w:val="en-US" w:eastAsia="zh-CN"/>
                    </w:rPr>
                    <w:t>3</w:t>
                  </w:r>
                  <w:r>
                    <w:rPr>
                      <w:rFonts w:hint="default" w:ascii="Times New Roman" w:hAnsi="Times New Roman" w:cs="Times New Roman"/>
                      <w:sz w:val="21"/>
                      <w:szCs w:val="21"/>
                      <w:highlight w:val="none"/>
                      <w:u w:val="single"/>
                      <w:lang w:val="en-US" w:eastAsia="zh-CN"/>
                    </w:rPr>
                    <w:t>/a</w:t>
                  </w:r>
                </w:p>
              </w:tc>
              <w:tc>
                <w:tcPr>
                  <w:tcW w:w="314" w:type="pct"/>
                  <w:shd w:val="clear" w:color="auto" w:fill="auto"/>
                  <w:vAlign w:val="center"/>
                </w:tcPr>
                <w:p w14:paraId="07F253DD">
                  <w:pPr>
                    <w:jc w:val="center"/>
                    <w:rPr>
                      <w:rFonts w:hint="default" w:ascii="Times New Roman" w:hAnsi="Times New Roman" w:eastAsia="宋体" w:cs="Times New Roman"/>
                      <w:kern w:val="2"/>
                      <w:sz w:val="21"/>
                      <w:szCs w:val="21"/>
                      <w:highlight w:val="none"/>
                      <w:u w:val="single"/>
                      <w:lang w:val="en-US" w:eastAsia="zh-CN" w:bidi="ar-SA"/>
                    </w:rPr>
                  </w:pPr>
                  <w:r>
                    <w:rPr>
                      <w:rFonts w:hint="default" w:ascii="Times New Roman" w:hAnsi="Times New Roman" w:cs="Times New Roman"/>
                      <w:sz w:val="21"/>
                      <w:szCs w:val="21"/>
                      <w:highlight w:val="none"/>
                      <w:u w:val="single"/>
                    </w:rPr>
                    <w:t>pH</w:t>
                  </w:r>
                </w:p>
              </w:tc>
              <w:tc>
                <w:tcPr>
                  <w:tcW w:w="495" w:type="pct"/>
                  <w:shd w:val="clear" w:color="auto" w:fill="auto"/>
                  <w:vAlign w:val="center"/>
                </w:tcPr>
                <w:p w14:paraId="7687F653">
                  <w:pPr>
                    <w:pStyle w:val="115"/>
                    <w:adjustRightInd/>
                    <w:snapToGrid/>
                    <w:spacing w:beforeLines="0" w:line="240" w:lineRule="auto"/>
                    <w:jc w:val="center"/>
                    <w:rPr>
                      <w:rFonts w:hint="default" w:ascii="Times New Roman" w:hAnsi="Times New Roman" w:eastAsia="宋体" w:cs="Times New Roman"/>
                      <w:kern w:val="2"/>
                      <w:sz w:val="21"/>
                      <w:szCs w:val="21"/>
                      <w:highlight w:val="none"/>
                      <w:u w:val="single"/>
                      <w:lang w:val="en-US" w:eastAsia="zh-CN" w:bidi="ar-SA"/>
                    </w:rPr>
                  </w:pPr>
                  <w:r>
                    <w:rPr>
                      <w:rFonts w:hint="default" w:ascii="Times New Roman" w:hAnsi="Times New Roman" w:cs="Times New Roman"/>
                      <w:sz w:val="21"/>
                      <w:szCs w:val="21"/>
                      <w:highlight w:val="none"/>
                      <w:u w:val="single"/>
                      <w:lang w:val="en-US" w:eastAsia="zh-CN"/>
                    </w:rPr>
                    <w:t>6-9</w:t>
                  </w:r>
                </w:p>
              </w:tc>
              <w:tc>
                <w:tcPr>
                  <w:tcW w:w="505" w:type="pct"/>
                  <w:shd w:val="clear" w:color="auto" w:fill="auto"/>
                  <w:vAlign w:val="center"/>
                </w:tcPr>
                <w:p w14:paraId="5901B6B7">
                  <w:pPr>
                    <w:jc w:val="center"/>
                    <w:rPr>
                      <w:rFonts w:hint="default" w:ascii="Times New Roman" w:hAnsi="Times New Roman" w:eastAsia="等线" w:cs="Times New Roman"/>
                      <w:kern w:val="2"/>
                      <w:sz w:val="21"/>
                      <w:szCs w:val="21"/>
                      <w:highlight w:val="none"/>
                      <w:u w:val="single"/>
                      <w:lang w:val="en-US" w:eastAsia="zh-CN" w:bidi="ar-SA"/>
                    </w:rPr>
                  </w:pPr>
                  <w:r>
                    <w:rPr>
                      <w:rFonts w:hint="default" w:ascii="Times New Roman" w:hAnsi="Times New Roman" w:eastAsia="等线" w:cs="Times New Roman"/>
                      <w:sz w:val="21"/>
                      <w:szCs w:val="21"/>
                      <w:highlight w:val="none"/>
                      <w:u w:val="single"/>
                      <w:lang w:val="en-US" w:eastAsia="zh-CN"/>
                    </w:rPr>
                    <w:t>/</w:t>
                  </w:r>
                </w:p>
              </w:tc>
              <w:tc>
                <w:tcPr>
                  <w:tcW w:w="359" w:type="pct"/>
                  <w:vMerge w:val="continue"/>
                  <w:vAlign w:val="center"/>
                </w:tcPr>
                <w:p w14:paraId="31CB6392">
                  <w:pPr>
                    <w:jc w:val="center"/>
                    <w:rPr>
                      <w:rFonts w:hint="default" w:ascii="Times New Roman" w:hAnsi="Times New Roman" w:cs="Times New Roman"/>
                      <w:sz w:val="21"/>
                      <w:szCs w:val="21"/>
                      <w:highlight w:val="none"/>
                      <w:u w:val="single"/>
                    </w:rPr>
                  </w:pPr>
                </w:p>
              </w:tc>
              <w:tc>
                <w:tcPr>
                  <w:tcW w:w="565" w:type="pct"/>
                  <w:vAlign w:val="center"/>
                </w:tcPr>
                <w:p w14:paraId="62B7B0C1">
                  <w:pPr>
                    <w:pStyle w:val="115"/>
                    <w:adjustRightInd/>
                    <w:snapToGrid/>
                    <w:spacing w:beforeLines="0" w:line="240" w:lineRule="auto"/>
                    <w:jc w:val="center"/>
                    <w:rPr>
                      <w:rFonts w:hint="default" w:ascii="Times New Roman" w:hAnsi="Times New Roman" w:eastAsia="等线" w:cs="Times New Roman"/>
                      <w:sz w:val="21"/>
                      <w:szCs w:val="21"/>
                      <w:highlight w:val="none"/>
                      <w:u w:val="single"/>
                    </w:rPr>
                  </w:pPr>
                  <w:r>
                    <w:rPr>
                      <w:rFonts w:hint="default" w:ascii="Times New Roman" w:hAnsi="Times New Roman" w:cs="Times New Roman"/>
                      <w:sz w:val="21"/>
                      <w:szCs w:val="21"/>
                      <w:highlight w:val="none"/>
                      <w:u w:val="single"/>
                      <w:lang w:val="en-US" w:eastAsia="zh-CN"/>
                    </w:rPr>
                    <w:t>6-9</w:t>
                  </w:r>
                </w:p>
              </w:tc>
              <w:tc>
                <w:tcPr>
                  <w:tcW w:w="440" w:type="pct"/>
                  <w:vAlign w:val="center"/>
                </w:tcPr>
                <w:p w14:paraId="3C04B85A">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w:t>
                  </w:r>
                </w:p>
              </w:tc>
              <w:tc>
                <w:tcPr>
                  <w:tcW w:w="427" w:type="pct"/>
                  <w:vAlign w:val="center"/>
                </w:tcPr>
                <w:p w14:paraId="1C211F2D">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6-9</w:t>
                  </w:r>
                </w:p>
              </w:tc>
              <w:tc>
                <w:tcPr>
                  <w:tcW w:w="716" w:type="pct"/>
                  <w:vMerge w:val="continue"/>
                  <w:vAlign w:val="center"/>
                </w:tcPr>
                <w:p w14:paraId="1954BDA9">
                  <w:pPr>
                    <w:jc w:val="center"/>
                    <w:rPr>
                      <w:rFonts w:hint="eastAsia" w:eastAsia="等线" w:cs="Times New Roman"/>
                      <w:sz w:val="21"/>
                      <w:szCs w:val="21"/>
                      <w:highlight w:val="none"/>
                      <w:u w:val="single"/>
                      <w:lang w:val="en-US" w:eastAsia="zh-CN"/>
                    </w:rPr>
                  </w:pPr>
                </w:p>
              </w:tc>
              <w:tc>
                <w:tcPr>
                  <w:tcW w:w="358" w:type="pct"/>
                  <w:vAlign w:val="center"/>
                </w:tcPr>
                <w:p w14:paraId="5D7054A8">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01C97544">
                  <w:pPr>
                    <w:jc w:val="center"/>
                    <w:rPr>
                      <w:rFonts w:hint="eastAsia" w:eastAsia="等线" w:cs="Times New Roman"/>
                      <w:sz w:val="21"/>
                      <w:szCs w:val="21"/>
                      <w:highlight w:val="none"/>
                      <w:u w:val="single"/>
                      <w:lang w:val="en-US" w:eastAsia="zh-CN"/>
                    </w:rPr>
                  </w:pPr>
                </w:p>
              </w:tc>
            </w:tr>
            <w:tr w14:paraId="545E78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459" w:type="pct"/>
                  <w:vMerge w:val="continue"/>
                  <w:vAlign w:val="center"/>
                </w:tcPr>
                <w:p w14:paraId="02116FDC">
                  <w:pPr>
                    <w:jc w:val="center"/>
                    <w:rPr>
                      <w:rFonts w:hint="default" w:ascii="Times New Roman" w:hAnsi="Times New Roman" w:cs="Times New Roman"/>
                      <w:sz w:val="21"/>
                      <w:szCs w:val="21"/>
                      <w:highlight w:val="none"/>
                      <w:u w:val="single"/>
                    </w:rPr>
                  </w:pPr>
                </w:p>
              </w:tc>
              <w:tc>
                <w:tcPr>
                  <w:tcW w:w="314" w:type="pct"/>
                  <w:vAlign w:val="center"/>
                </w:tcPr>
                <w:p w14:paraId="71FCF2B5">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COD</w:t>
                  </w:r>
                </w:p>
              </w:tc>
              <w:tc>
                <w:tcPr>
                  <w:tcW w:w="495" w:type="pct"/>
                  <w:vAlign w:val="center"/>
                </w:tcPr>
                <w:p w14:paraId="0FF7F4E8">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300</w:t>
                  </w:r>
                </w:p>
              </w:tc>
              <w:tc>
                <w:tcPr>
                  <w:tcW w:w="505" w:type="pct"/>
                  <w:vAlign w:val="center"/>
                </w:tcPr>
                <w:p w14:paraId="367B2918">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0.066 </w:t>
                  </w:r>
                </w:p>
              </w:tc>
              <w:tc>
                <w:tcPr>
                  <w:tcW w:w="359" w:type="pct"/>
                  <w:vMerge w:val="continue"/>
                  <w:vAlign w:val="center"/>
                </w:tcPr>
                <w:p w14:paraId="2DE45C21">
                  <w:pPr>
                    <w:jc w:val="center"/>
                    <w:rPr>
                      <w:rFonts w:hint="default" w:ascii="Times New Roman" w:hAnsi="Times New Roman" w:cs="Times New Roman"/>
                      <w:sz w:val="21"/>
                      <w:szCs w:val="21"/>
                      <w:highlight w:val="none"/>
                      <w:u w:val="single"/>
                    </w:rPr>
                  </w:pPr>
                </w:p>
              </w:tc>
              <w:tc>
                <w:tcPr>
                  <w:tcW w:w="565" w:type="pct"/>
                  <w:vAlign w:val="center"/>
                </w:tcPr>
                <w:p w14:paraId="2CAF32BC">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250</w:t>
                  </w:r>
                </w:p>
              </w:tc>
              <w:tc>
                <w:tcPr>
                  <w:tcW w:w="440" w:type="pct"/>
                  <w:vAlign w:val="center"/>
                </w:tcPr>
                <w:p w14:paraId="583A1A7B">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0.055 </w:t>
                  </w:r>
                </w:p>
              </w:tc>
              <w:tc>
                <w:tcPr>
                  <w:tcW w:w="427" w:type="pct"/>
                  <w:vAlign w:val="center"/>
                </w:tcPr>
                <w:p w14:paraId="4816C5C3">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250</w:t>
                  </w:r>
                  <w:r>
                    <w:rPr>
                      <w:rFonts w:hint="eastAsia"/>
                      <w:bCs/>
                      <w:sz w:val="21"/>
                      <w:szCs w:val="21"/>
                      <w:highlight w:val="none"/>
                      <w:u w:val="single"/>
                    </w:rPr>
                    <w:t>mg/L</w:t>
                  </w:r>
                </w:p>
              </w:tc>
              <w:tc>
                <w:tcPr>
                  <w:tcW w:w="716" w:type="pct"/>
                  <w:vMerge w:val="continue"/>
                  <w:vAlign w:val="center"/>
                </w:tcPr>
                <w:p w14:paraId="7C18F2BF">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446EAA67">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50</w:t>
                  </w:r>
                </w:p>
              </w:tc>
              <w:tc>
                <w:tcPr>
                  <w:tcW w:w="358" w:type="pct"/>
                  <w:vAlign w:val="center"/>
                </w:tcPr>
                <w:p w14:paraId="1BA34EC9">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0.011 </w:t>
                  </w:r>
                </w:p>
              </w:tc>
            </w:tr>
            <w:tr w14:paraId="5234B5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1C9DF9B0">
                  <w:pPr>
                    <w:jc w:val="center"/>
                    <w:rPr>
                      <w:rFonts w:hint="default" w:ascii="Times New Roman" w:hAnsi="Times New Roman" w:cs="Times New Roman"/>
                      <w:sz w:val="21"/>
                      <w:szCs w:val="21"/>
                      <w:highlight w:val="none"/>
                      <w:u w:val="single"/>
                    </w:rPr>
                  </w:pPr>
                </w:p>
              </w:tc>
              <w:tc>
                <w:tcPr>
                  <w:tcW w:w="314" w:type="pct"/>
                  <w:vAlign w:val="center"/>
                </w:tcPr>
                <w:p w14:paraId="73808EA1">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BOD</w:t>
                  </w:r>
                </w:p>
              </w:tc>
              <w:tc>
                <w:tcPr>
                  <w:tcW w:w="495" w:type="pct"/>
                  <w:vAlign w:val="center"/>
                </w:tcPr>
                <w:p w14:paraId="25ECB173">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150</w:t>
                  </w:r>
                </w:p>
              </w:tc>
              <w:tc>
                <w:tcPr>
                  <w:tcW w:w="505" w:type="pct"/>
                  <w:vAlign w:val="center"/>
                </w:tcPr>
                <w:p w14:paraId="04603F1B">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0.033 </w:t>
                  </w:r>
                </w:p>
              </w:tc>
              <w:tc>
                <w:tcPr>
                  <w:tcW w:w="359" w:type="pct"/>
                  <w:vMerge w:val="continue"/>
                  <w:vAlign w:val="center"/>
                </w:tcPr>
                <w:p w14:paraId="7B61965E">
                  <w:pPr>
                    <w:jc w:val="center"/>
                    <w:rPr>
                      <w:rFonts w:hint="default" w:ascii="Times New Roman" w:hAnsi="Times New Roman" w:cs="Times New Roman"/>
                      <w:sz w:val="21"/>
                      <w:szCs w:val="21"/>
                      <w:highlight w:val="none"/>
                      <w:u w:val="single"/>
                    </w:rPr>
                  </w:pPr>
                </w:p>
              </w:tc>
              <w:tc>
                <w:tcPr>
                  <w:tcW w:w="565" w:type="pct"/>
                  <w:vAlign w:val="center"/>
                </w:tcPr>
                <w:p w14:paraId="69D290C1">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100</w:t>
                  </w:r>
                </w:p>
              </w:tc>
              <w:tc>
                <w:tcPr>
                  <w:tcW w:w="440" w:type="pct"/>
                  <w:vAlign w:val="center"/>
                </w:tcPr>
                <w:p w14:paraId="4E0818A6">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0.022 </w:t>
                  </w:r>
                </w:p>
              </w:tc>
              <w:tc>
                <w:tcPr>
                  <w:tcW w:w="427" w:type="pct"/>
                  <w:vAlign w:val="center"/>
                </w:tcPr>
                <w:p w14:paraId="27A67EA9">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100</w:t>
                  </w:r>
                  <w:r>
                    <w:rPr>
                      <w:rFonts w:hint="eastAsia"/>
                      <w:bCs/>
                      <w:sz w:val="21"/>
                      <w:szCs w:val="21"/>
                      <w:highlight w:val="none"/>
                      <w:u w:val="single"/>
                    </w:rPr>
                    <w:t>mg/L</w:t>
                  </w:r>
                </w:p>
              </w:tc>
              <w:tc>
                <w:tcPr>
                  <w:tcW w:w="716" w:type="pct"/>
                  <w:vMerge w:val="continue"/>
                  <w:vAlign w:val="center"/>
                </w:tcPr>
                <w:p w14:paraId="73F9CB0B">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78CA8035">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7A4113E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0.002 </w:t>
                  </w:r>
                </w:p>
              </w:tc>
            </w:tr>
            <w:tr w14:paraId="1904C9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2C5390AB">
                  <w:pPr>
                    <w:jc w:val="center"/>
                    <w:rPr>
                      <w:rFonts w:hint="default" w:ascii="Times New Roman" w:hAnsi="Times New Roman" w:cs="Times New Roman"/>
                      <w:sz w:val="21"/>
                      <w:szCs w:val="21"/>
                      <w:highlight w:val="none"/>
                      <w:u w:val="single"/>
                    </w:rPr>
                  </w:pPr>
                </w:p>
              </w:tc>
              <w:tc>
                <w:tcPr>
                  <w:tcW w:w="314" w:type="pct"/>
                  <w:vAlign w:val="center"/>
                </w:tcPr>
                <w:p w14:paraId="1CE1B030">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氨氮</w:t>
                  </w:r>
                </w:p>
              </w:tc>
              <w:tc>
                <w:tcPr>
                  <w:tcW w:w="495" w:type="pct"/>
                  <w:vAlign w:val="center"/>
                </w:tcPr>
                <w:p w14:paraId="1930E088">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35</w:t>
                  </w:r>
                </w:p>
              </w:tc>
              <w:tc>
                <w:tcPr>
                  <w:tcW w:w="505" w:type="pct"/>
                  <w:vAlign w:val="center"/>
                </w:tcPr>
                <w:p w14:paraId="032272A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0.008 </w:t>
                  </w:r>
                </w:p>
              </w:tc>
              <w:tc>
                <w:tcPr>
                  <w:tcW w:w="359" w:type="pct"/>
                  <w:vMerge w:val="continue"/>
                  <w:vAlign w:val="center"/>
                </w:tcPr>
                <w:p w14:paraId="5B9497A7">
                  <w:pPr>
                    <w:jc w:val="center"/>
                    <w:rPr>
                      <w:rFonts w:hint="default" w:ascii="Times New Roman" w:hAnsi="Times New Roman" w:cs="Times New Roman"/>
                      <w:sz w:val="21"/>
                      <w:szCs w:val="21"/>
                      <w:highlight w:val="none"/>
                      <w:u w:val="single"/>
                    </w:rPr>
                  </w:pPr>
                </w:p>
              </w:tc>
              <w:tc>
                <w:tcPr>
                  <w:tcW w:w="565" w:type="pct"/>
                  <w:vAlign w:val="center"/>
                </w:tcPr>
                <w:p w14:paraId="6E8AC399">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35</w:t>
                  </w:r>
                </w:p>
              </w:tc>
              <w:tc>
                <w:tcPr>
                  <w:tcW w:w="440" w:type="pct"/>
                  <w:vAlign w:val="center"/>
                </w:tcPr>
                <w:p w14:paraId="5C7EC4EF">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0.008 </w:t>
                  </w:r>
                </w:p>
              </w:tc>
              <w:tc>
                <w:tcPr>
                  <w:tcW w:w="427" w:type="pct"/>
                  <w:vAlign w:val="center"/>
                </w:tcPr>
                <w:p w14:paraId="0655E483">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35</w:t>
                  </w:r>
                  <w:r>
                    <w:rPr>
                      <w:rFonts w:hint="eastAsia"/>
                      <w:bCs/>
                      <w:sz w:val="21"/>
                      <w:szCs w:val="21"/>
                      <w:highlight w:val="none"/>
                      <w:u w:val="single"/>
                    </w:rPr>
                    <w:t>mg/L</w:t>
                  </w:r>
                </w:p>
              </w:tc>
              <w:tc>
                <w:tcPr>
                  <w:tcW w:w="716" w:type="pct"/>
                  <w:vMerge w:val="continue"/>
                  <w:vAlign w:val="center"/>
                </w:tcPr>
                <w:p w14:paraId="203CB80D">
                  <w:pPr>
                    <w:jc w:val="center"/>
                    <w:rPr>
                      <w:rFonts w:hint="eastAsia" w:eastAsia="等线" w:cs="Times New Roman"/>
                      <w:sz w:val="21"/>
                      <w:szCs w:val="21"/>
                      <w:highlight w:val="none"/>
                      <w:u w:val="single"/>
                      <w:lang w:val="en-US" w:eastAsia="zh-CN"/>
                    </w:rPr>
                  </w:pPr>
                </w:p>
              </w:tc>
              <w:tc>
                <w:tcPr>
                  <w:tcW w:w="358" w:type="pct"/>
                  <w:vAlign w:val="center"/>
                </w:tcPr>
                <w:p w14:paraId="19FF526C">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w:t>
                  </w:r>
                </w:p>
              </w:tc>
              <w:tc>
                <w:tcPr>
                  <w:tcW w:w="358" w:type="pct"/>
                  <w:vAlign w:val="center"/>
                </w:tcPr>
                <w:p w14:paraId="6E93BE5B">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0.001 </w:t>
                  </w:r>
                </w:p>
              </w:tc>
            </w:tr>
            <w:tr w14:paraId="7E4076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211A9BC5">
                  <w:pPr>
                    <w:jc w:val="center"/>
                    <w:rPr>
                      <w:rFonts w:hint="default" w:ascii="Times New Roman" w:hAnsi="Times New Roman" w:cs="Times New Roman"/>
                      <w:sz w:val="21"/>
                      <w:szCs w:val="21"/>
                      <w:highlight w:val="none"/>
                      <w:u w:val="single"/>
                    </w:rPr>
                  </w:pPr>
                </w:p>
              </w:tc>
              <w:tc>
                <w:tcPr>
                  <w:tcW w:w="314" w:type="pct"/>
                  <w:vAlign w:val="center"/>
                </w:tcPr>
                <w:p w14:paraId="14D6887F">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悬浮物</w:t>
                  </w:r>
                </w:p>
              </w:tc>
              <w:tc>
                <w:tcPr>
                  <w:tcW w:w="495" w:type="pct"/>
                  <w:vAlign w:val="center"/>
                </w:tcPr>
                <w:p w14:paraId="053F1EE5">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100</w:t>
                  </w:r>
                </w:p>
              </w:tc>
              <w:tc>
                <w:tcPr>
                  <w:tcW w:w="505" w:type="pct"/>
                  <w:vAlign w:val="center"/>
                </w:tcPr>
                <w:p w14:paraId="6190F7DA">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0.022 </w:t>
                  </w:r>
                </w:p>
              </w:tc>
              <w:tc>
                <w:tcPr>
                  <w:tcW w:w="359" w:type="pct"/>
                  <w:vMerge w:val="continue"/>
                  <w:vAlign w:val="center"/>
                </w:tcPr>
                <w:p w14:paraId="11815D09">
                  <w:pPr>
                    <w:jc w:val="center"/>
                    <w:rPr>
                      <w:rFonts w:hint="default" w:ascii="Times New Roman" w:hAnsi="Times New Roman" w:cs="Times New Roman"/>
                      <w:sz w:val="21"/>
                      <w:szCs w:val="21"/>
                      <w:highlight w:val="none"/>
                      <w:u w:val="single"/>
                    </w:rPr>
                  </w:pPr>
                </w:p>
              </w:tc>
              <w:tc>
                <w:tcPr>
                  <w:tcW w:w="565" w:type="pct"/>
                  <w:vAlign w:val="center"/>
                </w:tcPr>
                <w:p w14:paraId="2ADAD8E5">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60</w:t>
                  </w:r>
                </w:p>
              </w:tc>
              <w:tc>
                <w:tcPr>
                  <w:tcW w:w="440" w:type="pct"/>
                  <w:shd w:val="clear" w:color="auto" w:fill="auto"/>
                  <w:vAlign w:val="center"/>
                </w:tcPr>
                <w:p w14:paraId="28BF8CA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highlight w:val="none"/>
                      <w:u w:val="single"/>
                      <w:lang w:val="en-US" w:eastAsia="zh-CN" w:bidi="ar-SA"/>
                    </w:rPr>
                  </w:pPr>
                  <w:r>
                    <w:rPr>
                      <w:rFonts w:hint="default" w:ascii="Times New Roman" w:hAnsi="Times New Roman" w:eastAsia="宋体" w:cs="Times New Roman"/>
                      <w:i w:val="0"/>
                      <w:iCs w:val="0"/>
                      <w:color w:val="000000"/>
                      <w:kern w:val="0"/>
                      <w:sz w:val="21"/>
                      <w:szCs w:val="21"/>
                      <w:u w:val="single"/>
                      <w:lang w:val="en-US" w:eastAsia="zh-CN" w:bidi="ar"/>
                    </w:rPr>
                    <w:t xml:space="preserve">0.013 </w:t>
                  </w:r>
                </w:p>
              </w:tc>
              <w:tc>
                <w:tcPr>
                  <w:tcW w:w="427" w:type="pct"/>
                  <w:vAlign w:val="center"/>
                </w:tcPr>
                <w:p w14:paraId="5782C23F">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60</w:t>
                  </w:r>
                  <w:r>
                    <w:rPr>
                      <w:rFonts w:hint="eastAsia"/>
                      <w:bCs/>
                      <w:sz w:val="21"/>
                      <w:szCs w:val="21"/>
                      <w:highlight w:val="none"/>
                      <w:u w:val="single"/>
                    </w:rPr>
                    <w:t>mg/L</w:t>
                  </w:r>
                </w:p>
              </w:tc>
              <w:tc>
                <w:tcPr>
                  <w:tcW w:w="716" w:type="pct"/>
                  <w:vMerge w:val="continue"/>
                  <w:vAlign w:val="center"/>
                </w:tcPr>
                <w:p w14:paraId="0D7C4E50">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454D0F08">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2B150A8D">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0.002 </w:t>
                  </w:r>
                </w:p>
              </w:tc>
            </w:tr>
            <w:tr w14:paraId="6893FB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3EBFFE21">
                  <w:pPr>
                    <w:jc w:val="center"/>
                    <w:rPr>
                      <w:rFonts w:hint="default" w:ascii="Times New Roman" w:hAnsi="Times New Roman" w:cs="Times New Roman"/>
                      <w:sz w:val="21"/>
                      <w:szCs w:val="21"/>
                      <w:highlight w:val="none"/>
                      <w:u w:val="single"/>
                    </w:rPr>
                  </w:pPr>
                </w:p>
              </w:tc>
              <w:tc>
                <w:tcPr>
                  <w:tcW w:w="314" w:type="pct"/>
                  <w:vAlign w:val="center"/>
                </w:tcPr>
                <w:p w14:paraId="668514E6">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总磷</w:t>
                  </w:r>
                </w:p>
              </w:tc>
              <w:tc>
                <w:tcPr>
                  <w:tcW w:w="495" w:type="pct"/>
                  <w:vAlign w:val="center"/>
                </w:tcPr>
                <w:p w14:paraId="1A7F9E63">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4</w:t>
                  </w:r>
                </w:p>
              </w:tc>
              <w:tc>
                <w:tcPr>
                  <w:tcW w:w="505" w:type="pct"/>
                  <w:shd w:val="clear" w:color="auto" w:fill="auto"/>
                  <w:vAlign w:val="center"/>
                </w:tcPr>
                <w:p w14:paraId="2CEC05D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highlight w:val="none"/>
                      <w:u w:val="single"/>
                      <w:lang w:val="en-US" w:eastAsia="zh-CN" w:bidi="ar-SA"/>
                    </w:rPr>
                  </w:pPr>
                  <w:r>
                    <w:rPr>
                      <w:rFonts w:hint="default" w:ascii="Times New Roman" w:hAnsi="Times New Roman" w:eastAsia="宋体" w:cs="Times New Roman"/>
                      <w:i w:val="0"/>
                      <w:iCs w:val="0"/>
                      <w:color w:val="000000"/>
                      <w:kern w:val="0"/>
                      <w:sz w:val="21"/>
                      <w:szCs w:val="21"/>
                      <w:u w:val="single"/>
                      <w:lang w:val="en-US" w:eastAsia="zh-CN" w:bidi="ar"/>
                    </w:rPr>
                    <w:t xml:space="preserve">0.001 </w:t>
                  </w:r>
                </w:p>
              </w:tc>
              <w:tc>
                <w:tcPr>
                  <w:tcW w:w="359" w:type="pct"/>
                  <w:vMerge w:val="continue"/>
                  <w:vAlign w:val="center"/>
                </w:tcPr>
                <w:p w14:paraId="75A90D0D">
                  <w:pPr>
                    <w:jc w:val="center"/>
                    <w:rPr>
                      <w:rFonts w:hint="default" w:ascii="Times New Roman" w:hAnsi="Times New Roman" w:cs="Times New Roman"/>
                      <w:sz w:val="21"/>
                      <w:szCs w:val="21"/>
                      <w:highlight w:val="none"/>
                      <w:u w:val="single"/>
                    </w:rPr>
                  </w:pPr>
                </w:p>
              </w:tc>
              <w:tc>
                <w:tcPr>
                  <w:tcW w:w="565" w:type="pct"/>
                  <w:vAlign w:val="center"/>
                </w:tcPr>
                <w:p w14:paraId="7166A6E7">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6</w:t>
                  </w:r>
                </w:p>
              </w:tc>
              <w:tc>
                <w:tcPr>
                  <w:tcW w:w="440" w:type="pct"/>
                  <w:vAlign w:val="center"/>
                </w:tcPr>
                <w:p w14:paraId="0A1DDD70">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0.001 </w:t>
                  </w:r>
                </w:p>
              </w:tc>
              <w:tc>
                <w:tcPr>
                  <w:tcW w:w="427" w:type="pct"/>
                  <w:vAlign w:val="center"/>
                </w:tcPr>
                <w:p w14:paraId="36C4CC5B">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6</w:t>
                  </w:r>
                  <w:r>
                    <w:rPr>
                      <w:rFonts w:hint="eastAsia"/>
                      <w:bCs/>
                      <w:sz w:val="21"/>
                      <w:szCs w:val="21"/>
                      <w:highlight w:val="none"/>
                      <w:u w:val="single"/>
                    </w:rPr>
                    <w:t>mg/L</w:t>
                  </w:r>
                </w:p>
              </w:tc>
              <w:tc>
                <w:tcPr>
                  <w:tcW w:w="716" w:type="pct"/>
                  <w:vMerge w:val="continue"/>
                  <w:vAlign w:val="center"/>
                </w:tcPr>
                <w:p w14:paraId="2880E730">
                  <w:pPr>
                    <w:jc w:val="center"/>
                    <w:rPr>
                      <w:rFonts w:hint="eastAsia" w:eastAsia="等线" w:cs="Times New Roman"/>
                      <w:sz w:val="21"/>
                      <w:szCs w:val="21"/>
                      <w:highlight w:val="none"/>
                      <w:u w:val="single"/>
                      <w:lang w:val="en-US" w:eastAsia="zh-CN"/>
                    </w:rPr>
                  </w:pPr>
                </w:p>
              </w:tc>
              <w:tc>
                <w:tcPr>
                  <w:tcW w:w="358" w:type="pct"/>
                  <w:vAlign w:val="center"/>
                </w:tcPr>
                <w:p w14:paraId="0BBCC26D">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0.5</w:t>
                  </w:r>
                </w:p>
              </w:tc>
              <w:tc>
                <w:tcPr>
                  <w:tcW w:w="358" w:type="pct"/>
                  <w:vAlign w:val="center"/>
                </w:tcPr>
                <w:p w14:paraId="3E1781A8">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0.0001 </w:t>
                  </w:r>
                </w:p>
              </w:tc>
            </w:tr>
            <w:tr w14:paraId="1BEE2D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restart"/>
                  <w:vAlign w:val="center"/>
                </w:tcPr>
                <w:p w14:paraId="07CC3297">
                  <w:pPr>
                    <w:jc w:val="center"/>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u w:val="single"/>
                      <w:lang w:val="en-US" w:eastAsia="zh-CN"/>
                    </w:rPr>
                    <w:t>综合</w:t>
                  </w:r>
                  <w:r>
                    <w:rPr>
                      <w:rFonts w:hint="default" w:ascii="Times New Roman" w:hAnsi="Times New Roman" w:cs="Times New Roman"/>
                      <w:color w:val="auto"/>
                      <w:sz w:val="21"/>
                      <w:szCs w:val="21"/>
                      <w:highlight w:val="none"/>
                      <w:u w:val="single"/>
                    </w:rPr>
                    <w:t>医疗废水</w:t>
                  </w:r>
                </w:p>
                <w:p w14:paraId="2E708349">
                  <w:pPr>
                    <w:jc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17286.4</w:t>
                  </w:r>
                  <w:r>
                    <w:rPr>
                      <w:rFonts w:hint="default" w:ascii="Times New Roman" w:hAnsi="Times New Roman" w:cs="Times New Roman"/>
                      <w:sz w:val="21"/>
                      <w:szCs w:val="21"/>
                      <w:highlight w:val="none"/>
                      <w:u w:val="single"/>
                      <w:lang w:val="en-US" w:eastAsia="zh-CN"/>
                    </w:rPr>
                    <w:t>m</w:t>
                  </w:r>
                  <w:r>
                    <w:rPr>
                      <w:rFonts w:hint="default" w:ascii="Times New Roman" w:hAnsi="Times New Roman" w:cs="Times New Roman"/>
                      <w:sz w:val="21"/>
                      <w:szCs w:val="21"/>
                      <w:highlight w:val="none"/>
                      <w:u w:val="single"/>
                      <w:vertAlign w:val="superscript"/>
                      <w:lang w:val="en-US" w:eastAsia="zh-CN"/>
                    </w:rPr>
                    <w:t>3</w:t>
                  </w:r>
                  <w:r>
                    <w:rPr>
                      <w:rFonts w:hint="default" w:ascii="Times New Roman" w:hAnsi="Times New Roman" w:cs="Times New Roman"/>
                      <w:sz w:val="21"/>
                      <w:szCs w:val="21"/>
                      <w:highlight w:val="none"/>
                      <w:u w:val="single"/>
                      <w:lang w:val="en-US" w:eastAsia="zh-CN"/>
                    </w:rPr>
                    <w:t>/a</w:t>
                  </w:r>
                </w:p>
              </w:tc>
              <w:tc>
                <w:tcPr>
                  <w:tcW w:w="314" w:type="pct"/>
                  <w:shd w:val="clear" w:color="auto" w:fill="auto"/>
                  <w:vAlign w:val="center"/>
                </w:tcPr>
                <w:p w14:paraId="21CEF701">
                  <w:pPr>
                    <w:jc w:val="center"/>
                    <w:rPr>
                      <w:rFonts w:hint="default" w:ascii="Times New Roman" w:hAnsi="Times New Roman" w:eastAsia="宋体" w:cs="Times New Roman"/>
                      <w:color w:val="auto"/>
                      <w:kern w:val="2"/>
                      <w:sz w:val="21"/>
                      <w:szCs w:val="21"/>
                      <w:highlight w:val="none"/>
                      <w:u w:val="single"/>
                      <w:lang w:val="en-US" w:eastAsia="zh-CN" w:bidi="ar-SA"/>
                    </w:rPr>
                  </w:pPr>
                  <w:r>
                    <w:rPr>
                      <w:rFonts w:hint="default" w:ascii="Times New Roman" w:hAnsi="Times New Roman" w:cs="Times New Roman"/>
                      <w:color w:val="auto"/>
                      <w:sz w:val="21"/>
                      <w:szCs w:val="21"/>
                      <w:highlight w:val="none"/>
                      <w:u w:val="single"/>
                    </w:rPr>
                    <w:t>pH</w:t>
                  </w:r>
                </w:p>
              </w:tc>
              <w:tc>
                <w:tcPr>
                  <w:tcW w:w="495" w:type="pct"/>
                  <w:vAlign w:val="center"/>
                </w:tcPr>
                <w:p w14:paraId="61D53987">
                  <w:pPr>
                    <w:pStyle w:val="115"/>
                    <w:adjustRightInd/>
                    <w:snapToGrid/>
                    <w:spacing w:beforeLines="0" w:line="240" w:lineRule="auto"/>
                    <w:jc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cs="Times New Roman"/>
                      <w:sz w:val="21"/>
                      <w:szCs w:val="21"/>
                      <w:highlight w:val="none"/>
                      <w:u w:val="single"/>
                      <w:lang w:val="en-US" w:eastAsia="zh-CN"/>
                    </w:rPr>
                    <w:t>6-9</w:t>
                  </w:r>
                </w:p>
              </w:tc>
              <w:tc>
                <w:tcPr>
                  <w:tcW w:w="505" w:type="pct"/>
                  <w:shd w:val="clear" w:color="auto" w:fill="auto"/>
                  <w:vAlign w:val="center"/>
                </w:tcPr>
                <w:p w14:paraId="43619692">
                  <w:pPr>
                    <w:jc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等线" w:cs="Times New Roman"/>
                      <w:sz w:val="21"/>
                      <w:szCs w:val="21"/>
                      <w:highlight w:val="none"/>
                      <w:u w:val="single"/>
                      <w:lang w:val="en-US" w:eastAsia="zh-CN"/>
                    </w:rPr>
                    <w:t>/</w:t>
                  </w:r>
                </w:p>
              </w:tc>
              <w:tc>
                <w:tcPr>
                  <w:tcW w:w="359" w:type="pct"/>
                  <w:vMerge w:val="continue"/>
                  <w:vAlign w:val="center"/>
                </w:tcPr>
                <w:p w14:paraId="7C9DCD65">
                  <w:pPr>
                    <w:jc w:val="center"/>
                    <w:rPr>
                      <w:rFonts w:hint="default" w:ascii="Times New Roman" w:hAnsi="Times New Roman" w:cs="Times New Roman"/>
                      <w:sz w:val="21"/>
                      <w:szCs w:val="21"/>
                      <w:highlight w:val="none"/>
                      <w:u w:val="single"/>
                    </w:rPr>
                  </w:pPr>
                </w:p>
              </w:tc>
              <w:tc>
                <w:tcPr>
                  <w:tcW w:w="565" w:type="pct"/>
                  <w:vAlign w:val="center"/>
                </w:tcPr>
                <w:p w14:paraId="56B6105B">
                  <w:pPr>
                    <w:pStyle w:val="115"/>
                    <w:adjustRightInd/>
                    <w:snapToGrid/>
                    <w:spacing w:beforeLines="0" w:line="240" w:lineRule="auto"/>
                    <w:jc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cs="Times New Roman"/>
                      <w:sz w:val="21"/>
                      <w:szCs w:val="21"/>
                      <w:highlight w:val="none"/>
                      <w:u w:val="single"/>
                      <w:lang w:val="en-US" w:eastAsia="zh-CN"/>
                    </w:rPr>
                    <w:t>6-9</w:t>
                  </w:r>
                </w:p>
              </w:tc>
              <w:tc>
                <w:tcPr>
                  <w:tcW w:w="440" w:type="pct"/>
                  <w:vAlign w:val="center"/>
                </w:tcPr>
                <w:p w14:paraId="71A04F48">
                  <w:pPr>
                    <w:jc w:val="center"/>
                    <w:rPr>
                      <w:rFonts w:hint="eastAsia" w:eastAsia="等线" w:cs="Times New Roman"/>
                      <w:sz w:val="21"/>
                      <w:szCs w:val="21"/>
                      <w:highlight w:val="none"/>
                      <w:u w:val="single"/>
                      <w:lang w:val="en-US" w:eastAsia="zh-CN"/>
                    </w:rPr>
                  </w:pPr>
                  <w:r>
                    <w:rPr>
                      <w:rFonts w:hint="default" w:ascii="Times New Roman" w:hAnsi="Times New Roman" w:eastAsia="等线" w:cs="Times New Roman"/>
                      <w:sz w:val="21"/>
                      <w:szCs w:val="21"/>
                      <w:highlight w:val="none"/>
                      <w:u w:val="single"/>
                      <w:lang w:val="en-US" w:eastAsia="zh-CN"/>
                    </w:rPr>
                    <w:t>/</w:t>
                  </w:r>
                </w:p>
              </w:tc>
              <w:tc>
                <w:tcPr>
                  <w:tcW w:w="427" w:type="pct"/>
                  <w:vAlign w:val="center"/>
                </w:tcPr>
                <w:p w14:paraId="677B7AF2">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6-9</w:t>
                  </w:r>
                </w:p>
              </w:tc>
              <w:tc>
                <w:tcPr>
                  <w:tcW w:w="716" w:type="pct"/>
                  <w:vMerge w:val="continue"/>
                  <w:vAlign w:val="center"/>
                </w:tcPr>
                <w:p w14:paraId="185045C5">
                  <w:pPr>
                    <w:jc w:val="center"/>
                    <w:rPr>
                      <w:rFonts w:hint="eastAsia" w:eastAsia="等线" w:cs="Times New Roman"/>
                      <w:sz w:val="21"/>
                      <w:szCs w:val="21"/>
                      <w:highlight w:val="none"/>
                      <w:u w:val="single"/>
                      <w:lang w:val="en-US" w:eastAsia="zh-CN"/>
                    </w:rPr>
                  </w:pPr>
                </w:p>
              </w:tc>
              <w:tc>
                <w:tcPr>
                  <w:tcW w:w="358" w:type="pct"/>
                  <w:vAlign w:val="center"/>
                </w:tcPr>
                <w:p w14:paraId="4217F088">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44BF5D10">
                  <w:pPr>
                    <w:jc w:val="center"/>
                    <w:rPr>
                      <w:rFonts w:hint="eastAsia" w:eastAsia="等线" w:cs="Times New Roman"/>
                      <w:sz w:val="21"/>
                      <w:szCs w:val="21"/>
                      <w:highlight w:val="none"/>
                      <w:u w:val="single"/>
                      <w:lang w:val="en-US" w:eastAsia="zh-CN"/>
                    </w:rPr>
                  </w:pPr>
                </w:p>
              </w:tc>
            </w:tr>
            <w:tr w14:paraId="46F64C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5CEED636">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1EF1B347">
                  <w:pPr>
                    <w:jc w:val="center"/>
                    <w:rPr>
                      <w:rFonts w:hint="default" w:ascii="Times New Roman" w:hAnsi="Times New Roman" w:eastAsia="宋体" w:cs="Times New Roman"/>
                      <w:color w:val="FF0000"/>
                      <w:kern w:val="2"/>
                      <w:sz w:val="21"/>
                      <w:szCs w:val="21"/>
                      <w:highlight w:val="none"/>
                      <w:u w:val="single"/>
                      <w:lang w:val="en-US" w:eastAsia="zh-CN" w:bidi="ar-SA"/>
                    </w:rPr>
                  </w:pPr>
                  <w:r>
                    <w:rPr>
                      <w:rFonts w:hint="default" w:ascii="Times New Roman" w:hAnsi="Times New Roman" w:cs="Times New Roman"/>
                      <w:color w:val="000000"/>
                      <w:sz w:val="21"/>
                      <w:szCs w:val="21"/>
                      <w:highlight w:val="none"/>
                      <w:u w:val="single"/>
                    </w:rPr>
                    <w:t>COD</w:t>
                  </w:r>
                </w:p>
              </w:tc>
              <w:tc>
                <w:tcPr>
                  <w:tcW w:w="495" w:type="pct"/>
                  <w:vAlign w:val="center"/>
                </w:tcPr>
                <w:p w14:paraId="383514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299.392 </w:t>
                  </w:r>
                </w:p>
              </w:tc>
              <w:tc>
                <w:tcPr>
                  <w:tcW w:w="505" w:type="pct"/>
                  <w:shd w:val="clear" w:color="auto" w:fill="auto"/>
                  <w:vAlign w:val="center"/>
                </w:tcPr>
                <w:p w14:paraId="0BC0910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5.175 </w:t>
                  </w:r>
                </w:p>
              </w:tc>
              <w:tc>
                <w:tcPr>
                  <w:tcW w:w="359" w:type="pct"/>
                  <w:vMerge w:val="continue"/>
                  <w:vAlign w:val="center"/>
                </w:tcPr>
                <w:p w14:paraId="7317B680">
                  <w:pPr>
                    <w:jc w:val="center"/>
                    <w:rPr>
                      <w:rFonts w:hint="default" w:ascii="Times New Roman" w:hAnsi="Times New Roman" w:cs="Times New Roman"/>
                      <w:sz w:val="21"/>
                      <w:szCs w:val="21"/>
                      <w:highlight w:val="none"/>
                      <w:u w:val="single"/>
                    </w:rPr>
                  </w:pPr>
                </w:p>
              </w:tc>
              <w:tc>
                <w:tcPr>
                  <w:tcW w:w="565" w:type="pct"/>
                  <w:vAlign w:val="center"/>
                </w:tcPr>
                <w:p w14:paraId="482D6AB8">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250</w:t>
                  </w:r>
                </w:p>
              </w:tc>
              <w:tc>
                <w:tcPr>
                  <w:tcW w:w="440" w:type="pct"/>
                  <w:vAlign w:val="center"/>
                </w:tcPr>
                <w:p w14:paraId="6E3A5807">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4.322 </w:t>
                  </w:r>
                </w:p>
              </w:tc>
              <w:tc>
                <w:tcPr>
                  <w:tcW w:w="427" w:type="pct"/>
                  <w:vAlign w:val="center"/>
                </w:tcPr>
                <w:p w14:paraId="18A60CEE">
                  <w:pPr>
                    <w:jc w:val="center"/>
                    <w:rPr>
                      <w:rFonts w:hint="eastAsia" w:eastAsia="等线" w:cs="Times New Roman"/>
                      <w:sz w:val="21"/>
                      <w:szCs w:val="21"/>
                      <w:highlight w:val="none"/>
                      <w:u w:val="single"/>
                      <w:lang w:val="en-US" w:eastAsia="zh-CN"/>
                    </w:rPr>
                  </w:pPr>
                  <w:r>
                    <w:rPr>
                      <w:rFonts w:hint="default" w:ascii="Times New Roman" w:hAnsi="Times New Roman" w:eastAsia="等线" w:cs="Times New Roman"/>
                      <w:sz w:val="21"/>
                      <w:szCs w:val="21"/>
                      <w:highlight w:val="none"/>
                      <w:u w:val="single"/>
                      <w:lang w:val="en-US" w:eastAsia="zh-CN"/>
                    </w:rPr>
                    <w:t>250</w:t>
                  </w:r>
                  <w:r>
                    <w:rPr>
                      <w:rFonts w:hint="eastAsia"/>
                      <w:bCs/>
                      <w:sz w:val="21"/>
                      <w:szCs w:val="21"/>
                      <w:highlight w:val="none"/>
                      <w:u w:val="single"/>
                    </w:rPr>
                    <w:t>mg/L</w:t>
                  </w:r>
                </w:p>
              </w:tc>
              <w:tc>
                <w:tcPr>
                  <w:tcW w:w="716" w:type="pct"/>
                  <w:vMerge w:val="continue"/>
                  <w:vAlign w:val="center"/>
                </w:tcPr>
                <w:p w14:paraId="4A8ECECB">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2CAF6E3E">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50</w:t>
                  </w:r>
                </w:p>
              </w:tc>
              <w:tc>
                <w:tcPr>
                  <w:tcW w:w="358" w:type="pct"/>
                  <w:vAlign w:val="center"/>
                </w:tcPr>
                <w:p w14:paraId="3BA953F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0.864 </w:t>
                  </w:r>
                </w:p>
              </w:tc>
            </w:tr>
            <w:tr w14:paraId="5D7994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775B9407">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3F6EF161">
                  <w:pPr>
                    <w:jc w:val="center"/>
                    <w:rPr>
                      <w:rFonts w:hint="default" w:ascii="Times New Roman" w:hAnsi="Times New Roman" w:eastAsia="宋体" w:cs="Times New Roman"/>
                      <w:color w:val="FF0000"/>
                      <w:kern w:val="2"/>
                      <w:sz w:val="21"/>
                      <w:szCs w:val="21"/>
                      <w:highlight w:val="none"/>
                      <w:u w:val="single"/>
                      <w:lang w:val="en-US" w:eastAsia="zh-CN" w:bidi="ar-SA"/>
                    </w:rPr>
                  </w:pPr>
                  <w:r>
                    <w:rPr>
                      <w:rFonts w:hint="default" w:ascii="Times New Roman" w:hAnsi="Times New Roman" w:cs="Times New Roman"/>
                      <w:color w:val="000000"/>
                      <w:sz w:val="21"/>
                      <w:szCs w:val="21"/>
                      <w:highlight w:val="none"/>
                      <w:u w:val="single"/>
                    </w:rPr>
                    <w:t>BOD</w:t>
                  </w:r>
                </w:p>
              </w:tc>
              <w:tc>
                <w:tcPr>
                  <w:tcW w:w="495" w:type="pct"/>
                  <w:vAlign w:val="center"/>
                </w:tcPr>
                <w:p w14:paraId="010F14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149.620 </w:t>
                  </w:r>
                </w:p>
              </w:tc>
              <w:tc>
                <w:tcPr>
                  <w:tcW w:w="505" w:type="pct"/>
                  <w:shd w:val="clear" w:color="auto" w:fill="auto"/>
                  <w:vAlign w:val="center"/>
                </w:tcPr>
                <w:p w14:paraId="51CF83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2.586 </w:t>
                  </w:r>
                </w:p>
              </w:tc>
              <w:tc>
                <w:tcPr>
                  <w:tcW w:w="359" w:type="pct"/>
                  <w:vMerge w:val="continue"/>
                  <w:vAlign w:val="center"/>
                </w:tcPr>
                <w:p w14:paraId="3C1E5CE0">
                  <w:pPr>
                    <w:jc w:val="center"/>
                    <w:rPr>
                      <w:rFonts w:hint="default" w:ascii="Times New Roman" w:hAnsi="Times New Roman" w:cs="Times New Roman"/>
                      <w:sz w:val="21"/>
                      <w:szCs w:val="21"/>
                      <w:highlight w:val="none"/>
                      <w:u w:val="single"/>
                    </w:rPr>
                  </w:pPr>
                </w:p>
              </w:tc>
              <w:tc>
                <w:tcPr>
                  <w:tcW w:w="565" w:type="pct"/>
                  <w:vAlign w:val="center"/>
                </w:tcPr>
                <w:p w14:paraId="57938E27">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100</w:t>
                  </w:r>
                </w:p>
              </w:tc>
              <w:tc>
                <w:tcPr>
                  <w:tcW w:w="440" w:type="pct"/>
                  <w:vAlign w:val="center"/>
                </w:tcPr>
                <w:p w14:paraId="246DC835">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1.729 </w:t>
                  </w:r>
                </w:p>
              </w:tc>
              <w:tc>
                <w:tcPr>
                  <w:tcW w:w="427" w:type="pct"/>
                  <w:vAlign w:val="center"/>
                </w:tcPr>
                <w:p w14:paraId="7B64A48A">
                  <w:pPr>
                    <w:jc w:val="center"/>
                    <w:rPr>
                      <w:rFonts w:hint="eastAsia" w:eastAsia="等线" w:cs="Times New Roman"/>
                      <w:sz w:val="21"/>
                      <w:szCs w:val="21"/>
                      <w:highlight w:val="none"/>
                      <w:u w:val="single"/>
                      <w:lang w:val="en-US" w:eastAsia="zh-CN"/>
                    </w:rPr>
                  </w:pPr>
                  <w:r>
                    <w:rPr>
                      <w:rFonts w:hint="default" w:ascii="Times New Roman" w:hAnsi="Times New Roman" w:eastAsia="等线" w:cs="Times New Roman"/>
                      <w:sz w:val="21"/>
                      <w:szCs w:val="21"/>
                      <w:highlight w:val="none"/>
                      <w:u w:val="single"/>
                      <w:lang w:val="en-US" w:eastAsia="zh-CN"/>
                    </w:rPr>
                    <w:t>100</w:t>
                  </w:r>
                  <w:r>
                    <w:rPr>
                      <w:rFonts w:hint="eastAsia"/>
                      <w:bCs/>
                      <w:sz w:val="21"/>
                      <w:szCs w:val="21"/>
                      <w:highlight w:val="none"/>
                      <w:u w:val="single"/>
                    </w:rPr>
                    <w:t>mg/L</w:t>
                  </w:r>
                </w:p>
              </w:tc>
              <w:tc>
                <w:tcPr>
                  <w:tcW w:w="716" w:type="pct"/>
                  <w:vMerge w:val="continue"/>
                  <w:vAlign w:val="center"/>
                </w:tcPr>
                <w:p w14:paraId="71E101B5">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4B7CA86B">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56A9B512">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0.173 </w:t>
                  </w:r>
                </w:p>
              </w:tc>
            </w:tr>
            <w:tr w14:paraId="186F4B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4410F206">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3EDA36EB">
                  <w:pPr>
                    <w:jc w:val="center"/>
                    <w:rPr>
                      <w:rFonts w:hint="default" w:ascii="Times New Roman" w:hAnsi="Times New Roman" w:eastAsia="宋体" w:cs="Times New Roman"/>
                      <w:color w:val="FF0000"/>
                      <w:kern w:val="2"/>
                      <w:sz w:val="21"/>
                      <w:szCs w:val="21"/>
                      <w:highlight w:val="none"/>
                      <w:u w:val="single"/>
                      <w:lang w:val="en-US" w:eastAsia="zh-CN" w:bidi="ar-SA"/>
                    </w:rPr>
                  </w:pPr>
                  <w:r>
                    <w:rPr>
                      <w:rStyle w:val="203"/>
                      <w:rFonts w:hint="default" w:ascii="Times New Roman" w:hAnsi="Times New Roman" w:cs="Times New Roman"/>
                      <w:sz w:val="21"/>
                      <w:szCs w:val="21"/>
                      <w:highlight w:val="none"/>
                      <w:u w:val="single"/>
                      <w:vertAlign w:val="baseline"/>
                    </w:rPr>
                    <w:t>氨氮</w:t>
                  </w:r>
                </w:p>
              </w:tc>
              <w:tc>
                <w:tcPr>
                  <w:tcW w:w="495" w:type="pct"/>
                  <w:vAlign w:val="center"/>
                </w:tcPr>
                <w:p w14:paraId="053711B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30.063 </w:t>
                  </w:r>
                </w:p>
              </w:tc>
              <w:tc>
                <w:tcPr>
                  <w:tcW w:w="505" w:type="pct"/>
                  <w:shd w:val="clear" w:color="auto" w:fill="auto"/>
                  <w:vAlign w:val="center"/>
                </w:tcPr>
                <w:p w14:paraId="5DD6BB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0.520 </w:t>
                  </w:r>
                </w:p>
              </w:tc>
              <w:tc>
                <w:tcPr>
                  <w:tcW w:w="359" w:type="pct"/>
                  <w:vMerge w:val="continue"/>
                  <w:vAlign w:val="center"/>
                </w:tcPr>
                <w:p w14:paraId="261E4844">
                  <w:pPr>
                    <w:jc w:val="center"/>
                    <w:rPr>
                      <w:rFonts w:hint="default" w:ascii="Times New Roman" w:hAnsi="Times New Roman" w:cs="Times New Roman"/>
                      <w:sz w:val="21"/>
                      <w:szCs w:val="21"/>
                      <w:highlight w:val="none"/>
                      <w:u w:val="single"/>
                    </w:rPr>
                  </w:pPr>
                </w:p>
              </w:tc>
              <w:tc>
                <w:tcPr>
                  <w:tcW w:w="565" w:type="pct"/>
                  <w:vAlign w:val="center"/>
                </w:tcPr>
                <w:p w14:paraId="281829BA">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35</w:t>
                  </w:r>
                </w:p>
              </w:tc>
              <w:tc>
                <w:tcPr>
                  <w:tcW w:w="440" w:type="pct"/>
                  <w:vAlign w:val="center"/>
                </w:tcPr>
                <w:p w14:paraId="2E3D7DC6">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0.605 </w:t>
                  </w:r>
                </w:p>
              </w:tc>
              <w:tc>
                <w:tcPr>
                  <w:tcW w:w="427" w:type="pct"/>
                  <w:vAlign w:val="center"/>
                </w:tcPr>
                <w:p w14:paraId="64AC2F04">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35</w:t>
                  </w:r>
                  <w:r>
                    <w:rPr>
                      <w:rFonts w:hint="eastAsia"/>
                      <w:bCs/>
                      <w:sz w:val="21"/>
                      <w:szCs w:val="21"/>
                      <w:highlight w:val="none"/>
                      <w:u w:val="single"/>
                    </w:rPr>
                    <w:t>mg/L</w:t>
                  </w:r>
                </w:p>
              </w:tc>
              <w:tc>
                <w:tcPr>
                  <w:tcW w:w="716" w:type="pct"/>
                  <w:vMerge w:val="continue"/>
                  <w:vAlign w:val="center"/>
                </w:tcPr>
                <w:p w14:paraId="183FCC72">
                  <w:pPr>
                    <w:jc w:val="center"/>
                    <w:rPr>
                      <w:rFonts w:hint="eastAsia" w:eastAsia="等线" w:cs="Times New Roman"/>
                      <w:sz w:val="21"/>
                      <w:szCs w:val="21"/>
                      <w:highlight w:val="none"/>
                      <w:u w:val="single"/>
                      <w:lang w:val="en-US" w:eastAsia="zh-CN"/>
                    </w:rPr>
                  </w:pPr>
                </w:p>
              </w:tc>
              <w:tc>
                <w:tcPr>
                  <w:tcW w:w="358" w:type="pct"/>
                  <w:vAlign w:val="center"/>
                </w:tcPr>
                <w:p w14:paraId="5D2C22E3">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w:t>
                  </w:r>
                </w:p>
              </w:tc>
              <w:tc>
                <w:tcPr>
                  <w:tcW w:w="358" w:type="pct"/>
                  <w:vAlign w:val="center"/>
                </w:tcPr>
                <w:p w14:paraId="7BFC5F7A">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0.086 </w:t>
                  </w:r>
                </w:p>
              </w:tc>
            </w:tr>
            <w:tr w14:paraId="7B622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68CF526C">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1E120C77">
                  <w:pPr>
                    <w:jc w:val="center"/>
                    <w:rPr>
                      <w:rFonts w:hint="default" w:ascii="Times New Roman" w:hAnsi="Times New Roman" w:eastAsia="宋体" w:cs="Times New Roman"/>
                      <w:color w:val="FF0000"/>
                      <w:kern w:val="2"/>
                      <w:sz w:val="21"/>
                      <w:szCs w:val="21"/>
                      <w:highlight w:val="none"/>
                      <w:u w:val="single"/>
                      <w:lang w:val="en-US" w:eastAsia="zh-CN" w:bidi="ar-SA"/>
                    </w:rPr>
                  </w:pPr>
                  <w:r>
                    <w:rPr>
                      <w:rStyle w:val="203"/>
                      <w:rFonts w:hint="default" w:ascii="Times New Roman" w:hAnsi="Times New Roman" w:cs="Times New Roman"/>
                      <w:sz w:val="21"/>
                      <w:szCs w:val="21"/>
                      <w:highlight w:val="none"/>
                      <w:u w:val="single"/>
                      <w:vertAlign w:val="baseline"/>
                    </w:rPr>
                    <w:t>悬浮物</w:t>
                  </w:r>
                </w:p>
              </w:tc>
              <w:tc>
                <w:tcPr>
                  <w:tcW w:w="495" w:type="pct"/>
                  <w:vAlign w:val="center"/>
                </w:tcPr>
                <w:p w14:paraId="614CF01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80.253 </w:t>
                  </w:r>
                </w:p>
              </w:tc>
              <w:tc>
                <w:tcPr>
                  <w:tcW w:w="505" w:type="pct"/>
                  <w:shd w:val="clear" w:color="auto" w:fill="auto"/>
                  <w:vAlign w:val="center"/>
                </w:tcPr>
                <w:p w14:paraId="3FB969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1.387 </w:t>
                  </w:r>
                </w:p>
              </w:tc>
              <w:tc>
                <w:tcPr>
                  <w:tcW w:w="359" w:type="pct"/>
                  <w:vMerge w:val="continue"/>
                  <w:vAlign w:val="center"/>
                </w:tcPr>
                <w:p w14:paraId="7302D856">
                  <w:pPr>
                    <w:jc w:val="center"/>
                    <w:rPr>
                      <w:rFonts w:hint="default" w:ascii="Times New Roman" w:hAnsi="Times New Roman" w:cs="Times New Roman"/>
                      <w:sz w:val="21"/>
                      <w:szCs w:val="21"/>
                      <w:highlight w:val="none"/>
                      <w:u w:val="single"/>
                    </w:rPr>
                  </w:pPr>
                </w:p>
              </w:tc>
              <w:tc>
                <w:tcPr>
                  <w:tcW w:w="565" w:type="pct"/>
                  <w:vAlign w:val="center"/>
                </w:tcPr>
                <w:p w14:paraId="38038ADF">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60</w:t>
                  </w:r>
                </w:p>
              </w:tc>
              <w:tc>
                <w:tcPr>
                  <w:tcW w:w="440" w:type="pct"/>
                  <w:vAlign w:val="center"/>
                </w:tcPr>
                <w:p w14:paraId="35C8C0C6">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1.037 </w:t>
                  </w:r>
                </w:p>
              </w:tc>
              <w:tc>
                <w:tcPr>
                  <w:tcW w:w="427" w:type="pct"/>
                  <w:vAlign w:val="center"/>
                </w:tcPr>
                <w:p w14:paraId="203170FF">
                  <w:pPr>
                    <w:jc w:val="center"/>
                    <w:rPr>
                      <w:rFonts w:hint="eastAsia" w:eastAsia="等线" w:cs="Times New Roman"/>
                      <w:sz w:val="21"/>
                      <w:szCs w:val="21"/>
                      <w:highlight w:val="none"/>
                      <w:u w:val="single"/>
                      <w:lang w:val="en-US" w:eastAsia="zh-CN"/>
                    </w:rPr>
                  </w:pPr>
                  <w:r>
                    <w:rPr>
                      <w:rFonts w:hint="default" w:ascii="Times New Roman" w:hAnsi="Times New Roman" w:eastAsia="等线" w:cs="Times New Roman"/>
                      <w:sz w:val="21"/>
                      <w:szCs w:val="21"/>
                      <w:highlight w:val="none"/>
                      <w:u w:val="single"/>
                      <w:lang w:val="en-US" w:eastAsia="zh-CN"/>
                    </w:rPr>
                    <w:t>60</w:t>
                  </w:r>
                  <w:r>
                    <w:rPr>
                      <w:rFonts w:hint="eastAsia"/>
                      <w:bCs/>
                      <w:sz w:val="21"/>
                      <w:szCs w:val="21"/>
                      <w:highlight w:val="none"/>
                      <w:u w:val="single"/>
                    </w:rPr>
                    <w:t>mg/L</w:t>
                  </w:r>
                </w:p>
              </w:tc>
              <w:tc>
                <w:tcPr>
                  <w:tcW w:w="716" w:type="pct"/>
                  <w:vMerge w:val="continue"/>
                  <w:vAlign w:val="center"/>
                </w:tcPr>
                <w:p w14:paraId="5CAAC899">
                  <w:pPr>
                    <w:jc w:val="center"/>
                    <w:rPr>
                      <w:rFonts w:hint="default" w:ascii="Times New Roman" w:hAnsi="Times New Roman" w:eastAsia="等线" w:cs="Times New Roman"/>
                      <w:sz w:val="21"/>
                      <w:szCs w:val="21"/>
                      <w:highlight w:val="none"/>
                      <w:u w:val="single"/>
                      <w:lang w:val="en-US" w:eastAsia="zh-CN"/>
                    </w:rPr>
                  </w:pPr>
                </w:p>
              </w:tc>
              <w:tc>
                <w:tcPr>
                  <w:tcW w:w="358" w:type="pct"/>
                  <w:vAlign w:val="center"/>
                </w:tcPr>
                <w:p w14:paraId="7DD38914">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76A102C5">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0.173 </w:t>
                  </w:r>
                </w:p>
              </w:tc>
            </w:tr>
            <w:tr w14:paraId="78F785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1D003968">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44DC4B5D">
                  <w:pPr>
                    <w:keepNext w:val="0"/>
                    <w:keepLines w:val="0"/>
                    <w:widowControl/>
                    <w:suppressLineNumbers w:val="0"/>
                    <w:jc w:val="center"/>
                    <w:textAlignment w:val="center"/>
                    <w:rPr>
                      <w:rFonts w:hint="default" w:ascii="Times New Roman" w:hAnsi="Times New Roman" w:eastAsia="宋体" w:cs="Times New Roman"/>
                      <w:color w:val="FF0000"/>
                      <w:kern w:val="2"/>
                      <w:sz w:val="21"/>
                      <w:szCs w:val="21"/>
                      <w:highlight w:val="none"/>
                      <w:u w:val="single"/>
                      <w:lang w:val="en-US" w:eastAsia="zh-CN" w:bidi="ar-SA"/>
                    </w:rPr>
                  </w:pPr>
                  <w:r>
                    <w:rPr>
                      <w:rFonts w:hint="default" w:ascii="Times New Roman" w:hAnsi="Times New Roman" w:eastAsia="宋体" w:cs="Times New Roman"/>
                      <w:i w:val="0"/>
                      <w:iCs w:val="0"/>
                      <w:color w:val="000000"/>
                      <w:kern w:val="0"/>
                      <w:sz w:val="21"/>
                      <w:szCs w:val="21"/>
                      <w:highlight w:val="none"/>
                      <w:u w:val="single"/>
                      <w:lang w:val="en-US" w:eastAsia="zh-CN" w:bidi="ar"/>
                    </w:rPr>
                    <w:t>总磷</w:t>
                  </w:r>
                </w:p>
              </w:tc>
              <w:tc>
                <w:tcPr>
                  <w:tcW w:w="495" w:type="pct"/>
                  <w:vAlign w:val="center"/>
                </w:tcPr>
                <w:p w14:paraId="1AF8328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4.972 </w:t>
                  </w:r>
                </w:p>
              </w:tc>
              <w:tc>
                <w:tcPr>
                  <w:tcW w:w="505" w:type="pct"/>
                  <w:shd w:val="clear" w:color="auto" w:fill="auto"/>
                  <w:vAlign w:val="center"/>
                </w:tcPr>
                <w:p w14:paraId="2916B33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0.086 </w:t>
                  </w:r>
                </w:p>
              </w:tc>
              <w:tc>
                <w:tcPr>
                  <w:tcW w:w="359" w:type="pct"/>
                  <w:vMerge w:val="continue"/>
                  <w:vAlign w:val="center"/>
                </w:tcPr>
                <w:p w14:paraId="3C574E33">
                  <w:pPr>
                    <w:jc w:val="center"/>
                    <w:rPr>
                      <w:rFonts w:hint="default" w:ascii="Times New Roman" w:hAnsi="Times New Roman" w:cs="Times New Roman"/>
                      <w:sz w:val="21"/>
                      <w:szCs w:val="21"/>
                      <w:highlight w:val="none"/>
                      <w:u w:val="single"/>
                    </w:rPr>
                  </w:pPr>
                </w:p>
              </w:tc>
              <w:tc>
                <w:tcPr>
                  <w:tcW w:w="565" w:type="pct"/>
                  <w:vAlign w:val="center"/>
                </w:tcPr>
                <w:p w14:paraId="55135BC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6</w:t>
                  </w:r>
                </w:p>
              </w:tc>
              <w:tc>
                <w:tcPr>
                  <w:tcW w:w="440" w:type="pct"/>
                  <w:vAlign w:val="center"/>
                </w:tcPr>
                <w:p w14:paraId="29E4315E">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0.104 </w:t>
                  </w:r>
                </w:p>
              </w:tc>
              <w:tc>
                <w:tcPr>
                  <w:tcW w:w="427" w:type="pct"/>
                  <w:vAlign w:val="center"/>
                </w:tcPr>
                <w:p w14:paraId="31D5AAEB">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6</w:t>
                  </w:r>
                  <w:r>
                    <w:rPr>
                      <w:rFonts w:hint="eastAsia"/>
                      <w:bCs/>
                      <w:sz w:val="21"/>
                      <w:szCs w:val="21"/>
                      <w:highlight w:val="none"/>
                      <w:u w:val="single"/>
                    </w:rPr>
                    <w:t>mg/L</w:t>
                  </w:r>
                </w:p>
              </w:tc>
              <w:tc>
                <w:tcPr>
                  <w:tcW w:w="716" w:type="pct"/>
                  <w:vMerge w:val="continue"/>
                  <w:vAlign w:val="center"/>
                </w:tcPr>
                <w:p w14:paraId="542C1C61">
                  <w:pPr>
                    <w:jc w:val="center"/>
                    <w:rPr>
                      <w:rFonts w:hint="eastAsia" w:eastAsia="等线" w:cs="Times New Roman"/>
                      <w:sz w:val="21"/>
                      <w:szCs w:val="21"/>
                      <w:highlight w:val="none"/>
                      <w:u w:val="single"/>
                      <w:lang w:val="en-US" w:eastAsia="zh-CN"/>
                    </w:rPr>
                  </w:pPr>
                </w:p>
              </w:tc>
              <w:tc>
                <w:tcPr>
                  <w:tcW w:w="358" w:type="pct"/>
                  <w:vAlign w:val="center"/>
                </w:tcPr>
                <w:p w14:paraId="288AF586">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0.5</w:t>
                  </w:r>
                </w:p>
              </w:tc>
              <w:tc>
                <w:tcPr>
                  <w:tcW w:w="358" w:type="pct"/>
                  <w:vAlign w:val="center"/>
                </w:tcPr>
                <w:p w14:paraId="6219B632">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0.009 </w:t>
                  </w:r>
                </w:p>
              </w:tc>
            </w:tr>
            <w:tr w14:paraId="39083C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29DEAB73">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58E9E8F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highlight w:val="none"/>
                      <w:u w:val="single"/>
                      <w:lang w:val="en-US" w:eastAsia="zh-CN" w:bidi="ar"/>
                    </w:rPr>
                    <w:t>总氮</w:t>
                  </w:r>
                </w:p>
              </w:tc>
              <w:tc>
                <w:tcPr>
                  <w:tcW w:w="495" w:type="pct"/>
                  <w:vAlign w:val="center"/>
                </w:tcPr>
                <w:p w14:paraId="68B8DF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59.088 </w:t>
                  </w:r>
                </w:p>
              </w:tc>
              <w:tc>
                <w:tcPr>
                  <w:tcW w:w="505" w:type="pct"/>
                  <w:shd w:val="clear" w:color="auto" w:fill="auto"/>
                  <w:vAlign w:val="center"/>
                </w:tcPr>
                <w:p w14:paraId="5B38003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1.021 </w:t>
                  </w:r>
                </w:p>
              </w:tc>
              <w:tc>
                <w:tcPr>
                  <w:tcW w:w="359" w:type="pct"/>
                  <w:vMerge w:val="continue"/>
                  <w:vAlign w:val="center"/>
                </w:tcPr>
                <w:p w14:paraId="352F647F">
                  <w:pPr>
                    <w:jc w:val="center"/>
                    <w:rPr>
                      <w:rFonts w:hint="default" w:ascii="Times New Roman" w:hAnsi="Times New Roman" w:cs="Times New Roman"/>
                      <w:sz w:val="21"/>
                      <w:szCs w:val="21"/>
                      <w:highlight w:val="none"/>
                      <w:u w:val="single"/>
                    </w:rPr>
                  </w:pPr>
                </w:p>
              </w:tc>
              <w:tc>
                <w:tcPr>
                  <w:tcW w:w="565" w:type="pct"/>
                  <w:vAlign w:val="center"/>
                </w:tcPr>
                <w:p w14:paraId="1D28C36A">
                  <w:pPr>
                    <w:jc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等线" w:cs="Times New Roman"/>
                      <w:sz w:val="21"/>
                      <w:szCs w:val="21"/>
                      <w:highlight w:val="none"/>
                      <w:u w:val="single"/>
                      <w:lang w:val="en-US" w:eastAsia="zh-CN"/>
                    </w:rPr>
                    <w:t>/</w:t>
                  </w:r>
                </w:p>
              </w:tc>
              <w:tc>
                <w:tcPr>
                  <w:tcW w:w="440" w:type="pct"/>
                  <w:vAlign w:val="center"/>
                </w:tcPr>
                <w:p w14:paraId="6DDE4A6C">
                  <w:pPr>
                    <w:widowControl/>
                    <w:jc w:val="center"/>
                    <w:textAlignment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427" w:type="pct"/>
                  <w:vAlign w:val="center"/>
                </w:tcPr>
                <w:p w14:paraId="632AC328">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716" w:type="pct"/>
                  <w:vMerge w:val="continue"/>
                  <w:vAlign w:val="center"/>
                </w:tcPr>
                <w:p w14:paraId="65EF2295">
                  <w:pPr>
                    <w:jc w:val="center"/>
                    <w:rPr>
                      <w:rFonts w:hint="eastAsia" w:eastAsia="等线" w:cs="Times New Roman"/>
                      <w:sz w:val="21"/>
                      <w:szCs w:val="21"/>
                      <w:highlight w:val="none"/>
                      <w:u w:val="single"/>
                      <w:lang w:val="en-US" w:eastAsia="zh-CN"/>
                    </w:rPr>
                  </w:pPr>
                </w:p>
              </w:tc>
              <w:tc>
                <w:tcPr>
                  <w:tcW w:w="358" w:type="pct"/>
                  <w:vAlign w:val="center"/>
                </w:tcPr>
                <w:p w14:paraId="3DC5E541">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03DBD6AB">
                  <w:pPr>
                    <w:jc w:val="center"/>
                    <w:rPr>
                      <w:rFonts w:hint="eastAsia" w:eastAsia="等线" w:cs="Times New Roman"/>
                      <w:sz w:val="21"/>
                      <w:szCs w:val="21"/>
                      <w:highlight w:val="none"/>
                      <w:u w:val="single"/>
                      <w:lang w:val="en-US" w:eastAsia="zh-CN"/>
                    </w:rPr>
                  </w:pPr>
                </w:p>
              </w:tc>
            </w:tr>
            <w:tr w14:paraId="464A04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restart"/>
                  <w:vAlign w:val="center"/>
                </w:tcPr>
                <w:p w14:paraId="15DB97EF">
                  <w:pPr>
                    <w:jc w:val="center"/>
                    <w:rPr>
                      <w:rFonts w:hint="eastAsia" w:cs="Times New Roman"/>
                      <w:sz w:val="21"/>
                      <w:szCs w:val="21"/>
                      <w:highlight w:val="none"/>
                      <w:u w:val="single"/>
                      <w:lang w:val="en-US" w:eastAsia="zh-CN"/>
                    </w:rPr>
                  </w:pPr>
                  <w:r>
                    <w:rPr>
                      <w:rFonts w:hint="eastAsia" w:cs="Times New Roman"/>
                      <w:sz w:val="21"/>
                      <w:szCs w:val="21"/>
                      <w:highlight w:val="none"/>
                      <w:u w:val="single"/>
                      <w:lang w:val="en-US" w:eastAsia="zh-CN"/>
                    </w:rPr>
                    <w:t>养老废水</w:t>
                  </w:r>
                </w:p>
                <w:p w14:paraId="2AF24F4A">
                  <w:pPr>
                    <w:jc w:val="center"/>
                    <w:rPr>
                      <w:rFonts w:hint="default" w:cs="Times New Roman"/>
                      <w:sz w:val="21"/>
                      <w:szCs w:val="21"/>
                      <w:highlight w:val="none"/>
                      <w:u w:val="single"/>
                      <w:lang w:val="en-US" w:eastAsia="zh-CN"/>
                    </w:rPr>
                  </w:pPr>
                  <w:r>
                    <w:rPr>
                      <w:rFonts w:hint="eastAsia" w:cs="Times New Roman"/>
                      <w:sz w:val="21"/>
                      <w:szCs w:val="21"/>
                      <w:highlight w:val="none"/>
                      <w:u w:val="single"/>
                      <w:lang w:val="en-US" w:eastAsia="zh-CN"/>
                    </w:rPr>
                    <w:t>16936</w:t>
                  </w:r>
                  <w:r>
                    <w:rPr>
                      <w:rFonts w:hint="default" w:ascii="Times New Roman" w:hAnsi="Times New Roman" w:cs="Times New Roman"/>
                      <w:sz w:val="21"/>
                      <w:szCs w:val="21"/>
                      <w:highlight w:val="none"/>
                      <w:u w:val="single"/>
                      <w:lang w:val="en-US" w:eastAsia="zh-CN"/>
                    </w:rPr>
                    <w:t>m</w:t>
                  </w:r>
                  <w:r>
                    <w:rPr>
                      <w:rFonts w:hint="default" w:ascii="Times New Roman" w:hAnsi="Times New Roman" w:cs="Times New Roman"/>
                      <w:sz w:val="21"/>
                      <w:szCs w:val="21"/>
                      <w:highlight w:val="none"/>
                      <w:u w:val="single"/>
                      <w:vertAlign w:val="superscript"/>
                      <w:lang w:val="en-US" w:eastAsia="zh-CN"/>
                    </w:rPr>
                    <w:t>3</w:t>
                  </w:r>
                  <w:r>
                    <w:rPr>
                      <w:rFonts w:hint="default" w:ascii="Times New Roman" w:hAnsi="Times New Roman" w:cs="Times New Roman"/>
                      <w:sz w:val="21"/>
                      <w:szCs w:val="21"/>
                      <w:highlight w:val="none"/>
                      <w:u w:val="single"/>
                      <w:lang w:val="en-US" w:eastAsia="zh-CN"/>
                    </w:rPr>
                    <w:t>/a</w:t>
                  </w:r>
                </w:p>
              </w:tc>
              <w:tc>
                <w:tcPr>
                  <w:tcW w:w="314" w:type="pct"/>
                  <w:shd w:val="clear" w:color="auto" w:fill="auto"/>
                  <w:vAlign w:val="center"/>
                </w:tcPr>
                <w:p w14:paraId="5849F8E3">
                  <w:pPr>
                    <w:keepNext w:val="0"/>
                    <w:keepLines w:val="0"/>
                    <w:widowControl/>
                    <w:suppressLineNumbers w:val="0"/>
                    <w:jc w:val="center"/>
                    <w:textAlignment w:val="center"/>
                    <w:rPr>
                      <w:rFonts w:hint="default" w:ascii="Times New Roman" w:hAnsi="Times New Roman" w:eastAsia="宋体" w:cs="Times New Roman"/>
                      <w:color w:val="FF0000"/>
                      <w:kern w:val="2"/>
                      <w:sz w:val="21"/>
                      <w:szCs w:val="21"/>
                      <w:highlight w:val="none"/>
                      <w:u w:val="single"/>
                      <w:lang w:val="en-US" w:eastAsia="zh-CN" w:bidi="ar-SA"/>
                    </w:rPr>
                  </w:pPr>
                  <w:r>
                    <w:rPr>
                      <w:rFonts w:hint="default" w:ascii="Times New Roman" w:hAnsi="Times New Roman" w:cs="Times New Roman"/>
                      <w:sz w:val="21"/>
                      <w:szCs w:val="21"/>
                      <w:highlight w:val="none"/>
                      <w:u w:val="single"/>
                    </w:rPr>
                    <w:t>pH</w:t>
                  </w:r>
                </w:p>
              </w:tc>
              <w:tc>
                <w:tcPr>
                  <w:tcW w:w="495" w:type="pct"/>
                  <w:vAlign w:val="center"/>
                </w:tcPr>
                <w:p w14:paraId="28DDEF6A">
                  <w:pPr>
                    <w:pStyle w:val="115"/>
                    <w:adjustRightInd/>
                    <w:snapToGrid/>
                    <w:spacing w:beforeLines="0" w:line="240" w:lineRule="auto"/>
                    <w:jc w:val="center"/>
                    <w:rPr>
                      <w:rFonts w:hint="default" w:ascii="Times New Roman" w:hAnsi="Times New Roman" w:eastAsia="宋体" w:cs="Times New Roman"/>
                      <w:sz w:val="21"/>
                      <w:szCs w:val="21"/>
                      <w:highlight w:val="none"/>
                      <w:u w:val="single"/>
                      <w:lang w:val="en-US" w:eastAsia="zh-CN"/>
                    </w:rPr>
                  </w:pPr>
                  <w:r>
                    <w:rPr>
                      <w:rFonts w:hint="eastAsia" w:ascii="Times New Roman" w:hAnsi="Times New Roman" w:cs="Times New Roman"/>
                      <w:sz w:val="21"/>
                      <w:szCs w:val="21"/>
                      <w:highlight w:val="none"/>
                      <w:u w:val="single"/>
                      <w:lang w:val="en-US" w:eastAsia="zh-CN"/>
                    </w:rPr>
                    <w:t>6-9</w:t>
                  </w:r>
                </w:p>
              </w:tc>
              <w:tc>
                <w:tcPr>
                  <w:tcW w:w="505" w:type="pct"/>
                  <w:vAlign w:val="center"/>
                </w:tcPr>
                <w:p w14:paraId="65366BE7">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rPr>
                    <w:t>/</w:t>
                  </w:r>
                </w:p>
              </w:tc>
              <w:tc>
                <w:tcPr>
                  <w:tcW w:w="359" w:type="pct"/>
                  <w:vMerge w:val="restart"/>
                  <w:vAlign w:val="center"/>
                </w:tcPr>
                <w:p w14:paraId="73D6782C">
                  <w:pPr>
                    <w:jc w:val="center"/>
                    <w:rPr>
                      <w:rFonts w:hint="default" w:ascii="Times New Roman" w:hAnsi="Times New Roman" w:eastAsia="宋体" w:cs="Times New Roman"/>
                      <w:sz w:val="21"/>
                      <w:szCs w:val="21"/>
                      <w:highlight w:val="yellow"/>
                      <w:u w:val="single"/>
                      <w:lang w:val="en-US" w:eastAsia="zh-CN"/>
                    </w:rPr>
                  </w:pPr>
                  <w:r>
                    <w:rPr>
                      <w:rFonts w:hint="eastAsia" w:cs="Times New Roman"/>
                      <w:sz w:val="21"/>
                      <w:szCs w:val="21"/>
                      <w:highlight w:val="none"/>
                      <w:u w:val="single"/>
                      <w:lang w:val="en-US" w:eastAsia="zh-CN"/>
                    </w:rPr>
                    <w:t>隔油池+化粪池</w:t>
                  </w:r>
                </w:p>
              </w:tc>
              <w:tc>
                <w:tcPr>
                  <w:tcW w:w="565" w:type="pct"/>
                  <w:vAlign w:val="center"/>
                </w:tcPr>
                <w:p w14:paraId="05CD2879">
                  <w:pPr>
                    <w:pStyle w:val="115"/>
                    <w:adjustRightInd/>
                    <w:snapToGrid/>
                    <w:spacing w:beforeLines="0" w:line="240" w:lineRule="auto"/>
                    <w:jc w:val="center"/>
                    <w:rPr>
                      <w:rFonts w:hint="default" w:ascii="Times New Roman" w:hAnsi="Times New Roman" w:eastAsia="等线" w:cs="Times New Roman"/>
                      <w:sz w:val="21"/>
                      <w:szCs w:val="21"/>
                      <w:highlight w:val="none"/>
                      <w:u w:val="single"/>
                    </w:rPr>
                  </w:pPr>
                  <w:r>
                    <w:rPr>
                      <w:rFonts w:hint="default" w:ascii="Times New Roman" w:hAnsi="Times New Roman" w:cs="Times New Roman"/>
                      <w:sz w:val="21"/>
                      <w:szCs w:val="21"/>
                      <w:highlight w:val="none"/>
                      <w:u w:val="single"/>
                      <w:lang w:val="en-US" w:eastAsia="zh-CN"/>
                    </w:rPr>
                    <w:t>6-9</w:t>
                  </w:r>
                </w:p>
              </w:tc>
              <w:tc>
                <w:tcPr>
                  <w:tcW w:w="440" w:type="pct"/>
                  <w:vAlign w:val="center"/>
                </w:tcPr>
                <w:p w14:paraId="2A96606E">
                  <w:pPr>
                    <w:jc w:val="center"/>
                    <w:rPr>
                      <w:rFonts w:hint="default" w:ascii="Times New Roman" w:hAnsi="Times New Roman" w:eastAsia="等线" w:cs="Times New Roman"/>
                      <w:sz w:val="21"/>
                      <w:szCs w:val="21"/>
                      <w:highlight w:val="none"/>
                      <w:u w:val="single"/>
                    </w:rPr>
                  </w:pPr>
                  <w:r>
                    <w:rPr>
                      <w:rFonts w:hint="default" w:ascii="Times New Roman" w:hAnsi="Times New Roman" w:eastAsia="等线" w:cs="Times New Roman"/>
                      <w:sz w:val="21"/>
                      <w:szCs w:val="21"/>
                      <w:highlight w:val="none"/>
                      <w:u w:val="single"/>
                      <w:lang w:val="en-US" w:eastAsia="zh-CN"/>
                    </w:rPr>
                    <w:t>/</w:t>
                  </w:r>
                </w:p>
              </w:tc>
              <w:tc>
                <w:tcPr>
                  <w:tcW w:w="427" w:type="pct"/>
                  <w:vAlign w:val="center"/>
                </w:tcPr>
                <w:p w14:paraId="65FE37D2">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6-9</w:t>
                  </w:r>
                </w:p>
              </w:tc>
              <w:tc>
                <w:tcPr>
                  <w:tcW w:w="716" w:type="pct"/>
                  <w:vMerge w:val="restart"/>
                  <w:vAlign w:val="center"/>
                </w:tcPr>
                <w:p w14:paraId="4AA0D91B">
                  <w:pPr>
                    <w:jc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sz w:val="21"/>
                      <w:szCs w:val="21"/>
                      <w:highlight w:val="none"/>
                      <w:u w:val="single"/>
                      <w:lang w:val="en-US" w:eastAsia="zh-CN"/>
                    </w:rPr>
                    <w:t>SS、动植物油、LAS达到《污水综合排放标准》（GB8978-1996）表4中三级排放标准限值；COD、BOD5、氨氮、总磷达到安化县污水处理厂进水水质标准；总氮、氯化物达到《污水排入城镇下水道水质标准》(GB/T 31962-2015)表1中B级标准限值</w:t>
                  </w:r>
                </w:p>
              </w:tc>
              <w:tc>
                <w:tcPr>
                  <w:tcW w:w="358" w:type="pct"/>
                  <w:vAlign w:val="center"/>
                </w:tcPr>
                <w:p w14:paraId="5D80B3BE">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185E5AB8">
                  <w:pPr>
                    <w:jc w:val="center"/>
                    <w:rPr>
                      <w:rFonts w:hint="eastAsia" w:eastAsia="等线" w:cs="Times New Roman"/>
                      <w:sz w:val="21"/>
                      <w:szCs w:val="21"/>
                      <w:highlight w:val="none"/>
                      <w:u w:val="single"/>
                      <w:lang w:val="en-US" w:eastAsia="zh-CN"/>
                    </w:rPr>
                  </w:pPr>
                </w:p>
              </w:tc>
            </w:tr>
            <w:tr w14:paraId="0D5F08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43FAFC82">
                  <w:pPr>
                    <w:jc w:val="center"/>
                    <w:rPr>
                      <w:rFonts w:hint="default" w:ascii="Times New Roman" w:hAnsi="Times New Roman" w:cs="Times New Roman"/>
                      <w:sz w:val="21"/>
                      <w:szCs w:val="21"/>
                      <w:highlight w:val="none"/>
                      <w:u w:val="single"/>
                    </w:rPr>
                  </w:pPr>
                </w:p>
              </w:tc>
              <w:tc>
                <w:tcPr>
                  <w:tcW w:w="314" w:type="pct"/>
                  <w:shd w:val="clear" w:color="auto" w:fill="auto"/>
                  <w:vAlign w:val="center"/>
                </w:tcPr>
                <w:p w14:paraId="71B14F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highlight w:val="none"/>
                      <w:u w:val="single"/>
                      <w:lang w:val="en-US" w:eastAsia="zh-CN" w:bidi="ar"/>
                    </w:rPr>
                    <w:t>COD</w:t>
                  </w:r>
                </w:p>
              </w:tc>
              <w:tc>
                <w:tcPr>
                  <w:tcW w:w="495" w:type="pct"/>
                  <w:vAlign w:val="center"/>
                </w:tcPr>
                <w:p w14:paraId="54302F1C">
                  <w:pPr>
                    <w:keepNext w:val="0"/>
                    <w:keepLines w:val="0"/>
                    <w:widowControl/>
                    <w:suppressLineNumbers w:val="0"/>
                    <w:jc w:val="center"/>
                    <w:textAlignment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500</w:t>
                  </w:r>
                </w:p>
              </w:tc>
              <w:tc>
                <w:tcPr>
                  <w:tcW w:w="505" w:type="pct"/>
                  <w:vAlign w:val="center"/>
                </w:tcPr>
                <w:p w14:paraId="326B25B6">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8.468 </w:t>
                  </w:r>
                </w:p>
              </w:tc>
              <w:tc>
                <w:tcPr>
                  <w:tcW w:w="359" w:type="pct"/>
                  <w:vMerge w:val="continue"/>
                  <w:vAlign w:val="center"/>
                </w:tcPr>
                <w:p w14:paraId="55A00901">
                  <w:pPr>
                    <w:jc w:val="center"/>
                    <w:rPr>
                      <w:rFonts w:hint="default" w:ascii="Times New Roman" w:hAnsi="Times New Roman" w:cs="Times New Roman"/>
                      <w:sz w:val="21"/>
                      <w:szCs w:val="21"/>
                      <w:highlight w:val="yellow"/>
                      <w:u w:val="single"/>
                    </w:rPr>
                  </w:pPr>
                </w:p>
              </w:tc>
              <w:tc>
                <w:tcPr>
                  <w:tcW w:w="565" w:type="pct"/>
                  <w:vAlign w:val="center"/>
                </w:tcPr>
                <w:p w14:paraId="253A7FEE">
                  <w:pPr>
                    <w:keepNext w:val="0"/>
                    <w:keepLines w:val="0"/>
                    <w:widowControl/>
                    <w:suppressLineNumbers w:val="0"/>
                    <w:jc w:val="center"/>
                    <w:textAlignment w:val="center"/>
                    <w:rPr>
                      <w:rFonts w:hint="default" w:ascii="Times New Roman" w:hAnsi="Times New Roman"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400</w:t>
                  </w:r>
                </w:p>
              </w:tc>
              <w:tc>
                <w:tcPr>
                  <w:tcW w:w="440" w:type="pct"/>
                  <w:vAlign w:val="center"/>
                </w:tcPr>
                <w:p w14:paraId="0B9CC2D7">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6.774 </w:t>
                  </w:r>
                </w:p>
              </w:tc>
              <w:tc>
                <w:tcPr>
                  <w:tcW w:w="427" w:type="pct"/>
                  <w:vAlign w:val="center"/>
                </w:tcPr>
                <w:p w14:paraId="7C3D8B76">
                  <w:pPr>
                    <w:jc w:val="center"/>
                    <w:rPr>
                      <w:rFonts w:hint="eastAsia" w:eastAsia="等线" w:cs="Times New Roman"/>
                      <w:sz w:val="21"/>
                      <w:szCs w:val="21"/>
                      <w:highlight w:val="none"/>
                      <w:u w:val="single"/>
                      <w:lang w:val="en-US" w:eastAsia="zh-CN"/>
                    </w:rPr>
                  </w:pPr>
                  <w:r>
                    <w:rPr>
                      <w:rFonts w:hint="eastAsia" w:cs="Times New Roman"/>
                      <w:sz w:val="21"/>
                      <w:szCs w:val="21"/>
                      <w:highlight w:val="none"/>
                      <w:u w:val="single"/>
                      <w:lang w:val="en-US" w:eastAsia="zh-CN"/>
                    </w:rPr>
                    <w:t>4</w:t>
                  </w:r>
                  <w:r>
                    <w:rPr>
                      <w:rFonts w:hint="eastAsia" w:ascii="Times New Roman" w:hAnsi="Times New Roman" w:cs="Times New Roman"/>
                      <w:sz w:val="21"/>
                      <w:szCs w:val="21"/>
                      <w:highlight w:val="none"/>
                      <w:u w:val="single"/>
                      <w:lang w:val="en-US" w:eastAsia="zh-CN"/>
                    </w:rPr>
                    <w:t>00</w:t>
                  </w:r>
                  <w:r>
                    <w:rPr>
                      <w:rFonts w:hint="eastAsia"/>
                      <w:bCs/>
                      <w:sz w:val="21"/>
                      <w:szCs w:val="21"/>
                      <w:highlight w:val="none"/>
                      <w:u w:val="single"/>
                    </w:rPr>
                    <w:t>mg/L</w:t>
                  </w:r>
                </w:p>
              </w:tc>
              <w:tc>
                <w:tcPr>
                  <w:tcW w:w="716" w:type="pct"/>
                  <w:vMerge w:val="continue"/>
                  <w:vAlign w:val="center"/>
                </w:tcPr>
                <w:p w14:paraId="17ECD2C9">
                  <w:pPr>
                    <w:jc w:val="center"/>
                    <w:rPr>
                      <w:rFonts w:hint="eastAsia" w:cs="Times New Roman"/>
                      <w:sz w:val="21"/>
                      <w:szCs w:val="21"/>
                      <w:highlight w:val="none"/>
                      <w:u w:val="single"/>
                      <w:lang w:val="en-US" w:eastAsia="zh-CN"/>
                    </w:rPr>
                  </w:pPr>
                </w:p>
              </w:tc>
              <w:tc>
                <w:tcPr>
                  <w:tcW w:w="358" w:type="pct"/>
                  <w:vAlign w:val="center"/>
                </w:tcPr>
                <w:p w14:paraId="761F5E72">
                  <w:pPr>
                    <w:jc w:val="center"/>
                    <w:rPr>
                      <w:rFonts w:hint="eastAsia" w:cs="Times New Roman"/>
                      <w:sz w:val="21"/>
                      <w:szCs w:val="21"/>
                      <w:highlight w:val="none"/>
                      <w:u w:val="single"/>
                      <w:lang w:val="en-US" w:eastAsia="zh-CN"/>
                    </w:rPr>
                  </w:pPr>
                  <w:r>
                    <w:rPr>
                      <w:rFonts w:hint="eastAsia" w:eastAsia="等线" w:cs="Times New Roman"/>
                      <w:sz w:val="21"/>
                      <w:szCs w:val="21"/>
                      <w:highlight w:val="none"/>
                      <w:u w:val="single"/>
                      <w:lang w:val="en-US" w:eastAsia="zh-CN"/>
                    </w:rPr>
                    <w:t>50</w:t>
                  </w:r>
                </w:p>
              </w:tc>
              <w:tc>
                <w:tcPr>
                  <w:tcW w:w="358" w:type="pct"/>
                  <w:vAlign w:val="center"/>
                </w:tcPr>
                <w:p w14:paraId="3F657C95">
                  <w:pPr>
                    <w:keepNext w:val="0"/>
                    <w:keepLines w:val="0"/>
                    <w:widowControl/>
                    <w:suppressLineNumbers w:val="0"/>
                    <w:jc w:val="center"/>
                    <w:textAlignment w:val="center"/>
                    <w:rPr>
                      <w:rFonts w:hint="eastAsia"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0.847 </w:t>
                  </w:r>
                </w:p>
              </w:tc>
            </w:tr>
            <w:tr w14:paraId="0B2B2E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13A37491">
                  <w:pPr>
                    <w:jc w:val="center"/>
                    <w:rPr>
                      <w:rFonts w:hint="default" w:ascii="Times New Roman" w:hAnsi="Times New Roman" w:cs="Times New Roman"/>
                      <w:sz w:val="21"/>
                      <w:szCs w:val="21"/>
                      <w:highlight w:val="none"/>
                      <w:u w:val="single"/>
                    </w:rPr>
                  </w:pPr>
                </w:p>
              </w:tc>
              <w:tc>
                <w:tcPr>
                  <w:tcW w:w="314" w:type="pct"/>
                  <w:vAlign w:val="center"/>
                </w:tcPr>
                <w:p w14:paraId="3B2FE614">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BOD</w:t>
                  </w:r>
                </w:p>
              </w:tc>
              <w:tc>
                <w:tcPr>
                  <w:tcW w:w="495" w:type="pct"/>
                  <w:vAlign w:val="center"/>
                </w:tcPr>
                <w:p w14:paraId="379A6D06">
                  <w:pPr>
                    <w:keepNext w:val="0"/>
                    <w:keepLines w:val="0"/>
                    <w:widowControl/>
                    <w:suppressLineNumbers w:val="0"/>
                    <w:jc w:val="center"/>
                    <w:textAlignment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150</w:t>
                  </w:r>
                </w:p>
              </w:tc>
              <w:tc>
                <w:tcPr>
                  <w:tcW w:w="505" w:type="pct"/>
                  <w:vAlign w:val="center"/>
                </w:tcPr>
                <w:p w14:paraId="3A555E44">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2.540 </w:t>
                  </w:r>
                </w:p>
              </w:tc>
              <w:tc>
                <w:tcPr>
                  <w:tcW w:w="359" w:type="pct"/>
                  <w:vMerge w:val="continue"/>
                  <w:vAlign w:val="center"/>
                </w:tcPr>
                <w:p w14:paraId="780E1D6F">
                  <w:pPr>
                    <w:jc w:val="center"/>
                    <w:rPr>
                      <w:rFonts w:hint="default" w:ascii="Times New Roman" w:hAnsi="Times New Roman" w:cs="Times New Roman"/>
                      <w:sz w:val="21"/>
                      <w:szCs w:val="21"/>
                      <w:highlight w:val="yellow"/>
                      <w:u w:val="single"/>
                    </w:rPr>
                  </w:pPr>
                </w:p>
              </w:tc>
              <w:tc>
                <w:tcPr>
                  <w:tcW w:w="565" w:type="pct"/>
                  <w:vAlign w:val="center"/>
                </w:tcPr>
                <w:p w14:paraId="508C1725">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rPr>
                  </w:pPr>
                  <w:r>
                    <w:rPr>
                      <w:rFonts w:hint="default" w:ascii="Times New Roman" w:hAnsi="Times New Roman" w:eastAsia="宋体" w:cs="Times New Roman"/>
                      <w:i w:val="0"/>
                      <w:iCs w:val="0"/>
                      <w:color w:val="000000"/>
                      <w:kern w:val="0"/>
                      <w:sz w:val="21"/>
                      <w:szCs w:val="21"/>
                      <w:u w:val="single"/>
                      <w:lang w:val="en-US" w:eastAsia="zh-CN" w:bidi="ar"/>
                    </w:rPr>
                    <w:t>200</w:t>
                  </w:r>
                </w:p>
              </w:tc>
              <w:tc>
                <w:tcPr>
                  <w:tcW w:w="440" w:type="pct"/>
                  <w:vAlign w:val="center"/>
                </w:tcPr>
                <w:p w14:paraId="2960CEF8">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3.387 </w:t>
                  </w:r>
                </w:p>
              </w:tc>
              <w:tc>
                <w:tcPr>
                  <w:tcW w:w="427" w:type="pct"/>
                  <w:vAlign w:val="center"/>
                </w:tcPr>
                <w:p w14:paraId="01F0C27C">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20</w:t>
                  </w:r>
                  <w:r>
                    <w:rPr>
                      <w:rFonts w:hint="default" w:ascii="Times New Roman" w:hAnsi="Times New Roman" w:eastAsia="等线" w:cs="Times New Roman"/>
                      <w:sz w:val="21"/>
                      <w:szCs w:val="21"/>
                      <w:highlight w:val="none"/>
                      <w:u w:val="single"/>
                      <w:lang w:val="en-US" w:eastAsia="zh-CN"/>
                    </w:rPr>
                    <w:t>0</w:t>
                  </w:r>
                  <w:r>
                    <w:rPr>
                      <w:rFonts w:hint="eastAsia"/>
                      <w:bCs/>
                      <w:sz w:val="21"/>
                      <w:szCs w:val="21"/>
                      <w:highlight w:val="none"/>
                      <w:u w:val="single"/>
                    </w:rPr>
                    <w:t>mg/L</w:t>
                  </w:r>
                </w:p>
              </w:tc>
              <w:tc>
                <w:tcPr>
                  <w:tcW w:w="716" w:type="pct"/>
                  <w:vMerge w:val="continue"/>
                  <w:vAlign w:val="center"/>
                </w:tcPr>
                <w:p w14:paraId="0DC97B51">
                  <w:pPr>
                    <w:jc w:val="center"/>
                    <w:rPr>
                      <w:rFonts w:hint="eastAsia" w:eastAsia="等线" w:cs="Times New Roman"/>
                      <w:sz w:val="21"/>
                      <w:szCs w:val="21"/>
                      <w:highlight w:val="none"/>
                      <w:u w:val="single"/>
                      <w:lang w:val="en-US" w:eastAsia="zh-CN"/>
                    </w:rPr>
                  </w:pPr>
                </w:p>
              </w:tc>
              <w:tc>
                <w:tcPr>
                  <w:tcW w:w="358" w:type="pct"/>
                  <w:vAlign w:val="center"/>
                </w:tcPr>
                <w:p w14:paraId="4AB429D7">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61787838">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0.169 </w:t>
                  </w:r>
                </w:p>
              </w:tc>
            </w:tr>
            <w:tr w14:paraId="4C8078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1D0EA4C1">
                  <w:pPr>
                    <w:jc w:val="center"/>
                    <w:rPr>
                      <w:rFonts w:hint="default" w:ascii="Times New Roman" w:hAnsi="Times New Roman" w:cs="Times New Roman"/>
                      <w:sz w:val="21"/>
                      <w:szCs w:val="21"/>
                      <w:highlight w:val="none"/>
                      <w:u w:val="single"/>
                    </w:rPr>
                  </w:pPr>
                </w:p>
              </w:tc>
              <w:tc>
                <w:tcPr>
                  <w:tcW w:w="314" w:type="pct"/>
                  <w:vAlign w:val="center"/>
                </w:tcPr>
                <w:p w14:paraId="55D33CCB">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氨氮</w:t>
                  </w:r>
                </w:p>
              </w:tc>
              <w:tc>
                <w:tcPr>
                  <w:tcW w:w="821" w:type="dxa"/>
                  <w:vAlign w:val="center"/>
                </w:tcPr>
                <w:p w14:paraId="23D02DA6">
                  <w:pPr>
                    <w:keepNext w:val="0"/>
                    <w:keepLines w:val="0"/>
                    <w:widowControl/>
                    <w:suppressLineNumbers w:val="0"/>
                    <w:jc w:val="center"/>
                    <w:textAlignment w:val="center"/>
                    <w:rPr>
                      <w:rFonts w:hint="default" w:ascii="Times New Roman" w:hAnsi="Times New Roman" w:eastAsia="宋体"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838" w:type="dxa"/>
                  <w:vAlign w:val="center"/>
                </w:tcPr>
                <w:p w14:paraId="0473F8B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2"/>
                      <w:szCs w:val="22"/>
                      <w:u w:val="none"/>
                      <w:lang w:val="en-US" w:eastAsia="zh-CN" w:bidi="ar"/>
                    </w:rPr>
                    <w:t xml:space="preserve">0.677 </w:t>
                  </w:r>
                </w:p>
              </w:tc>
              <w:tc>
                <w:tcPr>
                  <w:tcW w:w="359" w:type="pct"/>
                  <w:vMerge w:val="continue"/>
                  <w:vAlign w:val="center"/>
                </w:tcPr>
                <w:p w14:paraId="701891C3">
                  <w:pPr>
                    <w:jc w:val="center"/>
                    <w:rPr>
                      <w:rFonts w:hint="default" w:ascii="Times New Roman" w:hAnsi="Times New Roman" w:cs="Times New Roman"/>
                      <w:sz w:val="21"/>
                      <w:szCs w:val="21"/>
                      <w:highlight w:val="yellow"/>
                      <w:u w:val="single"/>
                    </w:rPr>
                  </w:pPr>
                </w:p>
              </w:tc>
              <w:tc>
                <w:tcPr>
                  <w:tcW w:w="565" w:type="pct"/>
                  <w:vAlign w:val="center"/>
                </w:tcPr>
                <w:p w14:paraId="799CE284">
                  <w:pPr>
                    <w:keepNext w:val="0"/>
                    <w:keepLines w:val="0"/>
                    <w:widowControl/>
                    <w:suppressLineNumbers w:val="0"/>
                    <w:jc w:val="center"/>
                    <w:textAlignment w:val="center"/>
                    <w:rPr>
                      <w:rFonts w:hint="eastAsia"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35</w:t>
                  </w:r>
                </w:p>
              </w:tc>
              <w:tc>
                <w:tcPr>
                  <w:tcW w:w="440" w:type="pct"/>
                  <w:vAlign w:val="center"/>
                </w:tcPr>
                <w:p w14:paraId="12AAEBC0">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0.593 </w:t>
                  </w:r>
                </w:p>
              </w:tc>
              <w:tc>
                <w:tcPr>
                  <w:tcW w:w="427" w:type="pct"/>
                  <w:vAlign w:val="center"/>
                </w:tcPr>
                <w:p w14:paraId="4222D9B9">
                  <w:pPr>
                    <w:jc w:val="center"/>
                    <w:rPr>
                      <w:rFonts w:hint="default" w:ascii="Times New Roman" w:hAnsi="Times New Roman" w:eastAsia="等线" w:cs="Times New Roman"/>
                      <w:sz w:val="21"/>
                      <w:szCs w:val="21"/>
                      <w:highlight w:val="none"/>
                      <w:u w:val="single"/>
                      <w:lang w:val="en-US"/>
                    </w:rPr>
                  </w:pPr>
                  <w:r>
                    <w:rPr>
                      <w:rFonts w:hint="eastAsia" w:eastAsia="等线" w:cs="Times New Roman"/>
                      <w:sz w:val="21"/>
                      <w:szCs w:val="21"/>
                      <w:highlight w:val="none"/>
                      <w:u w:val="single"/>
                      <w:lang w:val="en-US" w:eastAsia="zh-CN"/>
                    </w:rPr>
                    <w:t>35</w:t>
                  </w:r>
                  <w:r>
                    <w:rPr>
                      <w:rFonts w:hint="eastAsia"/>
                      <w:bCs/>
                      <w:sz w:val="21"/>
                      <w:szCs w:val="21"/>
                      <w:highlight w:val="none"/>
                      <w:u w:val="single"/>
                    </w:rPr>
                    <w:t>mg/L</w:t>
                  </w:r>
                </w:p>
              </w:tc>
              <w:tc>
                <w:tcPr>
                  <w:tcW w:w="716" w:type="pct"/>
                  <w:vMerge w:val="continue"/>
                  <w:vAlign w:val="center"/>
                </w:tcPr>
                <w:p w14:paraId="22932B78">
                  <w:pPr>
                    <w:jc w:val="center"/>
                    <w:rPr>
                      <w:rFonts w:hint="eastAsia" w:eastAsia="等线" w:cs="Times New Roman"/>
                      <w:sz w:val="21"/>
                      <w:szCs w:val="21"/>
                      <w:highlight w:val="none"/>
                      <w:u w:val="single"/>
                      <w:lang w:val="en-US" w:eastAsia="zh-CN"/>
                    </w:rPr>
                  </w:pPr>
                </w:p>
              </w:tc>
              <w:tc>
                <w:tcPr>
                  <w:tcW w:w="358" w:type="pct"/>
                  <w:vAlign w:val="center"/>
                </w:tcPr>
                <w:p w14:paraId="24709138">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w:t>
                  </w:r>
                </w:p>
              </w:tc>
              <w:tc>
                <w:tcPr>
                  <w:tcW w:w="358" w:type="pct"/>
                  <w:vAlign w:val="center"/>
                </w:tcPr>
                <w:p w14:paraId="7DA09E19">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0.085 </w:t>
                  </w:r>
                </w:p>
              </w:tc>
            </w:tr>
            <w:tr w14:paraId="49529A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0F996A3B">
                  <w:pPr>
                    <w:jc w:val="center"/>
                    <w:rPr>
                      <w:rFonts w:hint="default" w:ascii="Times New Roman" w:hAnsi="Times New Roman" w:cs="Times New Roman"/>
                      <w:sz w:val="21"/>
                      <w:szCs w:val="21"/>
                      <w:highlight w:val="none"/>
                      <w:u w:val="single"/>
                    </w:rPr>
                  </w:pPr>
                </w:p>
              </w:tc>
              <w:tc>
                <w:tcPr>
                  <w:tcW w:w="314" w:type="pct"/>
                  <w:vAlign w:val="center"/>
                </w:tcPr>
                <w:p w14:paraId="0B8D08CB">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悬浮物</w:t>
                  </w:r>
                </w:p>
              </w:tc>
              <w:tc>
                <w:tcPr>
                  <w:tcW w:w="495" w:type="pct"/>
                  <w:vAlign w:val="center"/>
                </w:tcPr>
                <w:p w14:paraId="3C96FF6E">
                  <w:pPr>
                    <w:keepNext w:val="0"/>
                    <w:keepLines w:val="0"/>
                    <w:widowControl/>
                    <w:suppressLineNumbers w:val="0"/>
                    <w:jc w:val="center"/>
                    <w:textAlignment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400</w:t>
                  </w:r>
                </w:p>
              </w:tc>
              <w:tc>
                <w:tcPr>
                  <w:tcW w:w="505" w:type="pct"/>
                  <w:vAlign w:val="center"/>
                </w:tcPr>
                <w:p w14:paraId="07D1F4D5">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6.774 </w:t>
                  </w:r>
                </w:p>
              </w:tc>
              <w:tc>
                <w:tcPr>
                  <w:tcW w:w="359" w:type="pct"/>
                  <w:vMerge w:val="continue"/>
                  <w:vAlign w:val="center"/>
                </w:tcPr>
                <w:p w14:paraId="1CAA4900">
                  <w:pPr>
                    <w:jc w:val="center"/>
                    <w:rPr>
                      <w:rFonts w:hint="default" w:ascii="Times New Roman" w:hAnsi="Times New Roman" w:cs="Times New Roman"/>
                      <w:sz w:val="21"/>
                      <w:szCs w:val="21"/>
                      <w:highlight w:val="yellow"/>
                      <w:u w:val="single"/>
                    </w:rPr>
                  </w:pPr>
                </w:p>
              </w:tc>
              <w:tc>
                <w:tcPr>
                  <w:tcW w:w="565" w:type="pct"/>
                  <w:vAlign w:val="center"/>
                </w:tcPr>
                <w:p w14:paraId="4BBF52A0">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rPr>
                  </w:pPr>
                  <w:r>
                    <w:rPr>
                      <w:rFonts w:hint="default" w:ascii="Times New Roman" w:hAnsi="Times New Roman" w:eastAsia="宋体" w:cs="Times New Roman"/>
                      <w:i w:val="0"/>
                      <w:iCs w:val="0"/>
                      <w:color w:val="000000"/>
                      <w:kern w:val="0"/>
                      <w:sz w:val="21"/>
                      <w:szCs w:val="21"/>
                      <w:u w:val="single"/>
                      <w:lang w:val="en-US" w:eastAsia="zh-CN" w:bidi="ar"/>
                    </w:rPr>
                    <w:t>400</w:t>
                  </w:r>
                </w:p>
              </w:tc>
              <w:tc>
                <w:tcPr>
                  <w:tcW w:w="440" w:type="pct"/>
                  <w:vAlign w:val="center"/>
                </w:tcPr>
                <w:p w14:paraId="05D1A4DC">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6.774 </w:t>
                  </w:r>
                </w:p>
              </w:tc>
              <w:tc>
                <w:tcPr>
                  <w:tcW w:w="427" w:type="pct"/>
                  <w:vAlign w:val="center"/>
                </w:tcPr>
                <w:p w14:paraId="56AE5281">
                  <w:pPr>
                    <w:jc w:val="center"/>
                    <w:rPr>
                      <w:rFonts w:hint="default" w:ascii="Times New Roman" w:hAnsi="Times New Roman" w:eastAsia="等线" w:cs="Times New Roman"/>
                      <w:sz w:val="21"/>
                      <w:szCs w:val="21"/>
                      <w:highlight w:val="none"/>
                      <w:u w:val="single"/>
                      <w:lang w:val="en-US"/>
                    </w:rPr>
                  </w:pPr>
                  <w:r>
                    <w:rPr>
                      <w:rFonts w:hint="eastAsia" w:eastAsia="等线" w:cs="Times New Roman"/>
                      <w:sz w:val="21"/>
                      <w:szCs w:val="21"/>
                      <w:highlight w:val="none"/>
                      <w:u w:val="single"/>
                      <w:lang w:val="en-US" w:eastAsia="zh-CN"/>
                    </w:rPr>
                    <w:t>400</w:t>
                  </w:r>
                  <w:r>
                    <w:rPr>
                      <w:rFonts w:hint="eastAsia"/>
                      <w:bCs/>
                      <w:sz w:val="21"/>
                      <w:szCs w:val="21"/>
                      <w:highlight w:val="none"/>
                      <w:u w:val="single"/>
                    </w:rPr>
                    <w:t>mg/L</w:t>
                  </w:r>
                </w:p>
              </w:tc>
              <w:tc>
                <w:tcPr>
                  <w:tcW w:w="716" w:type="pct"/>
                  <w:vMerge w:val="continue"/>
                  <w:vAlign w:val="center"/>
                </w:tcPr>
                <w:p w14:paraId="34B3835D">
                  <w:pPr>
                    <w:jc w:val="center"/>
                    <w:rPr>
                      <w:rFonts w:hint="eastAsia" w:eastAsia="等线" w:cs="Times New Roman"/>
                      <w:sz w:val="21"/>
                      <w:szCs w:val="21"/>
                      <w:highlight w:val="none"/>
                      <w:u w:val="single"/>
                      <w:lang w:val="en-US" w:eastAsia="zh-CN"/>
                    </w:rPr>
                  </w:pPr>
                </w:p>
              </w:tc>
              <w:tc>
                <w:tcPr>
                  <w:tcW w:w="358" w:type="pct"/>
                  <w:vAlign w:val="center"/>
                </w:tcPr>
                <w:p w14:paraId="348DE536">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2E46C388">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0.169 </w:t>
                  </w:r>
                </w:p>
              </w:tc>
            </w:tr>
            <w:tr w14:paraId="0EE2F5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10171CC3">
                  <w:pPr>
                    <w:jc w:val="center"/>
                    <w:rPr>
                      <w:rFonts w:hint="default" w:ascii="Times New Roman" w:hAnsi="Times New Roman" w:cs="Times New Roman"/>
                      <w:sz w:val="21"/>
                      <w:szCs w:val="21"/>
                      <w:highlight w:val="none"/>
                      <w:u w:val="single"/>
                    </w:rPr>
                  </w:pPr>
                </w:p>
              </w:tc>
              <w:tc>
                <w:tcPr>
                  <w:tcW w:w="314" w:type="pct"/>
                  <w:vAlign w:val="center"/>
                </w:tcPr>
                <w:p w14:paraId="3FAC23FF">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总磷</w:t>
                  </w:r>
                </w:p>
              </w:tc>
              <w:tc>
                <w:tcPr>
                  <w:tcW w:w="495" w:type="pct"/>
                  <w:vAlign w:val="center"/>
                </w:tcPr>
                <w:p w14:paraId="4D9A4305">
                  <w:pPr>
                    <w:keepNext w:val="0"/>
                    <w:keepLines w:val="0"/>
                    <w:widowControl/>
                    <w:suppressLineNumbers w:val="0"/>
                    <w:jc w:val="center"/>
                    <w:textAlignment w:val="center"/>
                    <w:rPr>
                      <w:rFonts w:hint="eastAsia"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8</w:t>
                  </w:r>
                </w:p>
              </w:tc>
              <w:tc>
                <w:tcPr>
                  <w:tcW w:w="505" w:type="pct"/>
                  <w:vAlign w:val="center"/>
                </w:tcPr>
                <w:p w14:paraId="79957B58">
                  <w:pPr>
                    <w:keepNext w:val="0"/>
                    <w:keepLines w:val="0"/>
                    <w:widowControl/>
                    <w:suppressLineNumbers w:val="0"/>
                    <w:jc w:val="center"/>
                    <w:textAlignment w:val="center"/>
                    <w:rPr>
                      <w:rFonts w:hint="default" w:ascii="Times New Roman" w:hAnsi="Times New Roman" w:cs="Times New Roman"/>
                      <w:color w:val="00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0.135 </w:t>
                  </w:r>
                </w:p>
              </w:tc>
              <w:tc>
                <w:tcPr>
                  <w:tcW w:w="359" w:type="pct"/>
                  <w:vMerge w:val="continue"/>
                  <w:vAlign w:val="center"/>
                </w:tcPr>
                <w:p w14:paraId="4B95D0CB">
                  <w:pPr>
                    <w:jc w:val="center"/>
                    <w:rPr>
                      <w:rFonts w:hint="default" w:ascii="Times New Roman" w:hAnsi="Times New Roman" w:cs="Times New Roman"/>
                      <w:sz w:val="21"/>
                      <w:szCs w:val="21"/>
                      <w:highlight w:val="yellow"/>
                      <w:u w:val="single"/>
                    </w:rPr>
                  </w:pPr>
                </w:p>
              </w:tc>
              <w:tc>
                <w:tcPr>
                  <w:tcW w:w="565" w:type="pct"/>
                  <w:vAlign w:val="center"/>
                </w:tcPr>
                <w:p w14:paraId="6A03BDD1">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6</w:t>
                  </w:r>
                </w:p>
              </w:tc>
              <w:tc>
                <w:tcPr>
                  <w:tcW w:w="440" w:type="pct"/>
                  <w:shd w:val="clear" w:color="auto" w:fill="auto"/>
                  <w:vAlign w:val="center"/>
                </w:tcPr>
                <w:p w14:paraId="2478C0C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highlight w:val="none"/>
                      <w:u w:val="single"/>
                      <w:lang w:val="en-US" w:eastAsia="zh-CN" w:bidi="ar-SA"/>
                    </w:rPr>
                  </w:pPr>
                  <w:r>
                    <w:rPr>
                      <w:rFonts w:hint="default" w:ascii="Times New Roman" w:hAnsi="Times New Roman" w:eastAsia="宋体" w:cs="Times New Roman"/>
                      <w:i w:val="0"/>
                      <w:iCs w:val="0"/>
                      <w:color w:val="000000"/>
                      <w:kern w:val="0"/>
                      <w:sz w:val="21"/>
                      <w:szCs w:val="21"/>
                      <w:u w:val="single"/>
                      <w:lang w:val="en-US" w:eastAsia="zh-CN" w:bidi="ar"/>
                    </w:rPr>
                    <w:t xml:space="preserve">0.102 </w:t>
                  </w:r>
                </w:p>
              </w:tc>
              <w:tc>
                <w:tcPr>
                  <w:tcW w:w="427" w:type="pct"/>
                  <w:vAlign w:val="center"/>
                </w:tcPr>
                <w:p w14:paraId="4AC74635">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6</w:t>
                  </w:r>
                  <w:r>
                    <w:rPr>
                      <w:rFonts w:hint="eastAsia"/>
                      <w:bCs/>
                      <w:sz w:val="21"/>
                      <w:szCs w:val="21"/>
                      <w:highlight w:val="none"/>
                      <w:u w:val="single"/>
                    </w:rPr>
                    <w:t>mg/L</w:t>
                  </w:r>
                </w:p>
              </w:tc>
              <w:tc>
                <w:tcPr>
                  <w:tcW w:w="716" w:type="pct"/>
                  <w:vMerge w:val="continue"/>
                  <w:vAlign w:val="center"/>
                </w:tcPr>
                <w:p w14:paraId="67245684">
                  <w:pPr>
                    <w:jc w:val="center"/>
                    <w:rPr>
                      <w:rFonts w:hint="eastAsia" w:eastAsia="等线" w:cs="Times New Roman"/>
                      <w:sz w:val="21"/>
                      <w:szCs w:val="21"/>
                      <w:highlight w:val="none"/>
                      <w:u w:val="single"/>
                      <w:lang w:val="en-US" w:eastAsia="zh-CN"/>
                    </w:rPr>
                  </w:pPr>
                </w:p>
              </w:tc>
              <w:tc>
                <w:tcPr>
                  <w:tcW w:w="358" w:type="pct"/>
                  <w:vAlign w:val="center"/>
                </w:tcPr>
                <w:p w14:paraId="1DCDDE2B">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0.5</w:t>
                  </w:r>
                </w:p>
              </w:tc>
              <w:tc>
                <w:tcPr>
                  <w:tcW w:w="358" w:type="pct"/>
                  <w:vAlign w:val="center"/>
                </w:tcPr>
                <w:p w14:paraId="184DB832">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0.008 </w:t>
                  </w:r>
                </w:p>
              </w:tc>
            </w:tr>
            <w:tr w14:paraId="61A646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7AC04016">
                  <w:pPr>
                    <w:jc w:val="center"/>
                    <w:rPr>
                      <w:rFonts w:hint="default" w:ascii="Times New Roman" w:hAnsi="Times New Roman" w:cs="Times New Roman"/>
                      <w:sz w:val="21"/>
                      <w:szCs w:val="21"/>
                      <w:highlight w:val="none"/>
                      <w:u w:val="single"/>
                    </w:rPr>
                  </w:pPr>
                </w:p>
              </w:tc>
              <w:tc>
                <w:tcPr>
                  <w:tcW w:w="314" w:type="pct"/>
                  <w:vAlign w:val="center"/>
                </w:tcPr>
                <w:p w14:paraId="7B320C4B">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eastAsia" w:cs="Times New Roman"/>
                      <w:i w:val="0"/>
                      <w:iCs w:val="0"/>
                      <w:color w:val="000000"/>
                      <w:kern w:val="0"/>
                      <w:sz w:val="21"/>
                      <w:szCs w:val="21"/>
                      <w:highlight w:val="none"/>
                      <w:u w:val="single"/>
                      <w:lang w:val="en-US" w:eastAsia="zh-CN" w:bidi="ar"/>
                    </w:rPr>
                    <w:t>总氮</w:t>
                  </w:r>
                </w:p>
              </w:tc>
              <w:tc>
                <w:tcPr>
                  <w:tcW w:w="495" w:type="pct"/>
                  <w:vAlign w:val="center"/>
                </w:tcPr>
                <w:p w14:paraId="4A0EA211">
                  <w:pPr>
                    <w:keepNext w:val="0"/>
                    <w:keepLines w:val="0"/>
                    <w:widowControl/>
                    <w:suppressLineNumbers w:val="0"/>
                    <w:jc w:val="center"/>
                    <w:textAlignment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70</w:t>
                  </w:r>
                </w:p>
              </w:tc>
              <w:tc>
                <w:tcPr>
                  <w:tcW w:w="505" w:type="pct"/>
                  <w:vAlign w:val="center"/>
                </w:tcPr>
                <w:p w14:paraId="2E6C33BA">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1.186 </w:t>
                  </w:r>
                </w:p>
              </w:tc>
              <w:tc>
                <w:tcPr>
                  <w:tcW w:w="359" w:type="pct"/>
                  <w:vMerge w:val="continue"/>
                  <w:vAlign w:val="center"/>
                </w:tcPr>
                <w:p w14:paraId="08094057">
                  <w:pPr>
                    <w:jc w:val="center"/>
                    <w:rPr>
                      <w:rFonts w:hint="default" w:ascii="Times New Roman" w:hAnsi="Times New Roman" w:cs="Times New Roman"/>
                      <w:sz w:val="21"/>
                      <w:szCs w:val="21"/>
                      <w:highlight w:val="yellow"/>
                      <w:u w:val="single"/>
                    </w:rPr>
                  </w:pPr>
                </w:p>
              </w:tc>
              <w:tc>
                <w:tcPr>
                  <w:tcW w:w="565" w:type="pct"/>
                  <w:vAlign w:val="center"/>
                </w:tcPr>
                <w:p w14:paraId="65F5EDF2">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70</w:t>
                  </w:r>
                </w:p>
              </w:tc>
              <w:tc>
                <w:tcPr>
                  <w:tcW w:w="440" w:type="pct"/>
                  <w:vAlign w:val="center"/>
                </w:tcPr>
                <w:p w14:paraId="26B63A6D">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1.186 </w:t>
                  </w:r>
                </w:p>
              </w:tc>
              <w:tc>
                <w:tcPr>
                  <w:tcW w:w="427" w:type="pct"/>
                  <w:vAlign w:val="center"/>
                </w:tcPr>
                <w:p w14:paraId="37EC3573">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70</w:t>
                  </w:r>
                  <w:r>
                    <w:rPr>
                      <w:rFonts w:hint="eastAsia"/>
                      <w:bCs/>
                      <w:sz w:val="21"/>
                      <w:szCs w:val="21"/>
                      <w:highlight w:val="none"/>
                      <w:u w:val="single"/>
                    </w:rPr>
                    <w:t>mg/L</w:t>
                  </w:r>
                </w:p>
              </w:tc>
              <w:tc>
                <w:tcPr>
                  <w:tcW w:w="716" w:type="pct"/>
                  <w:vMerge w:val="continue"/>
                  <w:vAlign w:val="center"/>
                </w:tcPr>
                <w:p w14:paraId="7B5E4670">
                  <w:pPr>
                    <w:jc w:val="center"/>
                    <w:rPr>
                      <w:rFonts w:hint="eastAsia" w:eastAsia="等线" w:cs="Times New Roman"/>
                      <w:sz w:val="21"/>
                      <w:szCs w:val="21"/>
                      <w:highlight w:val="none"/>
                      <w:u w:val="single"/>
                      <w:lang w:val="en-US" w:eastAsia="zh-CN"/>
                    </w:rPr>
                  </w:pPr>
                </w:p>
              </w:tc>
              <w:tc>
                <w:tcPr>
                  <w:tcW w:w="358" w:type="pct"/>
                  <w:vAlign w:val="center"/>
                </w:tcPr>
                <w:p w14:paraId="045581AE">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74F81327">
                  <w:pPr>
                    <w:jc w:val="center"/>
                    <w:rPr>
                      <w:rFonts w:hint="eastAsia" w:eastAsia="等线" w:cs="Times New Roman"/>
                      <w:sz w:val="21"/>
                      <w:szCs w:val="21"/>
                      <w:highlight w:val="none"/>
                      <w:u w:val="single"/>
                      <w:lang w:val="en-US" w:eastAsia="zh-CN"/>
                    </w:rPr>
                  </w:pPr>
                </w:p>
              </w:tc>
            </w:tr>
            <w:tr w14:paraId="139B25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2C6863DD">
                  <w:pPr>
                    <w:jc w:val="center"/>
                    <w:rPr>
                      <w:rFonts w:hint="default" w:ascii="Times New Roman" w:hAnsi="Times New Roman" w:cs="Times New Roman"/>
                      <w:sz w:val="21"/>
                      <w:szCs w:val="21"/>
                      <w:highlight w:val="none"/>
                      <w:u w:val="single"/>
                    </w:rPr>
                  </w:pPr>
                </w:p>
              </w:tc>
              <w:tc>
                <w:tcPr>
                  <w:tcW w:w="314" w:type="pct"/>
                  <w:vAlign w:val="center"/>
                </w:tcPr>
                <w:p w14:paraId="5FFEFAB6">
                  <w:pPr>
                    <w:keepNext w:val="0"/>
                    <w:keepLines w:val="0"/>
                    <w:widowControl/>
                    <w:suppressLineNumbers w:val="0"/>
                    <w:jc w:val="center"/>
                    <w:textAlignment w:val="center"/>
                    <w:rPr>
                      <w:rFonts w:hint="default" w:cs="Times New Roman"/>
                      <w:i w:val="0"/>
                      <w:iCs w:val="0"/>
                      <w:color w:val="000000"/>
                      <w:kern w:val="0"/>
                      <w:sz w:val="21"/>
                      <w:szCs w:val="21"/>
                      <w:highlight w:val="none"/>
                      <w:u w:val="single"/>
                      <w:lang w:val="en-US" w:eastAsia="zh-CN" w:bidi="ar"/>
                    </w:rPr>
                  </w:pPr>
                  <w:r>
                    <w:rPr>
                      <w:rFonts w:hint="eastAsia" w:cs="Times New Roman"/>
                      <w:i w:val="0"/>
                      <w:iCs w:val="0"/>
                      <w:color w:val="000000"/>
                      <w:kern w:val="0"/>
                      <w:sz w:val="21"/>
                      <w:szCs w:val="21"/>
                      <w:highlight w:val="none"/>
                      <w:u w:val="single"/>
                      <w:lang w:val="en-US" w:eastAsia="zh-CN" w:bidi="ar"/>
                    </w:rPr>
                    <w:t>动植物油</w:t>
                  </w:r>
                </w:p>
              </w:tc>
              <w:tc>
                <w:tcPr>
                  <w:tcW w:w="495" w:type="pct"/>
                  <w:vAlign w:val="center"/>
                </w:tcPr>
                <w:p w14:paraId="56584276">
                  <w:pPr>
                    <w:keepNext w:val="0"/>
                    <w:keepLines w:val="0"/>
                    <w:widowControl/>
                    <w:suppressLineNumbers w:val="0"/>
                    <w:jc w:val="center"/>
                    <w:textAlignment w:val="center"/>
                    <w:rPr>
                      <w:rFonts w:hint="default" w:cs="Times New Roman"/>
                      <w:sz w:val="21"/>
                      <w:szCs w:val="21"/>
                      <w:highlight w:val="none"/>
                      <w:u w:val="single"/>
                      <w:lang w:val="en-US" w:eastAsia="zh-CN"/>
                    </w:rPr>
                  </w:pPr>
                  <w:r>
                    <w:rPr>
                      <w:rFonts w:hint="eastAsia" w:cs="Times New Roman"/>
                      <w:sz w:val="21"/>
                      <w:szCs w:val="21"/>
                      <w:highlight w:val="none"/>
                      <w:u w:val="single"/>
                      <w:lang w:val="en-US" w:eastAsia="zh-CN"/>
                    </w:rPr>
                    <w:t>15</w:t>
                  </w:r>
                </w:p>
              </w:tc>
              <w:tc>
                <w:tcPr>
                  <w:tcW w:w="505" w:type="pct"/>
                  <w:vAlign w:val="center"/>
                </w:tcPr>
                <w:p w14:paraId="42DB5E21">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0.254 </w:t>
                  </w:r>
                </w:p>
              </w:tc>
              <w:tc>
                <w:tcPr>
                  <w:tcW w:w="359" w:type="pct"/>
                  <w:vMerge w:val="continue"/>
                  <w:vAlign w:val="center"/>
                </w:tcPr>
                <w:p w14:paraId="74328B5A">
                  <w:pPr>
                    <w:jc w:val="center"/>
                    <w:rPr>
                      <w:rFonts w:hint="default" w:ascii="Times New Roman" w:hAnsi="Times New Roman" w:cs="Times New Roman"/>
                      <w:sz w:val="21"/>
                      <w:szCs w:val="21"/>
                      <w:highlight w:val="yellow"/>
                      <w:u w:val="single"/>
                    </w:rPr>
                  </w:pPr>
                </w:p>
              </w:tc>
              <w:tc>
                <w:tcPr>
                  <w:tcW w:w="565" w:type="pct"/>
                  <w:vAlign w:val="center"/>
                </w:tcPr>
                <w:p w14:paraId="76B6C0A2">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100</w:t>
                  </w:r>
                </w:p>
              </w:tc>
              <w:tc>
                <w:tcPr>
                  <w:tcW w:w="440" w:type="pct"/>
                  <w:vAlign w:val="center"/>
                </w:tcPr>
                <w:p w14:paraId="25360190">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1.694 </w:t>
                  </w:r>
                </w:p>
              </w:tc>
              <w:tc>
                <w:tcPr>
                  <w:tcW w:w="427" w:type="pct"/>
                  <w:vAlign w:val="center"/>
                </w:tcPr>
                <w:p w14:paraId="52655A74">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100</w:t>
                  </w:r>
                  <w:r>
                    <w:rPr>
                      <w:rFonts w:hint="eastAsia"/>
                      <w:bCs/>
                      <w:sz w:val="21"/>
                      <w:szCs w:val="21"/>
                      <w:highlight w:val="none"/>
                      <w:u w:val="single"/>
                    </w:rPr>
                    <w:t>mg/L</w:t>
                  </w:r>
                </w:p>
              </w:tc>
              <w:tc>
                <w:tcPr>
                  <w:tcW w:w="716" w:type="pct"/>
                  <w:vMerge w:val="continue"/>
                  <w:vAlign w:val="center"/>
                </w:tcPr>
                <w:p w14:paraId="4CF2585A">
                  <w:pPr>
                    <w:jc w:val="center"/>
                    <w:rPr>
                      <w:rFonts w:hint="eastAsia" w:eastAsia="等线" w:cs="Times New Roman"/>
                      <w:sz w:val="21"/>
                      <w:szCs w:val="21"/>
                      <w:highlight w:val="none"/>
                      <w:u w:val="single"/>
                      <w:lang w:val="en-US" w:eastAsia="zh-CN"/>
                    </w:rPr>
                  </w:pPr>
                </w:p>
              </w:tc>
              <w:tc>
                <w:tcPr>
                  <w:tcW w:w="358" w:type="pct"/>
                  <w:vAlign w:val="center"/>
                </w:tcPr>
                <w:p w14:paraId="388DD289">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6A88F5B1">
                  <w:pPr>
                    <w:jc w:val="center"/>
                    <w:rPr>
                      <w:rFonts w:hint="eastAsia" w:eastAsia="等线" w:cs="Times New Roman"/>
                      <w:sz w:val="21"/>
                      <w:szCs w:val="21"/>
                      <w:highlight w:val="none"/>
                      <w:u w:val="single"/>
                      <w:lang w:val="en-US" w:eastAsia="zh-CN"/>
                    </w:rPr>
                  </w:pPr>
                </w:p>
              </w:tc>
            </w:tr>
            <w:tr w14:paraId="3489B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restart"/>
                  <w:vAlign w:val="center"/>
                </w:tcPr>
                <w:p w14:paraId="4ABE2BF2">
                  <w:pPr>
                    <w:jc w:val="center"/>
                    <w:rPr>
                      <w:rFonts w:hint="eastAsia" w:cs="Times New Roman"/>
                      <w:sz w:val="21"/>
                      <w:szCs w:val="21"/>
                      <w:highlight w:val="none"/>
                      <w:u w:val="single"/>
                      <w:lang w:val="en-US" w:eastAsia="zh-CN"/>
                    </w:rPr>
                  </w:pPr>
                  <w:r>
                    <w:rPr>
                      <w:rFonts w:hint="eastAsia" w:cs="Times New Roman"/>
                      <w:sz w:val="21"/>
                      <w:szCs w:val="21"/>
                      <w:highlight w:val="none"/>
                      <w:u w:val="single"/>
                      <w:lang w:val="en-US" w:eastAsia="zh-CN"/>
                    </w:rPr>
                    <w:t>食堂废水</w:t>
                  </w:r>
                </w:p>
                <w:p w14:paraId="74D1762E">
                  <w:pPr>
                    <w:jc w:val="center"/>
                    <w:rPr>
                      <w:rFonts w:hint="default" w:cs="Times New Roman"/>
                      <w:sz w:val="21"/>
                      <w:szCs w:val="21"/>
                      <w:highlight w:val="none"/>
                      <w:u w:val="single"/>
                      <w:lang w:val="en-US" w:eastAsia="zh-CN"/>
                    </w:rPr>
                  </w:pPr>
                  <w:r>
                    <w:rPr>
                      <w:rFonts w:hint="eastAsia"/>
                      <w:bCs/>
                      <w:color w:val="auto"/>
                      <w:sz w:val="21"/>
                      <w:szCs w:val="21"/>
                      <w:highlight w:val="none"/>
                      <w:u w:val="single"/>
                      <w:lang w:val="en-US" w:eastAsia="zh-CN"/>
                    </w:rPr>
                    <w:t>8124.9</w:t>
                  </w:r>
                  <w:r>
                    <w:rPr>
                      <w:rFonts w:hint="eastAsia"/>
                      <w:bCs/>
                      <w:color w:val="auto"/>
                      <w:sz w:val="21"/>
                      <w:szCs w:val="21"/>
                      <w:highlight w:val="none"/>
                      <w:u w:val="single"/>
                    </w:rPr>
                    <w:t>m</w:t>
                  </w:r>
                  <w:r>
                    <w:rPr>
                      <w:rFonts w:hint="eastAsia"/>
                      <w:bCs/>
                      <w:color w:val="auto"/>
                      <w:sz w:val="21"/>
                      <w:szCs w:val="21"/>
                      <w:highlight w:val="none"/>
                      <w:u w:val="single"/>
                      <w:vertAlign w:val="superscript"/>
                    </w:rPr>
                    <w:t>3</w:t>
                  </w:r>
                  <w:r>
                    <w:rPr>
                      <w:rFonts w:hint="eastAsia"/>
                      <w:bCs/>
                      <w:color w:val="000000"/>
                      <w:sz w:val="21"/>
                      <w:szCs w:val="21"/>
                      <w:highlight w:val="none"/>
                      <w:u w:val="single"/>
                    </w:rPr>
                    <w:t>/a</w:t>
                  </w:r>
                </w:p>
              </w:tc>
              <w:tc>
                <w:tcPr>
                  <w:tcW w:w="314" w:type="pct"/>
                  <w:vAlign w:val="center"/>
                </w:tcPr>
                <w:p w14:paraId="7CA8B974">
                  <w:pPr>
                    <w:jc w:val="center"/>
                    <w:rPr>
                      <w:rFonts w:hint="default" w:ascii="Times New Roman" w:hAnsi="Times New Roman" w:cs="Times New Roman"/>
                      <w:sz w:val="21"/>
                      <w:szCs w:val="21"/>
                      <w:highlight w:val="none"/>
                      <w:u w:val="single"/>
                    </w:rPr>
                  </w:pPr>
                  <w:r>
                    <w:rPr>
                      <w:rFonts w:hint="default" w:ascii="Times New Roman" w:hAnsi="Times New Roman" w:cs="Times New Roman"/>
                      <w:sz w:val="21"/>
                      <w:szCs w:val="21"/>
                      <w:highlight w:val="none"/>
                      <w:u w:val="single"/>
                    </w:rPr>
                    <w:t>pH</w:t>
                  </w:r>
                </w:p>
              </w:tc>
              <w:tc>
                <w:tcPr>
                  <w:tcW w:w="495" w:type="pct"/>
                  <w:vAlign w:val="center"/>
                </w:tcPr>
                <w:p w14:paraId="6FDF8F79">
                  <w:pPr>
                    <w:pStyle w:val="115"/>
                    <w:adjustRightInd/>
                    <w:snapToGrid/>
                    <w:spacing w:beforeLines="0" w:line="240" w:lineRule="auto"/>
                    <w:jc w:val="center"/>
                    <w:rPr>
                      <w:rFonts w:hint="default" w:ascii="Times New Roman" w:hAnsi="Times New Roman" w:eastAsia="宋体" w:cs="Times New Roman"/>
                      <w:sz w:val="21"/>
                      <w:szCs w:val="21"/>
                      <w:highlight w:val="none"/>
                      <w:u w:val="single"/>
                      <w:lang w:val="en-US" w:eastAsia="zh-CN"/>
                    </w:rPr>
                  </w:pPr>
                  <w:r>
                    <w:rPr>
                      <w:rFonts w:hint="eastAsia" w:ascii="Times New Roman" w:hAnsi="Times New Roman" w:cs="Times New Roman"/>
                      <w:sz w:val="21"/>
                      <w:szCs w:val="21"/>
                      <w:highlight w:val="none"/>
                      <w:u w:val="single"/>
                      <w:lang w:val="en-US" w:eastAsia="zh-CN"/>
                    </w:rPr>
                    <w:t>6-9</w:t>
                  </w:r>
                </w:p>
              </w:tc>
              <w:tc>
                <w:tcPr>
                  <w:tcW w:w="505" w:type="pct"/>
                  <w:vAlign w:val="center"/>
                </w:tcPr>
                <w:p w14:paraId="6E900A5E">
                  <w:pPr>
                    <w:jc w:val="center"/>
                    <w:rPr>
                      <w:rFonts w:hint="eastAsia"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9" w:type="pct"/>
                  <w:vMerge w:val="continue"/>
                  <w:vAlign w:val="center"/>
                </w:tcPr>
                <w:p w14:paraId="26EAAA44">
                  <w:pPr>
                    <w:jc w:val="center"/>
                    <w:rPr>
                      <w:rFonts w:hint="default" w:ascii="Times New Roman" w:hAnsi="Times New Roman" w:cs="Times New Roman"/>
                      <w:sz w:val="21"/>
                      <w:szCs w:val="21"/>
                      <w:highlight w:val="yellow"/>
                      <w:u w:val="single"/>
                    </w:rPr>
                  </w:pPr>
                </w:p>
              </w:tc>
              <w:tc>
                <w:tcPr>
                  <w:tcW w:w="565" w:type="pct"/>
                  <w:vAlign w:val="center"/>
                </w:tcPr>
                <w:p w14:paraId="1392BEC2">
                  <w:pPr>
                    <w:pStyle w:val="115"/>
                    <w:adjustRightInd/>
                    <w:snapToGrid/>
                    <w:spacing w:beforeLines="0" w:line="240" w:lineRule="auto"/>
                    <w:jc w:val="center"/>
                    <w:rPr>
                      <w:rFonts w:hint="default" w:ascii="Times New Roman" w:hAnsi="Times New Roman" w:eastAsia="等线" w:cs="Times New Roman"/>
                      <w:sz w:val="21"/>
                      <w:szCs w:val="21"/>
                      <w:highlight w:val="yellow"/>
                      <w:u w:val="single"/>
                    </w:rPr>
                  </w:pPr>
                  <w:r>
                    <w:rPr>
                      <w:rFonts w:hint="default" w:ascii="Times New Roman" w:hAnsi="Times New Roman" w:cs="Times New Roman"/>
                      <w:sz w:val="21"/>
                      <w:szCs w:val="21"/>
                      <w:highlight w:val="none"/>
                      <w:u w:val="single"/>
                      <w:lang w:val="en-US" w:eastAsia="zh-CN"/>
                    </w:rPr>
                    <w:t>6-9</w:t>
                  </w:r>
                </w:p>
              </w:tc>
              <w:tc>
                <w:tcPr>
                  <w:tcW w:w="440" w:type="pct"/>
                  <w:vAlign w:val="center"/>
                </w:tcPr>
                <w:p w14:paraId="7FACD9F6">
                  <w:pPr>
                    <w:jc w:val="center"/>
                    <w:rPr>
                      <w:rFonts w:hint="eastAsia"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427" w:type="pct"/>
                  <w:vAlign w:val="center"/>
                </w:tcPr>
                <w:p w14:paraId="2532A921">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6-9</w:t>
                  </w:r>
                </w:p>
              </w:tc>
              <w:tc>
                <w:tcPr>
                  <w:tcW w:w="716" w:type="pct"/>
                  <w:vMerge w:val="continue"/>
                  <w:vAlign w:val="center"/>
                </w:tcPr>
                <w:p w14:paraId="38F467F8">
                  <w:pPr>
                    <w:jc w:val="center"/>
                    <w:rPr>
                      <w:rFonts w:hint="eastAsia" w:eastAsia="等线" w:cs="Times New Roman"/>
                      <w:sz w:val="21"/>
                      <w:szCs w:val="21"/>
                      <w:highlight w:val="none"/>
                      <w:u w:val="single"/>
                      <w:lang w:val="en-US" w:eastAsia="zh-CN"/>
                    </w:rPr>
                  </w:pPr>
                </w:p>
              </w:tc>
              <w:tc>
                <w:tcPr>
                  <w:tcW w:w="358" w:type="pct"/>
                  <w:vAlign w:val="center"/>
                </w:tcPr>
                <w:p w14:paraId="05462789">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10496B60">
                  <w:pPr>
                    <w:jc w:val="center"/>
                    <w:rPr>
                      <w:rFonts w:hint="eastAsia" w:eastAsia="等线" w:cs="Times New Roman"/>
                      <w:sz w:val="21"/>
                      <w:szCs w:val="21"/>
                      <w:highlight w:val="none"/>
                      <w:u w:val="single"/>
                      <w:lang w:val="en-US" w:eastAsia="zh-CN"/>
                    </w:rPr>
                  </w:pPr>
                </w:p>
              </w:tc>
            </w:tr>
            <w:tr w14:paraId="5053B8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46C14D27">
                  <w:pPr>
                    <w:jc w:val="center"/>
                    <w:rPr>
                      <w:rFonts w:hint="default" w:ascii="Times New Roman" w:hAnsi="Times New Roman" w:cs="Times New Roman"/>
                      <w:sz w:val="21"/>
                      <w:szCs w:val="21"/>
                      <w:highlight w:val="none"/>
                      <w:u w:val="single"/>
                    </w:rPr>
                  </w:pPr>
                </w:p>
              </w:tc>
              <w:tc>
                <w:tcPr>
                  <w:tcW w:w="314" w:type="pct"/>
                  <w:vAlign w:val="center"/>
                </w:tcPr>
                <w:p w14:paraId="00B9B8CC">
                  <w:pPr>
                    <w:jc w:val="center"/>
                    <w:rPr>
                      <w:rFonts w:hint="default" w:ascii="Times New Roman" w:hAnsi="Times New Roman" w:cs="Times New Roman"/>
                      <w:sz w:val="21"/>
                      <w:szCs w:val="21"/>
                      <w:highlight w:val="none"/>
                      <w:u w:val="single"/>
                    </w:rPr>
                  </w:pPr>
                  <w:r>
                    <w:rPr>
                      <w:rFonts w:hint="default" w:ascii="Times New Roman" w:hAnsi="Times New Roman" w:cs="Times New Roman"/>
                      <w:color w:val="000000"/>
                      <w:sz w:val="21"/>
                      <w:szCs w:val="21"/>
                      <w:highlight w:val="none"/>
                      <w:u w:val="single"/>
                    </w:rPr>
                    <w:t>COD</w:t>
                  </w:r>
                </w:p>
              </w:tc>
              <w:tc>
                <w:tcPr>
                  <w:tcW w:w="495" w:type="pct"/>
                  <w:vAlign w:val="center"/>
                </w:tcPr>
                <w:p w14:paraId="6FF3259A">
                  <w:pPr>
                    <w:keepNext w:val="0"/>
                    <w:keepLines w:val="0"/>
                    <w:widowControl/>
                    <w:suppressLineNumbers w:val="0"/>
                    <w:jc w:val="center"/>
                    <w:textAlignment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800</w:t>
                  </w:r>
                </w:p>
              </w:tc>
              <w:tc>
                <w:tcPr>
                  <w:tcW w:w="505" w:type="pct"/>
                  <w:vAlign w:val="center"/>
                </w:tcPr>
                <w:p w14:paraId="5DF6675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6.500 </w:t>
                  </w:r>
                </w:p>
              </w:tc>
              <w:tc>
                <w:tcPr>
                  <w:tcW w:w="359" w:type="pct"/>
                  <w:vMerge w:val="continue"/>
                  <w:vAlign w:val="center"/>
                </w:tcPr>
                <w:p w14:paraId="50E6D390">
                  <w:pPr>
                    <w:jc w:val="center"/>
                    <w:rPr>
                      <w:rFonts w:hint="default" w:ascii="Times New Roman" w:hAnsi="Times New Roman" w:cs="Times New Roman"/>
                      <w:sz w:val="21"/>
                      <w:szCs w:val="21"/>
                      <w:highlight w:val="yellow"/>
                      <w:u w:val="single"/>
                    </w:rPr>
                  </w:pPr>
                </w:p>
              </w:tc>
              <w:tc>
                <w:tcPr>
                  <w:tcW w:w="565" w:type="pct"/>
                  <w:vAlign w:val="center"/>
                </w:tcPr>
                <w:p w14:paraId="424F112E">
                  <w:pPr>
                    <w:keepNext w:val="0"/>
                    <w:keepLines w:val="0"/>
                    <w:widowControl/>
                    <w:suppressLineNumbers w:val="0"/>
                    <w:jc w:val="center"/>
                    <w:textAlignment w:val="center"/>
                    <w:rPr>
                      <w:rFonts w:hint="default" w:ascii="Times New Roman" w:hAnsi="Times New Roman" w:eastAsia="等线" w:cs="Times New Roman"/>
                      <w:kern w:val="0"/>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400</w:t>
                  </w:r>
                </w:p>
              </w:tc>
              <w:tc>
                <w:tcPr>
                  <w:tcW w:w="440" w:type="pct"/>
                  <w:vAlign w:val="center"/>
                </w:tcPr>
                <w:p w14:paraId="6E52F1B1">
                  <w:pPr>
                    <w:keepNext w:val="0"/>
                    <w:keepLines w:val="0"/>
                    <w:widowControl/>
                    <w:suppressLineNumbers w:val="0"/>
                    <w:jc w:val="center"/>
                    <w:textAlignment w:val="center"/>
                    <w:rPr>
                      <w:rFonts w:hint="default" w:ascii="Times New Roman" w:hAnsi="Times New Roman" w:eastAsia="等线" w:cs="Times New Roman"/>
                      <w:kern w:val="0"/>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3.250 </w:t>
                  </w:r>
                </w:p>
              </w:tc>
              <w:tc>
                <w:tcPr>
                  <w:tcW w:w="427" w:type="pct"/>
                  <w:vAlign w:val="center"/>
                </w:tcPr>
                <w:p w14:paraId="7F0F0749">
                  <w:pPr>
                    <w:jc w:val="center"/>
                    <w:rPr>
                      <w:rFonts w:hint="default" w:ascii="Times New Roman" w:hAnsi="Times New Roman" w:eastAsia="等线" w:cs="Times New Roman"/>
                      <w:kern w:val="0"/>
                      <w:sz w:val="21"/>
                      <w:szCs w:val="21"/>
                      <w:highlight w:val="none"/>
                      <w:u w:val="single"/>
                    </w:rPr>
                  </w:pPr>
                  <w:r>
                    <w:rPr>
                      <w:rFonts w:hint="eastAsia" w:cs="Times New Roman"/>
                      <w:sz w:val="21"/>
                      <w:szCs w:val="21"/>
                      <w:highlight w:val="none"/>
                      <w:u w:val="single"/>
                      <w:lang w:val="en-US" w:eastAsia="zh-CN"/>
                    </w:rPr>
                    <w:t>4</w:t>
                  </w:r>
                  <w:r>
                    <w:rPr>
                      <w:rFonts w:hint="eastAsia" w:ascii="Times New Roman" w:hAnsi="Times New Roman" w:cs="Times New Roman"/>
                      <w:sz w:val="21"/>
                      <w:szCs w:val="21"/>
                      <w:highlight w:val="none"/>
                      <w:u w:val="single"/>
                      <w:lang w:val="en-US" w:eastAsia="zh-CN"/>
                    </w:rPr>
                    <w:t>00</w:t>
                  </w:r>
                  <w:r>
                    <w:rPr>
                      <w:rFonts w:hint="eastAsia"/>
                      <w:bCs/>
                      <w:sz w:val="21"/>
                      <w:szCs w:val="21"/>
                      <w:highlight w:val="none"/>
                      <w:u w:val="single"/>
                    </w:rPr>
                    <w:t>mg/L</w:t>
                  </w:r>
                </w:p>
              </w:tc>
              <w:tc>
                <w:tcPr>
                  <w:tcW w:w="716" w:type="pct"/>
                  <w:vMerge w:val="continue"/>
                  <w:vAlign w:val="center"/>
                </w:tcPr>
                <w:p w14:paraId="6C61EFE9">
                  <w:pPr>
                    <w:jc w:val="center"/>
                    <w:rPr>
                      <w:rFonts w:hint="eastAsia" w:cs="Times New Roman"/>
                      <w:sz w:val="21"/>
                      <w:szCs w:val="21"/>
                      <w:highlight w:val="none"/>
                      <w:u w:val="single"/>
                      <w:lang w:val="en-US" w:eastAsia="zh-CN"/>
                    </w:rPr>
                  </w:pPr>
                </w:p>
              </w:tc>
              <w:tc>
                <w:tcPr>
                  <w:tcW w:w="358" w:type="pct"/>
                  <w:vAlign w:val="center"/>
                </w:tcPr>
                <w:p w14:paraId="08957625">
                  <w:pPr>
                    <w:jc w:val="center"/>
                    <w:rPr>
                      <w:rFonts w:hint="eastAsia" w:cs="Times New Roman"/>
                      <w:sz w:val="21"/>
                      <w:szCs w:val="21"/>
                      <w:highlight w:val="none"/>
                      <w:u w:val="single"/>
                      <w:lang w:val="en-US" w:eastAsia="zh-CN"/>
                    </w:rPr>
                  </w:pPr>
                  <w:r>
                    <w:rPr>
                      <w:rFonts w:hint="eastAsia" w:eastAsia="等线" w:cs="Times New Roman"/>
                      <w:sz w:val="21"/>
                      <w:szCs w:val="21"/>
                      <w:highlight w:val="none"/>
                      <w:u w:val="single"/>
                      <w:lang w:val="en-US" w:eastAsia="zh-CN"/>
                    </w:rPr>
                    <w:t>50</w:t>
                  </w:r>
                </w:p>
              </w:tc>
              <w:tc>
                <w:tcPr>
                  <w:tcW w:w="358" w:type="pct"/>
                  <w:vAlign w:val="center"/>
                </w:tcPr>
                <w:p w14:paraId="2719DACA">
                  <w:pPr>
                    <w:keepNext w:val="0"/>
                    <w:keepLines w:val="0"/>
                    <w:widowControl/>
                    <w:suppressLineNumbers w:val="0"/>
                    <w:jc w:val="center"/>
                    <w:textAlignment w:val="center"/>
                    <w:rPr>
                      <w:rFonts w:hint="eastAsia"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0.406 </w:t>
                  </w:r>
                </w:p>
              </w:tc>
            </w:tr>
            <w:tr w14:paraId="35F73B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157AAE0F">
                  <w:pPr>
                    <w:jc w:val="center"/>
                    <w:rPr>
                      <w:rFonts w:hint="default" w:ascii="Times New Roman" w:hAnsi="Times New Roman" w:cs="Times New Roman"/>
                      <w:sz w:val="21"/>
                      <w:szCs w:val="21"/>
                      <w:highlight w:val="none"/>
                      <w:u w:val="single"/>
                    </w:rPr>
                  </w:pPr>
                </w:p>
              </w:tc>
              <w:tc>
                <w:tcPr>
                  <w:tcW w:w="314" w:type="pct"/>
                  <w:vAlign w:val="center"/>
                </w:tcPr>
                <w:p w14:paraId="1E743404">
                  <w:pPr>
                    <w:jc w:val="center"/>
                    <w:rPr>
                      <w:rFonts w:hint="default" w:ascii="Times New Roman" w:hAnsi="Times New Roman" w:cs="Times New Roman"/>
                      <w:sz w:val="21"/>
                      <w:szCs w:val="21"/>
                      <w:highlight w:val="none"/>
                      <w:u w:val="single"/>
                    </w:rPr>
                  </w:pPr>
                  <w:r>
                    <w:rPr>
                      <w:rFonts w:hint="default" w:ascii="Times New Roman" w:hAnsi="Times New Roman" w:cs="Times New Roman"/>
                      <w:color w:val="000000"/>
                      <w:sz w:val="21"/>
                      <w:szCs w:val="21"/>
                      <w:highlight w:val="none"/>
                      <w:u w:val="single"/>
                    </w:rPr>
                    <w:t>BOD</w:t>
                  </w:r>
                </w:p>
              </w:tc>
              <w:tc>
                <w:tcPr>
                  <w:tcW w:w="495" w:type="pct"/>
                  <w:vAlign w:val="center"/>
                </w:tcPr>
                <w:p w14:paraId="6AFC4AA1">
                  <w:pPr>
                    <w:keepNext w:val="0"/>
                    <w:keepLines w:val="0"/>
                    <w:widowControl/>
                    <w:suppressLineNumbers w:val="0"/>
                    <w:jc w:val="center"/>
                    <w:textAlignment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400</w:t>
                  </w:r>
                </w:p>
              </w:tc>
              <w:tc>
                <w:tcPr>
                  <w:tcW w:w="505" w:type="pct"/>
                  <w:vAlign w:val="center"/>
                </w:tcPr>
                <w:p w14:paraId="6BC7DFC6">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3.250 </w:t>
                  </w:r>
                </w:p>
              </w:tc>
              <w:tc>
                <w:tcPr>
                  <w:tcW w:w="359" w:type="pct"/>
                  <w:vMerge w:val="continue"/>
                  <w:vAlign w:val="center"/>
                </w:tcPr>
                <w:p w14:paraId="6DE08E50">
                  <w:pPr>
                    <w:jc w:val="center"/>
                    <w:rPr>
                      <w:rFonts w:hint="default" w:ascii="Times New Roman" w:hAnsi="Times New Roman" w:cs="Times New Roman"/>
                      <w:sz w:val="21"/>
                      <w:szCs w:val="21"/>
                      <w:highlight w:val="yellow"/>
                      <w:u w:val="single"/>
                    </w:rPr>
                  </w:pPr>
                </w:p>
              </w:tc>
              <w:tc>
                <w:tcPr>
                  <w:tcW w:w="565" w:type="pct"/>
                  <w:vAlign w:val="center"/>
                </w:tcPr>
                <w:p w14:paraId="5AC075BE">
                  <w:pPr>
                    <w:keepNext w:val="0"/>
                    <w:keepLines w:val="0"/>
                    <w:widowControl/>
                    <w:suppressLineNumbers w:val="0"/>
                    <w:jc w:val="center"/>
                    <w:textAlignment w:val="center"/>
                    <w:rPr>
                      <w:rFonts w:hint="default" w:ascii="Times New Roman" w:hAnsi="Times New Roman" w:eastAsia="等线" w:cs="Times New Roman"/>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200</w:t>
                  </w:r>
                </w:p>
              </w:tc>
              <w:tc>
                <w:tcPr>
                  <w:tcW w:w="440" w:type="pct"/>
                  <w:vAlign w:val="center"/>
                </w:tcPr>
                <w:p w14:paraId="2471DC68">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1.625 </w:t>
                  </w:r>
                </w:p>
              </w:tc>
              <w:tc>
                <w:tcPr>
                  <w:tcW w:w="427" w:type="pct"/>
                  <w:vAlign w:val="center"/>
                </w:tcPr>
                <w:p w14:paraId="3F214837">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20</w:t>
                  </w:r>
                  <w:r>
                    <w:rPr>
                      <w:rFonts w:hint="default" w:ascii="Times New Roman" w:hAnsi="Times New Roman" w:eastAsia="等线" w:cs="Times New Roman"/>
                      <w:sz w:val="21"/>
                      <w:szCs w:val="21"/>
                      <w:highlight w:val="none"/>
                      <w:u w:val="single"/>
                      <w:lang w:val="en-US" w:eastAsia="zh-CN"/>
                    </w:rPr>
                    <w:t>0</w:t>
                  </w:r>
                  <w:r>
                    <w:rPr>
                      <w:rFonts w:hint="eastAsia"/>
                      <w:bCs/>
                      <w:sz w:val="21"/>
                      <w:szCs w:val="21"/>
                      <w:highlight w:val="none"/>
                      <w:u w:val="single"/>
                    </w:rPr>
                    <w:t>mg/L</w:t>
                  </w:r>
                </w:p>
              </w:tc>
              <w:tc>
                <w:tcPr>
                  <w:tcW w:w="716" w:type="pct"/>
                  <w:vMerge w:val="continue"/>
                  <w:vAlign w:val="center"/>
                </w:tcPr>
                <w:p w14:paraId="1D4CFAB0">
                  <w:pPr>
                    <w:jc w:val="center"/>
                    <w:rPr>
                      <w:rFonts w:hint="eastAsia" w:eastAsia="等线" w:cs="Times New Roman"/>
                      <w:sz w:val="21"/>
                      <w:szCs w:val="21"/>
                      <w:highlight w:val="none"/>
                      <w:u w:val="single"/>
                      <w:lang w:val="en-US" w:eastAsia="zh-CN"/>
                    </w:rPr>
                  </w:pPr>
                </w:p>
              </w:tc>
              <w:tc>
                <w:tcPr>
                  <w:tcW w:w="358" w:type="pct"/>
                  <w:vAlign w:val="center"/>
                </w:tcPr>
                <w:p w14:paraId="365EE76E">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5E7DBAAF">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0.081 </w:t>
                  </w:r>
                </w:p>
              </w:tc>
            </w:tr>
            <w:tr w14:paraId="7A9D7A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6FADF63A">
                  <w:pPr>
                    <w:jc w:val="center"/>
                    <w:rPr>
                      <w:rFonts w:hint="default" w:ascii="Times New Roman" w:hAnsi="Times New Roman" w:cs="Times New Roman"/>
                      <w:sz w:val="21"/>
                      <w:szCs w:val="21"/>
                      <w:highlight w:val="none"/>
                      <w:u w:val="single"/>
                    </w:rPr>
                  </w:pPr>
                </w:p>
              </w:tc>
              <w:tc>
                <w:tcPr>
                  <w:tcW w:w="314" w:type="pct"/>
                  <w:vAlign w:val="center"/>
                </w:tcPr>
                <w:p w14:paraId="747273A2">
                  <w:pPr>
                    <w:jc w:val="center"/>
                    <w:rPr>
                      <w:rFonts w:hint="default" w:ascii="Times New Roman" w:hAnsi="Times New Roman" w:cs="Times New Roman"/>
                      <w:sz w:val="21"/>
                      <w:szCs w:val="21"/>
                      <w:highlight w:val="none"/>
                      <w:u w:val="single"/>
                    </w:rPr>
                  </w:pPr>
                  <w:r>
                    <w:rPr>
                      <w:rStyle w:val="203"/>
                      <w:rFonts w:hint="default" w:ascii="Times New Roman" w:hAnsi="Times New Roman" w:cs="Times New Roman"/>
                      <w:sz w:val="21"/>
                      <w:szCs w:val="21"/>
                      <w:highlight w:val="none"/>
                      <w:u w:val="single"/>
                      <w:vertAlign w:val="baseline"/>
                    </w:rPr>
                    <w:t>氨氮</w:t>
                  </w:r>
                </w:p>
              </w:tc>
              <w:tc>
                <w:tcPr>
                  <w:tcW w:w="495" w:type="pct"/>
                  <w:vAlign w:val="center"/>
                </w:tcPr>
                <w:p w14:paraId="3C8C0871">
                  <w:pPr>
                    <w:keepNext w:val="0"/>
                    <w:keepLines w:val="0"/>
                    <w:widowControl/>
                    <w:suppressLineNumbers w:val="0"/>
                    <w:jc w:val="center"/>
                    <w:textAlignment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40</w:t>
                  </w:r>
                </w:p>
              </w:tc>
              <w:tc>
                <w:tcPr>
                  <w:tcW w:w="505" w:type="pct"/>
                  <w:vAlign w:val="center"/>
                </w:tcPr>
                <w:p w14:paraId="0BF671BE">
                  <w:pPr>
                    <w:keepNext w:val="0"/>
                    <w:keepLines w:val="0"/>
                    <w:widowControl/>
                    <w:suppressLineNumbers w:val="0"/>
                    <w:jc w:val="center"/>
                    <w:textAlignment w:val="center"/>
                    <w:rPr>
                      <w:rFonts w:hint="default" w:ascii="Times New Roman" w:hAnsi="Times New Roman" w:cs="Times New Roman"/>
                      <w:color w:val="00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0.325 </w:t>
                  </w:r>
                </w:p>
              </w:tc>
              <w:tc>
                <w:tcPr>
                  <w:tcW w:w="359" w:type="pct"/>
                  <w:vMerge w:val="continue"/>
                  <w:vAlign w:val="center"/>
                </w:tcPr>
                <w:p w14:paraId="6FBD2A4D">
                  <w:pPr>
                    <w:jc w:val="center"/>
                    <w:rPr>
                      <w:rFonts w:hint="default" w:ascii="Times New Roman" w:hAnsi="Times New Roman" w:cs="Times New Roman"/>
                      <w:sz w:val="21"/>
                      <w:szCs w:val="21"/>
                      <w:highlight w:val="yellow"/>
                      <w:u w:val="single"/>
                    </w:rPr>
                  </w:pPr>
                </w:p>
              </w:tc>
              <w:tc>
                <w:tcPr>
                  <w:tcW w:w="565" w:type="pct"/>
                  <w:vAlign w:val="center"/>
                </w:tcPr>
                <w:p w14:paraId="202A106B">
                  <w:pPr>
                    <w:keepNext w:val="0"/>
                    <w:keepLines w:val="0"/>
                    <w:widowControl/>
                    <w:suppressLineNumbers w:val="0"/>
                    <w:jc w:val="center"/>
                    <w:textAlignment w:val="center"/>
                    <w:rPr>
                      <w:rFonts w:hint="default" w:ascii="Times New Roman" w:hAnsi="Times New Roman" w:eastAsia="等线" w:cs="Times New Roman"/>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35</w:t>
                  </w:r>
                </w:p>
              </w:tc>
              <w:tc>
                <w:tcPr>
                  <w:tcW w:w="440" w:type="pct"/>
                  <w:vAlign w:val="center"/>
                </w:tcPr>
                <w:p w14:paraId="458C3F35">
                  <w:pPr>
                    <w:keepNext w:val="0"/>
                    <w:keepLines w:val="0"/>
                    <w:widowControl/>
                    <w:suppressLineNumbers w:val="0"/>
                    <w:jc w:val="center"/>
                    <w:textAlignment w:val="center"/>
                    <w:rPr>
                      <w:rFonts w:hint="default" w:ascii="Times New Roman" w:hAnsi="Times New Roman" w:cs="Times New Roman"/>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0.284 </w:t>
                  </w:r>
                </w:p>
              </w:tc>
              <w:tc>
                <w:tcPr>
                  <w:tcW w:w="427" w:type="pct"/>
                  <w:vAlign w:val="center"/>
                </w:tcPr>
                <w:p w14:paraId="5D0A9556">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35</w:t>
                  </w:r>
                  <w:r>
                    <w:rPr>
                      <w:rFonts w:hint="eastAsia"/>
                      <w:bCs/>
                      <w:sz w:val="21"/>
                      <w:szCs w:val="21"/>
                      <w:highlight w:val="none"/>
                      <w:u w:val="single"/>
                    </w:rPr>
                    <w:t>mg/L</w:t>
                  </w:r>
                </w:p>
              </w:tc>
              <w:tc>
                <w:tcPr>
                  <w:tcW w:w="716" w:type="pct"/>
                  <w:vMerge w:val="continue"/>
                  <w:vAlign w:val="center"/>
                </w:tcPr>
                <w:p w14:paraId="541F1D4A">
                  <w:pPr>
                    <w:jc w:val="center"/>
                    <w:rPr>
                      <w:rFonts w:hint="eastAsia" w:eastAsia="等线" w:cs="Times New Roman"/>
                      <w:sz w:val="21"/>
                      <w:szCs w:val="21"/>
                      <w:highlight w:val="none"/>
                      <w:u w:val="single"/>
                      <w:lang w:val="en-US" w:eastAsia="zh-CN"/>
                    </w:rPr>
                  </w:pPr>
                </w:p>
              </w:tc>
              <w:tc>
                <w:tcPr>
                  <w:tcW w:w="358" w:type="pct"/>
                  <w:vAlign w:val="center"/>
                </w:tcPr>
                <w:p w14:paraId="3391507B">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w:t>
                  </w:r>
                </w:p>
              </w:tc>
              <w:tc>
                <w:tcPr>
                  <w:tcW w:w="358" w:type="pct"/>
                  <w:vAlign w:val="center"/>
                </w:tcPr>
                <w:p w14:paraId="7EA9C564">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0.041 </w:t>
                  </w:r>
                </w:p>
              </w:tc>
            </w:tr>
            <w:tr w14:paraId="152B70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0F402503">
                  <w:pPr>
                    <w:jc w:val="center"/>
                    <w:rPr>
                      <w:rFonts w:hint="default" w:ascii="Times New Roman" w:hAnsi="Times New Roman" w:cs="Times New Roman"/>
                      <w:sz w:val="21"/>
                      <w:szCs w:val="21"/>
                      <w:highlight w:val="none"/>
                      <w:u w:val="single"/>
                    </w:rPr>
                  </w:pPr>
                </w:p>
              </w:tc>
              <w:tc>
                <w:tcPr>
                  <w:tcW w:w="314" w:type="pct"/>
                  <w:vAlign w:val="center"/>
                </w:tcPr>
                <w:p w14:paraId="1EC9D0DE">
                  <w:pPr>
                    <w:jc w:val="center"/>
                    <w:rPr>
                      <w:rFonts w:hint="default" w:ascii="Times New Roman" w:hAnsi="Times New Roman" w:cs="Times New Roman"/>
                      <w:sz w:val="21"/>
                      <w:szCs w:val="21"/>
                      <w:highlight w:val="none"/>
                      <w:u w:val="single"/>
                    </w:rPr>
                  </w:pPr>
                  <w:r>
                    <w:rPr>
                      <w:rStyle w:val="203"/>
                      <w:rFonts w:hint="default" w:ascii="Times New Roman" w:hAnsi="Times New Roman" w:cs="Times New Roman"/>
                      <w:sz w:val="21"/>
                      <w:szCs w:val="21"/>
                      <w:highlight w:val="none"/>
                      <w:u w:val="single"/>
                      <w:vertAlign w:val="baseline"/>
                    </w:rPr>
                    <w:t>悬浮物</w:t>
                  </w:r>
                </w:p>
              </w:tc>
              <w:tc>
                <w:tcPr>
                  <w:tcW w:w="495" w:type="pct"/>
                  <w:vAlign w:val="center"/>
                </w:tcPr>
                <w:p w14:paraId="473044C7">
                  <w:pPr>
                    <w:keepNext w:val="0"/>
                    <w:keepLines w:val="0"/>
                    <w:widowControl/>
                    <w:suppressLineNumbers w:val="0"/>
                    <w:jc w:val="center"/>
                    <w:textAlignment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350</w:t>
                  </w:r>
                </w:p>
              </w:tc>
              <w:tc>
                <w:tcPr>
                  <w:tcW w:w="505" w:type="pct"/>
                  <w:vAlign w:val="center"/>
                </w:tcPr>
                <w:p w14:paraId="5C0182BA">
                  <w:pPr>
                    <w:keepNext w:val="0"/>
                    <w:keepLines w:val="0"/>
                    <w:widowControl/>
                    <w:suppressLineNumbers w:val="0"/>
                    <w:jc w:val="center"/>
                    <w:textAlignment w:val="center"/>
                    <w:rPr>
                      <w:rFonts w:hint="default" w:ascii="Times New Roman" w:hAnsi="Times New Roman" w:cs="Times New Roman"/>
                      <w:color w:val="00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2.844 </w:t>
                  </w:r>
                </w:p>
              </w:tc>
              <w:tc>
                <w:tcPr>
                  <w:tcW w:w="359" w:type="pct"/>
                  <w:vMerge w:val="continue"/>
                  <w:vAlign w:val="center"/>
                </w:tcPr>
                <w:p w14:paraId="6EEFE2CB">
                  <w:pPr>
                    <w:jc w:val="center"/>
                    <w:rPr>
                      <w:rFonts w:hint="default" w:ascii="Times New Roman" w:hAnsi="Times New Roman" w:cs="Times New Roman"/>
                      <w:sz w:val="21"/>
                      <w:szCs w:val="21"/>
                      <w:highlight w:val="yellow"/>
                      <w:u w:val="single"/>
                    </w:rPr>
                  </w:pPr>
                </w:p>
              </w:tc>
              <w:tc>
                <w:tcPr>
                  <w:tcW w:w="565" w:type="pct"/>
                  <w:vAlign w:val="center"/>
                </w:tcPr>
                <w:p w14:paraId="3BFB572A">
                  <w:pPr>
                    <w:keepNext w:val="0"/>
                    <w:keepLines w:val="0"/>
                    <w:widowControl/>
                    <w:suppressLineNumbers w:val="0"/>
                    <w:jc w:val="center"/>
                    <w:textAlignment w:val="center"/>
                    <w:rPr>
                      <w:rFonts w:hint="default" w:ascii="Times New Roman" w:hAnsi="Times New Roman" w:eastAsia="等线" w:cs="Times New Roman"/>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400</w:t>
                  </w:r>
                </w:p>
              </w:tc>
              <w:tc>
                <w:tcPr>
                  <w:tcW w:w="440" w:type="pct"/>
                  <w:shd w:val="clear" w:color="auto" w:fill="auto"/>
                  <w:vAlign w:val="center"/>
                </w:tcPr>
                <w:p w14:paraId="63904B2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highlight w:val="none"/>
                      <w:u w:val="single"/>
                      <w:lang w:val="en-US" w:eastAsia="zh-CN" w:bidi="ar-SA"/>
                    </w:rPr>
                  </w:pPr>
                  <w:r>
                    <w:rPr>
                      <w:rFonts w:hint="default" w:ascii="Times New Roman" w:hAnsi="Times New Roman" w:eastAsia="宋体" w:cs="Times New Roman"/>
                      <w:i w:val="0"/>
                      <w:iCs w:val="0"/>
                      <w:color w:val="000000"/>
                      <w:kern w:val="0"/>
                      <w:sz w:val="21"/>
                      <w:szCs w:val="21"/>
                      <w:u w:val="single"/>
                      <w:lang w:val="en-US" w:eastAsia="zh-CN" w:bidi="ar"/>
                    </w:rPr>
                    <w:t xml:space="preserve">3.250 </w:t>
                  </w:r>
                </w:p>
              </w:tc>
              <w:tc>
                <w:tcPr>
                  <w:tcW w:w="427" w:type="pct"/>
                  <w:vAlign w:val="center"/>
                </w:tcPr>
                <w:p w14:paraId="31584E05">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400</w:t>
                  </w:r>
                  <w:r>
                    <w:rPr>
                      <w:rFonts w:hint="eastAsia"/>
                      <w:bCs/>
                      <w:sz w:val="21"/>
                      <w:szCs w:val="21"/>
                      <w:highlight w:val="none"/>
                      <w:u w:val="single"/>
                    </w:rPr>
                    <w:t>mg/L</w:t>
                  </w:r>
                </w:p>
              </w:tc>
              <w:tc>
                <w:tcPr>
                  <w:tcW w:w="716" w:type="pct"/>
                  <w:vMerge w:val="continue"/>
                  <w:vAlign w:val="center"/>
                </w:tcPr>
                <w:p w14:paraId="5776045E">
                  <w:pPr>
                    <w:jc w:val="center"/>
                    <w:rPr>
                      <w:rFonts w:hint="eastAsia" w:eastAsia="等线" w:cs="Times New Roman"/>
                      <w:sz w:val="21"/>
                      <w:szCs w:val="21"/>
                      <w:highlight w:val="none"/>
                      <w:u w:val="single"/>
                      <w:lang w:val="en-US" w:eastAsia="zh-CN"/>
                    </w:rPr>
                  </w:pPr>
                </w:p>
              </w:tc>
              <w:tc>
                <w:tcPr>
                  <w:tcW w:w="358" w:type="pct"/>
                  <w:vAlign w:val="center"/>
                </w:tcPr>
                <w:p w14:paraId="1ECF3C75">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3CB90BF7">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0.081 </w:t>
                  </w:r>
                </w:p>
              </w:tc>
            </w:tr>
            <w:tr w14:paraId="2C773A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2C216887">
                  <w:pPr>
                    <w:jc w:val="center"/>
                    <w:rPr>
                      <w:rFonts w:hint="default" w:ascii="Times New Roman" w:hAnsi="Times New Roman" w:cs="Times New Roman"/>
                      <w:sz w:val="21"/>
                      <w:szCs w:val="21"/>
                      <w:highlight w:val="none"/>
                      <w:u w:val="single"/>
                    </w:rPr>
                  </w:pPr>
                </w:p>
              </w:tc>
              <w:tc>
                <w:tcPr>
                  <w:tcW w:w="314" w:type="pct"/>
                  <w:vAlign w:val="center"/>
                </w:tcPr>
                <w:p w14:paraId="43401957">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总磷</w:t>
                  </w:r>
                </w:p>
              </w:tc>
              <w:tc>
                <w:tcPr>
                  <w:tcW w:w="495" w:type="pct"/>
                  <w:vAlign w:val="center"/>
                </w:tcPr>
                <w:p w14:paraId="0D18EFC2">
                  <w:pPr>
                    <w:keepNext w:val="0"/>
                    <w:keepLines w:val="0"/>
                    <w:widowControl/>
                    <w:suppressLineNumbers w:val="0"/>
                    <w:jc w:val="center"/>
                    <w:textAlignment w:val="center"/>
                    <w:rPr>
                      <w:rFonts w:hint="eastAsia"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7</w:t>
                  </w:r>
                </w:p>
              </w:tc>
              <w:tc>
                <w:tcPr>
                  <w:tcW w:w="505" w:type="pct"/>
                  <w:vAlign w:val="center"/>
                </w:tcPr>
                <w:p w14:paraId="10B28E17">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0.057 </w:t>
                  </w:r>
                </w:p>
              </w:tc>
              <w:tc>
                <w:tcPr>
                  <w:tcW w:w="359" w:type="pct"/>
                  <w:vMerge w:val="continue"/>
                  <w:vAlign w:val="center"/>
                </w:tcPr>
                <w:p w14:paraId="2D01CD11">
                  <w:pPr>
                    <w:jc w:val="center"/>
                    <w:rPr>
                      <w:rFonts w:hint="default" w:ascii="Times New Roman" w:hAnsi="Times New Roman" w:cs="Times New Roman"/>
                      <w:sz w:val="21"/>
                      <w:szCs w:val="21"/>
                      <w:highlight w:val="yellow"/>
                      <w:u w:val="single"/>
                    </w:rPr>
                  </w:pPr>
                </w:p>
              </w:tc>
              <w:tc>
                <w:tcPr>
                  <w:tcW w:w="565" w:type="pct"/>
                  <w:vAlign w:val="center"/>
                </w:tcPr>
                <w:p w14:paraId="3924CE4E">
                  <w:pPr>
                    <w:keepNext w:val="0"/>
                    <w:keepLines w:val="0"/>
                    <w:widowControl/>
                    <w:suppressLineNumbers w:val="0"/>
                    <w:jc w:val="center"/>
                    <w:textAlignment w:val="center"/>
                    <w:rPr>
                      <w:rFonts w:hint="default" w:ascii="Times New Roman" w:hAnsi="Times New Roman" w:eastAsia="等线" w:cs="Times New Roman"/>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6</w:t>
                  </w:r>
                </w:p>
              </w:tc>
              <w:tc>
                <w:tcPr>
                  <w:tcW w:w="440" w:type="pct"/>
                  <w:vAlign w:val="center"/>
                </w:tcPr>
                <w:p w14:paraId="540B6AF7">
                  <w:pPr>
                    <w:keepNext w:val="0"/>
                    <w:keepLines w:val="0"/>
                    <w:widowControl/>
                    <w:suppressLineNumbers w:val="0"/>
                    <w:jc w:val="center"/>
                    <w:textAlignment w:val="center"/>
                    <w:rPr>
                      <w:rFonts w:hint="eastAsia"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0.049 </w:t>
                  </w:r>
                </w:p>
              </w:tc>
              <w:tc>
                <w:tcPr>
                  <w:tcW w:w="427" w:type="pct"/>
                  <w:vAlign w:val="center"/>
                </w:tcPr>
                <w:p w14:paraId="55135D65">
                  <w:pPr>
                    <w:jc w:val="center"/>
                    <w:rPr>
                      <w:rFonts w:hint="eastAsia"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6</w:t>
                  </w:r>
                  <w:r>
                    <w:rPr>
                      <w:rFonts w:hint="eastAsia"/>
                      <w:bCs/>
                      <w:sz w:val="21"/>
                      <w:szCs w:val="21"/>
                      <w:highlight w:val="none"/>
                      <w:u w:val="single"/>
                    </w:rPr>
                    <w:t>mg/L</w:t>
                  </w:r>
                </w:p>
              </w:tc>
              <w:tc>
                <w:tcPr>
                  <w:tcW w:w="716" w:type="pct"/>
                  <w:vMerge w:val="continue"/>
                  <w:vAlign w:val="center"/>
                </w:tcPr>
                <w:p w14:paraId="38F2BE88">
                  <w:pPr>
                    <w:jc w:val="center"/>
                    <w:rPr>
                      <w:rFonts w:hint="eastAsia" w:eastAsia="等线" w:cs="Times New Roman"/>
                      <w:sz w:val="21"/>
                      <w:szCs w:val="21"/>
                      <w:highlight w:val="none"/>
                      <w:u w:val="single"/>
                      <w:lang w:val="en-US" w:eastAsia="zh-CN"/>
                    </w:rPr>
                  </w:pPr>
                </w:p>
              </w:tc>
              <w:tc>
                <w:tcPr>
                  <w:tcW w:w="358" w:type="pct"/>
                  <w:vAlign w:val="center"/>
                </w:tcPr>
                <w:p w14:paraId="5764251A">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0.5</w:t>
                  </w:r>
                </w:p>
              </w:tc>
              <w:tc>
                <w:tcPr>
                  <w:tcW w:w="358" w:type="pct"/>
                  <w:vAlign w:val="center"/>
                </w:tcPr>
                <w:p w14:paraId="313EC7FA">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0.004 </w:t>
                  </w:r>
                </w:p>
              </w:tc>
            </w:tr>
            <w:tr w14:paraId="767084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198D61AE">
                  <w:pPr>
                    <w:jc w:val="center"/>
                    <w:rPr>
                      <w:rFonts w:hint="default" w:ascii="Times New Roman" w:hAnsi="Times New Roman" w:cs="Times New Roman"/>
                      <w:sz w:val="21"/>
                      <w:szCs w:val="21"/>
                      <w:highlight w:val="none"/>
                      <w:u w:val="single"/>
                    </w:rPr>
                  </w:pPr>
                </w:p>
              </w:tc>
              <w:tc>
                <w:tcPr>
                  <w:tcW w:w="314" w:type="pct"/>
                  <w:vAlign w:val="center"/>
                </w:tcPr>
                <w:p w14:paraId="5FE91392">
                  <w:pPr>
                    <w:keepNext w:val="0"/>
                    <w:keepLines w:val="0"/>
                    <w:widowControl/>
                    <w:suppressLineNumbers w:val="0"/>
                    <w:jc w:val="center"/>
                    <w:textAlignment w:val="center"/>
                    <w:rPr>
                      <w:rFonts w:hint="default" w:ascii="Times New Roman" w:hAnsi="Times New Roman" w:cs="Times New Roman"/>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总氮</w:t>
                  </w:r>
                </w:p>
              </w:tc>
              <w:tc>
                <w:tcPr>
                  <w:tcW w:w="495" w:type="pct"/>
                  <w:vAlign w:val="center"/>
                </w:tcPr>
                <w:p w14:paraId="0BA0AD32">
                  <w:pPr>
                    <w:keepNext w:val="0"/>
                    <w:keepLines w:val="0"/>
                    <w:widowControl/>
                    <w:suppressLineNumbers w:val="0"/>
                    <w:jc w:val="center"/>
                    <w:textAlignment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55</w:t>
                  </w:r>
                </w:p>
              </w:tc>
              <w:tc>
                <w:tcPr>
                  <w:tcW w:w="505" w:type="pct"/>
                  <w:vAlign w:val="center"/>
                </w:tcPr>
                <w:p w14:paraId="2E2112E2">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0.447 </w:t>
                  </w:r>
                </w:p>
              </w:tc>
              <w:tc>
                <w:tcPr>
                  <w:tcW w:w="359" w:type="pct"/>
                  <w:vMerge w:val="continue"/>
                  <w:vAlign w:val="center"/>
                </w:tcPr>
                <w:p w14:paraId="45DE3906">
                  <w:pPr>
                    <w:jc w:val="center"/>
                    <w:rPr>
                      <w:rFonts w:hint="default" w:ascii="Times New Roman" w:hAnsi="Times New Roman" w:cs="Times New Roman"/>
                      <w:sz w:val="21"/>
                      <w:szCs w:val="21"/>
                      <w:highlight w:val="yellow"/>
                      <w:u w:val="single"/>
                    </w:rPr>
                  </w:pPr>
                </w:p>
              </w:tc>
              <w:tc>
                <w:tcPr>
                  <w:tcW w:w="565" w:type="pct"/>
                  <w:vAlign w:val="center"/>
                </w:tcPr>
                <w:p w14:paraId="793E7B9C">
                  <w:pPr>
                    <w:keepNext w:val="0"/>
                    <w:keepLines w:val="0"/>
                    <w:widowControl/>
                    <w:suppressLineNumbers w:val="0"/>
                    <w:jc w:val="center"/>
                    <w:textAlignment w:val="center"/>
                    <w:rPr>
                      <w:rFonts w:hint="default" w:ascii="Times New Roman" w:hAnsi="Times New Roman" w:eastAsia="等线" w:cs="Times New Roman"/>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70</w:t>
                  </w:r>
                </w:p>
              </w:tc>
              <w:tc>
                <w:tcPr>
                  <w:tcW w:w="440" w:type="pct"/>
                  <w:vAlign w:val="center"/>
                </w:tcPr>
                <w:p w14:paraId="6D19071B">
                  <w:pPr>
                    <w:keepNext w:val="0"/>
                    <w:keepLines w:val="0"/>
                    <w:widowControl/>
                    <w:suppressLineNumbers w:val="0"/>
                    <w:jc w:val="center"/>
                    <w:textAlignment w:val="center"/>
                    <w:rPr>
                      <w:rFonts w:hint="eastAsia"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0.569 </w:t>
                  </w:r>
                </w:p>
              </w:tc>
              <w:tc>
                <w:tcPr>
                  <w:tcW w:w="427" w:type="pct"/>
                  <w:vAlign w:val="center"/>
                </w:tcPr>
                <w:p w14:paraId="74328553">
                  <w:pPr>
                    <w:jc w:val="center"/>
                    <w:rPr>
                      <w:rFonts w:hint="eastAsia"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70</w:t>
                  </w:r>
                  <w:r>
                    <w:rPr>
                      <w:rFonts w:hint="eastAsia"/>
                      <w:bCs/>
                      <w:sz w:val="21"/>
                      <w:szCs w:val="21"/>
                      <w:highlight w:val="none"/>
                      <w:u w:val="single"/>
                    </w:rPr>
                    <w:t>mg/L</w:t>
                  </w:r>
                </w:p>
              </w:tc>
              <w:tc>
                <w:tcPr>
                  <w:tcW w:w="716" w:type="pct"/>
                  <w:vMerge w:val="continue"/>
                  <w:vAlign w:val="center"/>
                </w:tcPr>
                <w:p w14:paraId="7096A30B">
                  <w:pPr>
                    <w:jc w:val="center"/>
                    <w:rPr>
                      <w:rFonts w:hint="eastAsia" w:eastAsia="等线" w:cs="Times New Roman"/>
                      <w:sz w:val="21"/>
                      <w:szCs w:val="21"/>
                      <w:highlight w:val="none"/>
                      <w:u w:val="single"/>
                      <w:lang w:val="en-US" w:eastAsia="zh-CN"/>
                    </w:rPr>
                  </w:pPr>
                </w:p>
              </w:tc>
              <w:tc>
                <w:tcPr>
                  <w:tcW w:w="358" w:type="pct"/>
                  <w:vAlign w:val="center"/>
                </w:tcPr>
                <w:p w14:paraId="41EA24C8">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39746132">
                  <w:pPr>
                    <w:jc w:val="center"/>
                    <w:rPr>
                      <w:rFonts w:hint="eastAsia" w:eastAsia="等线" w:cs="Times New Roman"/>
                      <w:sz w:val="21"/>
                      <w:szCs w:val="21"/>
                      <w:highlight w:val="none"/>
                      <w:u w:val="single"/>
                      <w:lang w:val="en-US" w:eastAsia="zh-CN"/>
                    </w:rPr>
                  </w:pPr>
                </w:p>
              </w:tc>
            </w:tr>
            <w:tr w14:paraId="5757B7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20AD3CB7">
                  <w:pPr>
                    <w:jc w:val="center"/>
                    <w:rPr>
                      <w:rFonts w:hint="default" w:ascii="Times New Roman" w:hAnsi="Times New Roman" w:cs="Times New Roman"/>
                      <w:sz w:val="21"/>
                      <w:szCs w:val="21"/>
                      <w:highlight w:val="none"/>
                      <w:u w:val="single"/>
                    </w:rPr>
                  </w:pPr>
                </w:p>
              </w:tc>
              <w:tc>
                <w:tcPr>
                  <w:tcW w:w="314" w:type="pct"/>
                  <w:vAlign w:val="center"/>
                </w:tcPr>
                <w:p w14:paraId="651D8D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eastAsia" w:cs="Times New Roman"/>
                      <w:i w:val="0"/>
                      <w:iCs w:val="0"/>
                      <w:color w:val="000000"/>
                      <w:kern w:val="0"/>
                      <w:sz w:val="21"/>
                      <w:szCs w:val="21"/>
                      <w:highlight w:val="none"/>
                      <w:u w:val="single"/>
                      <w:lang w:val="en-US" w:eastAsia="zh-CN" w:bidi="ar"/>
                    </w:rPr>
                    <w:t>动植物油</w:t>
                  </w:r>
                </w:p>
              </w:tc>
              <w:tc>
                <w:tcPr>
                  <w:tcW w:w="495" w:type="pct"/>
                  <w:vAlign w:val="center"/>
                </w:tcPr>
                <w:p w14:paraId="24FE1C03">
                  <w:pPr>
                    <w:keepNext w:val="0"/>
                    <w:keepLines w:val="0"/>
                    <w:widowControl/>
                    <w:suppressLineNumbers w:val="0"/>
                    <w:jc w:val="center"/>
                    <w:textAlignment w:val="center"/>
                    <w:rPr>
                      <w:rFonts w:hint="default" w:ascii="Times New Roman" w:hAnsi="Times New Roman" w:eastAsia="宋体" w:cs="Times New Roman"/>
                      <w:sz w:val="21"/>
                      <w:szCs w:val="21"/>
                      <w:highlight w:val="none"/>
                      <w:u w:val="single"/>
                      <w:lang w:val="en-US" w:eastAsia="zh-CN"/>
                    </w:rPr>
                  </w:pPr>
                  <w:r>
                    <w:rPr>
                      <w:rFonts w:hint="eastAsia" w:cs="Times New Roman"/>
                      <w:sz w:val="21"/>
                      <w:szCs w:val="21"/>
                      <w:highlight w:val="none"/>
                      <w:u w:val="single"/>
                      <w:lang w:val="en-US" w:eastAsia="zh-CN"/>
                    </w:rPr>
                    <w:t>120</w:t>
                  </w:r>
                </w:p>
              </w:tc>
              <w:tc>
                <w:tcPr>
                  <w:tcW w:w="505" w:type="pct"/>
                  <w:vAlign w:val="center"/>
                </w:tcPr>
                <w:p w14:paraId="5A26BBE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0.975 </w:t>
                  </w:r>
                </w:p>
              </w:tc>
              <w:tc>
                <w:tcPr>
                  <w:tcW w:w="359" w:type="pct"/>
                  <w:vMerge w:val="continue"/>
                  <w:vAlign w:val="center"/>
                </w:tcPr>
                <w:p w14:paraId="6FDCBF35">
                  <w:pPr>
                    <w:jc w:val="center"/>
                    <w:rPr>
                      <w:rFonts w:hint="default" w:ascii="Times New Roman" w:hAnsi="Times New Roman" w:cs="Times New Roman"/>
                      <w:sz w:val="21"/>
                      <w:szCs w:val="21"/>
                      <w:highlight w:val="yellow"/>
                      <w:u w:val="single"/>
                    </w:rPr>
                  </w:pPr>
                </w:p>
              </w:tc>
              <w:tc>
                <w:tcPr>
                  <w:tcW w:w="565" w:type="pct"/>
                  <w:vAlign w:val="center"/>
                </w:tcPr>
                <w:p w14:paraId="401C51C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100</w:t>
                  </w:r>
                </w:p>
              </w:tc>
              <w:tc>
                <w:tcPr>
                  <w:tcW w:w="440" w:type="pct"/>
                  <w:vAlign w:val="center"/>
                </w:tcPr>
                <w:p w14:paraId="595B5DDC">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0.812 </w:t>
                  </w:r>
                </w:p>
              </w:tc>
              <w:tc>
                <w:tcPr>
                  <w:tcW w:w="427" w:type="pct"/>
                  <w:vAlign w:val="center"/>
                </w:tcPr>
                <w:p w14:paraId="4614099F">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100</w:t>
                  </w:r>
                  <w:r>
                    <w:rPr>
                      <w:rFonts w:hint="eastAsia"/>
                      <w:bCs/>
                      <w:sz w:val="21"/>
                      <w:szCs w:val="21"/>
                      <w:highlight w:val="none"/>
                      <w:u w:val="single"/>
                    </w:rPr>
                    <w:t>mg/L</w:t>
                  </w:r>
                </w:p>
              </w:tc>
              <w:tc>
                <w:tcPr>
                  <w:tcW w:w="716" w:type="pct"/>
                  <w:vMerge w:val="continue"/>
                  <w:vAlign w:val="center"/>
                </w:tcPr>
                <w:p w14:paraId="40BB3915">
                  <w:pPr>
                    <w:jc w:val="center"/>
                    <w:rPr>
                      <w:rFonts w:hint="eastAsia" w:eastAsia="等线" w:cs="Times New Roman"/>
                      <w:sz w:val="21"/>
                      <w:szCs w:val="21"/>
                      <w:highlight w:val="none"/>
                      <w:u w:val="single"/>
                      <w:lang w:val="en-US" w:eastAsia="zh-CN"/>
                    </w:rPr>
                  </w:pPr>
                </w:p>
              </w:tc>
              <w:tc>
                <w:tcPr>
                  <w:tcW w:w="358" w:type="pct"/>
                  <w:vAlign w:val="center"/>
                </w:tcPr>
                <w:p w14:paraId="6FAC422B">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4BEE1E29">
                  <w:pPr>
                    <w:jc w:val="center"/>
                    <w:rPr>
                      <w:rFonts w:hint="eastAsia" w:eastAsia="等线" w:cs="Times New Roman"/>
                      <w:sz w:val="21"/>
                      <w:szCs w:val="21"/>
                      <w:highlight w:val="none"/>
                      <w:u w:val="single"/>
                      <w:lang w:val="en-US" w:eastAsia="zh-CN"/>
                    </w:rPr>
                  </w:pPr>
                </w:p>
              </w:tc>
            </w:tr>
            <w:tr w14:paraId="4A23A9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69335762">
                  <w:pPr>
                    <w:jc w:val="center"/>
                    <w:rPr>
                      <w:rFonts w:hint="default" w:ascii="Times New Roman" w:hAnsi="Times New Roman" w:cs="Times New Roman"/>
                      <w:sz w:val="21"/>
                      <w:szCs w:val="21"/>
                      <w:highlight w:val="none"/>
                      <w:u w:val="single"/>
                    </w:rPr>
                  </w:pPr>
                </w:p>
              </w:tc>
              <w:tc>
                <w:tcPr>
                  <w:tcW w:w="314" w:type="pct"/>
                  <w:vAlign w:val="center"/>
                </w:tcPr>
                <w:p w14:paraId="5F937C41">
                  <w:pPr>
                    <w:keepNext w:val="0"/>
                    <w:keepLines w:val="0"/>
                    <w:widowControl/>
                    <w:suppressLineNumbers w:val="0"/>
                    <w:jc w:val="center"/>
                    <w:textAlignment w:val="center"/>
                    <w:rPr>
                      <w:rFonts w:hint="default" w:cs="Times New Roman"/>
                      <w:i w:val="0"/>
                      <w:iCs w:val="0"/>
                      <w:color w:val="000000"/>
                      <w:kern w:val="0"/>
                      <w:sz w:val="21"/>
                      <w:szCs w:val="21"/>
                      <w:highlight w:val="none"/>
                      <w:u w:val="single"/>
                      <w:lang w:val="en-US" w:eastAsia="zh-CN" w:bidi="ar"/>
                    </w:rPr>
                  </w:pPr>
                  <w:r>
                    <w:rPr>
                      <w:rFonts w:hint="eastAsia" w:cs="Times New Roman"/>
                      <w:i w:val="0"/>
                      <w:iCs w:val="0"/>
                      <w:color w:val="000000"/>
                      <w:kern w:val="0"/>
                      <w:sz w:val="21"/>
                      <w:szCs w:val="21"/>
                      <w:highlight w:val="none"/>
                      <w:u w:val="single"/>
                      <w:lang w:val="en-US" w:eastAsia="zh-CN" w:bidi="ar"/>
                    </w:rPr>
                    <w:t>氯化物</w:t>
                  </w:r>
                </w:p>
              </w:tc>
              <w:tc>
                <w:tcPr>
                  <w:tcW w:w="495" w:type="pct"/>
                  <w:vAlign w:val="center"/>
                </w:tcPr>
                <w:p w14:paraId="797B3EE2">
                  <w:pPr>
                    <w:keepNext w:val="0"/>
                    <w:keepLines w:val="0"/>
                    <w:widowControl/>
                    <w:suppressLineNumbers w:val="0"/>
                    <w:jc w:val="center"/>
                    <w:textAlignment w:val="center"/>
                    <w:rPr>
                      <w:rFonts w:hint="default" w:cs="Times New Roman"/>
                      <w:sz w:val="21"/>
                      <w:szCs w:val="21"/>
                      <w:highlight w:val="none"/>
                      <w:u w:val="single"/>
                      <w:lang w:val="en-US" w:eastAsia="zh-CN"/>
                    </w:rPr>
                  </w:pPr>
                  <w:r>
                    <w:rPr>
                      <w:rFonts w:hint="eastAsia" w:cs="Times New Roman"/>
                      <w:sz w:val="21"/>
                      <w:szCs w:val="21"/>
                      <w:highlight w:val="none"/>
                      <w:u w:val="single"/>
                      <w:lang w:val="en-US" w:eastAsia="zh-CN"/>
                    </w:rPr>
                    <w:t>200</w:t>
                  </w:r>
                </w:p>
              </w:tc>
              <w:tc>
                <w:tcPr>
                  <w:tcW w:w="505" w:type="pct"/>
                  <w:vAlign w:val="center"/>
                </w:tcPr>
                <w:p w14:paraId="08B39C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1.625 </w:t>
                  </w:r>
                </w:p>
              </w:tc>
              <w:tc>
                <w:tcPr>
                  <w:tcW w:w="359" w:type="pct"/>
                  <w:vMerge w:val="continue"/>
                  <w:vAlign w:val="center"/>
                </w:tcPr>
                <w:p w14:paraId="35DD186B">
                  <w:pPr>
                    <w:jc w:val="center"/>
                    <w:rPr>
                      <w:rFonts w:hint="default" w:ascii="Times New Roman" w:hAnsi="Times New Roman" w:cs="Times New Roman"/>
                      <w:sz w:val="21"/>
                      <w:szCs w:val="21"/>
                      <w:highlight w:val="yellow"/>
                      <w:u w:val="single"/>
                    </w:rPr>
                  </w:pPr>
                </w:p>
              </w:tc>
              <w:tc>
                <w:tcPr>
                  <w:tcW w:w="565" w:type="pct"/>
                  <w:vAlign w:val="center"/>
                </w:tcPr>
                <w:p w14:paraId="65154A90">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800</w:t>
                  </w:r>
                </w:p>
              </w:tc>
              <w:tc>
                <w:tcPr>
                  <w:tcW w:w="440" w:type="pct"/>
                  <w:vAlign w:val="center"/>
                </w:tcPr>
                <w:p w14:paraId="3BD0C84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6.500 </w:t>
                  </w:r>
                </w:p>
              </w:tc>
              <w:tc>
                <w:tcPr>
                  <w:tcW w:w="427" w:type="pct"/>
                  <w:vAlign w:val="center"/>
                </w:tcPr>
                <w:p w14:paraId="47AE648F">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800</w:t>
                  </w:r>
                  <w:r>
                    <w:rPr>
                      <w:rFonts w:hint="eastAsia"/>
                      <w:bCs/>
                      <w:sz w:val="21"/>
                      <w:szCs w:val="21"/>
                      <w:highlight w:val="none"/>
                      <w:u w:val="single"/>
                    </w:rPr>
                    <w:t>mg/L</w:t>
                  </w:r>
                </w:p>
              </w:tc>
              <w:tc>
                <w:tcPr>
                  <w:tcW w:w="716" w:type="pct"/>
                  <w:vMerge w:val="continue"/>
                  <w:vAlign w:val="center"/>
                </w:tcPr>
                <w:p w14:paraId="15C1725D">
                  <w:pPr>
                    <w:jc w:val="center"/>
                    <w:rPr>
                      <w:rFonts w:hint="eastAsia" w:eastAsia="等线" w:cs="Times New Roman"/>
                      <w:sz w:val="21"/>
                      <w:szCs w:val="21"/>
                      <w:highlight w:val="none"/>
                      <w:u w:val="single"/>
                      <w:lang w:val="en-US" w:eastAsia="zh-CN"/>
                    </w:rPr>
                  </w:pPr>
                </w:p>
              </w:tc>
              <w:tc>
                <w:tcPr>
                  <w:tcW w:w="358" w:type="pct"/>
                  <w:vAlign w:val="center"/>
                </w:tcPr>
                <w:p w14:paraId="7C6F1382">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3C92C902">
                  <w:pPr>
                    <w:jc w:val="center"/>
                    <w:rPr>
                      <w:rFonts w:hint="eastAsia" w:eastAsia="等线" w:cs="Times New Roman"/>
                      <w:sz w:val="21"/>
                      <w:szCs w:val="21"/>
                      <w:highlight w:val="none"/>
                      <w:u w:val="single"/>
                      <w:lang w:val="en-US" w:eastAsia="zh-CN"/>
                    </w:rPr>
                  </w:pPr>
                </w:p>
              </w:tc>
            </w:tr>
            <w:tr w14:paraId="372CFD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19DEDB15">
                  <w:pPr>
                    <w:jc w:val="center"/>
                    <w:rPr>
                      <w:rFonts w:hint="default" w:ascii="Times New Roman" w:hAnsi="Times New Roman" w:cs="Times New Roman"/>
                      <w:sz w:val="21"/>
                      <w:szCs w:val="21"/>
                      <w:highlight w:val="none"/>
                      <w:u w:val="single"/>
                    </w:rPr>
                  </w:pPr>
                </w:p>
              </w:tc>
              <w:tc>
                <w:tcPr>
                  <w:tcW w:w="314" w:type="pct"/>
                  <w:vAlign w:val="center"/>
                </w:tcPr>
                <w:p w14:paraId="6579FF65">
                  <w:pPr>
                    <w:keepNext w:val="0"/>
                    <w:keepLines w:val="0"/>
                    <w:widowControl/>
                    <w:suppressLineNumbers w:val="0"/>
                    <w:jc w:val="center"/>
                    <w:textAlignment w:val="center"/>
                    <w:rPr>
                      <w:rFonts w:hint="default" w:cs="Times New Roman"/>
                      <w:i w:val="0"/>
                      <w:iCs w:val="0"/>
                      <w:color w:val="000000"/>
                      <w:kern w:val="0"/>
                      <w:sz w:val="21"/>
                      <w:szCs w:val="21"/>
                      <w:highlight w:val="none"/>
                      <w:u w:val="single"/>
                      <w:lang w:val="en-US" w:eastAsia="zh-CN" w:bidi="ar"/>
                    </w:rPr>
                  </w:pPr>
                  <w:r>
                    <w:rPr>
                      <w:rFonts w:hint="eastAsia" w:cs="Times New Roman"/>
                      <w:i w:val="0"/>
                      <w:iCs w:val="0"/>
                      <w:color w:val="000000"/>
                      <w:kern w:val="0"/>
                      <w:sz w:val="21"/>
                      <w:szCs w:val="21"/>
                      <w:highlight w:val="none"/>
                      <w:u w:val="single"/>
                      <w:lang w:val="en-US" w:eastAsia="zh-CN" w:bidi="ar"/>
                    </w:rPr>
                    <w:t>LAS</w:t>
                  </w:r>
                </w:p>
              </w:tc>
              <w:tc>
                <w:tcPr>
                  <w:tcW w:w="495" w:type="pct"/>
                  <w:vAlign w:val="center"/>
                </w:tcPr>
                <w:p w14:paraId="34165176">
                  <w:pPr>
                    <w:keepNext w:val="0"/>
                    <w:keepLines w:val="0"/>
                    <w:widowControl/>
                    <w:suppressLineNumbers w:val="0"/>
                    <w:jc w:val="center"/>
                    <w:textAlignment w:val="center"/>
                    <w:rPr>
                      <w:rFonts w:hint="default" w:cs="Times New Roman"/>
                      <w:sz w:val="21"/>
                      <w:szCs w:val="21"/>
                      <w:highlight w:val="none"/>
                      <w:u w:val="single"/>
                      <w:lang w:val="en-US" w:eastAsia="zh-CN"/>
                    </w:rPr>
                  </w:pPr>
                  <w:r>
                    <w:rPr>
                      <w:rFonts w:hint="eastAsia" w:cs="Times New Roman"/>
                      <w:sz w:val="21"/>
                      <w:szCs w:val="21"/>
                      <w:highlight w:val="none"/>
                      <w:u w:val="single"/>
                      <w:lang w:val="en-US" w:eastAsia="zh-CN"/>
                    </w:rPr>
                    <w:t>10</w:t>
                  </w:r>
                </w:p>
              </w:tc>
              <w:tc>
                <w:tcPr>
                  <w:tcW w:w="505" w:type="pct"/>
                  <w:vAlign w:val="center"/>
                </w:tcPr>
                <w:p w14:paraId="64127B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0.081 </w:t>
                  </w:r>
                </w:p>
              </w:tc>
              <w:tc>
                <w:tcPr>
                  <w:tcW w:w="359" w:type="pct"/>
                  <w:vMerge w:val="continue"/>
                  <w:vAlign w:val="center"/>
                </w:tcPr>
                <w:p w14:paraId="745980D5">
                  <w:pPr>
                    <w:jc w:val="center"/>
                    <w:rPr>
                      <w:rFonts w:hint="default" w:ascii="Times New Roman" w:hAnsi="Times New Roman" w:cs="Times New Roman"/>
                      <w:sz w:val="21"/>
                      <w:szCs w:val="21"/>
                      <w:highlight w:val="yellow"/>
                      <w:u w:val="single"/>
                    </w:rPr>
                  </w:pPr>
                </w:p>
              </w:tc>
              <w:tc>
                <w:tcPr>
                  <w:tcW w:w="565" w:type="pct"/>
                  <w:vAlign w:val="center"/>
                </w:tcPr>
                <w:p w14:paraId="04C43B74">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20</w:t>
                  </w:r>
                </w:p>
              </w:tc>
              <w:tc>
                <w:tcPr>
                  <w:tcW w:w="440" w:type="pct"/>
                  <w:vAlign w:val="center"/>
                </w:tcPr>
                <w:p w14:paraId="5340633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0.162 </w:t>
                  </w:r>
                </w:p>
              </w:tc>
              <w:tc>
                <w:tcPr>
                  <w:tcW w:w="427" w:type="pct"/>
                  <w:vAlign w:val="center"/>
                </w:tcPr>
                <w:p w14:paraId="21DAC141">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20</w:t>
                  </w:r>
                  <w:r>
                    <w:rPr>
                      <w:rFonts w:hint="eastAsia"/>
                      <w:bCs/>
                      <w:sz w:val="21"/>
                      <w:szCs w:val="21"/>
                      <w:highlight w:val="none"/>
                      <w:u w:val="single"/>
                    </w:rPr>
                    <w:t>mg/L</w:t>
                  </w:r>
                </w:p>
              </w:tc>
              <w:tc>
                <w:tcPr>
                  <w:tcW w:w="716" w:type="pct"/>
                  <w:vMerge w:val="continue"/>
                  <w:vAlign w:val="center"/>
                </w:tcPr>
                <w:p w14:paraId="0C982688">
                  <w:pPr>
                    <w:jc w:val="center"/>
                    <w:rPr>
                      <w:rFonts w:hint="eastAsia" w:eastAsia="等线" w:cs="Times New Roman"/>
                      <w:sz w:val="21"/>
                      <w:szCs w:val="21"/>
                      <w:highlight w:val="none"/>
                      <w:u w:val="single"/>
                      <w:lang w:val="en-US" w:eastAsia="zh-CN"/>
                    </w:rPr>
                  </w:pPr>
                </w:p>
              </w:tc>
              <w:tc>
                <w:tcPr>
                  <w:tcW w:w="358" w:type="pct"/>
                  <w:vAlign w:val="center"/>
                </w:tcPr>
                <w:p w14:paraId="2569613C">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318AD818">
                  <w:pPr>
                    <w:jc w:val="center"/>
                    <w:rPr>
                      <w:rFonts w:hint="eastAsia" w:eastAsia="等线" w:cs="Times New Roman"/>
                      <w:sz w:val="21"/>
                      <w:szCs w:val="21"/>
                      <w:highlight w:val="none"/>
                      <w:u w:val="single"/>
                      <w:lang w:val="en-US" w:eastAsia="zh-CN"/>
                    </w:rPr>
                  </w:pPr>
                </w:p>
              </w:tc>
            </w:tr>
            <w:tr w14:paraId="46A604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restart"/>
                  <w:vAlign w:val="center"/>
                </w:tcPr>
                <w:p w14:paraId="569092FA">
                  <w:pPr>
                    <w:jc w:val="center"/>
                    <w:rPr>
                      <w:rFonts w:hint="eastAsia" w:cs="Times New Roman"/>
                      <w:color w:val="auto"/>
                      <w:sz w:val="21"/>
                      <w:szCs w:val="21"/>
                      <w:highlight w:val="none"/>
                      <w:u w:val="single"/>
                      <w:lang w:val="en-US" w:eastAsia="zh-CN"/>
                    </w:rPr>
                  </w:pPr>
                  <w:r>
                    <w:rPr>
                      <w:rFonts w:hint="eastAsia" w:cs="Times New Roman"/>
                      <w:color w:val="auto"/>
                      <w:sz w:val="21"/>
                      <w:szCs w:val="21"/>
                      <w:highlight w:val="none"/>
                      <w:u w:val="single"/>
                      <w:lang w:val="en-US" w:eastAsia="zh-CN"/>
                    </w:rPr>
                    <w:t>人员公办用水</w:t>
                  </w:r>
                </w:p>
                <w:p w14:paraId="4F62D438">
                  <w:pPr>
                    <w:jc w:val="center"/>
                    <w:rPr>
                      <w:rFonts w:hint="default" w:cs="Times New Roman"/>
                      <w:color w:val="auto"/>
                      <w:sz w:val="21"/>
                      <w:szCs w:val="21"/>
                      <w:highlight w:val="none"/>
                      <w:u w:val="single"/>
                      <w:lang w:val="en-US" w:eastAsia="zh-CN"/>
                    </w:rPr>
                  </w:pPr>
                  <w:r>
                    <w:rPr>
                      <w:rFonts w:hint="eastAsia"/>
                      <w:bCs/>
                      <w:color w:val="auto"/>
                      <w:sz w:val="21"/>
                      <w:szCs w:val="21"/>
                      <w:highlight w:val="none"/>
                      <w:u w:val="single"/>
                      <w:lang w:val="en-US" w:eastAsia="zh-CN"/>
                    </w:rPr>
                    <w:t>2736</w:t>
                  </w:r>
                  <w:r>
                    <w:rPr>
                      <w:bCs/>
                      <w:color w:val="auto"/>
                      <w:sz w:val="21"/>
                      <w:szCs w:val="21"/>
                      <w:highlight w:val="none"/>
                      <w:u w:val="single"/>
                    </w:rPr>
                    <w:t>m</w:t>
                  </w:r>
                  <w:r>
                    <w:rPr>
                      <w:bCs/>
                      <w:color w:val="auto"/>
                      <w:sz w:val="21"/>
                      <w:szCs w:val="21"/>
                      <w:highlight w:val="none"/>
                      <w:u w:val="single"/>
                      <w:vertAlign w:val="superscript"/>
                    </w:rPr>
                    <w:t>3</w:t>
                  </w:r>
                  <w:r>
                    <w:rPr>
                      <w:bCs/>
                      <w:color w:val="auto"/>
                      <w:sz w:val="21"/>
                      <w:szCs w:val="21"/>
                      <w:highlight w:val="none"/>
                      <w:u w:val="single"/>
                    </w:rPr>
                    <w:t>/a</w:t>
                  </w:r>
                </w:p>
              </w:tc>
              <w:tc>
                <w:tcPr>
                  <w:tcW w:w="314" w:type="pct"/>
                  <w:vAlign w:val="center"/>
                </w:tcPr>
                <w:p w14:paraId="578FFC4E">
                  <w:pPr>
                    <w:jc w:val="center"/>
                    <w:rPr>
                      <w:rFonts w:hint="default" w:ascii="Times New Roman" w:hAnsi="Times New Roman" w:cs="Times New Roman"/>
                      <w:color w:val="auto"/>
                      <w:sz w:val="21"/>
                      <w:szCs w:val="21"/>
                      <w:highlight w:val="none"/>
                      <w:u w:val="single"/>
                    </w:rPr>
                  </w:pPr>
                  <w:r>
                    <w:rPr>
                      <w:rFonts w:hint="default" w:ascii="Times New Roman" w:hAnsi="Times New Roman" w:cs="Times New Roman"/>
                      <w:color w:val="auto"/>
                      <w:sz w:val="21"/>
                      <w:szCs w:val="21"/>
                      <w:highlight w:val="none"/>
                      <w:u w:val="single"/>
                    </w:rPr>
                    <w:t>pH</w:t>
                  </w:r>
                </w:p>
              </w:tc>
              <w:tc>
                <w:tcPr>
                  <w:tcW w:w="495" w:type="pct"/>
                  <w:vAlign w:val="center"/>
                </w:tcPr>
                <w:p w14:paraId="49CF302D">
                  <w:pPr>
                    <w:pStyle w:val="115"/>
                    <w:adjustRightInd/>
                    <w:snapToGrid/>
                    <w:spacing w:beforeLines="0" w:line="240" w:lineRule="auto"/>
                    <w:jc w:val="center"/>
                    <w:rPr>
                      <w:rFonts w:hint="default" w:ascii="Times New Roman" w:hAnsi="Times New Roman" w:eastAsia="宋体" w:cs="Times New Roman"/>
                      <w:color w:val="auto"/>
                      <w:sz w:val="21"/>
                      <w:szCs w:val="21"/>
                      <w:highlight w:val="none"/>
                      <w:u w:val="single"/>
                      <w:lang w:val="en-US" w:eastAsia="zh-CN"/>
                    </w:rPr>
                  </w:pPr>
                  <w:r>
                    <w:rPr>
                      <w:rFonts w:hint="eastAsia" w:ascii="Times New Roman" w:hAnsi="Times New Roman" w:cs="Times New Roman"/>
                      <w:color w:val="auto"/>
                      <w:sz w:val="21"/>
                      <w:szCs w:val="21"/>
                      <w:highlight w:val="none"/>
                      <w:u w:val="single"/>
                      <w:lang w:val="en-US" w:eastAsia="zh-CN"/>
                    </w:rPr>
                    <w:t>6-9</w:t>
                  </w:r>
                </w:p>
              </w:tc>
              <w:tc>
                <w:tcPr>
                  <w:tcW w:w="505" w:type="pct"/>
                  <w:vAlign w:val="center"/>
                </w:tcPr>
                <w:p w14:paraId="2C780125">
                  <w:pPr>
                    <w:jc w:val="center"/>
                    <w:rPr>
                      <w:rFonts w:hint="eastAsia" w:ascii="Times New Roman" w:hAnsi="Times New Roman" w:eastAsia="等线" w:cs="Times New Roman"/>
                      <w:color w:val="auto"/>
                      <w:sz w:val="21"/>
                      <w:szCs w:val="21"/>
                      <w:highlight w:val="none"/>
                      <w:u w:val="single"/>
                      <w:lang w:val="en-US" w:eastAsia="zh-CN"/>
                    </w:rPr>
                  </w:pPr>
                  <w:r>
                    <w:rPr>
                      <w:rFonts w:hint="eastAsia" w:eastAsia="等线" w:cs="Times New Roman"/>
                      <w:color w:val="auto"/>
                      <w:sz w:val="21"/>
                      <w:szCs w:val="21"/>
                      <w:highlight w:val="none"/>
                      <w:u w:val="single"/>
                      <w:lang w:val="en-US" w:eastAsia="zh-CN"/>
                    </w:rPr>
                    <w:t>/</w:t>
                  </w:r>
                </w:p>
              </w:tc>
              <w:tc>
                <w:tcPr>
                  <w:tcW w:w="359" w:type="pct"/>
                  <w:vMerge w:val="continue"/>
                  <w:vAlign w:val="center"/>
                </w:tcPr>
                <w:p w14:paraId="12D0B745">
                  <w:pPr>
                    <w:jc w:val="center"/>
                    <w:rPr>
                      <w:rFonts w:hint="default" w:ascii="Times New Roman" w:hAnsi="Times New Roman" w:cs="Times New Roman"/>
                      <w:sz w:val="21"/>
                      <w:szCs w:val="21"/>
                      <w:highlight w:val="yellow"/>
                      <w:u w:val="single"/>
                    </w:rPr>
                  </w:pPr>
                </w:p>
              </w:tc>
              <w:tc>
                <w:tcPr>
                  <w:tcW w:w="565" w:type="pct"/>
                  <w:vAlign w:val="center"/>
                </w:tcPr>
                <w:p w14:paraId="6C1388D6">
                  <w:pPr>
                    <w:pStyle w:val="115"/>
                    <w:adjustRightInd/>
                    <w:snapToGrid/>
                    <w:spacing w:beforeLines="0" w:line="240" w:lineRule="auto"/>
                    <w:jc w:val="center"/>
                    <w:rPr>
                      <w:rFonts w:hint="default" w:ascii="Times New Roman" w:hAnsi="Times New Roman" w:eastAsia="等线" w:cs="Times New Roman"/>
                      <w:sz w:val="21"/>
                      <w:szCs w:val="21"/>
                      <w:highlight w:val="yellow"/>
                      <w:u w:val="single"/>
                    </w:rPr>
                  </w:pPr>
                  <w:r>
                    <w:rPr>
                      <w:rFonts w:hint="default" w:ascii="Times New Roman" w:hAnsi="Times New Roman" w:cs="Times New Roman"/>
                      <w:sz w:val="21"/>
                      <w:szCs w:val="21"/>
                      <w:highlight w:val="none"/>
                      <w:u w:val="single"/>
                      <w:lang w:val="en-US" w:eastAsia="zh-CN"/>
                    </w:rPr>
                    <w:t>6-9</w:t>
                  </w:r>
                </w:p>
              </w:tc>
              <w:tc>
                <w:tcPr>
                  <w:tcW w:w="440" w:type="pct"/>
                  <w:vAlign w:val="center"/>
                </w:tcPr>
                <w:p w14:paraId="4475717A">
                  <w:pPr>
                    <w:jc w:val="center"/>
                    <w:rPr>
                      <w:rFonts w:hint="eastAsia"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427" w:type="pct"/>
                  <w:vAlign w:val="center"/>
                </w:tcPr>
                <w:p w14:paraId="688F3959">
                  <w:pPr>
                    <w:jc w:val="center"/>
                    <w:rPr>
                      <w:rFonts w:hint="default"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6-9</w:t>
                  </w:r>
                </w:p>
              </w:tc>
              <w:tc>
                <w:tcPr>
                  <w:tcW w:w="716" w:type="pct"/>
                  <w:vMerge w:val="continue"/>
                  <w:vAlign w:val="center"/>
                </w:tcPr>
                <w:p w14:paraId="6082E2D0">
                  <w:pPr>
                    <w:jc w:val="center"/>
                    <w:rPr>
                      <w:rFonts w:hint="eastAsia" w:eastAsia="等线" w:cs="Times New Roman"/>
                      <w:sz w:val="21"/>
                      <w:szCs w:val="21"/>
                      <w:highlight w:val="none"/>
                      <w:u w:val="single"/>
                      <w:lang w:val="en-US" w:eastAsia="zh-CN"/>
                    </w:rPr>
                  </w:pPr>
                </w:p>
              </w:tc>
              <w:tc>
                <w:tcPr>
                  <w:tcW w:w="358" w:type="pct"/>
                  <w:vAlign w:val="center"/>
                </w:tcPr>
                <w:p w14:paraId="307A7BB5">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6AF37192">
                  <w:pPr>
                    <w:jc w:val="center"/>
                    <w:rPr>
                      <w:rFonts w:hint="eastAsia" w:eastAsia="等线" w:cs="Times New Roman"/>
                      <w:sz w:val="21"/>
                      <w:szCs w:val="21"/>
                      <w:highlight w:val="none"/>
                      <w:u w:val="single"/>
                      <w:lang w:val="en-US" w:eastAsia="zh-CN"/>
                    </w:rPr>
                  </w:pPr>
                </w:p>
              </w:tc>
            </w:tr>
            <w:tr w14:paraId="606F10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36111A32">
                  <w:pPr>
                    <w:jc w:val="center"/>
                    <w:rPr>
                      <w:rFonts w:hint="default" w:ascii="Times New Roman" w:hAnsi="Times New Roman" w:cs="Times New Roman"/>
                      <w:color w:val="FF0000"/>
                      <w:sz w:val="21"/>
                      <w:szCs w:val="21"/>
                      <w:highlight w:val="none"/>
                      <w:u w:val="single"/>
                    </w:rPr>
                  </w:pPr>
                </w:p>
              </w:tc>
              <w:tc>
                <w:tcPr>
                  <w:tcW w:w="314" w:type="pct"/>
                  <w:vAlign w:val="center"/>
                </w:tcPr>
                <w:p w14:paraId="4926CAFA">
                  <w:pPr>
                    <w:jc w:val="center"/>
                    <w:rPr>
                      <w:rFonts w:hint="default" w:ascii="Times New Roman" w:hAnsi="Times New Roman" w:cs="Times New Roman"/>
                      <w:color w:val="FF0000"/>
                      <w:sz w:val="21"/>
                      <w:szCs w:val="21"/>
                      <w:highlight w:val="none"/>
                      <w:u w:val="single"/>
                    </w:rPr>
                  </w:pPr>
                  <w:r>
                    <w:rPr>
                      <w:rFonts w:hint="default" w:ascii="Times New Roman" w:hAnsi="Times New Roman" w:cs="Times New Roman"/>
                      <w:color w:val="000000"/>
                      <w:sz w:val="21"/>
                      <w:szCs w:val="21"/>
                      <w:highlight w:val="none"/>
                      <w:u w:val="single"/>
                    </w:rPr>
                    <w:t>COD</w:t>
                  </w:r>
                </w:p>
              </w:tc>
              <w:tc>
                <w:tcPr>
                  <w:tcW w:w="495" w:type="pct"/>
                  <w:vAlign w:val="center"/>
                </w:tcPr>
                <w:p w14:paraId="7045B85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u w:val="single"/>
                      <w:lang w:val="en-US" w:eastAsia="zh-CN"/>
                    </w:rPr>
                  </w:pPr>
                  <w:r>
                    <w:rPr>
                      <w:rFonts w:hint="eastAsia" w:cs="Times New Roman"/>
                      <w:color w:val="auto"/>
                      <w:sz w:val="21"/>
                      <w:szCs w:val="21"/>
                      <w:highlight w:val="none"/>
                      <w:u w:val="single"/>
                      <w:lang w:val="en-US" w:eastAsia="zh-CN"/>
                    </w:rPr>
                    <w:t>300</w:t>
                  </w:r>
                </w:p>
              </w:tc>
              <w:tc>
                <w:tcPr>
                  <w:tcW w:w="505" w:type="pct"/>
                  <w:vAlign w:val="center"/>
                </w:tcPr>
                <w:p w14:paraId="3DBE453D">
                  <w:pPr>
                    <w:keepNext w:val="0"/>
                    <w:keepLines w:val="0"/>
                    <w:widowControl/>
                    <w:suppressLineNumbers w:val="0"/>
                    <w:jc w:val="center"/>
                    <w:textAlignment w:val="center"/>
                    <w:rPr>
                      <w:rFonts w:hint="default" w:ascii="Times New Roman" w:hAnsi="Times New Roman" w:eastAsia="等线" w:cs="Times New Roman"/>
                      <w:color w:val="FF0000"/>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0.821 </w:t>
                  </w:r>
                </w:p>
              </w:tc>
              <w:tc>
                <w:tcPr>
                  <w:tcW w:w="359" w:type="pct"/>
                  <w:vMerge w:val="continue"/>
                  <w:vAlign w:val="center"/>
                </w:tcPr>
                <w:p w14:paraId="47730868">
                  <w:pPr>
                    <w:jc w:val="center"/>
                    <w:rPr>
                      <w:rFonts w:hint="default" w:ascii="Times New Roman" w:hAnsi="Times New Roman" w:cs="Times New Roman"/>
                      <w:sz w:val="21"/>
                      <w:szCs w:val="21"/>
                      <w:highlight w:val="yellow"/>
                      <w:u w:val="single"/>
                    </w:rPr>
                  </w:pPr>
                </w:p>
              </w:tc>
              <w:tc>
                <w:tcPr>
                  <w:tcW w:w="565" w:type="pct"/>
                  <w:vAlign w:val="center"/>
                </w:tcPr>
                <w:p w14:paraId="2316500E">
                  <w:pPr>
                    <w:keepNext w:val="0"/>
                    <w:keepLines w:val="0"/>
                    <w:widowControl/>
                    <w:suppressLineNumbers w:val="0"/>
                    <w:jc w:val="center"/>
                    <w:textAlignment w:val="center"/>
                    <w:rPr>
                      <w:rFonts w:hint="default" w:ascii="Times New Roman" w:hAnsi="Times New Roman" w:eastAsia="等线" w:cs="Times New Roman"/>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400</w:t>
                  </w:r>
                </w:p>
              </w:tc>
              <w:tc>
                <w:tcPr>
                  <w:tcW w:w="440" w:type="pct"/>
                  <w:vAlign w:val="center"/>
                </w:tcPr>
                <w:p w14:paraId="2A09ED7F">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1.094 </w:t>
                  </w:r>
                </w:p>
              </w:tc>
              <w:tc>
                <w:tcPr>
                  <w:tcW w:w="427" w:type="pct"/>
                  <w:vAlign w:val="center"/>
                </w:tcPr>
                <w:p w14:paraId="59E8F4C1">
                  <w:pPr>
                    <w:jc w:val="center"/>
                    <w:rPr>
                      <w:rFonts w:hint="default" w:ascii="Times New Roman" w:hAnsi="Times New Roman" w:eastAsia="等线" w:cs="Times New Roman"/>
                      <w:sz w:val="21"/>
                      <w:szCs w:val="21"/>
                      <w:highlight w:val="none"/>
                      <w:u w:val="single"/>
                    </w:rPr>
                  </w:pPr>
                  <w:r>
                    <w:rPr>
                      <w:rFonts w:hint="eastAsia" w:cs="Times New Roman"/>
                      <w:sz w:val="21"/>
                      <w:szCs w:val="21"/>
                      <w:highlight w:val="none"/>
                      <w:u w:val="single"/>
                      <w:lang w:val="en-US" w:eastAsia="zh-CN"/>
                    </w:rPr>
                    <w:t>4</w:t>
                  </w:r>
                  <w:r>
                    <w:rPr>
                      <w:rFonts w:hint="eastAsia" w:ascii="Times New Roman" w:hAnsi="Times New Roman" w:cs="Times New Roman"/>
                      <w:sz w:val="21"/>
                      <w:szCs w:val="21"/>
                      <w:highlight w:val="none"/>
                      <w:u w:val="single"/>
                      <w:lang w:val="en-US" w:eastAsia="zh-CN"/>
                    </w:rPr>
                    <w:t>00</w:t>
                  </w:r>
                  <w:r>
                    <w:rPr>
                      <w:rFonts w:hint="eastAsia"/>
                      <w:bCs/>
                      <w:sz w:val="21"/>
                      <w:szCs w:val="21"/>
                      <w:highlight w:val="none"/>
                      <w:u w:val="single"/>
                    </w:rPr>
                    <w:t>mg/L</w:t>
                  </w:r>
                </w:p>
              </w:tc>
              <w:tc>
                <w:tcPr>
                  <w:tcW w:w="716" w:type="pct"/>
                  <w:vMerge w:val="continue"/>
                  <w:vAlign w:val="center"/>
                </w:tcPr>
                <w:p w14:paraId="2D1E321B">
                  <w:pPr>
                    <w:jc w:val="center"/>
                    <w:rPr>
                      <w:rFonts w:hint="eastAsia" w:cs="Times New Roman"/>
                      <w:sz w:val="21"/>
                      <w:szCs w:val="21"/>
                      <w:highlight w:val="none"/>
                      <w:u w:val="single"/>
                      <w:lang w:val="en-US" w:eastAsia="zh-CN"/>
                    </w:rPr>
                  </w:pPr>
                </w:p>
              </w:tc>
              <w:tc>
                <w:tcPr>
                  <w:tcW w:w="358" w:type="pct"/>
                  <w:vAlign w:val="center"/>
                </w:tcPr>
                <w:p w14:paraId="5E15A0BE">
                  <w:pPr>
                    <w:jc w:val="center"/>
                    <w:rPr>
                      <w:rFonts w:hint="eastAsia" w:cs="Times New Roman"/>
                      <w:sz w:val="21"/>
                      <w:szCs w:val="21"/>
                      <w:highlight w:val="none"/>
                      <w:u w:val="single"/>
                      <w:lang w:val="en-US" w:eastAsia="zh-CN"/>
                    </w:rPr>
                  </w:pPr>
                  <w:r>
                    <w:rPr>
                      <w:rFonts w:hint="eastAsia" w:eastAsia="等线" w:cs="Times New Roman"/>
                      <w:sz w:val="21"/>
                      <w:szCs w:val="21"/>
                      <w:highlight w:val="none"/>
                      <w:u w:val="single"/>
                      <w:lang w:val="en-US" w:eastAsia="zh-CN"/>
                    </w:rPr>
                    <w:t>50</w:t>
                  </w:r>
                </w:p>
              </w:tc>
              <w:tc>
                <w:tcPr>
                  <w:tcW w:w="358" w:type="pct"/>
                  <w:vAlign w:val="center"/>
                </w:tcPr>
                <w:p w14:paraId="6D32AC1D">
                  <w:pPr>
                    <w:keepNext w:val="0"/>
                    <w:keepLines w:val="0"/>
                    <w:widowControl/>
                    <w:suppressLineNumbers w:val="0"/>
                    <w:jc w:val="center"/>
                    <w:textAlignment w:val="center"/>
                    <w:rPr>
                      <w:rFonts w:hint="eastAsia"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0.137 </w:t>
                  </w:r>
                </w:p>
              </w:tc>
            </w:tr>
            <w:tr w14:paraId="3C78AC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50BDD83D">
                  <w:pPr>
                    <w:jc w:val="center"/>
                    <w:rPr>
                      <w:rFonts w:hint="default" w:ascii="Times New Roman" w:hAnsi="Times New Roman" w:cs="Times New Roman"/>
                      <w:color w:val="FF0000"/>
                      <w:sz w:val="21"/>
                      <w:szCs w:val="21"/>
                      <w:highlight w:val="none"/>
                      <w:u w:val="single"/>
                    </w:rPr>
                  </w:pPr>
                </w:p>
              </w:tc>
              <w:tc>
                <w:tcPr>
                  <w:tcW w:w="314" w:type="pct"/>
                  <w:vAlign w:val="center"/>
                </w:tcPr>
                <w:p w14:paraId="1E1D71A8">
                  <w:pPr>
                    <w:jc w:val="center"/>
                    <w:rPr>
                      <w:rFonts w:hint="default" w:ascii="Times New Roman" w:hAnsi="Times New Roman" w:cs="Times New Roman"/>
                      <w:color w:val="FF0000"/>
                      <w:sz w:val="21"/>
                      <w:szCs w:val="21"/>
                      <w:highlight w:val="none"/>
                      <w:u w:val="single"/>
                    </w:rPr>
                  </w:pPr>
                  <w:r>
                    <w:rPr>
                      <w:rFonts w:hint="default" w:ascii="Times New Roman" w:hAnsi="Times New Roman" w:cs="Times New Roman"/>
                      <w:color w:val="000000"/>
                      <w:sz w:val="21"/>
                      <w:szCs w:val="21"/>
                      <w:highlight w:val="none"/>
                      <w:u w:val="single"/>
                    </w:rPr>
                    <w:t>BOD</w:t>
                  </w:r>
                </w:p>
              </w:tc>
              <w:tc>
                <w:tcPr>
                  <w:tcW w:w="495" w:type="pct"/>
                  <w:vAlign w:val="center"/>
                </w:tcPr>
                <w:p w14:paraId="6A9DF72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u w:val="single"/>
                      <w:lang w:val="en-US" w:eastAsia="zh-CN"/>
                    </w:rPr>
                  </w:pPr>
                  <w:r>
                    <w:rPr>
                      <w:rFonts w:hint="eastAsia" w:cs="Times New Roman"/>
                      <w:color w:val="auto"/>
                      <w:sz w:val="21"/>
                      <w:szCs w:val="21"/>
                      <w:highlight w:val="none"/>
                      <w:u w:val="single"/>
                      <w:lang w:val="en-US" w:eastAsia="zh-CN"/>
                    </w:rPr>
                    <w:t>140</w:t>
                  </w:r>
                </w:p>
              </w:tc>
              <w:tc>
                <w:tcPr>
                  <w:tcW w:w="505" w:type="pct"/>
                  <w:vAlign w:val="center"/>
                </w:tcPr>
                <w:p w14:paraId="49203537">
                  <w:pPr>
                    <w:keepNext w:val="0"/>
                    <w:keepLines w:val="0"/>
                    <w:widowControl/>
                    <w:suppressLineNumbers w:val="0"/>
                    <w:jc w:val="center"/>
                    <w:textAlignment w:val="center"/>
                    <w:rPr>
                      <w:rFonts w:hint="default" w:ascii="Times New Roman" w:hAnsi="Times New Roman" w:eastAsia="等线" w:cs="Times New Roman"/>
                      <w:color w:val="FF0000"/>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0.383 </w:t>
                  </w:r>
                </w:p>
              </w:tc>
              <w:tc>
                <w:tcPr>
                  <w:tcW w:w="359" w:type="pct"/>
                  <w:vMerge w:val="continue"/>
                  <w:vAlign w:val="center"/>
                </w:tcPr>
                <w:p w14:paraId="73A65DD6">
                  <w:pPr>
                    <w:jc w:val="center"/>
                    <w:rPr>
                      <w:rFonts w:hint="default" w:ascii="Times New Roman" w:hAnsi="Times New Roman" w:cs="Times New Roman"/>
                      <w:sz w:val="21"/>
                      <w:szCs w:val="21"/>
                      <w:highlight w:val="yellow"/>
                      <w:u w:val="single"/>
                    </w:rPr>
                  </w:pPr>
                </w:p>
              </w:tc>
              <w:tc>
                <w:tcPr>
                  <w:tcW w:w="565" w:type="pct"/>
                  <w:vAlign w:val="center"/>
                </w:tcPr>
                <w:p w14:paraId="506AD94C">
                  <w:pPr>
                    <w:keepNext w:val="0"/>
                    <w:keepLines w:val="0"/>
                    <w:widowControl/>
                    <w:suppressLineNumbers w:val="0"/>
                    <w:jc w:val="center"/>
                    <w:textAlignment w:val="center"/>
                    <w:rPr>
                      <w:rFonts w:hint="default" w:ascii="Times New Roman" w:hAnsi="Times New Roman" w:eastAsia="等线" w:cs="Times New Roman"/>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200</w:t>
                  </w:r>
                </w:p>
              </w:tc>
              <w:tc>
                <w:tcPr>
                  <w:tcW w:w="440" w:type="pct"/>
                  <w:vAlign w:val="center"/>
                </w:tcPr>
                <w:p w14:paraId="2E1F0A82">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0.547 </w:t>
                  </w:r>
                </w:p>
              </w:tc>
              <w:tc>
                <w:tcPr>
                  <w:tcW w:w="427" w:type="pct"/>
                  <w:vAlign w:val="center"/>
                </w:tcPr>
                <w:p w14:paraId="77E2E528">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20</w:t>
                  </w:r>
                  <w:r>
                    <w:rPr>
                      <w:rFonts w:hint="default" w:ascii="Times New Roman" w:hAnsi="Times New Roman" w:eastAsia="等线" w:cs="Times New Roman"/>
                      <w:sz w:val="21"/>
                      <w:szCs w:val="21"/>
                      <w:highlight w:val="none"/>
                      <w:u w:val="single"/>
                      <w:lang w:val="en-US" w:eastAsia="zh-CN"/>
                    </w:rPr>
                    <w:t>0</w:t>
                  </w:r>
                  <w:r>
                    <w:rPr>
                      <w:rFonts w:hint="eastAsia"/>
                      <w:bCs/>
                      <w:sz w:val="21"/>
                      <w:szCs w:val="21"/>
                      <w:highlight w:val="none"/>
                      <w:u w:val="single"/>
                    </w:rPr>
                    <w:t>mg/L</w:t>
                  </w:r>
                </w:p>
              </w:tc>
              <w:tc>
                <w:tcPr>
                  <w:tcW w:w="716" w:type="pct"/>
                  <w:vMerge w:val="continue"/>
                  <w:vAlign w:val="center"/>
                </w:tcPr>
                <w:p w14:paraId="1512F998">
                  <w:pPr>
                    <w:jc w:val="center"/>
                    <w:rPr>
                      <w:rFonts w:hint="eastAsia" w:eastAsia="等线" w:cs="Times New Roman"/>
                      <w:sz w:val="21"/>
                      <w:szCs w:val="21"/>
                      <w:highlight w:val="none"/>
                      <w:u w:val="single"/>
                      <w:lang w:val="en-US" w:eastAsia="zh-CN"/>
                    </w:rPr>
                  </w:pPr>
                </w:p>
              </w:tc>
              <w:tc>
                <w:tcPr>
                  <w:tcW w:w="358" w:type="pct"/>
                  <w:vAlign w:val="center"/>
                </w:tcPr>
                <w:p w14:paraId="74E154C1">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74210541">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0.027 </w:t>
                  </w:r>
                </w:p>
              </w:tc>
            </w:tr>
            <w:tr w14:paraId="0F4A8A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3E623A6E">
                  <w:pPr>
                    <w:jc w:val="center"/>
                    <w:rPr>
                      <w:rFonts w:hint="default" w:ascii="Times New Roman" w:hAnsi="Times New Roman" w:cs="Times New Roman"/>
                      <w:color w:val="FF0000"/>
                      <w:sz w:val="21"/>
                      <w:szCs w:val="21"/>
                      <w:highlight w:val="none"/>
                      <w:u w:val="single"/>
                    </w:rPr>
                  </w:pPr>
                </w:p>
              </w:tc>
              <w:tc>
                <w:tcPr>
                  <w:tcW w:w="314" w:type="pct"/>
                  <w:vAlign w:val="center"/>
                </w:tcPr>
                <w:p w14:paraId="59685657">
                  <w:pPr>
                    <w:jc w:val="center"/>
                    <w:rPr>
                      <w:rFonts w:hint="default" w:ascii="Times New Roman" w:hAnsi="Times New Roman" w:cs="Times New Roman"/>
                      <w:color w:val="FF0000"/>
                      <w:sz w:val="21"/>
                      <w:szCs w:val="21"/>
                      <w:highlight w:val="none"/>
                      <w:u w:val="single"/>
                    </w:rPr>
                  </w:pPr>
                  <w:r>
                    <w:rPr>
                      <w:rStyle w:val="203"/>
                      <w:rFonts w:hint="default" w:ascii="Times New Roman" w:hAnsi="Times New Roman" w:cs="Times New Roman"/>
                      <w:sz w:val="21"/>
                      <w:szCs w:val="21"/>
                      <w:highlight w:val="none"/>
                      <w:u w:val="single"/>
                      <w:vertAlign w:val="baseline"/>
                    </w:rPr>
                    <w:t>氨氮</w:t>
                  </w:r>
                </w:p>
              </w:tc>
              <w:tc>
                <w:tcPr>
                  <w:tcW w:w="495" w:type="pct"/>
                  <w:vAlign w:val="center"/>
                </w:tcPr>
                <w:p w14:paraId="12C5334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u w:val="single"/>
                      <w:lang w:val="en-US" w:eastAsia="zh-CN"/>
                    </w:rPr>
                  </w:pPr>
                  <w:r>
                    <w:rPr>
                      <w:rFonts w:hint="eastAsia" w:cs="Times New Roman"/>
                      <w:color w:val="auto"/>
                      <w:sz w:val="21"/>
                      <w:szCs w:val="21"/>
                      <w:highlight w:val="none"/>
                      <w:u w:val="single"/>
                      <w:lang w:val="en-US" w:eastAsia="zh-CN"/>
                    </w:rPr>
                    <w:t>30</w:t>
                  </w:r>
                </w:p>
              </w:tc>
              <w:tc>
                <w:tcPr>
                  <w:tcW w:w="505" w:type="pct"/>
                  <w:vAlign w:val="center"/>
                </w:tcPr>
                <w:p w14:paraId="324D054F">
                  <w:pPr>
                    <w:keepNext w:val="0"/>
                    <w:keepLines w:val="0"/>
                    <w:widowControl/>
                    <w:suppressLineNumbers w:val="0"/>
                    <w:jc w:val="center"/>
                    <w:textAlignment w:val="center"/>
                    <w:rPr>
                      <w:rFonts w:hint="default" w:ascii="Times New Roman" w:hAnsi="Times New Roman" w:eastAsia="等线" w:cs="Times New Roman"/>
                      <w:color w:val="FF0000"/>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0.082 </w:t>
                  </w:r>
                </w:p>
              </w:tc>
              <w:tc>
                <w:tcPr>
                  <w:tcW w:w="359" w:type="pct"/>
                  <w:vMerge w:val="continue"/>
                  <w:vAlign w:val="center"/>
                </w:tcPr>
                <w:p w14:paraId="4FD16B5C">
                  <w:pPr>
                    <w:jc w:val="center"/>
                    <w:rPr>
                      <w:rFonts w:hint="default" w:ascii="Times New Roman" w:hAnsi="Times New Roman" w:cs="Times New Roman"/>
                      <w:sz w:val="21"/>
                      <w:szCs w:val="21"/>
                      <w:highlight w:val="yellow"/>
                      <w:u w:val="single"/>
                    </w:rPr>
                  </w:pPr>
                </w:p>
              </w:tc>
              <w:tc>
                <w:tcPr>
                  <w:tcW w:w="565" w:type="pct"/>
                  <w:vAlign w:val="center"/>
                </w:tcPr>
                <w:p w14:paraId="30108316">
                  <w:pPr>
                    <w:keepNext w:val="0"/>
                    <w:keepLines w:val="0"/>
                    <w:widowControl/>
                    <w:suppressLineNumbers w:val="0"/>
                    <w:jc w:val="center"/>
                    <w:textAlignment w:val="center"/>
                    <w:rPr>
                      <w:rFonts w:hint="default" w:ascii="Times New Roman" w:hAnsi="Times New Roman" w:eastAsia="等线" w:cs="Times New Roman"/>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35</w:t>
                  </w:r>
                </w:p>
              </w:tc>
              <w:tc>
                <w:tcPr>
                  <w:tcW w:w="440" w:type="pct"/>
                  <w:vAlign w:val="center"/>
                </w:tcPr>
                <w:p w14:paraId="0481B498">
                  <w:pPr>
                    <w:keepNext w:val="0"/>
                    <w:keepLines w:val="0"/>
                    <w:widowControl/>
                    <w:suppressLineNumbers w:val="0"/>
                    <w:jc w:val="center"/>
                    <w:textAlignment w:val="center"/>
                    <w:rPr>
                      <w:rFonts w:hint="eastAsia"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0.096 </w:t>
                  </w:r>
                </w:p>
              </w:tc>
              <w:tc>
                <w:tcPr>
                  <w:tcW w:w="427" w:type="pct"/>
                  <w:vAlign w:val="center"/>
                </w:tcPr>
                <w:p w14:paraId="7EF9D746">
                  <w:pPr>
                    <w:jc w:val="center"/>
                    <w:rPr>
                      <w:rFonts w:hint="eastAsia" w:ascii="Times New Roman" w:hAnsi="Times New Roman"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35</w:t>
                  </w:r>
                  <w:r>
                    <w:rPr>
                      <w:rFonts w:hint="eastAsia"/>
                      <w:bCs/>
                      <w:sz w:val="21"/>
                      <w:szCs w:val="21"/>
                      <w:highlight w:val="none"/>
                      <w:u w:val="single"/>
                    </w:rPr>
                    <w:t>mg/L</w:t>
                  </w:r>
                </w:p>
              </w:tc>
              <w:tc>
                <w:tcPr>
                  <w:tcW w:w="716" w:type="pct"/>
                  <w:vMerge w:val="continue"/>
                  <w:vAlign w:val="center"/>
                </w:tcPr>
                <w:p w14:paraId="73F4D08C">
                  <w:pPr>
                    <w:jc w:val="center"/>
                    <w:rPr>
                      <w:rFonts w:hint="eastAsia" w:eastAsia="等线" w:cs="Times New Roman"/>
                      <w:sz w:val="21"/>
                      <w:szCs w:val="21"/>
                      <w:highlight w:val="none"/>
                      <w:u w:val="single"/>
                      <w:lang w:val="en-US" w:eastAsia="zh-CN"/>
                    </w:rPr>
                  </w:pPr>
                </w:p>
              </w:tc>
              <w:tc>
                <w:tcPr>
                  <w:tcW w:w="358" w:type="pct"/>
                  <w:vAlign w:val="center"/>
                </w:tcPr>
                <w:p w14:paraId="3F42FC0F">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w:t>
                  </w:r>
                </w:p>
              </w:tc>
              <w:tc>
                <w:tcPr>
                  <w:tcW w:w="358" w:type="pct"/>
                  <w:vAlign w:val="center"/>
                </w:tcPr>
                <w:p w14:paraId="239B8629">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0.014 </w:t>
                  </w:r>
                </w:p>
              </w:tc>
            </w:tr>
            <w:tr w14:paraId="257585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7D00DD87">
                  <w:pPr>
                    <w:jc w:val="center"/>
                    <w:rPr>
                      <w:rFonts w:hint="default" w:ascii="Times New Roman" w:hAnsi="Times New Roman" w:cs="Times New Roman"/>
                      <w:color w:val="FF0000"/>
                      <w:sz w:val="21"/>
                      <w:szCs w:val="21"/>
                      <w:highlight w:val="none"/>
                      <w:u w:val="single"/>
                    </w:rPr>
                  </w:pPr>
                </w:p>
              </w:tc>
              <w:tc>
                <w:tcPr>
                  <w:tcW w:w="314" w:type="pct"/>
                  <w:vAlign w:val="center"/>
                </w:tcPr>
                <w:p w14:paraId="253F80E0">
                  <w:pPr>
                    <w:jc w:val="center"/>
                    <w:rPr>
                      <w:rFonts w:hint="default" w:ascii="Times New Roman" w:hAnsi="Times New Roman" w:cs="Times New Roman"/>
                      <w:color w:val="FF0000"/>
                      <w:sz w:val="21"/>
                      <w:szCs w:val="21"/>
                      <w:highlight w:val="none"/>
                      <w:u w:val="single"/>
                    </w:rPr>
                  </w:pPr>
                  <w:r>
                    <w:rPr>
                      <w:rStyle w:val="203"/>
                      <w:rFonts w:hint="default" w:ascii="Times New Roman" w:hAnsi="Times New Roman" w:cs="Times New Roman"/>
                      <w:sz w:val="21"/>
                      <w:szCs w:val="21"/>
                      <w:highlight w:val="none"/>
                      <w:u w:val="single"/>
                      <w:vertAlign w:val="baseline"/>
                    </w:rPr>
                    <w:t>悬浮物</w:t>
                  </w:r>
                </w:p>
              </w:tc>
              <w:tc>
                <w:tcPr>
                  <w:tcW w:w="495" w:type="pct"/>
                  <w:vAlign w:val="center"/>
                </w:tcPr>
                <w:p w14:paraId="103FDC8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u w:val="single"/>
                      <w:lang w:val="en-US" w:eastAsia="zh-CN"/>
                    </w:rPr>
                  </w:pPr>
                  <w:r>
                    <w:rPr>
                      <w:rFonts w:hint="eastAsia" w:cs="Times New Roman"/>
                      <w:color w:val="auto"/>
                      <w:sz w:val="21"/>
                      <w:szCs w:val="21"/>
                      <w:highlight w:val="none"/>
                      <w:u w:val="single"/>
                      <w:lang w:val="en-US" w:eastAsia="zh-CN"/>
                    </w:rPr>
                    <w:t>160</w:t>
                  </w:r>
                </w:p>
              </w:tc>
              <w:tc>
                <w:tcPr>
                  <w:tcW w:w="505" w:type="pct"/>
                  <w:vAlign w:val="center"/>
                </w:tcPr>
                <w:p w14:paraId="7CFC07FF">
                  <w:pPr>
                    <w:keepNext w:val="0"/>
                    <w:keepLines w:val="0"/>
                    <w:widowControl/>
                    <w:suppressLineNumbers w:val="0"/>
                    <w:jc w:val="center"/>
                    <w:textAlignment w:val="center"/>
                    <w:rPr>
                      <w:rFonts w:hint="default" w:ascii="Times New Roman" w:hAnsi="Times New Roman" w:eastAsia="等线" w:cs="Times New Roman"/>
                      <w:color w:val="FF0000"/>
                      <w:sz w:val="21"/>
                      <w:szCs w:val="21"/>
                      <w:highlight w:val="none"/>
                      <w:u w:val="single"/>
                    </w:rPr>
                  </w:pPr>
                  <w:r>
                    <w:rPr>
                      <w:rFonts w:hint="default" w:ascii="Times New Roman" w:hAnsi="Times New Roman" w:eastAsia="宋体" w:cs="Times New Roman"/>
                      <w:i w:val="0"/>
                      <w:iCs w:val="0"/>
                      <w:color w:val="000000"/>
                      <w:kern w:val="0"/>
                      <w:sz w:val="21"/>
                      <w:szCs w:val="21"/>
                      <w:u w:val="single"/>
                      <w:lang w:val="en-US" w:eastAsia="zh-CN" w:bidi="ar"/>
                    </w:rPr>
                    <w:t xml:space="preserve">0.438 </w:t>
                  </w:r>
                </w:p>
              </w:tc>
              <w:tc>
                <w:tcPr>
                  <w:tcW w:w="359" w:type="pct"/>
                  <w:vMerge w:val="continue"/>
                  <w:vAlign w:val="center"/>
                </w:tcPr>
                <w:p w14:paraId="6BCBC37C">
                  <w:pPr>
                    <w:jc w:val="center"/>
                    <w:rPr>
                      <w:rFonts w:hint="default" w:ascii="Times New Roman" w:hAnsi="Times New Roman" w:cs="Times New Roman"/>
                      <w:sz w:val="21"/>
                      <w:szCs w:val="21"/>
                      <w:highlight w:val="yellow"/>
                      <w:u w:val="single"/>
                    </w:rPr>
                  </w:pPr>
                </w:p>
              </w:tc>
              <w:tc>
                <w:tcPr>
                  <w:tcW w:w="565" w:type="pct"/>
                  <w:vAlign w:val="center"/>
                </w:tcPr>
                <w:p w14:paraId="03176403">
                  <w:pPr>
                    <w:keepNext w:val="0"/>
                    <w:keepLines w:val="0"/>
                    <w:widowControl/>
                    <w:suppressLineNumbers w:val="0"/>
                    <w:jc w:val="center"/>
                    <w:textAlignment w:val="center"/>
                    <w:rPr>
                      <w:rFonts w:hint="default" w:ascii="Times New Roman" w:hAnsi="Times New Roman" w:eastAsia="等线" w:cs="Times New Roman"/>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400</w:t>
                  </w:r>
                </w:p>
              </w:tc>
              <w:tc>
                <w:tcPr>
                  <w:tcW w:w="440" w:type="pct"/>
                  <w:shd w:val="clear" w:color="auto" w:fill="auto"/>
                  <w:vAlign w:val="center"/>
                </w:tcPr>
                <w:p w14:paraId="3364733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highlight w:val="none"/>
                      <w:u w:val="single"/>
                      <w:lang w:val="en-US" w:eastAsia="zh-CN" w:bidi="ar-SA"/>
                    </w:rPr>
                  </w:pPr>
                  <w:r>
                    <w:rPr>
                      <w:rFonts w:hint="default" w:ascii="Times New Roman" w:hAnsi="Times New Roman" w:eastAsia="宋体" w:cs="Times New Roman"/>
                      <w:i w:val="0"/>
                      <w:iCs w:val="0"/>
                      <w:color w:val="000000"/>
                      <w:kern w:val="0"/>
                      <w:sz w:val="21"/>
                      <w:szCs w:val="21"/>
                      <w:u w:val="single"/>
                      <w:lang w:val="en-US" w:eastAsia="zh-CN" w:bidi="ar"/>
                    </w:rPr>
                    <w:t xml:space="preserve">1.094 </w:t>
                  </w:r>
                </w:p>
              </w:tc>
              <w:tc>
                <w:tcPr>
                  <w:tcW w:w="427" w:type="pct"/>
                  <w:vAlign w:val="center"/>
                </w:tcPr>
                <w:p w14:paraId="2FA52B06">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400</w:t>
                  </w:r>
                  <w:r>
                    <w:rPr>
                      <w:rFonts w:hint="eastAsia"/>
                      <w:bCs/>
                      <w:sz w:val="21"/>
                      <w:szCs w:val="21"/>
                      <w:highlight w:val="none"/>
                      <w:u w:val="single"/>
                    </w:rPr>
                    <w:t>mg/L</w:t>
                  </w:r>
                </w:p>
              </w:tc>
              <w:tc>
                <w:tcPr>
                  <w:tcW w:w="716" w:type="pct"/>
                  <w:vMerge w:val="continue"/>
                  <w:vAlign w:val="center"/>
                </w:tcPr>
                <w:p w14:paraId="14A355C4">
                  <w:pPr>
                    <w:jc w:val="center"/>
                    <w:rPr>
                      <w:rFonts w:hint="eastAsia" w:eastAsia="等线" w:cs="Times New Roman"/>
                      <w:sz w:val="21"/>
                      <w:szCs w:val="21"/>
                      <w:highlight w:val="none"/>
                      <w:u w:val="single"/>
                      <w:lang w:val="en-US" w:eastAsia="zh-CN"/>
                    </w:rPr>
                  </w:pPr>
                </w:p>
              </w:tc>
              <w:tc>
                <w:tcPr>
                  <w:tcW w:w="358" w:type="pct"/>
                  <w:vAlign w:val="center"/>
                </w:tcPr>
                <w:p w14:paraId="7428718F">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358" w:type="pct"/>
                  <w:vAlign w:val="center"/>
                </w:tcPr>
                <w:p w14:paraId="32885FC2">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0.027 </w:t>
                  </w:r>
                </w:p>
              </w:tc>
            </w:tr>
            <w:tr w14:paraId="3E2BA8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71179ED4">
                  <w:pPr>
                    <w:jc w:val="center"/>
                    <w:rPr>
                      <w:rFonts w:hint="default" w:ascii="Times New Roman" w:hAnsi="Times New Roman" w:cs="Times New Roman"/>
                      <w:color w:val="FF0000"/>
                      <w:sz w:val="21"/>
                      <w:szCs w:val="21"/>
                      <w:highlight w:val="none"/>
                      <w:u w:val="single"/>
                    </w:rPr>
                  </w:pPr>
                </w:p>
              </w:tc>
              <w:tc>
                <w:tcPr>
                  <w:tcW w:w="314" w:type="pct"/>
                  <w:vAlign w:val="center"/>
                </w:tcPr>
                <w:p w14:paraId="773AFC67">
                  <w:pPr>
                    <w:keepNext w:val="0"/>
                    <w:keepLines w:val="0"/>
                    <w:widowControl/>
                    <w:suppressLineNumbers w:val="0"/>
                    <w:jc w:val="center"/>
                    <w:textAlignment w:val="center"/>
                    <w:rPr>
                      <w:rFonts w:hint="default" w:ascii="Times New Roman" w:hAnsi="Times New Roman" w:cs="Times New Roman"/>
                      <w:color w:val="FF0000"/>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总磷</w:t>
                  </w:r>
                </w:p>
              </w:tc>
              <w:tc>
                <w:tcPr>
                  <w:tcW w:w="495" w:type="pct"/>
                  <w:vAlign w:val="center"/>
                </w:tcPr>
                <w:p w14:paraId="6097C1D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u w:val="single"/>
                      <w:lang w:val="en-US" w:eastAsia="zh-CN"/>
                    </w:rPr>
                  </w:pPr>
                  <w:r>
                    <w:rPr>
                      <w:rFonts w:hint="eastAsia" w:cs="Times New Roman"/>
                      <w:color w:val="auto"/>
                      <w:sz w:val="21"/>
                      <w:szCs w:val="21"/>
                      <w:highlight w:val="none"/>
                      <w:u w:val="single"/>
                      <w:lang w:val="en-US" w:eastAsia="zh-CN"/>
                    </w:rPr>
                    <w:t>4</w:t>
                  </w:r>
                </w:p>
              </w:tc>
              <w:tc>
                <w:tcPr>
                  <w:tcW w:w="505" w:type="pct"/>
                  <w:vAlign w:val="center"/>
                </w:tcPr>
                <w:p w14:paraId="61BE5582">
                  <w:pPr>
                    <w:keepNext w:val="0"/>
                    <w:keepLines w:val="0"/>
                    <w:widowControl/>
                    <w:suppressLineNumbers w:val="0"/>
                    <w:jc w:val="center"/>
                    <w:textAlignment w:val="center"/>
                    <w:rPr>
                      <w:rFonts w:hint="default" w:ascii="Times New Roman" w:hAnsi="Times New Roman" w:cs="Times New Roman"/>
                      <w:color w:val="FF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0.011 </w:t>
                  </w:r>
                </w:p>
              </w:tc>
              <w:tc>
                <w:tcPr>
                  <w:tcW w:w="359" w:type="pct"/>
                  <w:vMerge w:val="continue"/>
                  <w:vAlign w:val="center"/>
                </w:tcPr>
                <w:p w14:paraId="0CB934AD">
                  <w:pPr>
                    <w:jc w:val="center"/>
                    <w:rPr>
                      <w:rFonts w:hint="default" w:ascii="Times New Roman" w:hAnsi="Times New Roman" w:cs="Times New Roman"/>
                      <w:sz w:val="21"/>
                      <w:szCs w:val="21"/>
                      <w:highlight w:val="yellow"/>
                      <w:u w:val="single"/>
                    </w:rPr>
                  </w:pPr>
                </w:p>
              </w:tc>
              <w:tc>
                <w:tcPr>
                  <w:tcW w:w="565" w:type="pct"/>
                  <w:vAlign w:val="center"/>
                </w:tcPr>
                <w:p w14:paraId="7AF7F5B2">
                  <w:pPr>
                    <w:keepNext w:val="0"/>
                    <w:keepLines w:val="0"/>
                    <w:widowControl/>
                    <w:suppressLineNumbers w:val="0"/>
                    <w:jc w:val="center"/>
                    <w:textAlignment w:val="center"/>
                    <w:rPr>
                      <w:rFonts w:hint="default" w:ascii="Times New Roman" w:hAnsi="Times New Roman" w:eastAsia="等线" w:cs="Times New Roman"/>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6</w:t>
                  </w:r>
                </w:p>
              </w:tc>
              <w:tc>
                <w:tcPr>
                  <w:tcW w:w="440" w:type="pct"/>
                  <w:vAlign w:val="center"/>
                </w:tcPr>
                <w:p w14:paraId="738E0AA1">
                  <w:pPr>
                    <w:keepNext w:val="0"/>
                    <w:keepLines w:val="0"/>
                    <w:widowControl/>
                    <w:suppressLineNumbers w:val="0"/>
                    <w:jc w:val="center"/>
                    <w:textAlignment w:val="center"/>
                    <w:rPr>
                      <w:rFonts w:hint="default" w:ascii="Times New Roman" w:hAnsi="Times New Roman" w:cs="Times New Roman"/>
                      <w:color w:val="00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0.016 </w:t>
                  </w:r>
                </w:p>
              </w:tc>
              <w:tc>
                <w:tcPr>
                  <w:tcW w:w="427" w:type="pct"/>
                  <w:vAlign w:val="center"/>
                </w:tcPr>
                <w:p w14:paraId="760A1F39">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6</w:t>
                  </w:r>
                  <w:r>
                    <w:rPr>
                      <w:rFonts w:hint="eastAsia"/>
                      <w:bCs/>
                      <w:sz w:val="21"/>
                      <w:szCs w:val="21"/>
                      <w:highlight w:val="none"/>
                      <w:u w:val="single"/>
                    </w:rPr>
                    <w:t>mg/L</w:t>
                  </w:r>
                </w:p>
              </w:tc>
              <w:tc>
                <w:tcPr>
                  <w:tcW w:w="716" w:type="pct"/>
                  <w:vMerge w:val="continue"/>
                  <w:vAlign w:val="center"/>
                </w:tcPr>
                <w:p w14:paraId="5419554C">
                  <w:pPr>
                    <w:jc w:val="center"/>
                    <w:rPr>
                      <w:rFonts w:hint="eastAsia" w:eastAsia="等线" w:cs="Times New Roman"/>
                      <w:sz w:val="21"/>
                      <w:szCs w:val="21"/>
                      <w:highlight w:val="none"/>
                      <w:u w:val="single"/>
                      <w:lang w:val="en-US" w:eastAsia="zh-CN"/>
                    </w:rPr>
                  </w:pPr>
                </w:p>
              </w:tc>
              <w:tc>
                <w:tcPr>
                  <w:tcW w:w="358" w:type="pct"/>
                  <w:vAlign w:val="center"/>
                </w:tcPr>
                <w:p w14:paraId="6A7D0A45">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0.5</w:t>
                  </w:r>
                </w:p>
              </w:tc>
              <w:tc>
                <w:tcPr>
                  <w:tcW w:w="358" w:type="pct"/>
                  <w:vAlign w:val="center"/>
                </w:tcPr>
                <w:p w14:paraId="0AB6D6B6">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0.001 </w:t>
                  </w:r>
                </w:p>
              </w:tc>
            </w:tr>
            <w:tr w14:paraId="338CCF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0FFB6ECE">
                  <w:pPr>
                    <w:jc w:val="center"/>
                    <w:rPr>
                      <w:rFonts w:hint="default" w:ascii="Times New Roman" w:hAnsi="Times New Roman" w:cs="Times New Roman"/>
                      <w:color w:val="FF0000"/>
                      <w:sz w:val="21"/>
                      <w:szCs w:val="21"/>
                      <w:highlight w:val="none"/>
                      <w:u w:val="single"/>
                    </w:rPr>
                  </w:pPr>
                </w:p>
              </w:tc>
              <w:tc>
                <w:tcPr>
                  <w:tcW w:w="314" w:type="pct"/>
                  <w:vAlign w:val="center"/>
                </w:tcPr>
                <w:p w14:paraId="4DB3EED0">
                  <w:pPr>
                    <w:keepNext w:val="0"/>
                    <w:keepLines w:val="0"/>
                    <w:widowControl/>
                    <w:suppressLineNumbers w:val="0"/>
                    <w:jc w:val="center"/>
                    <w:textAlignment w:val="center"/>
                    <w:rPr>
                      <w:rFonts w:hint="default" w:ascii="Times New Roman" w:hAnsi="Times New Roman" w:cs="Times New Roman"/>
                      <w:color w:val="FF0000"/>
                      <w:sz w:val="21"/>
                      <w:szCs w:val="21"/>
                      <w:highlight w:val="none"/>
                      <w:u w:val="single"/>
                    </w:rPr>
                  </w:pPr>
                  <w:r>
                    <w:rPr>
                      <w:rFonts w:hint="default" w:ascii="Times New Roman" w:hAnsi="Times New Roman" w:eastAsia="宋体" w:cs="Times New Roman"/>
                      <w:i w:val="0"/>
                      <w:iCs w:val="0"/>
                      <w:color w:val="000000"/>
                      <w:kern w:val="0"/>
                      <w:sz w:val="21"/>
                      <w:szCs w:val="21"/>
                      <w:highlight w:val="none"/>
                      <w:u w:val="single"/>
                      <w:lang w:val="en-US" w:eastAsia="zh-CN" w:bidi="ar"/>
                    </w:rPr>
                    <w:t>总氮</w:t>
                  </w:r>
                </w:p>
              </w:tc>
              <w:tc>
                <w:tcPr>
                  <w:tcW w:w="495" w:type="pct"/>
                  <w:vAlign w:val="center"/>
                </w:tcPr>
                <w:p w14:paraId="59ABFE0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u w:val="single"/>
                      <w:lang w:val="en-US" w:eastAsia="zh-CN"/>
                    </w:rPr>
                  </w:pPr>
                  <w:r>
                    <w:rPr>
                      <w:rFonts w:hint="eastAsia" w:cs="Times New Roman"/>
                      <w:color w:val="auto"/>
                      <w:sz w:val="21"/>
                      <w:szCs w:val="21"/>
                      <w:highlight w:val="none"/>
                      <w:u w:val="single"/>
                      <w:lang w:val="en-US" w:eastAsia="zh-CN"/>
                    </w:rPr>
                    <w:t>40</w:t>
                  </w:r>
                </w:p>
              </w:tc>
              <w:tc>
                <w:tcPr>
                  <w:tcW w:w="505" w:type="pct"/>
                  <w:vAlign w:val="center"/>
                </w:tcPr>
                <w:p w14:paraId="72A02FF8">
                  <w:pPr>
                    <w:keepNext w:val="0"/>
                    <w:keepLines w:val="0"/>
                    <w:widowControl/>
                    <w:suppressLineNumbers w:val="0"/>
                    <w:jc w:val="center"/>
                    <w:textAlignment w:val="center"/>
                    <w:rPr>
                      <w:rFonts w:hint="default" w:ascii="Times New Roman" w:hAnsi="Times New Roman" w:cs="Times New Roman"/>
                      <w:color w:val="FF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0.109 </w:t>
                  </w:r>
                </w:p>
              </w:tc>
              <w:tc>
                <w:tcPr>
                  <w:tcW w:w="359" w:type="pct"/>
                  <w:vMerge w:val="continue"/>
                  <w:vAlign w:val="center"/>
                </w:tcPr>
                <w:p w14:paraId="6445CA47">
                  <w:pPr>
                    <w:jc w:val="center"/>
                    <w:rPr>
                      <w:rFonts w:hint="default" w:ascii="Times New Roman" w:hAnsi="Times New Roman" w:cs="Times New Roman"/>
                      <w:sz w:val="21"/>
                      <w:szCs w:val="21"/>
                      <w:highlight w:val="yellow"/>
                      <w:u w:val="single"/>
                    </w:rPr>
                  </w:pPr>
                </w:p>
              </w:tc>
              <w:tc>
                <w:tcPr>
                  <w:tcW w:w="565" w:type="pct"/>
                  <w:vAlign w:val="center"/>
                </w:tcPr>
                <w:p w14:paraId="591E4B9D">
                  <w:pPr>
                    <w:keepNext w:val="0"/>
                    <w:keepLines w:val="0"/>
                    <w:widowControl/>
                    <w:suppressLineNumbers w:val="0"/>
                    <w:jc w:val="center"/>
                    <w:textAlignment w:val="center"/>
                    <w:rPr>
                      <w:rFonts w:hint="default" w:ascii="Times New Roman" w:hAnsi="Times New Roman" w:eastAsia="等线" w:cs="Times New Roman"/>
                      <w:sz w:val="21"/>
                      <w:szCs w:val="21"/>
                      <w:highlight w:val="yellow"/>
                      <w:u w:val="single"/>
                    </w:rPr>
                  </w:pPr>
                  <w:r>
                    <w:rPr>
                      <w:rFonts w:hint="default" w:ascii="Times New Roman" w:hAnsi="Times New Roman" w:eastAsia="宋体" w:cs="Times New Roman"/>
                      <w:i w:val="0"/>
                      <w:iCs w:val="0"/>
                      <w:color w:val="000000"/>
                      <w:kern w:val="0"/>
                      <w:sz w:val="21"/>
                      <w:szCs w:val="21"/>
                      <w:u w:val="single"/>
                      <w:lang w:val="en-US" w:eastAsia="zh-CN" w:bidi="ar"/>
                    </w:rPr>
                    <w:t>70</w:t>
                  </w:r>
                </w:p>
              </w:tc>
              <w:tc>
                <w:tcPr>
                  <w:tcW w:w="440" w:type="pct"/>
                  <w:vAlign w:val="center"/>
                </w:tcPr>
                <w:p w14:paraId="3B0CB6B3">
                  <w:pPr>
                    <w:keepNext w:val="0"/>
                    <w:keepLines w:val="0"/>
                    <w:widowControl/>
                    <w:suppressLineNumbers w:val="0"/>
                    <w:jc w:val="center"/>
                    <w:textAlignment w:val="center"/>
                    <w:rPr>
                      <w:rFonts w:hint="default" w:ascii="Times New Roman" w:hAnsi="Times New Roman" w:cs="Times New Roman"/>
                      <w:color w:val="00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0.192 </w:t>
                  </w:r>
                </w:p>
              </w:tc>
              <w:tc>
                <w:tcPr>
                  <w:tcW w:w="427" w:type="pct"/>
                  <w:vAlign w:val="center"/>
                </w:tcPr>
                <w:p w14:paraId="1C0A13E4">
                  <w:pPr>
                    <w:jc w:val="center"/>
                    <w:rPr>
                      <w:rFonts w:hint="default" w:ascii="Times New Roman" w:hAnsi="Times New Roman" w:eastAsia="等线" w:cs="Times New Roman"/>
                      <w:sz w:val="21"/>
                      <w:szCs w:val="21"/>
                      <w:highlight w:val="none"/>
                      <w:u w:val="single"/>
                    </w:rPr>
                  </w:pPr>
                  <w:r>
                    <w:rPr>
                      <w:rFonts w:hint="eastAsia" w:eastAsia="等线" w:cs="Times New Roman"/>
                      <w:sz w:val="21"/>
                      <w:szCs w:val="21"/>
                      <w:highlight w:val="none"/>
                      <w:u w:val="single"/>
                      <w:lang w:val="en-US" w:eastAsia="zh-CN"/>
                    </w:rPr>
                    <w:t>70</w:t>
                  </w:r>
                  <w:r>
                    <w:rPr>
                      <w:rFonts w:hint="eastAsia"/>
                      <w:bCs/>
                      <w:sz w:val="21"/>
                      <w:szCs w:val="21"/>
                      <w:highlight w:val="none"/>
                      <w:u w:val="single"/>
                    </w:rPr>
                    <w:t>mg/L</w:t>
                  </w:r>
                </w:p>
              </w:tc>
              <w:tc>
                <w:tcPr>
                  <w:tcW w:w="716" w:type="pct"/>
                  <w:vMerge w:val="continue"/>
                  <w:vAlign w:val="center"/>
                </w:tcPr>
                <w:p w14:paraId="2343AF9E">
                  <w:pPr>
                    <w:jc w:val="center"/>
                    <w:rPr>
                      <w:rFonts w:hint="eastAsia" w:eastAsia="等线" w:cs="Times New Roman"/>
                      <w:sz w:val="21"/>
                      <w:szCs w:val="21"/>
                      <w:highlight w:val="none"/>
                      <w:u w:val="single"/>
                      <w:lang w:val="en-US" w:eastAsia="zh-CN"/>
                    </w:rPr>
                  </w:pPr>
                </w:p>
              </w:tc>
              <w:tc>
                <w:tcPr>
                  <w:tcW w:w="358" w:type="pct"/>
                  <w:vAlign w:val="center"/>
                </w:tcPr>
                <w:p w14:paraId="21CB2C31">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6183012A">
                  <w:pPr>
                    <w:jc w:val="center"/>
                    <w:rPr>
                      <w:rFonts w:hint="eastAsia" w:eastAsia="等线" w:cs="Times New Roman"/>
                      <w:sz w:val="21"/>
                      <w:szCs w:val="21"/>
                      <w:highlight w:val="none"/>
                      <w:u w:val="single"/>
                      <w:lang w:val="en-US" w:eastAsia="zh-CN"/>
                    </w:rPr>
                  </w:pPr>
                </w:p>
              </w:tc>
            </w:tr>
            <w:tr w14:paraId="5FDE7E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789CF93B">
                  <w:pPr>
                    <w:jc w:val="center"/>
                    <w:rPr>
                      <w:rFonts w:hint="default" w:ascii="Times New Roman" w:hAnsi="Times New Roman" w:cs="Times New Roman"/>
                      <w:color w:val="FF0000"/>
                      <w:sz w:val="21"/>
                      <w:szCs w:val="21"/>
                      <w:highlight w:val="none"/>
                      <w:u w:val="single"/>
                    </w:rPr>
                  </w:pPr>
                </w:p>
              </w:tc>
              <w:tc>
                <w:tcPr>
                  <w:tcW w:w="314" w:type="pct"/>
                  <w:vAlign w:val="center"/>
                </w:tcPr>
                <w:p w14:paraId="2F2DF82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single"/>
                      <w:lang w:val="en-US" w:eastAsia="zh-CN" w:bidi="ar"/>
                    </w:rPr>
                  </w:pPr>
                  <w:r>
                    <w:rPr>
                      <w:rFonts w:hint="eastAsia" w:cs="Times New Roman"/>
                      <w:i w:val="0"/>
                      <w:iCs w:val="0"/>
                      <w:color w:val="000000"/>
                      <w:kern w:val="0"/>
                      <w:sz w:val="21"/>
                      <w:szCs w:val="21"/>
                      <w:highlight w:val="none"/>
                      <w:u w:val="single"/>
                      <w:lang w:val="en-US" w:eastAsia="zh-CN" w:bidi="ar"/>
                    </w:rPr>
                    <w:t>动植物油</w:t>
                  </w:r>
                </w:p>
              </w:tc>
              <w:tc>
                <w:tcPr>
                  <w:tcW w:w="495" w:type="pct"/>
                  <w:vAlign w:val="center"/>
                </w:tcPr>
                <w:p w14:paraId="05ECB1F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u w:val="single"/>
                      <w:lang w:val="en-US" w:eastAsia="zh-CN"/>
                    </w:rPr>
                  </w:pPr>
                  <w:r>
                    <w:rPr>
                      <w:rFonts w:hint="eastAsia" w:cs="Times New Roman"/>
                      <w:color w:val="auto"/>
                      <w:sz w:val="21"/>
                      <w:szCs w:val="21"/>
                      <w:highlight w:val="none"/>
                      <w:u w:val="single"/>
                      <w:lang w:val="en-US" w:eastAsia="zh-CN"/>
                    </w:rPr>
                    <w:t>10</w:t>
                  </w:r>
                </w:p>
              </w:tc>
              <w:tc>
                <w:tcPr>
                  <w:tcW w:w="505" w:type="pct"/>
                  <w:vAlign w:val="center"/>
                </w:tcPr>
                <w:p w14:paraId="1F22658C">
                  <w:pPr>
                    <w:keepNext w:val="0"/>
                    <w:keepLines w:val="0"/>
                    <w:widowControl/>
                    <w:suppressLineNumbers w:val="0"/>
                    <w:jc w:val="center"/>
                    <w:textAlignment w:val="center"/>
                    <w:rPr>
                      <w:rFonts w:hint="default" w:ascii="Times New Roman" w:hAnsi="Times New Roman" w:cs="Times New Roman"/>
                      <w:color w:val="FF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0.027 </w:t>
                  </w:r>
                </w:p>
              </w:tc>
              <w:tc>
                <w:tcPr>
                  <w:tcW w:w="359" w:type="pct"/>
                  <w:vMerge w:val="continue"/>
                  <w:vAlign w:val="center"/>
                </w:tcPr>
                <w:p w14:paraId="1598BD18">
                  <w:pPr>
                    <w:jc w:val="center"/>
                    <w:rPr>
                      <w:rFonts w:hint="default" w:ascii="Times New Roman" w:hAnsi="Times New Roman" w:cs="Times New Roman"/>
                      <w:sz w:val="21"/>
                      <w:szCs w:val="21"/>
                      <w:highlight w:val="yellow"/>
                      <w:u w:val="single"/>
                    </w:rPr>
                  </w:pPr>
                </w:p>
              </w:tc>
              <w:tc>
                <w:tcPr>
                  <w:tcW w:w="565" w:type="pct"/>
                  <w:vAlign w:val="center"/>
                </w:tcPr>
                <w:p w14:paraId="4F58D691">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100</w:t>
                  </w:r>
                </w:p>
              </w:tc>
              <w:tc>
                <w:tcPr>
                  <w:tcW w:w="440" w:type="pct"/>
                  <w:vAlign w:val="center"/>
                </w:tcPr>
                <w:p w14:paraId="30286E88">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0.274 </w:t>
                  </w:r>
                </w:p>
              </w:tc>
              <w:tc>
                <w:tcPr>
                  <w:tcW w:w="427" w:type="pct"/>
                  <w:vAlign w:val="center"/>
                </w:tcPr>
                <w:p w14:paraId="5E87C544">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100</w:t>
                  </w:r>
                  <w:r>
                    <w:rPr>
                      <w:rFonts w:hint="eastAsia"/>
                      <w:bCs/>
                      <w:sz w:val="21"/>
                      <w:szCs w:val="21"/>
                      <w:highlight w:val="none"/>
                      <w:u w:val="single"/>
                    </w:rPr>
                    <w:t>mg/L</w:t>
                  </w:r>
                </w:p>
              </w:tc>
              <w:tc>
                <w:tcPr>
                  <w:tcW w:w="716" w:type="pct"/>
                  <w:vMerge w:val="continue"/>
                  <w:vAlign w:val="center"/>
                </w:tcPr>
                <w:p w14:paraId="11CEEDEF">
                  <w:pPr>
                    <w:jc w:val="center"/>
                    <w:rPr>
                      <w:rFonts w:hint="eastAsia" w:eastAsia="等线" w:cs="Times New Roman"/>
                      <w:sz w:val="21"/>
                      <w:szCs w:val="21"/>
                      <w:highlight w:val="none"/>
                      <w:u w:val="single"/>
                      <w:lang w:val="en-US" w:eastAsia="zh-CN"/>
                    </w:rPr>
                  </w:pPr>
                </w:p>
              </w:tc>
              <w:tc>
                <w:tcPr>
                  <w:tcW w:w="358" w:type="pct"/>
                  <w:vAlign w:val="center"/>
                </w:tcPr>
                <w:p w14:paraId="7695BA90">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3F719098">
                  <w:pPr>
                    <w:jc w:val="center"/>
                    <w:rPr>
                      <w:rFonts w:hint="eastAsia" w:eastAsia="等线" w:cs="Times New Roman"/>
                      <w:sz w:val="21"/>
                      <w:szCs w:val="21"/>
                      <w:highlight w:val="none"/>
                      <w:u w:val="single"/>
                      <w:lang w:val="en-US" w:eastAsia="zh-CN"/>
                    </w:rPr>
                  </w:pPr>
                </w:p>
              </w:tc>
            </w:tr>
            <w:tr w14:paraId="42595F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restart"/>
                  <w:vAlign w:val="center"/>
                </w:tcPr>
                <w:p w14:paraId="6323958A">
                  <w:pPr>
                    <w:jc w:val="center"/>
                    <w:rPr>
                      <w:rFonts w:hint="eastAsia" w:cs="Times New Roman"/>
                      <w:color w:val="auto"/>
                      <w:sz w:val="21"/>
                      <w:szCs w:val="21"/>
                      <w:highlight w:val="none"/>
                      <w:u w:val="single"/>
                      <w:lang w:val="en-US" w:eastAsia="zh-CN"/>
                    </w:rPr>
                  </w:pPr>
                  <w:r>
                    <w:rPr>
                      <w:rFonts w:hint="eastAsia" w:cs="Times New Roman"/>
                      <w:color w:val="auto"/>
                      <w:sz w:val="21"/>
                      <w:szCs w:val="21"/>
                      <w:highlight w:val="none"/>
                      <w:u w:val="single"/>
                      <w:lang w:val="en-US" w:eastAsia="zh-CN"/>
                    </w:rPr>
                    <w:t>综合生活污水</w:t>
                  </w:r>
                </w:p>
                <w:p w14:paraId="68513888">
                  <w:pPr>
                    <w:jc w:val="center"/>
                    <w:rPr>
                      <w:rFonts w:hint="default" w:cs="Times New Roman"/>
                      <w:color w:val="auto"/>
                      <w:sz w:val="21"/>
                      <w:szCs w:val="21"/>
                      <w:highlight w:val="none"/>
                      <w:u w:val="single"/>
                      <w:lang w:val="en-US" w:eastAsia="zh-CN"/>
                    </w:rPr>
                  </w:pPr>
                  <w:r>
                    <w:rPr>
                      <w:rFonts w:hint="eastAsia" w:cs="Times New Roman"/>
                      <w:color w:val="auto"/>
                      <w:sz w:val="21"/>
                      <w:szCs w:val="21"/>
                      <w:highlight w:val="none"/>
                      <w:u w:val="single"/>
                      <w:lang w:val="en-US" w:eastAsia="zh-CN"/>
                    </w:rPr>
                    <w:t>27796.9</w:t>
                  </w:r>
                  <w:r>
                    <w:rPr>
                      <w:rFonts w:hint="default" w:ascii="Times New Roman" w:hAnsi="Times New Roman" w:cs="Times New Roman"/>
                      <w:sz w:val="21"/>
                      <w:szCs w:val="21"/>
                      <w:highlight w:val="none"/>
                      <w:u w:val="single"/>
                      <w:lang w:val="en-US" w:eastAsia="zh-CN"/>
                    </w:rPr>
                    <w:t>m</w:t>
                  </w:r>
                  <w:r>
                    <w:rPr>
                      <w:rFonts w:hint="default" w:ascii="Times New Roman" w:hAnsi="Times New Roman" w:cs="Times New Roman"/>
                      <w:sz w:val="21"/>
                      <w:szCs w:val="21"/>
                      <w:highlight w:val="none"/>
                      <w:u w:val="single"/>
                      <w:vertAlign w:val="superscript"/>
                      <w:lang w:val="en-US" w:eastAsia="zh-CN"/>
                    </w:rPr>
                    <w:t>3</w:t>
                  </w:r>
                  <w:r>
                    <w:rPr>
                      <w:rFonts w:hint="default" w:ascii="Times New Roman" w:hAnsi="Times New Roman" w:cs="Times New Roman"/>
                      <w:sz w:val="21"/>
                      <w:szCs w:val="21"/>
                      <w:highlight w:val="none"/>
                      <w:u w:val="single"/>
                      <w:lang w:val="en-US" w:eastAsia="zh-CN"/>
                    </w:rPr>
                    <w:t>/a</w:t>
                  </w:r>
                </w:p>
              </w:tc>
              <w:tc>
                <w:tcPr>
                  <w:tcW w:w="314" w:type="pct"/>
                  <w:vAlign w:val="center"/>
                </w:tcPr>
                <w:p w14:paraId="7D24ED57">
                  <w:pPr>
                    <w:jc w:val="center"/>
                    <w:rPr>
                      <w:rFonts w:hint="eastAsia" w:cs="Times New Roman"/>
                      <w:i w:val="0"/>
                      <w:iCs w:val="0"/>
                      <w:color w:val="000000"/>
                      <w:kern w:val="0"/>
                      <w:sz w:val="21"/>
                      <w:szCs w:val="21"/>
                      <w:highlight w:val="none"/>
                      <w:u w:val="single"/>
                      <w:lang w:val="en-US" w:eastAsia="zh-CN" w:bidi="ar"/>
                    </w:rPr>
                  </w:pPr>
                  <w:r>
                    <w:rPr>
                      <w:rFonts w:hint="default" w:ascii="Times New Roman" w:hAnsi="Times New Roman" w:cs="Times New Roman"/>
                      <w:color w:val="auto"/>
                      <w:sz w:val="21"/>
                      <w:szCs w:val="21"/>
                      <w:highlight w:val="none"/>
                      <w:u w:val="single"/>
                    </w:rPr>
                    <w:t>pH</w:t>
                  </w:r>
                </w:p>
              </w:tc>
              <w:tc>
                <w:tcPr>
                  <w:tcW w:w="495" w:type="pct"/>
                  <w:vAlign w:val="center"/>
                </w:tcPr>
                <w:p w14:paraId="6984BE06">
                  <w:pPr>
                    <w:pStyle w:val="115"/>
                    <w:adjustRightInd/>
                    <w:snapToGrid/>
                    <w:spacing w:beforeLines="0" w:line="240" w:lineRule="auto"/>
                    <w:jc w:val="center"/>
                    <w:rPr>
                      <w:rFonts w:hint="eastAsia" w:cs="Times New Roman"/>
                      <w:color w:val="auto"/>
                      <w:sz w:val="21"/>
                      <w:szCs w:val="21"/>
                      <w:highlight w:val="none"/>
                      <w:u w:val="single"/>
                      <w:lang w:val="en-US" w:eastAsia="zh-CN"/>
                    </w:rPr>
                  </w:pPr>
                  <w:r>
                    <w:rPr>
                      <w:rFonts w:hint="eastAsia" w:ascii="Times New Roman" w:hAnsi="Times New Roman" w:cs="Times New Roman"/>
                      <w:color w:val="auto"/>
                      <w:sz w:val="21"/>
                      <w:szCs w:val="21"/>
                      <w:highlight w:val="none"/>
                      <w:u w:val="single"/>
                      <w:lang w:val="en-US" w:eastAsia="zh-CN"/>
                    </w:rPr>
                    <w:t>6-9</w:t>
                  </w:r>
                </w:p>
              </w:tc>
              <w:tc>
                <w:tcPr>
                  <w:tcW w:w="505" w:type="pct"/>
                  <w:vAlign w:val="center"/>
                </w:tcPr>
                <w:p w14:paraId="79B53D24">
                  <w:pPr>
                    <w:jc w:val="center"/>
                    <w:rPr>
                      <w:rFonts w:hint="default" w:ascii="Times New Roman" w:hAnsi="Times New Roman" w:cs="Times New Roman"/>
                      <w:color w:val="FF0000"/>
                      <w:kern w:val="0"/>
                      <w:sz w:val="21"/>
                      <w:szCs w:val="21"/>
                      <w:highlight w:val="none"/>
                      <w:u w:val="single"/>
                      <w:lang w:bidi="ar"/>
                    </w:rPr>
                  </w:pPr>
                  <w:r>
                    <w:rPr>
                      <w:rFonts w:hint="eastAsia" w:eastAsia="等线" w:cs="Times New Roman"/>
                      <w:color w:val="auto"/>
                      <w:sz w:val="21"/>
                      <w:szCs w:val="21"/>
                      <w:highlight w:val="none"/>
                      <w:u w:val="single"/>
                      <w:lang w:val="en-US" w:eastAsia="zh-CN"/>
                    </w:rPr>
                    <w:t>/</w:t>
                  </w:r>
                </w:p>
              </w:tc>
              <w:tc>
                <w:tcPr>
                  <w:tcW w:w="359" w:type="pct"/>
                  <w:vMerge w:val="continue"/>
                  <w:vAlign w:val="center"/>
                </w:tcPr>
                <w:p w14:paraId="20034D2E">
                  <w:pPr>
                    <w:jc w:val="center"/>
                    <w:rPr>
                      <w:rFonts w:hint="default" w:ascii="Times New Roman" w:hAnsi="Times New Roman" w:cs="Times New Roman"/>
                      <w:sz w:val="21"/>
                      <w:szCs w:val="21"/>
                      <w:highlight w:val="yellow"/>
                      <w:u w:val="single"/>
                    </w:rPr>
                  </w:pPr>
                </w:p>
              </w:tc>
              <w:tc>
                <w:tcPr>
                  <w:tcW w:w="565" w:type="pct"/>
                  <w:vAlign w:val="center"/>
                </w:tcPr>
                <w:p w14:paraId="1B77CBE6">
                  <w:pPr>
                    <w:pStyle w:val="115"/>
                    <w:adjustRightInd/>
                    <w:snapToGrid/>
                    <w:spacing w:beforeLines="0" w:line="240" w:lineRule="auto"/>
                    <w:jc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cs="Times New Roman"/>
                      <w:sz w:val="21"/>
                      <w:szCs w:val="21"/>
                      <w:highlight w:val="none"/>
                      <w:u w:val="single"/>
                      <w:lang w:val="en-US" w:eastAsia="zh-CN"/>
                    </w:rPr>
                    <w:t>6-9</w:t>
                  </w:r>
                </w:p>
              </w:tc>
              <w:tc>
                <w:tcPr>
                  <w:tcW w:w="440" w:type="pct"/>
                  <w:vAlign w:val="center"/>
                </w:tcPr>
                <w:p w14:paraId="13504965">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427" w:type="pct"/>
                  <w:vAlign w:val="center"/>
                </w:tcPr>
                <w:p w14:paraId="09BE3309">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6-9</w:t>
                  </w:r>
                </w:p>
              </w:tc>
              <w:tc>
                <w:tcPr>
                  <w:tcW w:w="716" w:type="pct"/>
                  <w:vMerge w:val="continue"/>
                  <w:vAlign w:val="center"/>
                </w:tcPr>
                <w:p w14:paraId="702455BB">
                  <w:pPr>
                    <w:jc w:val="center"/>
                    <w:rPr>
                      <w:rFonts w:hint="eastAsia" w:eastAsia="等线" w:cs="Times New Roman"/>
                      <w:sz w:val="21"/>
                      <w:szCs w:val="21"/>
                      <w:highlight w:val="none"/>
                      <w:u w:val="single"/>
                      <w:lang w:val="en-US" w:eastAsia="zh-CN"/>
                    </w:rPr>
                  </w:pPr>
                </w:p>
              </w:tc>
              <w:tc>
                <w:tcPr>
                  <w:tcW w:w="358" w:type="pct"/>
                  <w:vAlign w:val="center"/>
                </w:tcPr>
                <w:p w14:paraId="0821FCF2">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77AE7929">
                  <w:pPr>
                    <w:jc w:val="center"/>
                    <w:rPr>
                      <w:rFonts w:hint="eastAsia" w:eastAsia="等线" w:cs="Times New Roman"/>
                      <w:sz w:val="21"/>
                      <w:szCs w:val="21"/>
                      <w:highlight w:val="none"/>
                      <w:u w:val="single"/>
                      <w:lang w:val="en-US" w:eastAsia="zh-CN"/>
                    </w:rPr>
                  </w:pPr>
                </w:p>
              </w:tc>
            </w:tr>
            <w:tr w14:paraId="0AB1B2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228B21DD">
                  <w:pPr>
                    <w:jc w:val="center"/>
                    <w:rPr>
                      <w:rFonts w:hint="default" w:ascii="Times New Roman" w:hAnsi="Times New Roman" w:cs="Times New Roman"/>
                      <w:color w:val="FF0000"/>
                      <w:sz w:val="21"/>
                      <w:szCs w:val="21"/>
                      <w:highlight w:val="none"/>
                      <w:u w:val="single"/>
                    </w:rPr>
                  </w:pPr>
                </w:p>
              </w:tc>
              <w:tc>
                <w:tcPr>
                  <w:tcW w:w="314" w:type="pct"/>
                  <w:vAlign w:val="center"/>
                </w:tcPr>
                <w:p w14:paraId="676C48C2">
                  <w:pPr>
                    <w:jc w:val="center"/>
                    <w:rPr>
                      <w:rFonts w:hint="eastAsia" w:cs="Times New Roman"/>
                      <w:i w:val="0"/>
                      <w:iCs w:val="0"/>
                      <w:color w:val="000000"/>
                      <w:kern w:val="0"/>
                      <w:sz w:val="21"/>
                      <w:szCs w:val="21"/>
                      <w:highlight w:val="none"/>
                      <w:u w:val="single"/>
                      <w:lang w:val="en-US" w:eastAsia="zh-CN" w:bidi="ar"/>
                    </w:rPr>
                  </w:pPr>
                  <w:r>
                    <w:rPr>
                      <w:rFonts w:hint="default" w:ascii="Times New Roman" w:hAnsi="Times New Roman" w:cs="Times New Roman"/>
                      <w:color w:val="000000"/>
                      <w:sz w:val="21"/>
                      <w:szCs w:val="21"/>
                      <w:highlight w:val="none"/>
                      <w:u w:val="single"/>
                    </w:rPr>
                    <w:t>COD</w:t>
                  </w:r>
                </w:p>
              </w:tc>
              <w:tc>
                <w:tcPr>
                  <w:tcW w:w="495" w:type="pct"/>
                  <w:vAlign w:val="center"/>
                </w:tcPr>
                <w:p w14:paraId="4BD94940">
                  <w:pPr>
                    <w:keepNext w:val="0"/>
                    <w:keepLines w:val="0"/>
                    <w:widowControl/>
                    <w:suppressLineNumbers w:val="0"/>
                    <w:jc w:val="center"/>
                    <w:textAlignment w:val="center"/>
                    <w:rPr>
                      <w:rFonts w:hint="eastAsia" w:cs="Times New Roman"/>
                      <w:color w:val="auto"/>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568.00</w:t>
                  </w:r>
                  <w:r>
                    <w:rPr>
                      <w:rFonts w:hint="eastAsia" w:cs="Times New Roman"/>
                      <w:i w:val="0"/>
                      <w:iCs w:val="0"/>
                      <w:color w:val="000000"/>
                      <w:kern w:val="0"/>
                      <w:sz w:val="21"/>
                      <w:szCs w:val="21"/>
                      <w:u w:val="single"/>
                      <w:lang w:val="en-US" w:eastAsia="zh-CN" w:bidi="ar"/>
                    </w:rPr>
                    <w:t>3</w:t>
                  </w:r>
                </w:p>
              </w:tc>
              <w:tc>
                <w:tcPr>
                  <w:tcW w:w="505" w:type="pct"/>
                  <w:vAlign w:val="center"/>
                </w:tcPr>
                <w:p w14:paraId="7BD6875B">
                  <w:pPr>
                    <w:keepNext w:val="0"/>
                    <w:keepLines w:val="0"/>
                    <w:widowControl/>
                    <w:suppressLineNumbers w:val="0"/>
                    <w:jc w:val="center"/>
                    <w:textAlignment w:val="center"/>
                    <w:rPr>
                      <w:rFonts w:hint="default" w:ascii="Times New Roman" w:hAnsi="Times New Roman" w:cs="Times New Roman"/>
                      <w:color w:val="FF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15.789 </w:t>
                  </w:r>
                </w:p>
              </w:tc>
              <w:tc>
                <w:tcPr>
                  <w:tcW w:w="359" w:type="pct"/>
                  <w:vMerge w:val="continue"/>
                  <w:vAlign w:val="center"/>
                </w:tcPr>
                <w:p w14:paraId="04045570">
                  <w:pPr>
                    <w:jc w:val="center"/>
                    <w:rPr>
                      <w:rFonts w:hint="default" w:ascii="Times New Roman" w:hAnsi="Times New Roman" w:cs="Times New Roman"/>
                      <w:sz w:val="21"/>
                      <w:szCs w:val="21"/>
                      <w:highlight w:val="yellow"/>
                      <w:u w:val="single"/>
                    </w:rPr>
                  </w:pPr>
                </w:p>
              </w:tc>
              <w:tc>
                <w:tcPr>
                  <w:tcW w:w="565" w:type="pct"/>
                  <w:vAlign w:val="center"/>
                </w:tcPr>
                <w:p w14:paraId="43D42ECC">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400</w:t>
                  </w:r>
                </w:p>
              </w:tc>
              <w:tc>
                <w:tcPr>
                  <w:tcW w:w="440" w:type="pct"/>
                  <w:vAlign w:val="center"/>
                </w:tcPr>
                <w:p w14:paraId="0C467412">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11.119 </w:t>
                  </w:r>
                </w:p>
              </w:tc>
              <w:tc>
                <w:tcPr>
                  <w:tcW w:w="427" w:type="pct"/>
                  <w:vAlign w:val="center"/>
                </w:tcPr>
                <w:p w14:paraId="2835A3E5">
                  <w:pPr>
                    <w:jc w:val="center"/>
                    <w:rPr>
                      <w:rFonts w:hint="eastAsia" w:eastAsia="等线" w:cs="Times New Roman"/>
                      <w:sz w:val="21"/>
                      <w:szCs w:val="21"/>
                      <w:highlight w:val="none"/>
                      <w:u w:val="single"/>
                      <w:lang w:val="en-US" w:eastAsia="zh-CN"/>
                    </w:rPr>
                  </w:pPr>
                  <w:r>
                    <w:rPr>
                      <w:rFonts w:hint="eastAsia" w:cs="Times New Roman"/>
                      <w:sz w:val="21"/>
                      <w:szCs w:val="21"/>
                      <w:highlight w:val="none"/>
                      <w:u w:val="single"/>
                      <w:lang w:val="en-US" w:eastAsia="zh-CN"/>
                    </w:rPr>
                    <w:t>4</w:t>
                  </w:r>
                  <w:r>
                    <w:rPr>
                      <w:rFonts w:hint="eastAsia" w:ascii="Times New Roman" w:hAnsi="Times New Roman" w:cs="Times New Roman"/>
                      <w:sz w:val="21"/>
                      <w:szCs w:val="21"/>
                      <w:highlight w:val="none"/>
                      <w:u w:val="single"/>
                      <w:lang w:val="en-US" w:eastAsia="zh-CN"/>
                    </w:rPr>
                    <w:t>00</w:t>
                  </w:r>
                  <w:r>
                    <w:rPr>
                      <w:rFonts w:hint="eastAsia"/>
                      <w:bCs/>
                      <w:sz w:val="21"/>
                      <w:szCs w:val="21"/>
                      <w:highlight w:val="none"/>
                      <w:u w:val="single"/>
                    </w:rPr>
                    <w:t>mg/L</w:t>
                  </w:r>
                </w:p>
              </w:tc>
              <w:tc>
                <w:tcPr>
                  <w:tcW w:w="716" w:type="pct"/>
                  <w:vMerge w:val="continue"/>
                  <w:vAlign w:val="center"/>
                </w:tcPr>
                <w:p w14:paraId="54275B7C">
                  <w:pPr>
                    <w:jc w:val="center"/>
                    <w:rPr>
                      <w:rFonts w:hint="eastAsia" w:cs="Times New Roman"/>
                      <w:sz w:val="21"/>
                      <w:szCs w:val="21"/>
                      <w:highlight w:val="none"/>
                      <w:u w:val="single"/>
                      <w:lang w:val="en-US" w:eastAsia="zh-CN"/>
                    </w:rPr>
                  </w:pPr>
                </w:p>
              </w:tc>
              <w:tc>
                <w:tcPr>
                  <w:tcW w:w="358" w:type="pct"/>
                  <w:vAlign w:val="center"/>
                </w:tcPr>
                <w:p w14:paraId="6762D582">
                  <w:pPr>
                    <w:jc w:val="center"/>
                    <w:rPr>
                      <w:rFonts w:hint="eastAsia" w:cs="Times New Roman"/>
                      <w:sz w:val="21"/>
                      <w:szCs w:val="21"/>
                      <w:highlight w:val="none"/>
                      <w:u w:val="single"/>
                      <w:lang w:val="en-US" w:eastAsia="zh-CN"/>
                    </w:rPr>
                  </w:pPr>
                  <w:r>
                    <w:rPr>
                      <w:rFonts w:hint="eastAsia" w:eastAsia="等线" w:cs="Times New Roman"/>
                      <w:sz w:val="21"/>
                      <w:szCs w:val="21"/>
                      <w:highlight w:val="none"/>
                      <w:u w:val="single"/>
                      <w:lang w:val="en-US" w:eastAsia="zh-CN"/>
                    </w:rPr>
                    <w:t>50</w:t>
                  </w:r>
                </w:p>
              </w:tc>
              <w:tc>
                <w:tcPr>
                  <w:tcW w:w="594" w:type="dxa"/>
                  <w:vAlign w:val="center"/>
                </w:tcPr>
                <w:p w14:paraId="3B327A76">
                  <w:pPr>
                    <w:keepNext w:val="0"/>
                    <w:keepLines w:val="0"/>
                    <w:widowControl/>
                    <w:suppressLineNumbers w:val="0"/>
                    <w:jc w:val="center"/>
                    <w:textAlignment w:val="center"/>
                    <w:rPr>
                      <w:rFonts w:hint="default" w:ascii="Times New Roman" w:hAnsi="Times New Roman"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1.390</w:t>
                  </w:r>
                </w:p>
              </w:tc>
            </w:tr>
            <w:tr w14:paraId="5D6E32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78A68FA6">
                  <w:pPr>
                    <w:jc w:val="center"/>
                    <w:rPr>
                      <w:rFonts w:hint="default" w:ascii="Times New Roman" w:hAnsi="Times New Roman" w:cs="Times New Roman"/>
                      <w:color w:val="FF0000"/>
                      <w:sz w:val="21"/>
                      <w:szCs w:val="21"/>
                      <w:highlight w:val="none"/>
                      <w:u w:val="single"/>
                    </w:rPr>
                  </w:pPr>
                </w:p>
              </w:tc>
              <w:tc>
                <w:tcPr>
                  <w:tcW w:w="314" w:type="pct"/>
                  <w:vAlign w:val="center"/>
                </w:tcPr>
                <w:p w14:paraId="6A93055D">
                  <w:pPr>
                    <w:jc w:val="center"/>
                    <w:rPr>
                      <w:rFonts w:hint="eastAsia" w:cs="Times New Roman"/>
                      <w:i w:val="0"/>
                      <w:iCs w:val="0"/>
                      <w:color w:val="000000"/>
                      <w:kern w:val="0"/>
                      <w:sz w:val="21"/>
                      <w:szCs w:val="21"/>
                      <w:highlight w:val="none"/>
                      <w:u w:val="single"/>
                      <w:lang w:val="en-US" w:eastAsia="zh-CN" w:bidi="ar"/>
                    </w:rPr>
                  </w:pPr>
                  <w:r>
                    <w:rPr>
                      <w:rFonts w:hint="default" w:ascii="Times New Roman" w:hAnsi="Times New Roman" w:cs="Times New Roman"/>
                      <w:color w:val="000000"/>
                      <w:sz w:val="21"/>
                      <w:szCs w:val="21"/>
                      <w:highlight w:val="none"/>
                      <w:u w:val="single"/>
                    </w:rPr>
                    <w:t>BOD</w:t>
                  </w:r>
                </w:p>
              </w:tc>
              <w:tc>
                <w:tcPr>
                  <w:tcW w:w="495" w:type="pct"/>
                  <w:vAlign w:val="center"/>
                </w:tcPr>
                <w:p w14:paraId="57F16A8E">
                  <w:pPr>
                    <w:keepNext w:val="0"/>
                    <w:keepLines w:val="0"/>
                    <w:widowControl/>
                    <w:suppressLineNumbers w:val="0"/>
                    <w:jc w:val="center"/>
                    <w:textAlignment w:val="center"/>
                    <w:rPr>
                      <w:rFonts w:hint="eastAsia" w:cs="Times New Roman"/>
                      <w:color w:val="auto"/>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222.0</w:t>
                  </w:r>
                  <w:r>
                    <w:rPr>
                      <w:rFonts w:hint="eastAsia" w:cs="Times New Roman"/>
                      <w:i w:val="0"/>
                      <w:iCs w:val="0"/>
                      <w:color w:val="000000"/>
                      <w:kern w:val="0"/>
                      <w:sz w:val="21"/>
                      <w:szCs w:val="21"/>
                      <w:u w:val="single"/>
                      <w:lang w:val="en-US" w:eastAsia="zh-CN" w:bidi="ar"/>
                    </w:rPr>
                    <w:t>9</w:t>
                  </w:r>
                </w:p>
              </w:tc>
              <w:tc>
                <w:tcPr>
                  <w:tcW w:w="505" w:type="pct"/>
                  <w:vAlign w:val="center"/>
                </w:tcPr>
                <w:p w14:paraId="226E4594">
                  <w:pPr>
                    <w:keepNext w:val="0"/>
                    <w:keepLines w:val="0"/>
                    <w:widowControl/>
                    <w:suppressLineNumbers w:val="0"/>
                    <w:jc w:val="center"/>
                    <w:textAlignment w:val="center"/>
                    <w:rPr>
                      <w:rFonts w:hint="default" w:ascii="Times New Roman" w:hAnsi="Times New Roman" w:cs="Times New Roman"/>
                      <w:color w:val="FF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6.173 </w:t>
                  </w:r>
                </w:p>
              </w:tc>
              <w:tc>
                <w:tcPr>
                  <w:tcW w:w="359" w:type="pct"/>
                  <w:vMerge w:val="continue"/>
                  <w:vAlign w:val="center"/>
                </w:tcPr>
                <w:p w14:paraId="0BB1E08C">
                  <w:pPr>
                    <w:jc w:val="center"/>
                    <w:rPr>
                      <w:rFonts w:hint="default" w:ascii="Times New Roman" w:hAnsi="Times New Roman" w:cs="Times New Roman"/>
                      <w:sz w:val="21"/>
                      <w:szCs w:val="21"/>
                      <w:highlight w:val="yellow"/>
                      <w:u w:val="single"/>
                    </w:rPr>
                  </w:pPr>
                </w:p>
              </w:tc>
              <w:tc>
                <w:tcPr>
                  <w:tcW w:w="565" w:type="pct"/>
                  <w:vAlign w:val="center"/>
                </w:tcPr>
                <w:p w14:paraId="7C08BA7D">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200</w:t>
                  </w:r>
                </w:p>
              </w:tc>
              <w:tc>
                <w:tcPr>
                  <w:tcW w:w="440" w:type="pct"/>
                  <w:vAlign w:val="center"/>
                </w:tcPr>
                <w:p w14:paraId="1CA7278E">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5.559 </w:t>
                  </w:r>
                </w:p>
              </w:tc>
              <w:tc>
                <w:tcPr>
                  <w:tcW w:w="427" w:type="pct"/>
                  <w:vAlign w:val="center"/>
                </w:tcPr>
                <w:p w14:paraId="286E5998">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20</w:t>
                  </w:r>
                  <w:r>
                    <w:rPr>
                      <w:rFonts w:hint="default" w:ascii="Times New Roman" w:hAnsi="Times New Roman" w:eastAsia="等线" w:cs="Times New Roman"/>
                      <w:sz w:val="21"/>
                      <w:szCs w:val="21"/>
                      <w:highlight w:val="none"/>
                      <w:u w:val="single"/>
                      <w:lang w:val="en-US" w:eastAsia="zh-CN"/>
                    </w:rPr>
                    <w:t>0</w:t>
                  </w:r>
                  <w:r>
                    <w:rPr>
                      <w:rFonts w:hint="eastAsia"/>
                      <w:bCs/>
                      <w:sz w:val="21"/>
                      <w:szCs w:val="21"/>
                      <w:highlight w:val="none"/>
                      <w:u w:val="single"/>
                    </w:rPr>
                    <w:t>mg/L</w:t>
                  </w:r>
                </w:p>
              </w:tc>
              <w:tc>
                <w:tcPr>
                  <w:tcW w:w="716" w:type="pct"/>
                  <w:vMerge w:val="continue"/>
                  <w:vAlign w:val="center"/>
                </w:tcPr>
                <w:p w14:paraId="3D22460F">
                  <w:pPr>
                    <w:jc w:val="center"/>
                    <w:rPr>
                      <w:rFonts w:hint="eastAsia" w:eastAsia="等线" w:cs="Times New Roman"/>
                      <w:sz w:val="21"/>
                      <w:szCs w:val="21"/>
                      <w:highlight w:val="none"/>
                      <w:u w:val="single"/>
                      <w:lang w:val="en-US" w:eastAsia="zh-CN"/>
                    </w:rPr>
                  </w:pPr>
                </w:p>
              </w:tc>
              <w:tc>
                <w:tcPr>
                  <w:tcW w:w="358" w:type="pct"/>
                  <w:vAlign w:val="center"/>
                </w:tcPr>
                <w:p w14:paraId="44826C91">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594" w:type="dxa"/>
                  <w:vAlign w:val="center"/>
                </w:tcPr>
                <w:p w14:paraId="18027635">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0.278</w:t>
                  </w:r>
                </w:p>
              </w:tc>
            </w:tr>
            <w:tr w14:paraId="50E798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09C4F72E">
                  <w:pPr>
                    <w:jc w:val="center"/>
                    <w:rPr>
                      <w:rFonts w:hint="default" w:ascii="Times New Roman" w:hAnsi="Times New Roman" w:cs="Times New Roman"/>
                      <w:color w:val="FF0000"/>
                      <w:sz w:val="21"/>
                      <w:szCs w:val="21"/>
                      <w:highlight w:val="none"/>
                      <w:u w:val="single"/>
                    </w:rPr>
                  </w:pPr>
                </w:p>
              </w:tc>
              <w:tc>
                <w:tcPr>
                  <w:tcW w:w="314" w:type="pct"/>
                  <w:vAlign w:val="center"/>
                </w:tcPr>
                <w:p w14:paraId="08712A84">
                  <w:pPr>
                    <w:jc w:val="center"/>
                    <w:rPr>
                      <w:rFonts w:hint="eastAsia" w:cs="Times New Roman"/>
                      <w:i w:val="0"/>
                      <w:iCs w:val="0"/>
                      <w:color w:val="000000"/>
                      <w:kern w:val="0"/>
                      <w:sz w:val="21"/>
                      <w:szCs w:val="21"/>
                      <w:highlight w:val="none"/>
                      <w:u w:val="single"/>
                      <w:lang w:val="en-US" w:eastAsia="zh-CN" w:bidi="ar"/>
                    </w:rPr>
                  </w:pPr>
                  <w:r>
                    <w:rPr>
                      <w:rStyle w:val="203"/>
                      <w:rFonts w:hint="default" w:ascii="Times New Roman" w:hAnsi="Times New Roman" w:cs="Times New Roman"/>
                      <w:sz w:val="21"/>
                      <w:szCs w:val="21"/>
                      <w:highlight w:val="none"/>
                      <w:u w:val="single"/>
                      <w:vertAlign w:val="baseline"/>
                    </w:rPr>
                    <w:t>氨氮</w:t>
                  </w:r>
                </w:p>
              </w:tc>
              <w:tc>
                <w:tcPr>
                  <w:tcW w:w="495" w:type="pct"/>
                  <w:vAlign w:val="center"/>
                </w:tcPr>
                <w:p w14:paraId="1B9C207F">
                  <w:pPr>
                    <w:keepNext w:val="0"/>
                    <w:keepLines w:val="0"/>
                    <w:widowControl/>
                    <w:suppressLineNumbers w:val="0"/>
                    <w:jc w:val="center"/>
                    <w:textAlignment w:val="center"/>
                    <w:rPr>
                      <w:rFonts w:hint="default" w:cs="Times New Roman"/>
                      <w:color w:val="auto"/>
                      <w:sz w:val="21"/>
                      <w:szCs w:val="21"/>
                      <w:highlight w:val="none"/>
                      <w:u w:val="single"/>
                      <w:lang w:val="en-US" w:eastAsia="zh-CN"/>
                    </w:rPr>
                  </w:pPr>
                  <w:r>
                    <w:rPr>
                      <w:rFonts w:hint="eastAsia" w:cs="Times New Roman"/>
                      <w:i w:val="0"/>
                      <w:iCs w:val="0"/>
                      <w:color w:val="000000"/>
                      <w:kern w:val="0"/>
                      <w:sz w:val="21"/>
                      <w:szCs w:val="21"/>
                      <w:u w:val="single"/>
                      <w:lang w:val="en-US" w:eastAsia="zh-CN" w:bidi="ar"/>
                    </w:rPr>
                    <w:t>39.01</w:t>
                  </w:r>
                </w:p>
              </w:tc>
              <w:tc>
                <w:tcPr>
                  <w:tcW w:w="505" w:type="pct"/>
                  <w:vAlign w:val="center"/>
                </w:tcPr>
                <w:p w14:paraId="4C748664">
                  <w:pPr>
                    <w:keepNext w:val="0"/>
                    <w:keepLines w:val="0"/>
                    <w:widowControl/>
                    <w:suppressLineNumbers w:val="0"/>
                    <w:jc w:val="center"/>
                    <w:textAlignment w:val="center"/>
                    <w:rPr>
                      <w:rFonts w:hint="default" w:ascii="Times New Roman" w:hAnsi="Times New Roman" w:cs="Times New Roman"/>
                      <w:color w:val="FF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1.</w:t>
                  </w:r>
                  <w:r>
                    <w:rPr>
                      <w:rFonts w:hint="eastAsia" w:cs="Times New Roman"/>
                      <w:i w:val="0"/>
                      <w:iCs w:val="0"/>
                      <w:color w:val="000000"/>
                      <w:kern w:val="0"/>
                      <w:sz w:val="21"/>
                      <w:szCs w:val="21"/>
                      <w:u w:val="single"/>
                      <w:lang w:val="en-US" w:eastAsia="zh-CN" w:bidi="ar"/>
                    </w:rPr>
                    <w:t>085</w:t>
                  </w:r>
                  <w:r>
                    <w:rPr>
                      <w:rFonts w:hint="default" w:ascii="Times New Roman" w:hAnsi="Times New Roman" w:eastAsia="宋体" w:cs="Times New Roman"/>
                      <w:i w:val="0"/>
                      <w:iCs w:val="0"/>
                      <w:color w:val="000000"/>
                      <w:kern w:val="0"/>
                      <w:sz w:val="21"/>
                      <w:szCs w:val="21"/>
                      <w:u w:val="single"/>
                      <w:lang w:val="en-US" w:eastAsia="zh-CN" w:bidi="ar"/>
                    </w:rPr>
                    <w:t xml:space="preserve"> </w:t>
                  </w:r>
                </w:p>
              </w:tc>
              <w:tc>
                <w:tcPr>
                  <w:tcW w:w="359" w:type="pct"/>
                  <w:vMerge w:val="continue"/>
                  <w:vAlign w:val="center"/>
                </w:tcPr>
                <w:p w14:paraId="25E1C112">
                  <w:pPr>
                    <w:jc w:val="center"/>
                    <w:rPr>
                      <w:rFonts w:hint="default" w:ascii="Times New Roman" w:hAnsi="Times New Roman" w:cs="Times New Roman"/>
                      <w:sz w:val="21"/>
                      <w:szCs w:val="21"/>
                      <w:highlight w:val="yellow"/>
                      <w:u w:val="single"/>
                    </w:rPr>
                  </w:pPr>
                </w:p>
              </w:tc>
              <w:tc>
                <w:tcPr>
                  <w:tcW w:w="565" w:type="pct"/>
                  <w:vAlign w:val="center"/>
                </w:tcPr>
                <w:p w14:paraId="6399880C">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35</w:t>
                  </w:r>
                </w:p>
              </w:tc>
              <w:tc>
                <w:tcPr>
                  <w:tcW w:w="440" w:type="pct"/>
                  <w:vAlign w:val="center"/>
                </w:tcPr>
                <w:p w14:paraId="6582C8DC">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0.973 </w:t>
                  </w:r>
                </w:p>
              </w:tc>
              <w:tc>
                <w:tcPr>
                  <w:tcW w:w="427" w:type="pct"/>
                  <w:vAlign w:val="center"/>
                </w:tcPr>
                <w:p w14:paraId="1670DEE3">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35</w:t>
                  </w:r>
                  <w:r>
                    <w:rPr>
                      <w:rFonts w:hint="eastAsia"/>
                      <w:bCs/>
                      <w:sz w:val="21"/>
                      <w:szCs w:val="21"/>
                      <w:highlight w:val="none"/>
                      <w:u w:val="single"/>
                    </w:rPr>
                    <w:t>mg/L</w:t>
                  </w:r>
                </w:p>
              </w:tc>
              <w:tc>
                <w:tcPr>
                  <w:tcW w:w="716" w:type="pct"/>
                  <w:vMerge w:val="continue"/>
                  <w:vAlign w:val="center"/>
                </w:tcPr>
                <w:p w14:paraId="5B354E50">
                  <w:pPr>
                    <w:jc w:val="center"/>
                    <w:rPr>
                      <w:rFonts w:hint="eastAsia" w:eastAsia="等线" w:cs="Times New Roman"/>
                      <w:sz w:val="21"/>
                      <w:szCs w:val="21"/>
                      <w:highlight w:val="none"/>
                      <w:u w:val="single"/>
                      <w:lang w:val="en-US" w:eastAsia="zh-CN"/>
                    </w:rPr>
                  </w:pPr>
                </w:p>
              </w:tc>
              <w:tc>
                <w:tcPr>
                  <w:tcW w:w="358" w:type="pct"/>
                  <w:vAlign w:val="center"/>
                </w:tcPr>
                <w:p w14:paraId="79F19BC9">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5</w:t>
                  </w:r>
                </w:p>
              </w:tc>
              <w:tc>
                <w:tcPr>
                  <w:tcW w:w="594" w:type="dxa"/>
                  <w:vAlign w:val="center"/>
                </w:tcPr>
                <w:p w14:paraId="202E2FF8">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0.139</w:t>
                  </w:r>
                </w:p>
              </w:tc>
            </w:tr>
            <w:tr w14:paraId="5C3142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2E669929">
                  <w:pPr>
                    <w:jc w:val="center"/>
                    <w:rPr>
                      <w:rFonts w:hint="default" w:ascii="Times New Roman" w:hAnsi="Times New Roman" w:cs="Times New Roman"/>
                      <w:color w:val="FF0000"/>
                      <w:sz w:val="21"/>
                      <w:szCs w:val="21"/>
                      <w:highlight w:val="none"/>
                      <w:u w:val="single"/>
                    </w:rPr>
                  </w:pPr>
                </w:p>
              </w:tc>
              <w:tc>
                <w:tcPr>
                  <w:tcW w:w="314" w:type="pct"/>
                  <w:vAlign w:val="center"/>
                </w:tcPr>
                <w:p w14:paraId="1068F2CC">
                  <w:pPr>
                    <w:jc w:val="center"/>
                    <w:rPr>
                      <w:rFonts w:hint="eastAsia" w:cs="Times New Roman"/>
                      <w:i w:val="0"/>
                      <w:iCs w:val="0"/>
                      <w:color w:val="000000"/>
                      <w:kern w:val="0"/>
                      <w:sz w:val="21"/>
                      <w:szCs w:val="21"/>
                      <w:highlight w:val="none"/>
                      <w:u w:val="single"/>
                      <w:lang w:val="en-US" w:eastAsia="zh-CN" w:bidi="ar"/>
                    </w:rPr>
                  </w:pPr>
                  <w:r>
                    <w:rPr>
                      <w:rStyle w:val="203"/>
                      <w:rFonts w:hint="default" w:ascii="Times New Roman" w:hAnsi="Times New Roman" w:cs="Times New Roman"/>
                      <w:sz w:val="21"/>
                      <w:szCs w:val="21"/>
                      <w:highlight w:val="none"/>
                      <w:u w:val="single"/>
                      <w:vertAlign w:val="baseline"/>
                    </w:rPr>
                    <w:t>悬浮物</w:t>
                  </w:r>
                </w:p>
              </w:tc>
              <w:tc>
                <w:tcPr>
                  <w:tcW w:w="495" w:type="pct"/>
                  <w:vAlign w:val="center"/>
                </w:tcPr>
                <w:p w14:paraId="74886D97">
                  <w:pPr>
                    <w:keepNext w:val="0"/>
                    <w:keepLines w:val="0"/>
                    <w:widowControl/>
                    <w:suppressLineNumbers w:val="0"/>
                    <w:jc w:val="center"/>
                    <w:textAlignment w:val="center"/>
                    <w:rPr>
                      <w:rFonts w:hint="eastAsia" w:cs="Times New Roman"/>
                      <w:color w:val="auto"/>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361.76</w:t>
                  </w:r>
                </w:p>
              </w:tc>
              <w:tc>
                <w:tcPr>
                  <w:tcW w:w="505" w:type="pct"/>
                  <w:vAlign w:val="center"/>
                </w:tcPr>
                <w:p w14:paraId="21106050">
                  <w:pPr>
                    <w:keepNext w:val="0"/>
                    <w:keepLines w:val="0"/>
                    <w:widowControl/>
                    <w:suppressLineNumbers w:val="0"/>
                    <w:jc w:val="center"/>
                    <w:textAlignment w:val="center"/>
                    <w:rPr>
                      <w:rFonts w:hint="default" w:ascii="Times New Roman" w:hAnsi="Times New Roman" w:cs="Times New Roman"/>
                      <w:color w:val="FF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10.056 </w:t>
                  </w:r>
                </w:p>
              </w:tc>
              <w:tc>
                <w:tcPr>
                  <w:tcW w:w="359" w:type="pct"/>
                  <w:vMerge w:val="continue"/>
                  <w:vAlign w:val="center"/>
                </w:tcPr>
                <w:p w14:paraId="1AF345FD">
                  <w:pPr>
                    <w:jc w:val="center"/>
                    <w:rPr>
                      <w:rFonts w:hint="default" w:ascii="Times New Roman" w:hAnsi="Times New Roman" w:cs="Times New Roman"/>
                      <w:sz w:val="21"/>
                      <w:szCs w:val="21"/>
                      <w:highlight w:val="yellow"/>
                      <w:u w:val="single"/>
                    </w:rPr>
                  </w:pPr>
                </w:p>
              </w:tc>
              <w:tc>
                <w:tcPr>
                  <w:tcW w:w="565" w:type="pct"/>
                  <w:vAlign w:val="center"/>
                </w:tcPr>
                <w:p w14:paraId="1A4F15F9">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400</w:t>
                  </w:r>
                </w:p>
              </w:tc>
              <w:tc>
                <w:tcPr>
                  <w:tcW w:w="440" w:type="pct"/>
                  <w:vAlign w:val="center"/>
                </w:tcPr>
                <w:p w14:paraId="6506462E">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11.119 </w:t>
                  </w:r>
                </w:p>
              </w:tc>
              <w:tc>
                <w:tcPr>
                  <w:tcW w:w="427" w:type="pct"/>
                  <w:vAlign w:val="center"/>
                </w:tcPr>
                <w:p w14:paraId="188C34CC">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400</w:t>
                  </w:r>
                  <w:r>
                    <w:rPr>
                      <w:rFonts w:hint="eastAsia"/>
                      <w:bCs/>
                      <w:sz w:val="21"/>
                      <w:szCs w:val="21"/>
                      <w:highlight w:val="none"/>
                      <w:u w:val="single"/>
                    </w:rPr>
                    <w:t>mg/L</w:t>
                  </w:r>
                </w:p>
              </w:tc>
              <w:tc>
                <w:tcPr>
                  <w:tcW w:w="716" w:type="pct"/>
                  <w:vMerge w:val="continue"/>
                  <w:vAlign w:val="center"/>
                </w:tcPr>
                <w:p w14:paraId="36F093F7">
                  <w:pPr>
                    <w:jc w:val="center"/>
                    <w:rPr>
                      <w:rFonts w:hint="eastAsia" w:eastAsia="等线" w:cs="Times New Roman"/>
                      <w:sz w:val="21"/>
                      <w:szCs w:val="21"/>
                      <w:highlight w:val="none"/>
                      <w:u w:val="single"/>
                      <w:lang w:val="en-US" w:eastAsia="zh-CN"/>
                    </w:rPr>
                  </w:pPr>
                </w:p>
              </w:tc>
              <w:tc>
                <w:tcPr>
                  <w:tcW w:w="358" w:type="pct"/>
                  <w:vAlign w:val="center"/>
                </w:tcPr>
                <w:p w14:paraId="6B488D6D">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w:t>
                  </w:r>
                </w:p>
              </w:tc>
              <w:tc>
                <w:tcPr>
                  <w:tcW w:w="594" w:type="dxa"/>
                  <w:vAlign w:val="center"/>
                </w:tcPr>
                <w:p w14:paraId="224E0B59">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0.278</w:t>
                  </w:r>
                </w:p>
              </w:tc>
            </w:tr>
            <w:tr w14:paraId="404FE1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00C3A16A">
                  <w:pPr>
                    <w:jc w:val="center"/>
                    <w:rPr>
                      <w:rFonts w:hint="default" w:ascii="Times New Roman" w:hAnsi="Times New Roman" w:cs="Times New Roman"/>
                      <w:color w:val="FF0000"/>
                      <w:sz w:val="21"/>
                      <w:szCs w:val="21"/>
                      <w:highlight w:val="none"/>
                      <w:u w:val="single"/>
                    </w:rPr>
                  </w:pPr>
                </w:p>
              </w:tc>
              <w:tc>
                <w:tcPr>
                  <w:tcW w:w="314" w:type="pct"/>
                  <w:vAlign w:val="center"/>
                </w:tcPr>
                <w:p w14:paraId="6786C7E9">
                  <w:pPr>
                    <w:keepNext w:val="0"/>
                    <w:keepLines w:val="0"/>
                    <w:widowControl/>
                    <w:suppressLineNumbers w:val="0"/>
                    <w:jc w:val="center"/>
                    <w:textAlignment w:val="center"/>
                    <w:rPr>
                      <w:rFonts w:hint="eastAsia"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highlight w:val="none"/>
                      <w:u w:val="single"/>
                      <w:lang w:val="en-US" w:eastAsia="zh-CN" w:bidi="ar"/>
                    </w:rPr>
                    <w:t>总磷</w:t>
                  </w:r>
                </w:p>
              </w:tc>
              <w:tc>
                <w:tcPr>
                  <w:tcW w:w="495" w:type="pct"/>
                  <w:vAlign w:val="center"/>
                </w:tcPr>
                <w:p w14:paraId="343B7274">
                  <w:pPr>
                    <w:keepNext w:val="0"/>
                    <w:keepLines w:val="0"/>
                    <w:widowControl/>
                    <w:suppressLineNumbers w:val="0"/>
                    <w:jc w:val="center"/>
                    <w:textAlignment w:val="center"/>
                    <w:rPr>
                      <w:rFonts w:hint="eastAsia" w:cs="Times New Roman"/>
                      <w:color w:val="auto"/>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7.31</w:t>
                  </w:r>
                  <w:r>
                    <w:rPr>
                      <w:rFonts w:hint="eastAsia" w:cs="Times New Roman"/>
                      <w:i w:val="0"/>
                      <w:iCs w:val="0"/>
                      <w:color w:val="000000"/>
                      <w:kern w:val="0"/>
                      <w:sz w:val="21"/>
                      <w:szCs w:val="21"/>
                      <w:u w:val="single"/>
                      <w:lang w:val="en-US" w:eastAsia="zh-CN" w:bidi="ar"/>
                    </w:rPr>
                    <w:t>4</w:t>
                  </w:r>
                </w:p>
              </w:tc>
              <w:tc>
                <w:tcPr>
                  <w:tcW w:w="505" w:type="pct"/>
                  <w:vAlign w:val="center"/>
                </w:tcPr>
                <w:p w14:paraId="5D7E871C">
                  <w:pPr>
                    <w:keepNext w:val="0"/>
                    <w:keepLines w:val="0"/>
                    <w:widowControl/>
                    <w:suppressLineNumbers w:val="0"/>
                    <w:jc w:val="center"/>
                    <w:textAlignment w:val="center"/>
                    <w:rPr>
                      <w:rFonts w:hint="default" w:ascii="Times New Roman" w:hAnsi="Times New Roman" w:cs="Times New Roman"/>
                      <w:color w:val="FF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0.203 </w:t>
                  </w:r>
                </w:p>
              </w:tc>
              <w:tc>
                <w:tcPr>
                  <w:tcW w:w="359" w:type="pct"/>
                  <w:vMerge w:val="continue"/>
                  <w:vAlign w:val="center"/>
                </w:tcPr>
                <w:p w14:paraId="4905B9B9">
                  <w:pPr>
                    <w:jc w:val="center"/>
                    <w:rPr>
                      <w:rFonts w:hint="default" w:ascii="Times New Roman" w:hAnsi="Times New Roman" w:cs="Times New Roman"/>
                      <w:sz w:val="21"/>
                      <w:szCs w:val="21"/>
                      <w:highlight w:val="yellow"/>
                      <w:u w:val="single"/>
                    </w:rPr>
                  </w:pPr>
                </w:p>
              </w:tc>
              <w:tc>
                <w:tcPr>
                  <w:tcW w:w="565" w:type="pct"/>
                  <w:vAlign w:val="center"/>
                </w:tcPr>
                <w:p w14:paraId="4E5FE340">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6</w:t>
                  </w:r>
                </w:p>
              </w:tc>
              <w:tc>
                <w:tcPr>
                  <w:tcW w:w="440" w:type="pct"/>
                  <w:vAlign w:val="center"/>
                </w:tcPr>
                <w:p w14:paraId="0294E721">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0.167 </w:t>
                  </w:r>
                </w:p>
              </w:tc>
              <w:tc>
                <w:tcPr>
                  <w:tcW w:w="427" w:type="pct"/>
                  <w:vAlign w:val="center"/>
                </w:tcPr>
                <w:p w14:paraId="678974C8">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6</w:t>
                  </w:r>
                  <w:r>
                    <w:rPr>
                      <w:rFonts w:hint="eastAsia"/>
                      <w:bCs/>
                      <w:sz w:val="21"/>
                      <w:szCs w:val="21"/>
                      <w:highlight w:val="none"/>
                      <w:u w:val="single"/>
                    </w:rPr>
                    <w:t>mg/L</w:t>
                  </w:r>
                </w:p>
              </w:tc>
              <w:tc>
                <w:tcPr>
                  <w:tcW w:w="716" w:type="pct"/>
                  <w:vMerge w:val="continue"/>
                  <w:vAlign w:val="center"/>
                </w:tcPr>
                <w:p w14:paraId="07FC23D2">
                  <w:pPr>
                    <w:jc w:val="center"/>
                    <w:rPr>
                      <w:rFonts w:hint="eastAsia" w:eastAsia="等线" w:cs="Times New Roman"/>
                      <w:sz w:val="21"/>
                      <w:szCs w:val="21"/>
                      <w:highlight w:val="none"/>
                      <w:u w:val="single"/>
                      <w:lang w:val="en-US" w:eastAsia="zh-CN"/>
                    </w:rPr>
                  </w:pPr>
                </w:p>
              </w:tc>
              <w:tc>
                <w:tcPr>
                  <w:tcW w:w="358" w:type="pct"/>
                  <w:vAlign w:val="center"/>
                </w:tcPr>
                <w:p w14:paraId="551D0EE4">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0.5</w:t>
                  </w:r>
                </w:p>
              </w:tc>
              <w:tc>
                <w:tcPr>
                  <w:tcW w:w="594" w:type="dxa"/>
                  <w:vAlign w:val="center"/>
                </w:tcPr>
                <w:p w14:paraId="57CF3E8D">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0.014</w:t>
                  </w:r>
                </w:p>
              </w:tc>
            </w:tr>
            <w:tr w14:paraId="09C47D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1851B533">
                  <w:pPr>
                    <w:jc w:val="center"/>
                    <w:rPr>
                      <w:rFonts w:hint="default" w:ascii="Times New Roman" w:hAnsi="Times New Roman" w:cs="Times New Roman"/>
                      <w:color w:val="FF0000"/>
                      <w:sz w:val="21"/>
                      <w:szCs w:val="21"/>
                      <w:highlight w:val="none"/>
                      <w:u w:val="single"/>
                    </w:rPr>
                  </w:pPr>
                </w:p>
              </w:tc>
              <w:tc>
                <w:tcPr>
                  <w:tcW w:w="314" w:type="pct"/>
                  <w:vAlign w:val="center"/>
                </w:tcPr>
                <w:p w14:paraId="73CDAF25">
                  <w:pPr>
                    <w:keepNext w:val="0"/>
                    <w:keepLines w:val="0"/>
                    <w:widowControl/>
                    <w:suppressLineNumbers w:val="0"/>
                    <w:jc w:val="center"/>
                    <w:textAlignment w:val="center"/>
                    <w:rPr>
                      <w:rFonts w:hint="eastAsia" w:cs="Times New Roman"/>
                      <w:i w:val="0"/>
                      <w:iCs w:val="0"/>
                      <w:color w:val="000000"/>
                      <w:kern w:val="0"/>
                      <w:sz w:val="21"/>
                      <w:szCs w:val="21"/>
                      <w:highlight w:val="none"/>
                      <w:u w:val="single"/>
                      <w:lang w:val="en-US" w:eastAsia="zh-CN" w:bidi="ar"/>
                    </w:rPr>
                  </w:pPr>
                  <w:r>
                    <w:rPr>
                      <w:rFonts w:hint="default" w:ascii="Times New Roman" w:hAnsi="Times New Roman" w:eastAsia="宋体" w:cs="Times New Roman"/>
                      <w:i w:val="0"/>
                      <w:iCs w:val="0"/>
                      <w:color w:val="000000"/>
                      <w:kern w:val="0"/>
                      <w:sz w:val="21"/>
                      <w:szCs w:val="21"/>
                      <w:highlight w:val="none"/>
                      <w:u w:val="single"/>
                      <w:lang w:val="en-US" w:eastAsia="zh-CN" w:bidi="ar"/>
                    </w:rPr>
                    <w:t>总氮</w:t>
                  </w:r>
                </w:p>
              </w:tc>
              <w:tc>
                <w:tcPr>
                  <w:tcW w:w="495" w:type="pct"/>
                  <w:vAlign w:val="center"/>
                </w:tcPr>
                <w:p w14:paraId="3B9E329C">
                  <w:pPr>
                    <w:keepNext w:val="0"/>
                    <w:keepLines w:val="0"/>
                    <w:widowControl/>
                    <w:suppressLineNumbers w:val="0"/>
                    <w:jc w:val="center"/>
                    <w:textAlignment w:val="center"/>
                    <w:rPr>
                      <w:rFonts w:hint="eastAsia" w:cs="Times New Roman"/>
                      <w:color w:val="auto"/>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62.6</w:t>
                  </w:r>
                  <w:r>
                    <w:rPr>
                      <w:rFonts w:hint="eastAsia" w:cs="Times New Roman"/>
                      <w:i w:val="0"/>
                      <w:iCs w:val="0"/>
                      <w:color w:val="000000"/>
                      <w:kern w:val="0"/>
                      <w:sz w:val="21"/>
                      <w:szCs w:val="21"/>
                      <w:u w:val="single"/>
                      <w:lang w:val="en-US" w:eastAsia="zh-CN" w:bidi="ar"/>
                    </w:rPr>
                    <w:t>7</w:t>
                  </w:r>
                </w:p>
              </w:tc>
              <w:tc>
                <w:tcPr>
                  <w:tcW w:w="505" w:type="pct"/>
                  <w:vAlign w:val="center"/>
                </w:tcPr>
                <w:p w14:paraId="62F8B105">
                  <w:pPr>
                    <w:keepNext w:val="0"/>
                    <w:keepLines w:val="0"/>
                    <w:widowControl/>
                    <w:suppressLineNumbers w:val="0"/>
                    <w:jc w:val="center"/>
                    <w:textAlignment w:val="center"/>
                    <w:rPr>
                      <w:rFonts w:hint="default" w:ascii="Times New Roman" w:hAnsi="Times New Roman" w:cs="Times New Roman"/>
                      <w:color w:val="FF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1.742 </w:t>
                  </w:r>
                </w:p>
              </w:tc>
              <w:tc>
                <w:tcPr>
                  <w:tcW w:w="359" w:type="pct"/>
                  <w:vMerge w:val="continue"/>
                  <w:vAlign w:val="center"/>
                </w:tcPr>
                <w:p w14:paraId="5F5B9C87">
                  <w:pPr>
                    <w:jc w:val="center"/>
                    <w:rPr>
                      <w:rFonts w:hint="default" w:ascii="Times New Roman" w:hAnsi="Times New Roman" w:cs="Times New Roman"/>
                      <w:sz w:val="21"/>
                      <w:szCs w:val="21"/>
                      <w:highlight w:val="yellow"/>
                      <w:u w:val="single"/>
                    </w:rPr>
                  </w:pPr>
                </w:p>
              </w:tc>
              <w:tc>
                <w:tcPr>
                  <w:tcW w:w="565" w:type="pct"/>
                  <w:vAlign w:val="center"/>
                </w:tcPr>
                <w:p w14:paraId="64F755B3">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70</w:t>
                  </w:r>
                </w:p>
              </w:tc>
              <w:tc>
                <w:tcPr>
                  <w:tcW w:w="440" w:type="pct"/>
                  <w:vAlign w:val="center"/>
                </w:tcPr>
                <w:p w14:paraId="35C42C41">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1.946 </w:t>
                  </w:r>
                </w:p>
              </w:tc>
              <w:tc>
                <w:tcPr>
                  <w:tcW w:w="427" w:type="pct"/>
                  <w:vAlign w:val="center"/>
                </w:tcPr>
                <w:p w14:paraId="2DBCBD41">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70</w:t>
                  </w:r>
                  <w:r>
                    <w:rPr>
                      <w:rFonts w:hint="eastAsia"/>
                      <w:bCs/>
                      <w:sz w:val="21"/>
                      <w:szCs w:val="21"/>
                      <w:highlight w:val="none"/>
                      <w:u w:val="single"/>
                    </w:rPr>
                    <w:t>mg/L</w:t>
                  </w:r>
                </w:p>
              </w:tc>
              <w:tc>
                <w:tcPr>
                  <w:tcW w:w="716" w:type="pct"/>
                  <w:vMerge w:val="continue"/>
                  <w:vAlign w:val="center"/>
                </w:tcPr>
                <w:p w14:paraId="45F376F9">
                  <w:pPr>
                    <w:jc w:val="center"/>
                    <w:rPr>
                      <w:rFonts w:hint="eastAsia" w:eastAsia="等线" w:cs="Times New Roman"/>
                      <w:sz w:val="21"/>
                      <w:szCs w:val="21"/>
                      <w:highlight w:val="none"/>
                      <w:u w:val="single"/>
                      <w:lang w:val="en-US" w:eastAsia="zh-CN"/>
                    </w:rPr>
                  </w:pPr>
                </w:p>
              </w:tc>
              <w:tc>
                <w:tcPr>
                  <w:tcW w:w="358" w:type="pct"/>
                  <w:vAlign w:val="center"/>
                </w:tcPr>
                <w:p w14:paraId="46194DCF">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07E7E45E">
                  <w:pPr>
                    <w:jc w:val="center"/>
                    <w:rPr>
                      <w:rFonts w:hint="eastAsia" w:eastAsia="等线" w:cs="Times New Roman"/>
                      <w:sz w:val="21"/>
                      <w:szCs w:val="21"/>
                      <w:highlight w:val="none"/>
                      <w:u w:val="single"/>
                      <w:lang w:val="en-US" w:eastAsia="zh-CN"/>
                    </w:rPr>
                  </w:pPr>
                </w:p>
              </w:tc>
            </w:tr>
            <w:tr w14:paraId="003F78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1C89B3BB">
                  <w:pPr>
                    <w:jc w:val="center"/>
                    <w:rPr>
                      <w:rFonts w:hint="default" w:ascii="Times New Roman" w:hAnsi="Times New Roman" w:cs="Times New Roman"/>
                      <w:color w:val="FF0000"/>
                      <w:sz w:val="21"/>
                      <w:szCs w:val="21"/>
                      <w:highlight w:val="none"/>
                      <w:u w:val="single"/>
                    </w:rPr>
                  </w:pPr>
                </w:p>
              </w:tc>
              <w:tc>
                <w:tcPr>
                  <w:tcW w:w="314" w:type="pct"/>
                  <w:vAlign w:val="center"/>
                </w:tcPr>
                <w:p w14:paraId="537DF86C">
                  <w:pPr>
                    <w:keepNext w:val="0"/>
                    <w:keepLines w:val="0"/>
                    <w:widowControl/>
                    <w:suppressLineNumbers w:val="0"/>
                    <w:jc w:val="center"/>
                    <w:textAlignment w:val="center"/>
                    <w:rPr>
                      <w:rFonts w:hint="eastAsia" w:cs="Times New Roman"/>
                      <w:i w:val="0"/>
                      <w:iCs w:val="0"/>
                      <w:color w:val="000000"/>
                      <w:kern w:val="0"/>
                      <w:sz w:val="21"/>
                      <w:szCs w:val="21"/>
                      <w:highlight w:val="none"/>
                      <w:u w:val="single"/>
                      <w:lang w:val="en-US" w:eastAsia="zh-CN" w:bidi="ar"/>
                    </w:rPr>
                  </w:pPr>
                  <w:r>
                    <w:rPr>
                      <w:rFonts w:hint="eastAsia" w:cs="Times New Roman"/>
                      <w:i w:val="0"/>
                      <w:iCs w:val="0"/>
                      <w:color w:val="000000"/>
                      <w:kern w:val="0"/>
                      <w:sz w:val="21"/>
                      <w:szCs w:val="21"/>
                      <w:highlight w:val="none"/>
                      <w:u w:val="single"/>
                      <w:lang w:val="en-US" w:eastAsia="zh-CN" w:bidi="ar"/>
                    </w:rPr>
                    <w:t>动植物油</w:t>
                  </w:r>
                </w:p>
              </w:tc>
              <w:tc>
                <w:tcPr>
                  <w:tcW w:w="495" w:type="pct"/>
                  <w:vAlign w:val="center"/>
                </w:tcPr>
                <w:p w14:paraId="05529D93">
                  <w:pPr>
                    <w:keepNext w:val="0"/>
                    <w:keepLines w:val="0"/>
                    <w:widowControl/>
                    <w:suppressLineNumbers w:val="0"/>
                    <w:jc w:val="center"/>
                    <w:textAlignment w:val="center"/>
                    <w:rPr>
                      <w:rFonts w:hint="eastAsia" w:cs="Times New Roman"/>
                      <w:color w:val="auto"/>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45.</w:t>
                  </w:r>
                  <w:r>
                    <w:rPr>
                      <w:rFonts w:hint="eastAsia" w:cs="Times New Roman"/>
                      <w:i w:val="0"/>
                      <w:iCs w:val="0"/>
                      <w:color w:val="000000"/>
                      <w:kern w:val="0"/>
                      <w:sz w:val="21"/>
                      <w:szCs w:val="21"/>
                      <w:u w:val="single"/>
                      <w:lang w:val="en-US" w:eastAsia="zh-CN" w:bidi="ar"/>
                    </w:rPr>
                    <w:t>2</w:t>
                  </w:r>
                </w:p>
              </w:tc>
              <w:tc>
                <w:tcPr>
                  <w:tcW w:w="505" w:type="pct"/>
                  <w:vAlign w:val="center"/>
                </w:tcPr>
                <w:p w14:paraId="15D396B9">
                  <w:pPr>
                    <w:keepNext w:val="0"/>
                    <w:keepLines w:val="0"/>
                    <w:widowControl/>
                    <w:suppressLineNumbers w:val="0"/>
                    <w:jc w:val="center"/>
                    <w:textAlignment w:val="center"/>
                    <w:rPr>
                      <w:rFonts w:hint="default" w:ascii="Times New Roman" w:hAnsi="Times New Roman" w:cs="Times New Roman"/>
                      <w:color w:val="FF0000"/>
                      <w:kern w:val="0"/>
                      <w:sz w:val="21"/>
                      <w:szCs w:val="21"/>
                      <w:highlight w:val="none"/>
                      <w:u w:val="single"/>
                      <w:lang w:bidi="ar"/>
                    </w:rPr>
                  </w:pPr>
                  <w:r>
                    <w:rPr>
                      <w:rFonts w:hint="default" w:ascii="Times New Roman" w:hAnsi="Times New Roman" w:eastAsia="宋体" w:cs="Times New Roman"/>
                      <w:i w:val="0"/>
                      <w:iCs w:val="0"/>
                      <w:color w:val="000000"/>
                      <w:kern w:val="0"/>
                      <w:sz w:val="21"/>
                      <w:szCs w:val="21"/>
                      <w:u w:val="single"/>
                      <w:lang w:val="en-US" w:eastAsia="zh-CN" w:bidi="ar"/>
                    </w:rPr>
                    <w:t xml:space="preserve">1.256 </w:t>
                  </w:r>
                </w:p>
              </w:tc>
              <w:tc>
                <w:tcPr>
                  <w:tcW w:w="359" w:type="pct"/>
                  <w:vMerge w:val="continue"/>
                  <w:vAlign w:val="center"/>
                </w:tcPr>
                <w:p w14:paraId="6A2CBA04">
                  <w:pPr>
                    <w:jc w:val="center"/>
                    <w:rPr>
                      <w:rFonts w:hint="default" w:ascii="Times New Roman" w:hAnsi="Times New Roman" w:cs="Times New Roman"/>
                      <w:sz w:val="21"/>
                      <w:szCs w:val="21"/>
                      <w:highlight w:val="yellow"/>
                      <w:u w:val="single"/>
                    </w:rPr>
                  </w:pPr>
                </w:p>
              </w:tc>
              <w:tc>
                <w:tcPr>
                  <w:tcW w:w="565" w:type="pct"/>
                  <w:vAlign w:val="center"/>
                </w:tcPr>
                <w:p w14:paraId="42B5BE8F">
                  <w:pPr>
                    <w:keepNext w:val="0"/>
                    <w:keepLines w:val="0"/>
                    <w:widowControl/>
                    <w:suppressLineNumbers w:val="0"/>
                    <w:jc w:val="center"/>
                    <w:textAlignment w:val="center"/>
                    <w:rPr>
                      <w:rFonts w:hint="default" w:ascii="Times New Roman" w:hAnsi="Times New Roman"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100</w:t>
                  </w:r>
                </w:p>
              </w:tc>
              <w:tc>
                <w:tcPr>
                  <w:tcW w:w="440" w:type="pct"/>
                  <w:vAlign w:val="center"/>
                </w:tcPr>
                <w:p w14:paraId="25AF752E">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 xml:space="preserve">2.780 </w:t>
                  </w:r>
                </w:p>
              </w:tc>
              <w:tc>
                <w:tcPr>
                  <w:tcW w:w="427" w:type="pct"/>
                  <w:vAlign w:val="center"/>
                </w:tcPr>
                <w:p w14:paraId="6E198DAE">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100</w:t>
                  </w:r>
                  <w:r>
                    <w:rPr>
                      <w:rFonts w:hint="eastAsia"/>
                      <w:bCs/>
                      <w:sz w:val="21"/>
                      <w:szCs w:val="21"/>
                      <w:highlight w:val="none"/>
                      <w:u w:val="single"/>
                    </w:rPr>
                    <w:t>mg/L</w:t>
                  </w:r>
                </w:p>
              </w:tc>
              <w:tc>
                <w:tcPr>
                  <w:tcW w:w="716" w:type="pct"/>
                  <w:vMerge w:val="continue"/>
                  <w:vAlign w:val="center"/>
                </w:tcPr>
                <w:p w14:paraId="36F43733">
                  <w:pPr>
                    <w:jc w:val="center"/>
                    <w:rPr>
                      <w:rFonts w:hint="eastAsia" w:eastAsia="等线" w:cs="Times New Roman"/>
                      <w:sz w:val="21"/>
                      <w:szCs w:val="21"/>
                      <w:highlight w:val="none"/>
                      <w:u w:val="single"/>
                      <w:lang w:val="en-US" w:eastAsia="zh-CN"/>
                    </w:rPr>
                  </w:pPr>
                </w:p>
              </w:tc>
              <w:tc>
                <w:tcPr>
                  <w:tcW w:w="358" w:type="pct"/>
                  <w:vAlign w:val="center"/>
                </w:tcPr>
                <w:p w14:paraId="16F76DE2">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14601D3D">
                  <w:pPr>
                    <w:jc w:val="center"/>
                    <w:rPr>
                      <w:rFonts w:hint="eastAsia" w:eastAsia="等线" w:cs="Times New Roman"/>
                      <w:sz w:val="21"/>
                      <w:szCs w:val="21"/>
                      <w:highlight w:val="none"/>
                      <w:u w:val="single"/>
                      <w:lang w:val="en-US" w:eastAsia="zh-CN"/>
                    </w:rPr>
                  </w:pPr>
                </w:p>
              </w:tc>
            </w:tr>
            <w:tr w14:paraId="7FE724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2BC5AA68">
                  <w:pPr>
                    <w:jc w:val="center"/>
                    <w:rPr>
                      <w:rFonts w:hint="default" w:ascii="Times New Roman" w:hAnsi="Times New Roman" w:cs="Times New Roman"/>
                      <w:color w:val="FF0000"/>
                      <w:sz w:val="21"/>
                      <w:szCs w:val="21"/>
                      <w:highlight w:val="none"/>
                      <w:u w:val="single"/>
                    </w:rPr>
                  </w:pPr>
                </w:p>
              </w:tc>
              <w:tc>
                <w:tcPr>
                  <w:tcW w:w="314" w:type="pct"/>
                  <w:vAlign w:val="center"/>
                </w:tcPr>
                <w:p w14:paraId="2129BED6">
                  <w:pPr>
                    <w:keepNext w:val="0"/>
                    <w:keepLines w:val="0"/>
                    <w:widowControl/>
                    <w:suppressLineNumbers w:val="0"/>
                    <w:jc w:val="center"/>
                    <w:textAlignment w:val="center"/>
                    <w:rPr>
                      <w:rFonts w:hint="eastAsia" w:cs="Times New Roman"/>
                      <w:i w:val="0"/>
                      <w:iCs w:val="0"/>
                      <w:color w:val="000000"/>
                      <w:kern w:val="0"/>
                      <w:sz w:val="21"/>
                      <w:szCs w:val="21"/>
                      <w:highlight w:val="none"/>
                      <w:u w:val="single"/>
                      <w:lang w:val="en-US" w:eastAsia="zh-CN" w:bidi="ar"/>
                    </w:rPr>
                  </w:pPr>
                  <w:r>
                    <w:rPr>
                      <w:rFonts w:hint="eastAsia" w:cs="Times New Roman"/>
                      <w:i w:val="0"/>
                      <w:iCs w:val="0"/>
                      <w:color w:val="000000"/>
                      <w:kern w:val="0"/>
                      <w:sz w:val="21"/>
                      <w:szCs w:val="21"/>
                      <w:highlight w:val="none"/>
                      <w:u w:val="single"/>
                      <w:lang w:val="en-US" w:eastAsia="zh-CN" w:bidi="ar"/>
                    </w:rPr>
                    <w:t>氯化物</w:t>
                  </w:r>
                </w:p>
              </w:tc>
              <w:tc>
                <w:tcPr>
                  <w:tcW w:w="495" w:type="pct"/>
                  <w:vAlign w:val="center"/>
                </w:tcPr>
                <w:p w14:paraId="0CA44DD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58.4</w:t>
                  </w:r>
                  <w:r>
                    <w:rPr>
                      <w:rFonts w:hint="eastAsia" w:cs="Times New Roman"/>
                      <w:i w:val="0"/>
                      <w:iCs w:val="0"/>
                      <w:color w:val="000000"/>
                      <w:kern w:val="0"/>
                      <w:sz w:val="21"/>
                      <w:szCs w:val="21"/>
                      <w:u w:val="single"/>
                      <w:lang w:val="en-US" w:eastAsia="zh-CN" w:bidi="ar"/>
                    </w:rPr>
                    <w:t>6</w:t>
                  </w:r>
                </w:p>
              </w:tc>
              <w:tc>
                <w:tcPr>
                  <w:tcW w:w="505" w:type="pct"/>
                  <w:vAlign w:val="center"/>
                </w:tcPr>
                <w:p w14:paraId="374164F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1.62</w:t>
                  </w:r>
                  <w:r>
                    <w:rPr>
                      <w:rFonts w:hint="eastAsia" w:cs="Times New Roman"/>
                      <w:i w:val="0"/>
                      <w:iCs w:val="0"/>
                      <w:color w:val="000000"/>
                      <w:kern w:val="0"/>
                      <w:sz w:val="21"/>
                      <w:szCs w:val="21"/>
                      <w:u w:val="single"/>
                      <w:lang w:val="en-US" w:eastAsia="zh-CN" w:bidi="ar"/>
                    </w:rPr>
                    <w:t>5</w:t>
                  </w:r>
                </w:p>
              </w:tc>
              <w:tc>
                <w:tcPr>
                  <w:tcW w:w="359" w:type="pct"/>
                  <w:vMerge w:val="continue"/>
                  <w:vAlign w:val="center"/>
                </w:tcPr>
                <w:p w14:paraId="66C68E02">
                  <w:pPr>
                    <w:jc w:val="center"/>
                    <w:rPr>
                      <w:rFonts w:hint="default" w:ascii="Times New Roman" w:hAnsi="Times New Roman" w:cs="Times New Roman"/>
                      <w:sz w:val="21"/>
                      <w:szCs w:val="21"/>
                      <w:highlight w:val="yellow"/>
                      <w:u w:val="single"/>
                    </w:rPr>
                  </w:pPr>
                </w:p>
              </w:tc>
              <w:tc>
                <w:tcPr>
                  <w:tcW w:w="565" w:type="pct"/>
                  <w:vAlign w:val="center"/>
                </w:tcPr>
                <w:p w14:paraId="67C74F51">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800</w:t>
                  </w:r>
                </w:p>
              </w:tc>
              <w:tc>
                <w:tcPr>
                  <w:tcW w:w="440" w:type="pct"/>
                  <w:vAlign w:val="center"/>
                </w:tcPr>
                <w:p w14:paraId="01EA1E0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22.238 </w:t>
                  </w:r>
                </w:p>
              </w:tc>
              <w:tc>
                <w:tcPr>
                  <w:tcW w:w="427" w:type="pct"/>
                  <w:vAlign w:val="center"/>
                </w:tcPr>
                <w:p w14:paraId="50882878">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800</w:t>
                  </w:r>
                  <w:r>
                    <w:rPr>
                      <w:rFonts w:hint="eastAsia"/>
                      <w:bCs/>
                      <w:sz w:val="21"/>
                      <w:szCs w:val="21"/>
                      <w:highlight w:val="none"/>
                      <w:u w:val="single"/>
                    </w:rPr>
                    <w:t>mg/L</w:t>
                  </w:r>
                </w:p>
              </w:tc>
              <w:tc>
                <w:tcPr>
                  <w:tcW w:w="716" w:type="pct"/>
                  <w:vMerge w:val="continue"/>
                  <w:vAlign w:val="center"/>
                </w:tcPr>
                <w:p w14:paraId="752AF960">
                  <w:pPr>
                    <w:jc w:val="center"/>
                    <w:rPr>
                      <w:rFonts w:hint="eastAsia" w:eastAsia="等线" w:cs="Times New Roman"/>
                      <w:sz w:val="21"/>
                      <w:szCs w:val="21"/>
                      <w:highlight w:val="none"/>
                      <w:u w:val="single"/>
                      <w:lang w:val="en-US" w:eastAsia="zh-CN"/>
                    </w:rPr>
                  </w:pPr>
                </w:p>
              </w:tc>
              <w:tc>
                <w:tcPr>
                  <w:tcW w:w="358" w:type="pct"/>
                  <w:vAlign w:val="center"/>
                </w:tcPr>
                <w:p w14:paraId="669D01C1">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695C68DB">
                  <w:pPr>
                    <w:jc w:val="center"/>
                    <w:rPr>
                      <w:rFonts w:hint="eastAsia" w:eastAsia="等线" w:cs="Times New Roman"/>
                      <w:sz w:val="21"/>
                      <w:szCs w:val="21"/>
                      <w:highlight w:val="none"/>
                      <w:u w:val="single"/>
                      <w:lang w:val="en-US" w:eastAsia="zh-CN"/>
                    </w:rPr>
                  </w:pPr>
                </w:p>
              </w:tc>
            </w:tr>
            <w:tr w14:paraId="159F53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9" w:type="pct"/>
                  <w:vMerge w:val="continue"/>
                  <w:vAlign w:val="center"/>
                </w:tcPr>
                <w:p w14:paraId="26AF7380">
                  <w:pPr>
                    <w:jc w:val="center"/>
                    <w:rPr>
                      <w:rFonts w:hint="default" w:ascii="Times New Roman" w:hAnsi="Times New Roman" w:cs="Times New Roman"/>
                      <w:color w:val="FF0000"/>
                      <w:sz w:val="21"/>
                      <w:szCs w:val="21"/>
                      <w:highlight w:val="none"/>
                      <w:u w:val="single"/>
                    </w:rPr>
                  </w:pPr>
                </w:p>
              </w:tc>
              <w:tc>
                <w:tcPr>
                  <w:tcW w:w="314" w:type="pct"/>
                  <w:vAlign w:val="center"/>
                </w:tcPr>
                <w:p w14:paraId="07949B5F">
                  <w:pPr>
                    <w:keepNext w:val="0"/>
                    <w:keepLines w:val="0"/>
                    <w:widowControl/>
                    <w:suppressLineNumbers w:val="0"/>
                    <w:jc w:val="center"/>
                    <w:textAlignment w:val="center"/>
                    <w:rPr>
                      <w:rFonts w:hint="eastAsia" w:cs="Times New Roman"/>
                      <w:i w:val="0"/>
                      <w:iCs w:val="0"/>
                      <w:color w:val="000000"/>
                      <w:kern w:val="0"/>
                      <w:sz w:val="21"/>
                      <w:szCs w:val="21"/>
                      <w:highlight w:val="none"/>
                      <w:u w:val="single"/>
                      <w:lang w:val="en-US" w:eastAsia="zh-CN" w:bidi="ar"/>
                    </w:rPr>
                  </w:pPr>
                  <w:r>
                    <w:rPr>
                      <w:rFonts w:hint="eastAsia" w:cs="Times New Roman"/>
                      <w:i w:val="0"/>
                      <w:iCs w:val="0"/>
                      <w:color w:val="000000"/>
                      <w:kern w:val="0"/>
                      <w:sz w:val="21"/>
                      <w:szCs w:val="21"/>
                      <w:highlight w:val="none"/>
                      <w:u w:val="single"/>
                      <w:lang w:val="en-US" w:eastAsia="zh-CN" w:bidi="ar"/>
                    </w:rPr>
                    <w:t>LAS</w:t>
                  </w:r>
                </w:p>
              </w:tc>
              <w:tc>
                <w:tcPr>
                  <w:tcW w:w="495" w:type="pct"/>
                  <w:vAlign w:val="center"/>
                </w:tcPr>
                <w:p w14:paraId="5C6FDA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2.92</w:t>
                  </w:r>
                  <w:r>
                    <w:rPr>
                      <w:rFonts w:hint="eastAsia" w:cs="Times New Roman"/>
                      <w:i w:val="0"/>
                      <w:iCs w:val="0"/>
                      <w:color w:val="000000"/>
                      <w:kern w:val="0"/>
                      <w:sz w:val="21"/>
                      <w:szCs w:val="21"/>
                      <w:u w:val="single"/>
                      <w:lang w:val="en-US" w:eastAsia="zh-CN" w:bidi="ar"/>
                    </w:rPr>
                    <w:t>3</w:t>
                  </w:r>
                </w:p>
              </w:tc>
              <w:tc>
                <w:tcPr>
                  <w:tcW w:w="505" w:type="pct"/>
                  <w:vAlign w:val="center"/>
                </w:tcPr>
                <w:p w14:paraId="56D4846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0.0812</w:t>
                  </w:r>
                  <w:r>
                    <w:rPr>
                      <w:rFonts w:hint="eastAsia" w:cs="Times New Roman"/>
                      <w:i w:val="0"/>
                      <w:iCs w:val="0"/>
                      <w:color w:val="000000"/>
                      <w:kern w:val="0"/>
                      <w:sz w:val="21"/>
                      <w:szCs w:val="21"/>
                      <w:u w:val="single"/>
                      <w:lang w:val="en-US" w:eastAsia="zh-CN" w:bidi="ar"/>
                    </w:rPr>
                    <w:t>5</w:t>
                  </w:r>
                </w:p>
              </w:tc>
              <w:tc>
                <w:tcPr>
                  <w:tcW w:w="359" w:type="pct"/>
                  <w:vMerge w:val="continue"/>
                  <w:vAlign w:val="center"/>
                </w:tcPr>
                <w:p w14:paraId="63A8C1B8">
                  <w:pPr>
                    <w:jc w:val="center"/>
                    <w:rPr>
                      <w:rFonts w:hint="default" w:ascii="Times New Roman" w:hAnsi="Times New Roman" w:cs="Times New Roman"/>
                      <w:sz w:val="21"/>
                      <w:szCs w:val="21"/>
                      <w:highlight w:val="yellow"/>
                      <w:u w:val="single"/>
                    </w:rPr>
                  </w:pPr>
                </w:p>
              </w:tc>
              <w:tc>
                <w:tcPr>
                  <w:tcW w:w="565" w:type="pct"/>
                  <w:vAlign w:val="center"/>
                </w:tcPr>
                <w:p w14:paraId="440ABB0E">
                  <w:pPr>
                    <w:keepNext w:val="0"/>
                    <w:keepLines w:val="0"/>
                    <w:widowControl/>
                    <w:suppressLineNumbers w:val="0"/>
                    <w:jc w:val="center"/>
                    <w:textAlignment w:val="center"/>
                    <w:rPr>
                      <w:rFonts w:hint="eastAsia" w:eastAsia="等线" w:cs="Times New Roman"/>
                      <w:sz w:val="21"/>
                      <w:szCs w:val="21"/>
                      <w:highlight w:val="none"/>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20</w:t>
                  </w:r>
                </w:p>
              </w:tc>
              <w:tc>
                <w:tcPr>
                  <w:tcW w:w="440" w:type="pct"/>
                  <w:vAlign w:val="center"/>
                </w:tcPr>
                <w:p w14:paraId="42A214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 xml:space="preserve">0.556 </w:t>
                  </w:r>
                </w:p>
              </w:tc>
              <w:tc>
                <w:tcPr>
                  <w:tcW w:w="427" w:type="pct"/>
                  <w:vAlign w:val="center"/>
                </w:tcPr>
                <w:p w14:paraId="1321EDBF">
                  <w:pPr>
                    <w:jc w:val="center"/>
                    <w:rPr>
                      <w:rFonts w:hint="eastAsia"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20</w:t>
                  </w:r>
                  <w:r>
                    <w:rPr>
                      <w:rFonts w:hint="eastAsia"/>
                      <w:bCs/>
                      <w:sz w:val="21"/>
                      <w:szCs w:val="21"/>
                      <w:highlight w:val="none"/>
                      <w:u w:val="single"/>
                    </w:rPr>
                    <w:t>mg/L</w:t>
                  </w:r>
                </w:p>
              </w:tc>
              <w:tc>
                <w:tcPr>
                  <w:tcW w:w="716" w:type="pct"/>
                  <w:vMerge w:val="continue"/>
                  <w:vAlign w:val="center"/>
                </w:tcPr>
                <w:p w14:paraId="1560954C">
                  <w:pPr>
                    <w:jc w:val="center"/>
                    <w:rPr>
                      <w:rFonts w:hint="eastAsia" w:eastAsia="等线" w:cs="Times New Roman"/>
                      <w:sz w:val="21"/>
                      <w:szCs w:val="21"/>
                      <w:highlight w:val="none"/>
                      <w:u w:val="single"/>
                      <w:lang w:val="en-US" w:eastAsia="zh-CN"/>
                    </w:rPr>
                  </w:pPr>
                </w:p>
              </w:tc>
              <w:tc>
                <w:tcPr>
                  <w:tcW w:w="358" w:type="pct"/>
                  <w:vAlign w:val="center"/>
                </w:tcPr>
                <w:p w14:paraId="1FD5298A">
                  <w:pPr>
                    <w:jc w:val="center"/>
                    <w:rPr>
                      <w:rFonts w:hint="default" w:eastAsia="等线" w:cs="Times New Roman"/>
                      <w:sz w:val="21"/>
                      <w:szCs w:val="21"/>
                      <w:highlight w:val="none"/>
                      <w:u w:val="single"/>
                      <w:lang w:val="en-US" w:eastAsia="zh-CN"/>
                    </w:rPr>
                  </w:pPr>
                  <w:r>
                    <w:rPr>
                      <w:rFonts w:hint="eastAsia" w:eastAsia="等线" w:cs="Times New Roman"/>
                      <w:sz w:val="21"/>
                      <w:szCs w:val="21"/>
                      <w:highlight w:val="none"/>
                      <w:u w:val="single"/>
                      <w:lang w:val="en-US" w:eastAsia="zh-CN"/>
                    </w:rPr>
                    <w:t>/</w:t>
                  </w:r>
                </w:p>
              </w:tc>
              <w:tc>
                <w:tcPr>
                  <w:tcW w:w="358" w:type="pct"/>
                  <w:vAlign w:val="center"/>
                </w:tcPr>
                <w:p w14:paraId="295C12EE">
                  <w:pPr>
                    <w:jc w:val="center"/>
                    <w:rPr>
                      <w:rFonts w:hint="eastAsia" w:eastAsia="等线" w:cs="Times New Roman"/>
                      <w:sz w:val="21"/>
                      <w:szCs w:val="21"/>
                      <w:highlight w:val="none"/>
                      <w:u w:val="single"/>
                      <w:lang w:val="en-US" w:eastAsia="zh-CN"/>
                    </w:rPr>
                  </w:pPr>
                </w:p>
              </w:tc>
            </w:tr>
          </w:tbl>
          <w:p w14:paraId="68A3ACDB">
            <w:pPr>
              <w:adjustRightInd w:val="0"/>
              <w:snapToGrid w:val="0"/>
              <w:spacing w:line="360" w:lineRule="auto"/>
              <w:ind w:firstLine="480" w:firstLineChars="200"/>
              <w:rPr>
                <w:rFonts w:hint="eastAsia"/>
                <w:color w:val="000000"/>
                <w:sz w:val="24"/>
                <w:szCs w:val="24"/>
                <w:u w:val="none"/>
              </w:rPr>
            </w:pPr>
            <w:r>
              <w:rPr>
                <w:color w:val="000000"/>
                <w:sz w:val="24"/>
                <w:szCs w:val="24"/>
                <w:u w:val="none"/>
              </w:rPr>
              <w:t>根据本项目上述废水污染物产生及排放情况、水污染治理情况等内容，运营期废水主要是生活污水</w:t>
            </w:r>
            <w:r>
              <w:rPr>
                <w:rFonts w:hint="eastAsia"/>
                <w:color w:val="000000"/>
                <w:sz w:val="24"/>
                <w:szCs w:val="24"/>
                <w:u w:val="none"/>
              </w:rPr>
              <w:t>及医疗废水</w:t>
            </w:r>
            <w:r>
              <w:rPr>
                <w:color w:val="000000"/>
                <w:sz w:val="24"/>
                <w:szCs w:val="24"/>
                <w:u w:val="none"/>
              </w:rPr>
              <w:t>。</w:t>
            </w:r>
            <w:r>
              <w:rPr>
                <w:rFonts w:hint="eastAsia"/>
                <w:color w:val="000000"/>
                <w:sz w:val="24"/>
                <w:szCs w:val="24"/>
                <w:u w:val="none"/>
                <w:lang w:val="en-US" w:eastAsia="zh-CN"/>
              </w:rPr>
              <w:t>综合医疗</w:t>
            </w:r>
            <w:r>
              <w:rPr>
                <w:rFonts w:hint="eastAsia"/>
                <w:color w:val="000000"/>
                <w:sz w:val="24"/>
                <w:szCs w:val="24"/>
                <w:u w:val="none"/>
              </w:rPr>
              <w:t>废水</w:t>
            </w:r>
            <w:r>
              <w:rPr>
                <w:color w:val="000000"/>
                <w:sz w:val="24"/>
                <w:szCs w:val="24"/>
                <w:u w:val="none"/>
              </w:rPr>
              <w:t>经</w:t>
            </w:r>
            <w:r>
              <w:rPr>
                <w:rFonts w:hint="eastAsia"/>
                <w:color w:val="000000"/>
                <w:sz w:val="24"/>
                <w:szCs w:val="24"/>
                <w:u w:val="none"/>
                <w:lang w:val="en-US" w:eastAsia="zh-CN"/>
              </w:rPr>
              <w:t>自建</w:t>
            </w:r>
            <w:r>
              <w:rPr>
                <w:rFonts w:hint="eastAsia"/>
                <w:color w:val="000000"/>
                <w:sz w:val="24"/>
                <w:szCs w:val="24"/>
                <w:u w:val="none"/>
              </w:rPr>
              <w:t>污水处理设施</w:t>
            </w:r>
            <w:r>
              <w:rPr>
                <w:color w:val="000000"/>
                <w:sz w:val="24"/>
                <w:szCs w:val="24"/>
                <w:u w:val="none"/>
              </w:rPr>
              <w:t>处理</w:t>
            </w:r>
            <w:r>
              <w:rPr>
                <w:rFonts w:hint="eastAsia"/>
                <w:color w:val="000000"/>
                <w:sz w:val="24"/>
                <w:szCs w:val="24"/>
                <w:u w:val="none"/>
                <w:lang w:eastAsia="zh-CN"/>
              </w:rPr>
              <w:t>达到</w:t>
            </w:r>
            <w:r>
              <w:rPr>
                <w:rFonts w:hint="eastAsia"/>
                <w:bCs/>
                <w:sz w:val="24"/>
                <w:szCs w:val="24"/>
              </w:rPr>
              <w:t>《医疗机构水污染物排放标准》</w:t>
            </w:r>
            <w:r>
              <w:rPr>
                <w:rFonts w:hint="eastAsia" w:ascii="宋体" w:hAnsi="宋体" w:eastAsia="宋体" w:cs="宋体"/>
                <w:bCs/>
                <w:sz w:val="24"/>
                <w:szCs w:val="24"/>
              </w:rPr>
              <w:t>(</w:t>
            </w:r>
            <w:r>
              <w:rPr>
                <w:rFonts w:hint="eastAsia"/>
                <w:bCs/>
                <w:sz w:val="24"/>
                <w:szCs w:val="24"/>
              </w:rPr>
              <w:t>GB18466-2005</w:t>
            </w:r>
            <w:r>
              <w:rPr>
                <w:rFonts w:hint="eastAsia" w:ascii="宋体" w:hAnsi="宋体" w:eastAsia="宋体" w:cs="宋体"/>
                <w:bCs/>
                <w:sz w:val="24"/>
                <w:szCs w:val="24"/>
              </w:rPr>
              <w:t>)</w:t>
            </w:r>
            <w:r>
              <w:rPr>
                <w:rStyle w:val="87"/>
                <w:rFonts w:hint="eastAsia"/>
                <w:color w:val="000000"/>
                <w:szCs w:val="24"/>
                <w:lang w:eastAsia="zh-CN"/>
              </w:rPr>
              <w:t>（</w:t>
            </w:r>
            <w:r>
              <w:rPr>
                <w:rStyle w:val="87"/>
                <w:rFonts w:hint="eastAsia"/>
                <w:color w:val="000000"/>
                <w:szCs w:val="24"/>
                <w:lang w:val="en-US" w:eastAsia="zh-CN"/>
              </w:rPr>
              <w:t>含</w:t>
            </w:r>
            <w:r>
              <w:rPr>
                <w:rStyle w:val="87"/>
                <w:rFonts w:hint="default" w:ascii="Times New Roman" w:hAnsi="Times New Roman" w:cs="Times New Roman"/>
                <w:color w:val="000000"/>
                <w:szCs w:val="24"/>
                <w:lang w:val="en-US" w:eastAsia="zh-CN"/>
              </w:rPr>
              <w:t>2026</w:t>
            </w:r>
            <w:r>
              <w:rPr>
                <w:rStyle w:val="87"/>
                <w:rFonts w:hint="eastAsia"/>
                <w:color w:val="000000"/>
                <w:szCs w:val="24"/>
                <w:lang w:val="en-US" w:eastAsia="zh-CN"/>
              </w:rPr>
              <w:t>年修改单</w:t>
            </w:r>
            <w:r>
              <w:rPr>
                <w:rStyle w:val="87"/>
                <w:rFonts w:hint="eastAsia"/>
                <w:color w:val="000000"/>
                <w:szCs w:val="24"/>
                <w:lang w:eastAsia="zh-CN"/>
              </w:rPr>
              <w:t>）</w:t>
            </w:r>
            <w:r>
              <w:rPr>
                <w:rFonts w:hint="eastAsia"/>
                <w:bCs/>
                <w:sz w:val="24"/>
                <w:szCs w:val="24"/>
              </w:rPr>
              <w:t>表2中预处理标准</w:t>
            </w:r>
            <w:r>
              <w:rPr>
                <w:rFonts w:hint="eastAsia"/>
                <w:bCs/>
                <w:sz w:val="24"/>
                <w:szCs w:val="24"/>
                <w:lang w:val="en-US" w:eastAsia="zh-CN"/>
              </w:rPr>
              <w:t>及安化县污水处理厂进水水质标准</w:t>
            </w:r>
            <w:r>
              <w:rPr>
                <w:rFonts w:hint="eastAsia"/>
                <w:color w:val="000000"/>
                <w:sz w:val="24"/>
                <w:szCs w:val="24"/>
                <w:u w:val="none"/>
              </w:rPr>
              <w:t>后，经市政污水管网进入</w:t>
            </w:r>
            <w:r>
              <w:rPr>
                <w:rFonts w:hint="eastAsia"/>
                <w:color w:val="000000"/>
                <w:sz w:val="24"/>
                <w:szCs w:val="24"/>
                <w:u w:val="none"/>
                <w:lang w:val="en-US" w:eastAsia="zh-CN"/>
              </w:rPr>
              <w:t>安化县</w:t>
            </w:r>
            <w:r>
              <w:rPr>
                <w:rFonts w:hint="eastAsia"/>
                <w:color w:val="000000"/>
                <w:sz w:val="24"/>
                <w:szCs w:val="24"/>
                <w:u w:val="none"/>
              </w:rPr>
              <w:t>污水处理厂进行深度处理后排入资江</w:t>
            </w:r>
            <w:r>
              <w:rPr>
                <w:rFonts w:hint="eastAsia"/>
                <w:color w:val="000000"/>
                <w:sz w:val="24"/>
                <w:szCs w:val="24"/>
                <w:u w:val="none"/>
                <w:lang w:eastAsia="zh-CN"/>
              </w:rPr>
              <w:t>；</w:t>
            </w:r>
            <w:r>
              <w:rPr>
                <w:rFonts w:hint="eastAsia"/>
                <w:color w:val="000000"/>
                <w:sz w:val="24"/>
                <w:szCs w:val="24"/>
                <w:u w:val="none"/>
                <w:lang w:val="en-US" w:eastAsia="zh-CN"/>
              </w:rPr>
              <w:t>综合</w:t>
            </w:r>
            <w:r>
              <w:rPr>
                <w:rFonts w:hint="eastAsia"/>
                <w:bCs/>
                <w:sz w:val="24"/>
                <w:szCs w:val="24"/>
                <w:lang w:val="en-US" w:eastAsia="zh-CN"/>
              </w:rPr>
              <w:t>生活污水经隔油池、化粪池处理，</w:t>
            </w:r>
            <w:r>
              <w:rPr>
                <w:rFonts w:hint="eastAsia"/>
                <w:color w:val="000000"/>
                <w:sz w:val="24"/>
                <w:szCs w:val="24"/>
                <w:u w:val="none"/>
                <w:lang w:val="en-US" w:eastAsia="zh-CN"/>
              </w:rPr>
              <w:t>综合</w:t>
            </w:r>
            <w:r>
              <w:rPr>
                <w:rFonts w:hint="eastAsia"/>
                <w:bCs/>
                <w:sz w:val="24"/>
                <w:szCs w:val="24"/>
                <w:lang w:val="en-US" w:eastAsia="zh-CN"/>
              </w:rPr>
              <w:t>生活污水中SS、动植物油、LAS达到《污水综合排放标准》（GB8978-1996）表4中三级排放标准限值；COD、BOD</w:t>
            </w:r>
            <w:r>
              <w:rPr>
                <w:rFonts w:hint="eastAsia"/>
                <w:bCs/>
                <w:sz w:val="24"/>
                <w:szCs w:val="24"/>
                <w:vertAlign w:val="subscript"/>
                <w:lang w:val="en-US" w:eastAsia="zh-CN"/>
              </w:rPr>
              <w:t>5</w:t>
            </w:r>
            <w:r>
              <w:rPr>
                <w:rFonts w:hint="eastAsia"/>
                <w:bCs/>
                <w:sz w:val="24"/>
                <w:szCs w:val="24"/>
                <w:lang w:val="en-US" w:eastAsia="zh-CN"/>
              </w:rPr>
              <w:t>、氨氮、总磷达到安化县污水处理厂进水水质标准；总氮、氯化物达到《污水排入城镇下水道水质标准》(GB/T 31962-2015)表1中B级标准限值后，</w:t>
            </w:r>
            <w:r>
              <w:rPr>
                <w:rFonts w:hint="eastAsia"/>
                <w:color w:val="000000"/>
                <w:sz w:val="24"/>
                <w:szCs w:val="24"/>
                <w:u w:val="none"/>
              </w:rPr>
              <w:t>经市政污水管网进入</w:t>
            </w:r>
            <w:r>
              <w:rPr>
                <w:rFonts w:hint="eastAsia"/>
                <w:color w:val="000000"/>
                <w:sz w:val="24"/>
                <w:szCs w:val="24"/>
                <w:u w:val="none"/>
                <w:lang w:val="en-US" w:eastAsia="zh-CN"/>
              </w:rPr>
              <w:t>安化县</w:t>
            </w:r>
            <w:r>
              <w:rPr>
                <w:rFonts w:hint="eastAsia"/>
                <w:color w:val="000000"/>
                <w:sz w:val="24"/>
                <w:szCs w:val="24"/>
                <w:u w:val="none"/>
              </w:rPr>
              <w:t>污水处理厂进行深度处理后排入资江。</w:t>
            </w:r>
          </w:p>
          <w:p w14:paraId="2F252AA9">
            <w:pPr>
              <w:adjustRightInd w:val="0"/>
              <w:snapToGrid w:val="0"/>
              <w:spacing w:line="360" w:lineRule="auto"/>
              <w:jc w:val="left"/>
              <w:rPr>
                <w:rFonts w:hint="default" w:eastAsia="宋体"/>
                <w:b/>
                <w:color w:val="000000"/>
                <w:sz w:val="24"/>
                <w:u w:val="none"/>
                <w:lang w:val="en-US" w:eastAsia="zh-CN"/>
              </w:rPr>
            </w:pPr>
            <w:r>
              <w:rPr>
                <w:rFonts w:hint="eastAsia"/>
                <w:b/>
                <w:bCs/>
                <w:color w:val="000000"/>
                <w:sz w:val="24"/>
                <w:u w:val="none"/>
                <w:lang w:val="en-US" w:bidi="zh-CN"/>
              </w:rPr>
              <w:t>2.3</w:t>
            </w:r>
            <w:r>
              <w:rPr>
                <w:rFonts w:hint="eastAsia"/>
                <w:b/>
                <w:bCs/>
                <w:color w:val="000000"/>
                <w:sz w:val="24"/>
                <w:u w:val="none"/>
                <w:lang w:bidi="zh-CN"/>
              </w:rPr>
              <w:t>废水</w:t>
            </w:r>
            <w:r>
              <w:rPr>
                <w:rFonts w:hint="eastAsia"/>
                <w:b/>
                <w:bCs/>
                <w:color w:val="000000"/>
                <w:sz w:val="24"/>
                <w:u w:val="none"/>
                <w:lang w:val="en-US" w:bidi="zh-CN"/>
              </w:rPr>
              <w:t>处理设施处理效率</w:t>
            </w:r>
          </w:p>
          <w:p w14:paraId="6997E364">
            <w:pPr>
              <w:adjustRightInd w:val="0"/>
              <w:snapToGrid w:val="0"/>
              <w:spacing w:line="360" w:lineRule="auto"/>
              <w:ind w:firstLine="482" w:firstLineChars="200"/>
              <w:jc w:val="center"/>
              <w:rPr>
                <w:rFonts w:hint="default"/>
                <w:b/>
                <w:color w:val="000000"/>
                <w:sz w:val="24"/>
                <w:u w:val="single"/>
                <w:lang w:val="en-US"/>
              </w:rPr>
            </w:pPr>
            <w:r>
              <w:rPr>
                <w:b/>
                <w:color w:val="000000"/>
                <w:sz w:val="24"/>
                <w:u w:val="single"/>
              </w:rPr>
              <w:t>表4-</w:t>
            </w:r>
            <w:r>
              <w:rPr>
                <w:rFonts w:hint="eastAsia"/>
                <w:b/>
                <w:color w:val="000000"/>
                <w:sz w:val="24"/>
                <w:u w:val="single"/>
                <w:lang w:val="en-US" w:eastAsia="zh-CN"/>
              </w:rPr>
              <w:t>9  项目废水处理设施处理效率一览表</w:t>
            </w:r>
          </w:p>
          <w:tbl>
            <w:tblPr>
              <w:tblStyle w:val="47"/>
              <w:tblW w:w="828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72"/>
              <w:gridCol w:w="1120"/>
              <w:gridCol w:w="1084"/>
              <w:gridCol w:w="1073"/>
              <w:gridCol w:w="935"/>
              <w:gridCol w:w="877"/>
              <w:gridCol w:w="1428"/>
            </w:tblGrid>
            <w:tr w14:paraId="140BD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2" w:type="dxa"/>
                  <w:noWrap w:val="0"/>
                  <w:vAlign w:val="center"/>
                </w:tcPr>
                <w:p w14:paraId="54E551A6">
                  <w:pPr>
                    <w:adjustRightInd w:val="0"/>
                    <w:snapToGrid w:val="0"/>
                    <w:jc w:val="center"/>
                    <w:rPr>
                      <w:rFonts w:hint="default" w:eastAsia="宋体"/>
                      <w:color w:val="000000"/>
                      <w:kern w:val="0"/>
                      <w:sz w:val="21"/>
                      <w:szCs w:val="21"/>
                      <w:u w:val="single"/>
                      <w:lang w:val="en-US" w:eastAsia="zh-CN"/>
                    </w:rPr>
                  </w:pPr>
                  <w:r>
                    <w:rPr>
                      <w:rFonts w:hint="eastAsia"/>
                      <w:color w:val="000000"/>
                      <w:kern w:val="0"/>
                      <w:sz w:val="21"/>
                      <w:szCs w:val="21"/>
                      <w:u w:val="single"/>
                      <w:lang w:val="en-US" w:eastAsia="zh-CN"/>
                    </w:rPr>
                    <w:t>污染物因子</w:t>
                  </w:r>
                </w:p>
              </w:tc>
              <w:tc>
                <w:tcPr>
                  <w:tcW w:w="1120" w:type="dxa"/>
                  <w:noWrap w:val="0"/>
                  <w:vAlign w:val="center"/>
                </w:tcPr>
                <w:p w14:paraId="0C6036A1">
                  <w:pPr>
                    <w:adjustRightInd w:val="0"/>
                    <w:snapToGrid w:val="0"/>
                    <w:jc w:val="center"/>
                    <w:rPr>
                      <w:color w:val="000000"/>
                      <w:kern w:val="0"/>
                      <w:sz w:val="21"/>
                      <w:szCs w:val="21"/>
                      <w:u w:val="single"/>
                    </w:rPr>
                  </w:pPr>
                  <w:r>
                    <w:rPr>
                      <w:color w:val="000000"/>
                      <w:kern w:val="0"/>
                      <w:sz w:val="21"/>
                      <w:szCs w:val="21"/>
                      <w:u w:val="single"/>
                    </w:rPr>
                    <w:t>COD</w:t>
                  </w:r>
                </w:p>
              </w:tc>
              <w:tc>
                <w:tcPr>
                  <w:tcW w:w="1084" w:type="dxa"/>
                  <w:noWrap w:val="0"/>
                  <w:vAlign w:val="center"/>
                </w:tcPr>
                <w:p w14:paraId="1B4C1CB6">
                  <w:pPr>
                    <w:adjustRightInd w:val="0"/>
                    <w:snapToGrid w:val="0"/>
                    <w:jc w:val="center"/>
                    <w:rPr>
                      <w:rFonts w:hint="default" w:eastAsia="宋体"/>
                      <w:color w:val="000000"/>
                      <w:kern w:val="0"/>
                      <w:sz w:val="21"/>
                      <w:szCs w:val="21"/>
                      <w:u w:val="single"/>
                      <w:lang w:val="en-US" w:eastAsia="zh-CN"/>
                    </w:rPr>
                  </w:pPr>
                  <w:r>
                    <w:rPr>
                      <w:rFonts w:hint="eastAsia"/>
                      <w:color w:val="000000"/>
                      <w:kern w:val="0"/>
                      <w:sz w:val="21"/>
                      <w:szCs w:val="21"/>
                      <w:u w:val="single"/>
                      <w:lang w:val="en-US" w:eastAsia="zh-CN"/>
                    </w:rPr>
                    <w:t>BOD</w:t>
                  </w:r>
                </w:p>
              </w:tc>
              <w:tc>
                <w:tcPr>
                  <w:tcW w:w="1073" w:type="dxa"/>
                  <w:noWrap w:val="0"/>
                  <w:vAlign w:val="center"/>
                </w:tcPr>
                <w:p w14:paraId="106CF489">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SS</w:t>
                  </w:r>
                </w:p>
              </w:tc>
              <w:tc>
                <w:tcPr>
                  <w:tcW w:w="935" w:type="dxa"/>
                  <w:noWrap w:val="0"/>
                  <w:vAlign w:val="center"/>
                </w:tcPr>
                <w:p w14:paraId="24EA22D4">
                  <w:pPr>
                    <w:adjustRightInd w:val="0"/>
                    <w:snapToGrid w:val="0"/>
                    <w:jc w:val="center"/>
                    <w:rPr>
                      <w:color w:val="000000"/>
                      <w:kern w:val="0"/>
                      <w:sz w:val="21"/>
                      <w:szCs w:val="21"/>
                      <w:u w:val="single"/>
                    </w:rPr>
                  </w:pPr>
                  <w:r>
                    <w:rPr>
                      <w:color w:val="000000"/>
                      <w:kern w:val="0"/>
                      <w:sz w:val="21"/>
                      <w:szCs w:val="21"/>
                      <w:u w:val="single"/>
                    </w:rPr>
                    <w:t>氨氮</w:t>
                  </w:r>
                </w:p>
              </w:tc>
              <w:tc>
                <w:tcPr>
                  <w:tcW w:w="877" w:type="dxa"/>
                  <w:noWrap w:val="0"/>
                  <w:vAlign w:val="center"/>
                </w:tcPr>
                <w:p w14:paraId="20112F16">
                  <w:pPr>
                    <w:adjustRightInd w:val="0"/>
                    <w:snapToGrid w:val="0"/>
                    <w:jc w:val="center"/>
                    <w:rPr>
                      <w:color w:val="000000"/>
                      <w:kern w:val="0"/>
                      <w:sz w:val="21"/>
                      <w:szCs w:val="21"/>
                      <w:u w:val="single"/>
                    </w:rPr>
                  </w:pPr>
                  <w:r>
                    <w:rPr>
                      <w:color w:val="000000"/>
                      <w:kern w:val="0"/>
                      <w:sz w:val="21"/>
                      <w:szCs w:val="21"/>
                      <w:u w:val="single"/>
                    </w:rPr>
                    <w:t>TP</w:t>
                  </w:r>
                </w:p>
              </w:tc>
              <w:tc>
                <w:tcPr>
                  <w:tcW w:w="1428" w:type="dxa"/>
                  <w:noWrap w:val="0"/>
                  <w:vAlign w:val="center"/>
                </w:tcPr>
                <w:p w14:paraId="308F1950">
                  <w:pPr>
                    <w:adjustRightInd w:val="0"/>
                    <w:snapToGrid w:val="0"/>
                    <w:jc w:val="center"/>
                    <w:rPr>
                      <w:rFonts w:hint="eastAsia" w:eastAsia="宋体"/>
                      <w:color w:val="000000"/>
                      <w:kern w:val="0"/>
                      <w:sz w:val="21"/>
                      <w:szCs w:val="21"/>
                      <w:u w:val="single"/>
                      <w:lang w:val="en-US" w:eastAsia="zh-CN"/>
                    </w:rPr>
                  </w:pPr>
                  <w:r>
                    <w:rPr>
                      <w:rFonts w:ascii="宋体" w:hAnsi="宋体" w:eastAsia="宋体" w:cs="宋体"/>
                      <w:sz w:val="21"/>
                      <w:szCs w:val="21"/>
                      <w:u w:val="single"/>
                    </w:rPr>
                    <w:t>粪大肠菌群</w:t>
                  </w:r>
                </w:p>
              </w:tc>
            </w:tr>
            <w:tr w14:paraId="0BFD58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2" w:type="dxa"/>
                  <w:noWrap w:val="0"/>
                  <w:vAlign w:val="center"/>
                </w:tcPr>
                <w:p w14:paraId="2BCAF30F">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项目综合医疗废水进水浓度</w:t>
                  </w:r>
                </w:p>
              </w:tc>
              <w:tc>
                <w:tcPr>
                  <w:tcW w:w="1120" w:type="dxa"/>
                  <w:noWrap w:val="0"/>
                  <w:vAlign w:val="center"/>
                </w:tcPr>
                <w:p w14:paraId="37E0E3A4">
                  <w:pPr>
                    <w:adjustRightInd w:val="0"/>
                    <w:snapToGrid w:val="0"/>
                    <w:jc w:val="center"/>
                    <w:rPr>
                      <w:rFonts w:hint="default" w:eastAsia="宋体"/>
                      <w:color w:val="000000"/>
                      <w:kern w:val="0"/>
                      <w:sz w:val="21"/>
                      <w:szCs w:val="21"/>
                      <w:u w:val="single"/>
                      <w:lang w:val="en-US" w:eastAsia="zh-CN"/>
                    </w:rPr>
                  </w:pPr>
                  <w:r>
                    <w:rPr>
                      <w:rFonts w:hint="eastAsia"/>
                      <w:color w:val="000000"/>
                      <w:kern w:val="0"/>
                      <w:sz w:val="21"/>
                      <w:szCs w:val="21"/>
                      <w:u w:val="single"/>
                      <w:lang w:val="en-US" w:eastAsia="zh-CN"/>
                    </w:rPr>
                    <w:t>299.392</w:t>
                  </w:r>
                </w:p>
              </w:tc>
              <w:tc>
                <w:tcPr>
                  <w:tcW w:w="1084" w:type="dxa"/>
                  <w:noWrap w:val="0"/>
                  <w:vAlign w:val="center"/>
                </w:tcPr>
                <w:p w14:paraId="7F2D6324">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149.62</w:t>
                  </w:r>
                </w:p>
              </w:tc>
              <w:tc>
                <w:tcPr>
                  <w:tcW w:w="1073" w:type="dxa"/>
                  <w:noWrap w:val="0"/>
                  <w:vAlign w:val="center"/>
                </w:tcPr>
                <w:p w14:paraId="5B07AD28">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80.253</w:t>
                  </w:r>
                </w:p>
              </w:tc>
              <w:tc>
                <w:tcPr>
                  <w:tcW w:w="935" w:type="dxa"/>
                  <w:noWrap w:val="0"/>
                  <w:vAlign w:val="center"/>
                </w:tcPr>
                <w:p w14:paraId="2E3A5B49">
                  <w:pPr>
                    <w:adjustRightInd w:val="0"/>
                    <w:snapToGrid w:val="0"/>
                    <w:jc w:val="center"/>
                    <w:rPr>
                      <w:color w:val="000000"/>
                      <w:kern w:val="0"/>
                      <w:sz w:val="21"/>
                      <w:szCs w:val="21"/>
                      <w:u w:val="single"/>
                    </w:rPr>
                  </w:pPr>
                  <w:r>
                    <w:rPr>
                      <w:rFonts w:hint="eastAsia"/>
                      <w:color w:val="000000"/>
                      <w:kern w:val="0"/>
                      <w:sz w:val="21"/>
                      <w:szCs w:val="21"/>
                      <w:u w:val="single"/>
                      <w:lang w:val="en-US" w:eastAsia="zh-CN"/>
                    </w:rPr>
                    <w:t>30.063</w:t>
                  </w:r>
                </w:p>
              </w:tc>
              <w:tc>
                <w:tcPr>
                  <w:tcW w:w="877" w:type="dxa"/>
                  <w:noWrap w:val="0"/>
                  <w:vAlign w:val="center"/>
                </w:tcPr>
                <w:p w14:paraId="58EAB35B">
                  <w:pPr>
                    <w:adjustRightInd w:val="0"/>
                    <w:snapToGrid w:val="0"/>
                    <w:jc w:val="center"/>
                    <w:rPr>
                      <w:rFonts w:hint="default" w:eastAsia="宋体"/>
                      <w:color w:val="000000"/>
                      <w:kern w:val="0"/>
                      <w:sz w:val="21"/>
                      <w:szCs w:val="21"/>
                      <w:u w:val="single"/>
                      <w:lang w:val="en-US" w:eastAsia="zh-CN"/>
                    </w:rPr>
                  </w:pPr>
                  <w:r>
                    <w:rPr>
                      <w:rFonts w:hint="eastAsia"/>
                      <w:color w:val="000000"/>
                      <w:kern w:val="0"/>
                      <w:sz w:val="21"/>
                      <w:szCs w:val="21"/>
                      <w:u w:val="single"/>
                      <w:lang w:val="en-US" w:eastAsia="zh-CN"/>
                    </w:rPr>
                    <w:t>4.92</w:t>
                  </w:r>
                </w:p>
              </w:tc>
              <w:tc>
                <w:tcPr>
                  <w:tcW w:w="1428" w:type="dxa"/>
                  <w:noWrap w:val="0"/>
                  <w:vAlign w:val="center"/>
                </w:tcPr>
                <w:p w14:paraId="02D05F39">
                  <w:pPr>
                    <w:adjustRightInd w:val="0"/>
                    <w:snapToGrid w:val="0"/>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1.6×10</w:t>
                  </w:r>
                  <w:r>
                    <w:rPr>
                      <w:rFonts w:hint="default" w:ascii="Times New Roman" w:hAnsi="Times New Roman" w:eastAsia="宋体" w:cs="Times New Roman"/>
                      <w:sz w:val="21"/>
                      <w:szCs w:val="21"/>
                      <w:u w:val="single"/>
                      <w:vertAlign w:val="superscript"/>
                    </w:rPr>
                    <w:t>8</w:t>
                  </w:r>
                  <w:r>
                    <w:rPr>
                      <w:rFonts w:hint="default" w:ascii="Times New Roman" w:hAnsi="Times New Roman" w:eastAsia="宋体" w:cs="Times New Roman"/>
                      <w:sz w:val="21"/>
                      <w:szCs w:val="21"/>
                      <w:u w:val="single"/>
                    </w:rPr>
                    <w:t>个/L</w:t>
                  </w:r>
                </w:p>
              </w:tc>
            </w:tr>
            <w:tr w14:paraId="732A90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2" w:type="dxa"/>
                  <w:noWrap w:val="0"/>
                  <w:vAlign w:val="center"/>
                </w:tcPr>
                <w:p w14:paraId="3E82B48B">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项目综合废水排放量</w:t>
                  </w:r>
                </w:p>
              </w:tc>
              <w:tc>
                <w:tcPr>
                  <w:tcW w:w="6517" w:type="dxa"/>
                  <w:gridSpan w:val="6"/>
                  <w:noWrap w:val="0"/>
                  <w:vAlign w:val="center"/>
                </w:tcPr>
                <w:p w14:paraId="77E30A8D">
                  <w:pPr>
                    <w:adjustRightInd w:val="0"/>
                    <w:snapToGrid w:val="0"/>
                    <w:jc w:val="center"/>
                    <w:rPr>
                      <w:rFonts w:hint="default" w:ascii="Times New Roman" w:hAnsi="Times New Roman" w:eastAsia="宋体" w:cs="Times New Roman"/>
                      <w:sz w:val="21"/>
                      <w:szCs w:val="21"/>
                      <w:u w:val="single"/>
                      <w:lang w:val="en-US" w:eastAsia="zh-CN"/>
                    </w:rPr>
                  </w:pPr>
                  <w:r>
                    <w:rPr>
                      <w:rFonts w:hint="eastAsia" w:ascii="Times New Roman" w:hAnsi="Times New Roman" w:cs="Times New Roman"/>
                      <w:sz w:val="21"/>
                      <w:szCs w:val="21"/>
                      <w:u w:val="single"/>
                      <w:lang w:val="en-US" w:eastAsia="zh-CN"/>
                    </w:rPr>
                    <w:t>47.36m</w:t>
                  </w:r>
                  <w:r>
                    <w:rPr>
                      <w:rFonts w:hint="eastAsia" w:ascii="Times New Roman" w:hAnsi="Times New Roman" w:cs="Times New Roman"/>
                      <w:sz w:val="21"/>
                      <w:szCs w:val="21"/>
                      <w:u w:val="single"/>
                      <w:vertAlign w:val="superscript"/>
                      <w:lang w:val="en-US" w:eastAsia="zh-CN"/>
                    </w:rPr>
                    <w:t>3</w:t>
                  </w:r>
                  <w:r>
                    <w:rPr>
                      <w:rFonts w:hint="eastAsia" w:ascii="Times New Roman" w:hAnsi="Times New Roman" w:cs="Times New Roman"/>
                      <w:sz w:val="21"/>
                      <w:szCs w:val="21"/>
                      <w:u w:val="single"/>
                      <w:lang w:val="en-US" w:eastAsia="zh-CN"/>
                    </w:rPr>
                    <w:t>/d</w:t>
                  </w:r>
                </w:p>
              </w:tc>
            </w:tr>
            <w:tr w14:paraId="295DD7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2" w:type="dxa"/>
                  <w:noWrap w:val="0"/>
                  <w:vAlign w:val="center"/>
                </w:tcPr>
                <w:p w14:paraId="799D935A">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项目废水处理设施设计规模</w:t>
                  </w:r>
                </w:p>
              </w:tc>
              <w:tc>
                <w:tcPr>
                  <w:tcW w:w="6517" w:type="dxa"/>
                  <w:gridSpan w:val="6"/>
                  <w:noWrap w:val="0"/>
                  <w:vAlign w:val="center"/>
                </w:tcPr>
                <w:p w14:paraId="431DE2B6">
                  <w:pPr>
                    <w:adjustRightInd w:val="0"/>
                    <w:snapToGrid w:val="0"/>
                    <w:jc w:val="center"/>
                    <w:rPr>
                      <w:rFonts w:hint="default" w:ascii="Times New Roman" w:hAnsi="Times New Roman" w:eastAsia="宋体" w:cs="Times New Roman"/>
                      <w:sz w:val="21"/>
                      <w:szCs w:val="21"/>
                      <w:u w:val="single"/>
                      <w:lang w:val="en-US" w:eastAsia="zh-CN"/>
                    </w:rPr>
                  </w:pPr>
                  <w:r>
                    <w:rPr>
                      <w:rFonts w:hint="eastAsia" w:ascii="Times New Roman" w:hAnsi="Times New Roman" w:cs="Times New Roman"/>
                      <w:sz w:val="21"/>
                      <w:szCs w:val="21"/>
                      <w:u w:val="single"/>
                      <w:lang w:val="en-US" w:eastAsia="zh-CN"/>
                    </w:rPr>
                    <w:t>60m</w:t>
                  </w:r>
                  <w:r>
                    <w:rPr>
                      <w:rFonts w:hint="eastAsia" w:ascii="Times New Roman" w:hAnsi="Times New Roman" w:cs="Times New Roman"/>
                      <w:sz w:val="21"/>
                      <w:szCs w:val="21"/>
                      <w:u w:val="single"/>
                      <w:vertAlign w:val="superscript"/>
                      <w:lang w:val="en-US" w:eastAsia="zh-CN"/>
                    </w:rPr>
                    <w:t>3</w:t>
                  </w:r>
                  <w:r>
                    <w:rPr>
                      <w:rFonts w:hint="eastAsia" w:ascii="Times New Roman" w:hAnsi="Times New Roman" w:cs="Times New Roman"/>
                      <w:sz w:val="21"/>
                      <w:szCs w:val="21"/>
                      <w:u w:val="single"/>
                      <w:lang w:val="en-US" w:eastAsia="zh-CN"/>
                    </w:rPr>
                    <w:t>/d</w:t>
                  </w:r>
                </w:p>
              </w:tc>
            </w:tr>
            <w:tr w14:paraId="77D3FA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2" w:type="dxa"/>
                  <w:noWrap w:val="0"/>
                  <w:vAlign w:val="center"/>
                </w:tcPr>
                <w:p w14:paraId="312D5032">
                  <w:pPr>
                    <w:adjustRightInd w:val="0"/>
                    <w:snapToGrid w:val="0"/>
                    <w:jc w:val="center"/>
                    <w:rPr>
                      <w:color w:val="000000"/>
                      <w:kern w:val="0"/>
                      <w:sz w:val="21"/>
                      <w:szCs w:val="21"/>
                      <w:u w:val="single"/>
                    </w:rPr>
                  </w:pPr>
                  <w:r>
                    <w:rPr>
                      <w:rFonts w:hint="eastAsia"/>
                      <w:color w:val="000000"/>
                      <w:kern w:val="0"/>
                      <w:sz w:val="21"/>
                      <w:szCs w:val="21"/>
                      <w:u w:val="single"/>
                      <w:lang w:val="en-US" w:eastAsia="zh-CN"/>
                    </w:rPr>
                    <w:t>处理效率</w:t>
                  </w:r>
                </w:p>
              </w:tc>
              <w:tc>
                <w:tcPr>
                  <w:tcW w:w="1120" w:type="dxa"/>
                  <w:noWrap w:val="0"/>
                  <w:vAlign w:val="center"/>
                </w:tcPr>
                <w:p w14:paraId="27C6DBE6">
                  <w:pPr>
                    <w:adjustRightInd w:val="0"/>
                    <w:snapToGrid w:val="0"/>
                    <w:jc w:val="center"/>
                    <w:rPr>
                      <w:rFonts w:hint="default" w:eastAsia="宋体"/>
                      <w:color w:val="000000"/>
                      <w:kern w:val="0"/>
                      <w:sz w:val="21"/>
                      <w:szCs w:val="21"/>
                      <w:u w:val="single"/>
                      <w:lang w:val="en-US" w:eastAsia="zh-CN"/>
                    </w:rPr>
                  </w:pPr>
                  <w:r>
                    <w:rPr>
                      <w:rFonts w:hint="eastAsia"/>
                      <w:color w:val="000000"/>
                      <w:kern w:val="0"/>
                      <w:sz w:val="21"/>
                      <w:szCs w:val="21"/>
                      <w:u w:val="single"/>
                      <w:lang w:val="en-US" w:eastAsia="zh-CN"/>
                    </w:rPr>
                    <w:t>45%</w:t>
                  </w:r>
                </w:p>
              </w:tc>
              <w:tc>
                <w:tcPr>
                  <w:tcW w:w="1084" w:type="dxa"/>
                  <w:noWrap w:val="0"/>
                  <w:vAlign w:val="center"/>
                </w:tcPr>
                <w:p w14:paraId="02BD79DD">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40%</w:t>
                  </w:r>
                </w:p>
              </w:tc>
              <w:tc>
                <w:tcPr>
                  <w:tcW w:w="1073" w:type="dxa"/>
                  <w:noWrap w:val="0"/>
                  <w:vAlign w:val="center"/>
                </w:tcPr>
                <w:p w14:paraId="254F9529">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75%</w:t>
                  </w:r>
                </w:p>
              </w:tc>
              <w:tc>
                <w:tcPr>
                  <w:tcW w:w="935" w:type="dxa"/>
                  <w:noWrap w:val="0"/>
                  <w:vAlign w:val="center"/>
                </w:tcPr>
                <w:p w14:paraId="50FC0C46">
                  <w:pPr>
                    <w:adjustRightInd w:val="0"/>
                    <w:snapToGrid w:val="0"/>
                    <w:jc w:val="center"/>
                    <w:rPr>
                      <w:rFonts w:hint="default" w:eastAsia="宋体"/>
                      <w:color w:val="000000"/>
                      <w:kern w:val="0"/>
                      <w:sz w:val="21"/>
                      <w:szCs w:val="21"/>
                      <w:u w:val="single"/>
                      <w:lang w:val="en-US" w:eastAsia="zh-CN"/>
                    </w:rPr>
                  </w:pPr>
                  <w:r>
                    <w:rPr>
                      <w:rFonts w:hint="eastAsia"/>
                      <w:color w:val="000000"/>
                      <w:kern w:val="0"/>
                      <w:sz w:val="21"/>
                      <w:szCs w:val="21"/>
                      <w:u w:val="single"/>
                      <w:lang w:val="en-US" w:eastAsia="zh-CN"/>
                    </w:rPr>
                    <w:t>10%</w:t>
                  </w:r>
                </w:p>
              </w:tc>
              <w:tc>
                <w:tcPr>
                  <w:tcW w:w="877" w:type="dxa"/>
                  <w:noWrap w:val="0"/>
                  <w:vAlign w:val="center"/>
                </w:tcPr>
                <w:p w14:paraId="1106C2CA">
                  <w:pPr>
                    <w:adjustRightInd w:val="0"/>
                    <w:snapToGrid w:val="0"/>
                    <w:jc w:val="center"/>
                    <w:rPr>
                      <w:rFonts w:hint="default" w:eastAsia="宋体"/>
                      <w:color w:val="000000"/>
                      <w:kern w:val="0"/>
                      <w:sz w:val="21"/>
                      <w:szCs w:val="21"/>
                      <w:u w:val="single"/>
                      <w:lang w:val="en-US" w:eastAsia="zh-CN"/>
                    </w:rPr>
                  </w:pPr>
                  <w:r>
                    <w:rPr>
                      <w:rFonts w:hint="eastAsia" w:eastAsia="宋体"/>
                      <w:color w:val="000000"/>
                      <w:kern w:val="0"/>
                      <w:sz w:val="21"/>
                      <w:szCs w:val="21"/>
                      <w:u w:val="single"/>
                      <w:lang w:val="en-US" w:eastAsia="zh-CN"/>
                    </w:rPr>
                    <w:t>65%</w:t>
                  </w:r>
                </w:p>
              </w:tc>
              <w:tc>
                <w:tcPr>
                  <w:tcW w:w="1428" w:type="dxa"/>
                  <w:noWrap w:val="0"/>
                  <w:vAlign w:val="center"/>
                </w:tcPr>
                <w:p w14:paraId="648EE9BD">
                  <w:pPr>
                    <w:adjustRightInd w:val="0"/>
                    <w:snapToGrid w:val="0"/>
                    <w:jc w:val="center"/>
                    <w:rPr>
                      <w:rFonts w:hint="default" w:ascii="Times New Roman" w:hAnsi="Times New Roman" w:eastAsia="宋体" w:cs="Times New Roman"/>
                      <w:color w:val="000000"/>
                      <w:kern w:val="0"/>
                      <w:sz w:val="21"/>
                      <w:szCs w:val="21"/>
                      <w:u w:val="single"/>
                      <w:lang w:val="en-US" w:eastAsia="zh-CN"/>
                    </w:rPr>
                  </w:pPr>
                  <w:r>
                    <w:rPr>
                      <w:rFonts w:hint="default" w:ascii="Times New Roman" w:hAnsi="Times New Roman" w:eastAsia="宋体" w:cs="Times New Roman"/>
                      <w:color w:val="000000"/>
                      <w:kern w:val="0"/>
                      <w:sz w:val="21"/>
                      <w:szCs w:val="21"/>
                      <w:u w:val="single"/>
                      <w:lang w:val="en-US" w:eastAsia="zh-CN"/>
                    </w:rPr>
                    <w:t>99.9</w:t>
                  </w:r>
                  <w:r>
                    <w:rPr>
                      <w:rFonts w:hint="eastAsia" w:ascii="Times New Roman" w:hAnsi="Times New Roman" w:cs="Times New Roman"/>
                      <w:color w:val="000000"/>
                      <w:kern w:val="0"/>
                      <w:sz w:val="21"/>
                      <w:szCs w:val="21"/>
                      <w:u w:val="single"/>
                      <w:lang w:val="en-US" w:eastAsia="zh-CN"/>
                    </w:rPr>
                    <w:t>97</w:t>
                  </w:r>
                  <w:r>
                    <w:rPr>
                      <w:rFonts w:hint="default" w:ascii="Times New Roman" w:hAnsi="Times New Roman" w:eastAsia="宋体" w:cs="Times New Roman"/>
                      <w:color w:val="000000"/>
                      <w:kern w:val="0"/>
                      <w:sz w:val="21"/>
                      <w:szCs w:val="21"/>
                      <w:u w:val="single"/>
                      <w:lang w:val="en-US" w:eastAsia="zh-CN"/>
                    </w:rPr>
                    <w:t>%</w:t>
                  </w:r>
                </w:p>
              </w:tc>
            </w:tr>
            <w:tr w14:paraId="5EFBBF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2" w:type="dxa"/>
                  <w:noWrap w:val="0"/>
                  <w:vAlign w:val="center"/>
                </w:tcPr>
                <w:p w14:paraId="67618108">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综合医疗废水出水浓度</w:t>
                  </w:r>
                </w:p>
              </w:tc>
              <w:tc>
                <w:tcPr>
                  <w:tcW w:w="1120" w:type="dxa"/>
                  <w:noWrap w:val="0"/>
                  <w:vAlign w:val="center"/>
                </w:tcPr>
                <w:p w14:paraId="2356E257">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164.67</w:t>
                  </w:r>
                </w:p>
              </w:tc>
              <w:tc>
                <w:tcPr>
                  <w:tcW w:w="1084" w:type="dxa"/>
                  <w:noWrap w:val="0"/>
                  <w:vAlign w:val="center"/>
                </w:tcPr>
                <w:p w14:paraId="3211E1B6">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89.77</w:t>
                  </w:r>
                </w:p>
              </w:tc>
              <w:tc>
                <w:tcPr>
                  <w:tcW w:w="1073" w:type="dxa"/>
                  <w:noWrap w:val="0"/>
                  <w:vAlign w:val="center"/>
                </w:tcPr>
                <w:p w14:paraId="6A6C0C42">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20.06</w:t>
                  </w:r>
                </w:p>
              </w:tc>
              <w:tc>
                <w:tcPr>
                  <w:tcW w:w="935" w:type="dxa"/>
                  <w:noWrap w:val="0"/>
                  <w:vAlign w:val="center"/>
                </w:tcPr>
                <w:p w14:paraId="0A8A5D3D">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27.06</w:t>
                  </w:r>
                </w:p>
              </w:tc>
              <w:tc>
                <w:tcPr>
                  <w:tcW w:w="877" w:type="dxa"/>
                  <w:noWrap w:val="0"/>
                  <w:vAlign w:val="center"/>
                </w:tcPr>
                <w:p w14:paraId="7759C411">
                  <w:pPr>
                    <w:adjustRightInd w:val="0"/>
                    <w:snapToGrid w:val="0"/>
                    <w:jc w:val="center"/>
                    <w:rPr>
                      <w:rFonts w:hint="default" w:eastAsia="宋体"/>
                      <w:color w:val="000000"/>
                      <w:kern w:val="0"/>
                      <w:sz w:val="21"/>
                      <w:szCs w:val="21"/>
                      <w:u w:val="single"/>
                      <w:lang w:val="en-US" w:eastAsia="zh-CN"/>
                    </w:rPr>
                  </w:pPr>
                  <w:r>
                    <w:rPr>
                      <w:rFonts w:hint="eastAsia"/>
                      <w:color w:val="000000"/>
                      <w:kern w:val="0"/>
                      <w:sz w:val="21"/>
                      <w:szCs w:val="21"/>
                      <w:u w:val="single"/>
                      <w:lang w:val="en-US" w:eastAsia="zh-CN"/>
                    </w:rPr>
                    <w:t>1.74</w:t>
                  </w:r>
                </w:p>
              </w:tc>
              <w:tc>
                <w:tcPr>
                  <w:tcW w:w="1428" w:type="dxa"/>
                  <w:noWrap w:val="0"/>
                  <w:vAlign w:val="center"/>
                </w:tcPr>
                <w:p w14:paraId="562292F0">
                  <w:pPr>
                    <w:adjustRightInd w:val="0"/>
                    <w:snapToGrid w:val="0"/>
                    <w:jc w:val="center"/>
                    <w:rPr>
                      <w:rFonts w:hint="default" w:ascii="Times New Roman" w:hAnsi="Times New Roman" w:eastAsia="宋体" w:cs="Times New Roman"/>
                      <w:color w:val="000000"/>
                      <w:kern w:val="0"/>
                      <w:sz w:val="21"/>
                      <w:szCs w:val="21"/>
                      <w:u w:val="single"/>
                      <w:lang w:val="en-US" w:eastAsia="zh-CN"/>
                    </w:rPr>
                  </w:pPr>
                  <w:r>
                    <w:rPr>
                      <w:rFonts w:hint="eastAsia" w:ascii="Times New Roman" w:hAnsi="Times New Roman" w:cs="Times New Roman"/>
                      <w:color w:val="000000"/>
                      <w:kern w:val="0"/>
                      <w:sz w:val="21"/>
                      <w:szCs w:val="21"/>
                      <w:u w:val="single"/>
                      <w:lang w:val="en-US" w:eastAsia="zh-CN"/>
                    </w:rPr>
                    <w:t>4800</w:t>
                  </w:r>
                  <w:r>
                    <w:rPr>
                      <w:rFonts w:hint="eastAsia" w:ascii="Times New Roman" w:hAnsi="Times New Roman" w:cs="Times New Roman"/>
                      <w:sz w:val="21"/>
                      <w:szCs w:val="21"/>
                      <w:u w:val="single"/>
                      <w:lang w:val="en-US" w:eastAsia="zh-CN"/>
                    </w:rPr>
                    <w:t>（MPN/L）</w:t>
                  </w:r>
                </w:p>
              </w:tc>
            </w:tr>
            <w:tr w14:paraId="589D34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2" w:type="dxa"/>
                  <w:noWrap w:val="0"/>
                  <w:vAlign w:val="center"/>
                </w:tcPr>
                <w:p w14:paraId="16D3231A">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排放标准</w:t>
                  </w:r>
                </w:p>
              </w:tc>
              <w:tc>
                <w:tcPr>
                  <w:tcW w:w="1120" w:type="dxa"/>
                  <w:noWrap w:val="0"/>
                  <w:vAlign w:val="center"/>
                </w:tcPr>
                <w:p w14:paraId="45392865">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250</w:t>
                  </w:r>
                </w:p>
              </w:tc>
              <w:tc>
                <w:tcPr>
                  <w:tcW w:w="1084" w:type="dxa"/>
                  <w:noWrap w:val="0"/>
                  <w:vAlign w:val="center"/>
                </w:tcPr>
                <w:p w14:paraId="3BD8966A">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100</w:t>
                  </w:r>
                </w:p>
              </w:tc>
              <w:tc>
                <w:tcPr>
                  <w:tcW w:w="1073" w:type="dxa"/>
                  <w:noWrap w:val="0"/>
                  <w:vAlign w:val="center"/>
                </w:tcPr>
                <w:p w14:paraId="2AC2A323">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60</w:t>
                  </w:r>
                </w:p>
              </w:tc>
              <w:tc>
                <w:tcPr>
                  <w:tcW w:w="935" w:type="dxa"/>
                  <w:noWrap w:val="0"/>
                  <w:vAlign w:val="center"/>
                </w:tcPr>
                <w:p w14:paraId="65078EC7">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35</w:t>
                  </w:r>
                </w:p>
              </w:tc>
              <w:tc>
                <w:tcPr>
                  <w:tcW w:w="877" w:type="dxa"/>
                  <w:noWrap w:val="0"/>
                  <w:vAlign w:val="center"/>
                </w:tcPr>
                <w:p w14:paraId="4C2366B8">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6</w:t>
                  </w:r>
                </w:p>
              </w:tc>
              <w:tc>
                <w:tcPr>
                  <w:tcW w:w="1428" w:type="dxa"/>
                  <w:noWrap w:val="0"/>
                  <w:vAlign w:val="center"/>
                </w:tcPr>
                <w:p w14:paraId="2B630322">
                  <w:pPr>
                    <w:adjustRightInd w:val="0"/>
                    <w:snapToGrid w:val="0"/>
                    <w:jc w:val="center"/>
                    <w:rPr>
                      <w:rFonts w:hint="default" w:ascii="Times New Roman" w:hAnsi="Times New Roman" w:eastAsia="宋体" w:cs="Times New Roman"/>
                      <w:sz w:val="21"/>
                      <w:szCs w:val="21"/>
                      <w:u w:val="single"/>
                      <w:lang w:val="en-US" w:eastAsia="zh-CN"/>
                    </w:rPr>
                  </w:pPr>
                  <w:r>
                    <w:rPr>
                      <w:rFonts w:hint="eastAsia" w:ascii="Times New Roman" w:hAnsi="Times New Roman" w:cs="Times New Roman"/>
                      <w:sz w:val="21"/>
                      <w:szCs w:val="21"/>
                      <w:u w:val="single"/>
                      <w:lang w:val="en-US" w:eastAsia="zh-CN"/>
                    </w:rPr>
                    <w:t>5000（MPN/L）</w:t>
                  </w:r>
                </w:p>
              </w:tc>
            </w:tr>
          </w:tbl>
          <w:p w14:paraId="0D4E7BA3">
            <w:pPr>
              <w:adjustRightInd w:val="0"/>
              <w:snapToGrid w:val="0"/>
              <w:spacing w:line="360" w:lineRule="auto"/>
              <w:ind w:firstLine="482" w:firstLineChars="200"/>
              <w:jc w:val="center"/>
              <w:rPr>
                <w:rFonts w:hint="default"/>
                <w:b/>
                <w:color w:val="000000"/>
                <w:sz w:val="24"/>
                <w:u w:val="single"/>
                <w:lang w:val="en-US"/>
              </w:rPr>
            </w:pPr>
            <w:r>
              <w:rPr>
                <w:b/>
                <w:color w:val="000000"/>
                <w:sz w:val="24"/>
                <w:u w:val="single"/>
              </w:rPr>
              <w:t>表4-</w:t>
            </w:r>
            <w:r>
              <w:rPr>
                <w:rFonts w:hint="eastAsia"/>
                <w:b/>
                <w:color w:val="000000"/>
                <w:sz w:val="24"/>
                <w:u w:val="single"/>
                <w:lang w:val="en-US" w:eastAsia="zh-CN"/>
              </w:rPr>
              <w:t>10  项目污水处理设施处理效率一览表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84"/>
              <w:gridCol w:w="995"/>
              <w:gridCol w:w="928"/>
              <w:gridCol w:w="886"/>
              <w:gridCol w:w="846"/>
              <w:gridCol w:w="900"/>
              <w:gridCol w:w="1077"/>
              <w:gridCol w:w="1072"/>
            </w:tblGrid>
            <w:tr w14:paraId="1F5249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4" w:type="dxa"/>
                  <w:noWrap w:val="0"/>
                  <w:vAlign w:val="center"/>
                </w:tcPr>
                <w:p w14:paraId="6881CE35">
                  <w:pPr>
                    <w:adjustRightInd w:val="0"/>
                    <w:snapToGrid w:val="0"/>
                    <w:jc w:val="center"/>
                    <w:rPr>
                      <w:rFonts w:hint="default" w:eastAsia="宋体"/>
                      <w:color w:val="000000"/>
                      <w:kern w:val="0"/>
                      <w:sz w:val="21"/>
                      <w:szCs w:val="21"/>
                      <w:u w:val="single"/>
                      <w:lang w:val="en-US" w:eastAsia="zh-CN"/>
                    </w:rPr>
                  </w:pPr>
                  <w:r>
                    <w:rPr>
                      <w:rFonts w:hint="eastAsia"/>
                      <w:color w:val="000000"/>
                      <w:kern w:val="0"/>
                      <w:sz w:val="21"/>
                      <w:szCs w:val="21"/>
                      <w:u w:val="single"/>
                      <w:lang w:val="en-US" w:eastAsia="zh-CN"/>
                    </w:rPr>
                    <w:t>污染物因子</w:t>
                  </w:r>
                </w:p>
              </w:tc>
              <w:tc>
                <w:tcPr>
                  <w:tcW w:w="995" w:type="dxa"/>
                  <w:noWrap w:val="0"/>
                  <w:vAlign w:val="center"/>
                </w:tcPr>
                <w:p w14:paraId="4FFB0A6E">
                  <w:pPr>
                    <w:adjustRightInd w:val="0"/>
                    <w:snapToGrid w:val="0"/>
                    <w:jc w:val="center"/>
                    <w:rPr>
                      <w:color w:val="000000"/>
                      <w:kern w:val="0"/>
                      <w:sz w:val="21"/>
                      <w:szCs w:val="21"/>
                      <w:u w:val="single"/>
                    </w:rPr>
                  </w:pPr>
                  <w:r>
                    <w:rPr>
                      <w:color w:val="000000"/>
                      <w:kern w:val="0"/>
                      <w:sz w:val="21"/>
                      <w:szCs w:val="21"/>
                      <w:u w:val="single"/>
                    </w:rPr>
                    <w:t>COD</w:t>
                  </w:r>
                </w:p>
              </w:tc>
              <w:tc>
                <w:tcPr>
                  <w:tcW w:w="928" w:type="dxa"/>
                  <w:noWrap w:val="0"/>
                  <w:vAlign w:val="center"/>
                </w:tcPr>
                <w:p w14:paraId="3BF804FD">
                  <w:pPr>
                    <w:adjustRightInd w:val="0"/>
                    <w:snapToGrid w:val="0"/>
                    <w:jc w:val="center"/>
                    <w:rPr>
                      <w:rFonts w:hint="default" w:eastAsia="宋体"/>
                      <w:color w:val="000000"/>
                      <w:kern w:val="0"/>
                      <w:sz w:val="21"/>
                      <w:szCs w:val="21"/>
                      <w:u w:val="single"/>
                      <w:lang w:val="en-US" w:eastAsia="zh-CN"/>
                    </w:rPr>
                  </w:pPr>
                  <w:r>
                    <w:rPr>
                      <w:rFonts w:hint="eastAsia"/>
                      <w:color w:val="000000"/>
                      <w:kern w:val="0"/>
                      <w:sz w:val="21"/>
                      <w:szCs w:val="21"/>
                      <w:u w:val="single"/>
                      <w:lang w:val="en-US" w:eastAsia="zh-CN"/>
                    </w:rPr>
                    <w:t>BOD</w:t>
                  </w:r>
                </w:p>
              </w:tc>
              <w:tc>
                <w:tcPr>
                  <w:tcW w:w="886" w:type="dxa"/>
                  <w:noWrap w:val="0"/>
                  <w:vAlign w:val="center"/>
                </w:tcPr>
                <w:p w14:paraId="799C4FF0">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SS</w:t>
                  </w:r>
                </w:p>
              </w:tc>
              <w:tc>
                <w:tcPr>
                  <w:tcW w:w="846" w:type="dxa"/>
                  <w:noWrap w:val="0"/>
                  <w:vAlign w:val="center"/>
                </w:tcPr>
                <w:p w14:paraId="5AF9B917">
                  <w:pPr>
                    <w:adjustRightInd w:val="0"/>
                    <w:snapToGrid w:val="0"/>
                    <w:jc w:val="center"/>
                    <w:rPr>
                      <w:color w:val="000000"/>
                      <w:kern w:val="0"/>
                      <w:sz w:val="21"/>
                      <w:szCs w:val="21"/>
                      <w:u w:val="single"/>
                    </w:rPr>
                  </w:pPr>
                  <w:r>
                    <w:rPr>
                      <w:color w:val="000000"/>
                      <w:kern w:val="0"/>
                      <w:sz w:val="21"/>
                      <w:szCs w:val="21"/>
                      <w:u w:val="single"/>
                    </w:rPr>
                    <w:t>氨氮</w:t>
                  </w:r>
                </w:p>
              </w:tc>
              <w:tc>
                <w:tcPr>
                  <w:tcW w:w="900" w:type="dxa"/>
                  <w:noWrap w:val="0"/>
                  <w:vAlign w:val="center"/>
                </w:tcPr>
                <w:p w14:paraId="12C881C8">
                  <w:pPr>
                    <w:adjustRightInd w:val="0"/>
                    <w:snapToGrid w:val="0"/>
                    <w:jc w:val="center"/>
                    <w:rPr>
                      <w:color w:val="000000"/>
                      <w:kern w:val="0"/>
                      <w:sz w:val="21"/>
                      <w:szCs w:val="21"/>
                      <w:u w:val="single"/>
                    </w:rPr>
                  </w:pPr>
                  <w:r>
                    <w:rPr>
                      <w:color w:val="000000"/>
                      <w:kern w:val="0"/>
                      <w:sz w:val="21"/>
                      <w:szCs w:val="21"/>
                      <w:u w:val="single"/>
                    </w:rPr>
                    <w:t>TP</w:t>
                  </w:r>
                </w:p>
              </w:tc>
              <w:tc>
                <w:tcPr>
                  <w:tcW w:w="1077" w:type="dxa"/>
                  <w:noWrap w:val="0"/>
                  <w:vAlign w:val="center"/>
                </w:tcPr>
                <w:p w14:paraId="6E92593E">
                  <w:pPr>
                    <w:adjustRightInd w:val="0"/>
                    <w:snapToGrid w:val="0"/>
                    <w:jc w:val="center"/>
                    <w:rPr>
                      <w:rFonts w:hint="default" w:eastAsia="宋体"/>
                      <w:color w:val="000000"/>
                      <w:kern w:val="0"/>
                      <w:sz w:val="21"/>
                      <w:szCs w:val="21"/>
                      <w:u w:val="single"/>
                      <w:lang w:val="en-US" w:eastAsia="zh-CN"/>
                    </w:rPr>
                  </w:pPr>
                  <w:r>
                    <w:rPr>
                      <w:rFonts w:hint="eastAsia" w:eastAsia="宋体"/>
                      <w:color w:val="000000"/>
                      <w:kern w:val="0"/>
                      <w:sz w:val="21"/>
                      <w:szCs w:val="21"/>
                      <w:u w:val="single"/>
                      <w:lang w:val="en-US" w:eastAsia="zh-CN"/>
                    </w:rPr>
                    <w:t>总氮</w:t>
                  </w:r>
                </w:p>
              </w:tc>
              <w:tc>
                <w:tcPr>
                  <w:tcW w:w="1072" w:type="dxa"/>
                  <w:noWrap w:val="0"/>
                  <w:vAlign w:val="center"/>
                </w:tcPr>
                <w:p w14:paraId="688E4C0E">
                  <w:pPr>
                    <w:adjustRightInd w:val="0"/>
                    <w:snapToGrid w:val="0"/>
                    <w:jc w:val="center"/>
                    <w:rPr>
                      <w:rFonts w:hint="eastAsia" w:eastAsia="宋体"/>
                      <w:color w:val="000000"/>
                      <w:kern w:val="0"/>
                      <w:sz w:val="21"/>
                      <w:szCs w:val="21"/>
                      <w:u w:val="single"/>
                      <w:lang w:val="en-US" w:eastAsia="zh-CN"/>
                    </w:rPr>
                  </w:pPr>
                  <w:r>
                    <w:rPr>
                      <w:rFonts w:hint="eastAsia" w:eastAsia="宋体"/>
                      <w:color w:val="000000"/>
                      <w:kern w:val="0"/>
                      <w:sz w:val="21"/>
                      <w:szCs w:val="21"/>
                      <w:u w:val="single"/>
                      <w:lang w:val="en-US" w:eastAsia="zh-CN"/>
                    </w:rPr>
                    <w:t>动植物油</w:t>
                  </w:r>
                </w:p>
              </w:tc>
            </w:tr>
            <w:tr w14:paraId="7CDE5D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4" w:type="dxa"/>
                  <w:noWrap w:val="0"/>
                  <w:vAlign w:val="center"/>
                </w:tcPr>
                <w:p w14:paraId="72F37DD4">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项目综合生活污水进水浓度</w:t>
                  </w:r>
                </w:p>
              </w:tc>
              <w:tc>
                <w:tcPr>
                  <w:tcW w:w="995" w:type="dxa"/>
                  <w:noWrap w:val="0"/>
                  <w:vAlign w:val="center"/>
                </w:tcPr>
                <w:p w14:paraId="78CD5BE4">
                  <w:pPr>
                    <w:adjustRightInd w:val="0"/>
                    <w:snapToGrid w:val="0"/>
                    <w:jc w:val="center"/>
                    <w:rPr>
                      <w:rFonts w:hint="default" w:eastAsia="宋体"/>
                      <w:color w:val="000000"/>
                      <w:kern w:val="0"/>
                      <w:sz w:val="21"/>
                      <w:szCs w:val="21"/>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568.00</w:t>
                  </w:r>
                  <w:r>
                    <w:rPr>
                      <w:rFonts w:hint="eastAsia" w:cs="Times New Roman"/>
                      <w:i w:val="0"/>
                      <w:iCs w:val="0"/>
                      <w:color w:val="000000"/>
                      <w:kern w:val="0"/>
                      <w:sz w:val="21"/>
                      <w:szCs w:val="21"/>
                      <w:u w:val="single"/>
                      <w:lang w:val="en-US" w:eastAsia="zh-CN" w:bidi="ar"/>
                    </w:rPr>
                    <w:t>3</w:t>
                  </w:r>
                </w:p>
              </w:tc>
              <w:tc>
                <w:tcPr>
                  <w:tcW w:w="928" w:type="dxa"/>
                  <w:noWrap w:val="0"/>
                  <w:vAlign w:val="center"/>
                </w:tcPr>
                <w:p w14:paraId="296EFC7B">
                  <w:pPr>
                    <w:adjustRightInd w:val="0"/>
                    <w:snapToGrid w:val="0"/>
                    <w:jc w:val="center"/>
                    <w:rPr>
                      <w:rFonts w:hint="default"/>
                      <w:color w:val="000000"/>
                      <w:kern w:val="0"/>
                      <w:sz w:val="21"/>
                      <w:szCs w:val="21"/>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222.0</w:t>
                  </w:r>
                  <w:r>
                    <w:rPr>
                      <w:rFonts w:hint="eastAsia" w:cs="Times New Roman"/>
                      <w:i w:val="0"/>
                      <w:iCs w:val="0"/>
                      <w:color w:val="000000"/>
                      <w:kern w:val="0"/>
                      <w:sz w:val="21"/>
                      <w:szCs w:val="21"/>
                      <w:u w:val="single"/>
                      <w:lang w:val="en-US" w:eastAsia="zh-CN" w:bidi="ar"/>
                    </w:rPr>
                    <w:t>9</w:t>
                  </w:r>
                </w:p>
              </w:tc>
              <w:tc>
                <w:tcPr>
                  <w:tcW w:w="886" w:type="dxa"/>
                  <w:noWrap w:val="0"/>
                  <w:vAlign w:val="center"/>
                </w:tcPr>
                <w:p w14:paraId="5668DE06">
                  <w:pPr>
                    <w:adjustRightInd w:val="0"/>
                    <w:snapToGrid w:val="0"/>
                    <w:jc w:val="center"/>
                    <w:rPr>
                      <w:rFonts w:hint="default"/>
                      <w:color w:val="000000"/>
                      <w:kern w:val="0"/>
                      <w:sz w:val="21"/>
                      <w:szCs w:val="21"/>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361.76</w:t>
                  </w:r>
                </w:p>
              </w:tc>
              <w:tc>
                <w:tcPr>
                  <w:tcW w:w="846" w:type="dxa"/>
                  <w:noWrap w:val="0"/>
                  <w:vAlign w:val="center"/>
                </w:tcPr>
                <w:p w14:paraId="2F5B594B">
                  <w:pPr>
                    <w:adjustRightInd w:val="0"/>
                    <w:snapToGrid w:val="0"/>
                    <w:jc w:val="center"/>
                    <w:rPr>
                      <w:rFonts w:hint="default"/>
                      <w:color w:val="000000"/>
                      <w:kern w:val="0"/>
                      <w:sz w:val="21"/>
                      <w:szCs w:val="21"/>
                      <w:u w:val="single"/>
                      <w:lang w:val="en-US"/>
                    </w:rPr>
                  </w:pPr>
                  <w:r>
                    <w:rPr>
                      <w:rFonts w:hint="eastAsia" w:ascii="Times New Roman" w:hAnsi="Times New Roman" w:eastAsia="宋体" w:cs="Times New Roman"/>
                      <w:i w:val="0"/>
                      <w:iCs w:val="0"/>
                      <w:color w:val="000000"/>
                      <w:kern w:val="0"/>
                      <w:sz w:val="21"/>
                      <w:szCs w:val="21"/>
                      <w:u w:val="single"/>
                      <w:lang w:val="en-US" w:eastAsia="zh-CN" w:bidi="ar"/>
                    </w:rPr>
                    <w:t>39.01</w:t>
                  </w:r>
                </w:p>
              </w:tc>
              <w:tc>
                <w:tcPr>
                  <w:tcW w:w="900" w:type="dxa"/>
                  <w:noWrap w:val="0"/>
                  <w:vAlign w:val="center"/>
                </w:tcPr>
                <w:p w14:paraId="6A6D94F2">
                  <w:pPr>
                    <w:adjustRightInd w:val="0"/>
                    <w:snapToGrid w:val="0"/>
                    <w:jc w:val="center"/>
                    <w:rPr>
                      <w:rFonts w:hint="default" w:eastAsia="宋体"/>
                      <w:color w:val="000000"/>
                      <w:kern w:val="0"/>
                      <w:sz w:val="21"/>
                      <w:szCs w:val="21"/>
                      <w:u w:val="single"/>
                      <w:lang w:val="en-US" w:eastAsia="zh-CN"/>
                    </w:rPr>
                  </w:pPr>
                  <w:r>
                    <w:rPr>
                      <w:rFonts w:hint="default" w:ascii="Times New Roman" w:hAnsi="Times New Roman" w:eastAsia="宋体" w:cs="Times New Roman"/>
                      <w:i w:val="0"/>
                      <w:iCs w:val="0"/>
                      <w:color w:val="000000"/>
                      <w:kern w:val="0"/>
                      <w:sz w:val="21"/>
                      <w:szCs w:val="21"/>
                      <w:u w:val="single"/>
                      <w:lang w:val="en-US" w:eastAsia="zh-CN" w:bidi="ar"/>
                    </w:rPr>
                    <w:t>7.31</w:t>
                  </w:r>
                  <w:r>
                    <w:rPr>
                      <w:rFonts w:hint="eastAsia" w:cs="Times New Roman"/>
                      <w:i w:val="0"/>
                      <w:iCs w:val="0"/>
                      <w:color w:val="000000"/>
                      <w:kern w:val="0"/>
                      <w:sz w:val="21"/>
                      <w:szCs w:val="21"/>
                      <w:u w:val="single"/>
                      <w:lang w:val="en-US" w:eastAsia="zh-CN" w:bidi="ar"/>
                    </w:rPr>
                    <w:t>4</w:t>
                  </w:r>
                </w:p>
              </w:tc>
              <w:tc>
                <w:tcPr>
                  <w:tcW w:w="1077" w:type="dxa"/>
                  <w:noWrap w:val="0"/>
                  <w:vAlign w:val="center"/>
                </w:tcPr>
                <w:p w14:paraId="53955648">
                  <w:pPr>
                    <w:adjustRightInd w:val="0"/>
                    <w:snapToGrid w:val="0"/>
                    <w:jc w:val="center"/>
                    <w:rPr>
                      <w:rFonts w:hint="default" w:ascii="Times New Roman" w:hAnsi="Times New Roman" w:eastAsia="宋体" w:cs="Times New Roman"/>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62.6</w:t>
                  </w:r>
                  <w:r>
                    <w:rPr>
                      <w:rFonts w:hint="eastAsia" w:cs="Times New Roman"/>
                      <w:i w:val="0"/>
                      <w:iCs w:val="0"/>
                      <w:color w:val="000000"/>
                      <w:kern w:val="0"/>
                      <w:sz w:val="21"/>
                      <w:szCs w:val="21"/>
                      <w:u w:val="single"/>
                      <w:lang w:val="en-US" w:eastAsia="zh-CN" w:bidi="ar"/>
                    </w:rPr>
                    <w:t>7</w:t>
                  </w:r>
                </w:p>
              </w:tc>
              <w:tc>
                <w:tcPr>
                  <w:tcW w:w="1072" w:type="dxa"/>
                  <w:noWrap w:val="0"/>
                  <w:vAlign w:val="center"/>
                </w:tcPr>
                <w:p w14:paraId="030E3091">
                  <w:pPr>
                    <w:adjustRightInd w:val="0"/>
                    <w:snapToGrid w:val="0"/>
                    <w:jc w:val="center"/>
                    <w:rPr>
                      <w:rFonts w:hint="default" w:ascii="Times New Roman" w:hAnsi="Times New Roman" w:eastAsia="宋体" w:cs="Times New Roman"/>
                      <w:i w:val="0"/>
                      <w:iCs w:val="0"/>
                      <w:color w:val="000000"/>
                      <w:kern w:val="0"/>
                      <w:sz w:val="21"/>
                      <w:szCs w:val="21"/>
                      <w:u w:val="single"/>
                      <w:lang w:val="en-US" w:eastAsia="zh-CN" w:bidi="ar"/>
                    </w:rPr>
                  </w:pPr>
                  <w:r>
                    <w:rPr>
                      <w:rFonts w:hint="default" w:ascii="Times New Roman" w:hAnsi="Times New Roman" w:eastAsia="宋体" w:cs="Times New Roman"/>
                      <w:i w:val="0"/>
                      <w:iCs w:val="0"/>
                      <w:color w:val="000000"/>
                      <w:kern w:val="0"/>
                      <w:sz w:val="21"/>
                      <w:szCs w:val="21"/>
                      <w:u w:val="single"/>
                      <w:lang w:val="en-US" w:eastAsia="zh-CN" w:bidi="ar"/>
                    </w:rPr>
                    <w:t>45.</w:t>
                  </w:r>
                  <w:r>
                    <w:rPr>
                      <w:rFonts w:hint="eastAsia" w:cs="Times New Roman"/>
                      <w:i w:val="0"/>
                      <w:iCs w:val="0"/>
                      <w:color w:val="000000"/>
                      <w:kern w:val="0"/>
                      <w:sz w:val="21"/>
                      <w:szCs w:val="21"/>
                      <w:u w:val="single"/>
                      <w:lang w:val="en-US" w:eastAsia="zh-CN" w:bidi="ar"/>
                    </w:rPr>
                    <w:t>2</w:t>
                  </w:r>
                </w:p>
              </w:tc>
            </w:tr>
            <w:tr w14:paraId="5B71AB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4" w:type="dxa"/>
                  <w:noWrap w:val="0"/>
                  <w:vAlign w:val="center"/>
                </w:tcPr>
                <w:p w14:paraId="046EB39E">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项目综合污水排放量</w:t>
                  </w:r>
                </w:p>
              </w:tc>
              <w:tc>
                <w:tcPr>
                  <w:tcW w:w="6704" w:type="dxa"/>
                  <w:gridSpan w:val="7"/>
                  <w:noWrap w:val="0"/>
                  <w:vAlign w:val="center"/>
                </w:tcPr>
                <w:p w14:paraId="3004AF0F">
                  <w:pPr>
                    <w:adjustRightInd w:val="0"/>
                    <w:snapToGrid w:val="0"/>
                    <w:jc w:val="center"/>
                    <w:rPr>
                      <w:rFonts w:hint="eastAsia" w:ascii="Times New Roman" w:hAnsi="Times New Roman" w:cs="Times New Roman"/>
                      <w:sz w:val="21"/>
                      <w:szCs w:val="21"/>
                      <w:u w:val="single"/>
                      <w:lang w:val="en-US" w:eastAsia="zh-CN"/>
                    </w:rPr>
                  </w:pPr>
                  <w:r>
                    <w:rPr>
                      <w:rFonts w:hint="eastAsia" w:ascii="Times New Roman" w:hAnsi="Times New Roman" w:cs="Times New Roman"/>
                      <w:sz w:val="21"/>
                      <w:szCs w:val="21"/>
                      <w:u w:val="single"/>
                      <w:lang w:val="en-US" w:eastAsia="zh-CN"/>
                    </w:rPr>
                    <w:t>76.16m</w:t>
                  </w:r>
                  <w:r>
                    <w:rPr>
                      <w:rFonts w:hint="eastAsia" w:ascii="Times New Roman" w:hAnsi="Times New Roman" w:cs="Times New Roman"/>
                      <w:sz w:val="21"/>
                      <w:szCs w:val="21"/>
                      <w:u w:val="single"/>
                      <w:vertAlign w:val="superscript"/>
                      <w:lang w:val="en-US" w:eastAsia="zh-CN"/>
                    </w:rPr>
                    <w:t>3</w:t>
                  </w:r>
                  <w:r>
                    <w:rPr>
                      <w:rFonts w:hint="eastAsia" w:ascii="Times New Roman" w:hAnsi="Times New Roman" w:cs="Times New Roman"/>
                      <w:sz w:val="21"/>
                      <w:szCs w:val="21"/>
                      <w:u w:val="single"/>
                      <w:lang w:val="en-US" w:eastAsia="zh-CN"/>
                    </w:rPr>
                    <w:t>/d</w:t>
                  </w:r>
                </w:p>
              </w:tc>
            </w:tr>
            <w:tr w14:paraId="15E5FB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4" w:type="dxa"/>
                  <w:noWrap w:val="0"/>
                  <w:vAlign w:val="center"/>
                </w:tcPr>
                <w:p w14:paraId="0B37F5A8">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隔油池+化粪池设计规模</w:t>
                  </w:r>
                </w:p>
              </w:tc>
              <w:tc>
                <w:tcPr>
                  <w:tcW w:w="6704" w:type="dxa"/>
                  <w:gridSpan w:val="7"/>
                  <w:noWrap w:val="0"/>
                  <w:vAlign w:val="center"/>
                </w:tcPr>
                <w:p w14:paraId="7DFF222B">
                  <w:pPr>
                    <w:adjustRightInd w:val="0"/>
                    <w:snapToGrid w:val="0"/>
                    <w:jc w:val="center"/>
                    <w:rPr>
                      <w:rFonts w:hint="eastAsia" w:ascii="Times New Roman" w:hAnsi="Times New Roman" w:cs="Times New Roman"/>
                      <w:sz w:val="21"/>
                      <w:szCs w:val="21"/>
                      <w:u w:val="single"/>
                      <w:lang w:val="en-US" w:eastAsia="zh-CN"/>
                    </w:rPr>
                  </w:pPr>
                  <w:r>
                    <w:rPr>
                      <w:rFonts w:hint="eastAsia" w:cs="Times New Roman"/>
                      <w:sz w:val="21"/>
                      <w:szCs w:val="21"/>
                      <w:u w:val="single"/>
                      <w:lang w:val="en-US" w:eastAsia="zh-CN"/>
                    </w:rPr>
                    <w:t>9</w:t>
                  </w:r>
                  <w:r>
                    <w:rPr>
                      <w:rFonts w:hint="eastAsia" w:ascii="Times New Roman" w:hAnsi="Times New Roman" w:cs="Times New Roman"/>
                      <w:sz w:val="21"/>
                      <w:szCs w:val="21"/>
                      <w:u w:val="single"/>
                      <w:lang w:val="en-US" w:eastAsia="zh-CN"/>
                    </w:rPr>
                    <w:t>0m</w:t>
                  </w:r>
                  <w:r>
                    <w:rPr>
                      <w:rFonts w:hint="eastAsia" w:ascii="Times New Roman" w:hAnsi="Times New Roman" w:cs="Times New Roman"/>
                      <w:sz w:val="21"/>
                      <w:szCs w:val="21"/>
                      <w:u w:val="single"/>
                      <w:vertAlign w:val="superscript"/>
                      <w:lang w:val="en-US" w:eastAsia="zh-CN"/>
                    </w:rPr>
                    <w:t>3</w:t>
                  </w:r>
                  <w:r>
                    <w:rPr>
                      <w:rFonts w:hint="eastAsia" w:ascii="Times New Roman" w:hAnsi="Times New Roman" w:cs="Times New Roman"/>
                      <w:sz w:val="21"/>
                      <w:szCs w:val="21"/>
                      <w:u w:val="single"/>
                      <w:lang w:val="en-US" w:eastAsia="zh-CN"/>
                    </w:rPr>
                    <w:t>/d</w:t>
                  </w:r>
                </w:p>
              </w:tc>
            </w:tr>
            <w:tr w14:paraId="0253D5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4" w:type="dxa"/>
                  <w:noWrap w:val="0"/>
                  <w:vAlign w:val="center"/>
                </w:tcPr>
                <w:p w14:paraId="7F847B8A">
                  <w:pPr>
                    <w:adjustRightInd w:val="0"/>
                    <w:snapToGrid w:val="0"/>
                    <w:jc w:val="center"/>
                    <w:rPr>
                      <w:color w:val="000000"/>
                      <w:kern w:val="0"/>
                      <w:sz w:val="21"/>
                      <w:szCs w:val="21"/>
                      <w:u w:val="single"/>
                    </w:rPr>
                  </w:pPr>
                  <w:r>
                    <w:rPr>
                      <w:rFonts w:hint="eastAsia"/>
                      <w:color w:val="000000"/>
                      <w:kern w:val="0"/>
                      <w:sz w:val="21"/>
                      <w:szCs w:val="21"/>
                      <w:u w:val="single"/>
                      <w:lang w:val="en-US" w:eastAsia="zh-CN"/>
                    </w:rPr>
                    <w:t>处理效率</w:t>
                  </w:r>
                </w:p>
              </w:tc>
              <w:tc>
                <w:tcPr>
                  <w:tcW w:w="995" w:type="dxa"/>
                  <w:noWrap w:val="0"/>
                  <w:vAlign w:val="center"/>
                </w:tcPr>
                <w:p w14:paraId="71536A2F">
                  <w:pPr>
                    <w:adjustRightInd w:val="0"/>
                    <w:snapToGrid w:val="0"/>
                    <w:jc w:val="center"/>
                    <w:rPr>
                      <w:rFonts w:hint="default" w:eastAsia="宋体"/>
                      <w:color w:val="000000"/>
                      <w:kern w:val="0"/>
                      <w:sz w:val="21"/>
                      <w:szCs w:val="21"/>
                      <w:u w:val="single"/>
                      <w:lang w:val="en-US" w:eastAsia="zh-CN"/>
                    </w:rPr>
                  </w:pPr>
                  <w:r>
                    <w:rPr>
                      <w:rFonts w:hint="eastAsia"/>
                      <w:color w:val="000000"/>
                      <w:kern w:val="0"/>
                      <w:sz w:val="21"/>
                      <w:szCs w:val="21"/>
                      <w:u w:val="single"/>
                      <w:lang w:val="en-US" w:eastAsia="zh-CN"/>
                    </w:rPr>
                    <w:t>30%</w:t>
                  </w:r>
                </w:p>
              </w:tc>
              <w:tc>
                <w:tcPr>
                  <w:tcW w:w="928" w:type="dxa"/>
                  <w:noWrap w:val="0"/>
                  <w:vAlign w:val="center"/>
                </w:tcPr>
                <w:p w14:paraId="4EBF5CB1">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35%</w:t>
                  </w:r>
                </w:p>
              </w:tc>
              <w:tc>
                <w:tcPr>
                  <w:tcW w:w="886" w:type="dxa"/>
                  <w:noWrap w:val="0"/>
                  <w:vAlign w:val="center"/>
                </w:tcPr>
                <w:p w14:paraId="6EFAD962">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50%</w:t>
                  </w:r>
                </w:p>
              </w:tc>
              <w:tc>
                <w:tcPr>
                  <w:tcW w:w="846" w:type="dxa"/>
                  <w:noWrap w:val="0"/>
                  <w:vAlign w:val="center"/>
                </w:tcPr>
                <w:p w14:paraId="46E697F9">
                  <w:pPr>
                    <w:adjustRightInd w:val="0"/>
                    <w:snapToGrid w:val="0"/>
                    <w:jc w:val="center"/>
                    <w:rPr>
                      <w:rFonts w:hint="default" w:eastAsia="宋体"/>
                      <w:color w:val="000000"/>
                      <w:kern w:val="0"/>
                      <w:sz w:val="21"/>
                      <w:szCs w:val="21"/>
                      <w:u w:val="single"/>
                      <w:lang w:val="en-US" w:eastAsia="zh-CN"/>
                    </w:rPr>
                  </w:pPr>
                  <w:r>
                    <w:rPr>
                      <w:rFonts w:hint="eastAsia"/>
                      <w:color w:val="000000"/>
                      <w:kern w:val="0"/>
                      <w:sz w:val="21"/>
                      <w:szCs w:val="21"/>
                      <w:u w:val="single"/>
                      <w:lang w:val="en-US" w:eastAsia="zh-CN"/>
                    </w:rPr>
                    <w:t>15%</w:t>
                  </w:r>
                </w:p>
              </w:tc>
              <w:tc>
                <w:tcPr>
                  <w:tcW w:w="900" w:type="dxa"/>
                  <w:noWrap w:val="0"/>
                  <w:vAlign w:val="center"/>
                </w:tcPr>
                <w:p w14:paraId="5D9E063E">
                  <w:pPr>
                    <w:adjustRightInd w:val="0"/>
                    <w:snapToGrid w:val="0"/>
                    <w:jc w:val="center"/>
                    <w:rPr>
                      <w:rFonts w:hint="default" w:eastAsia="宋体"/>
                      <w:color w:val="000000"/>
                      <w:kern w:val="0"/>
                      <w:sz w:val="21"/>
                      <w:szCs w:val="21"/>
                      <w:u w:val="single"/>
                      <w:lang w:val="en-US" w:eastAsia="zh-CN"/>
                    </w:rPr>
                  </w:pPr>
                  <w:r>
                    <w:rPr>
                      <w:rFonts w:hint="eastAsia" w:eastAsia="宋体"/>
                      <w:color w:val="000000"/>
                      <w:kern w:val="0"/>
                      <w:sz w:val="21"/>
                      <w:szCs w:val="21"/>
                      <w:u w:val="single"/>
                      <w:lang w:val="en-US" w:eastAsia="zh-CN"/>
                    </w:rPr>
                    <w:t>18%</w:t>
                  </w:r>
                </w:p>
              </w:tc>
              <w:tc>
                <w:tcPr>
                  <w:tcW w:w="1077" w:type="dxa"/>
                  <w:noWrap w:val="0"/>
                  <w:vAlign w:val="center"/>
                </w:tcPr>
                <w:p w14:paraId="67D812DB">
                  <w:pPr>
                    <w:adjustRightInd w:val="0"/>
                    <w:snapToGrid w:val="0"/>
                    <w:jc w:val="center"/>
                    <w:rPr>
                      <w:rFonts w:hint="default" w:ascii="Times New Roman" w:hAnsi="Times New Roman" w:eastAsia="宋体" w:cs="Times New Roman"/>
                      <w:color w:val="000000"/>
                      <w:kern w:val="0"/>
                      <w:sz w:val="21"/>
                      <w:szCs w:val="21"/>
                      <w:u w:val="single"/>
                      <w:lang w:val="en-US" w:eastAsia="zh-CN"/>
                    </w:rPr>
                  </w:pPr>
                  <w:r>
                    <w:rPr>
                      <w:rFonts w:hint="eastAsia"/>
                      <w:color w:val="000000"/>
                      <w:kern w:val="0"/>
                      <w:sz w:val="21"/>
                      <w:szCs w:val="21"/>
                      <w:u w:val="single"/>
                      <w:lang w:val="en-US" w:eastAsia="zh-CN"/>
                    </w:rPr>
                    <w:t>10%</w:t>
                  </w:r>
                </w:p>
              </w:tc>
              <w:tc>
                <w:tcPr>
                  <w:tcW w:w="1072" w:type="dxa"/>
                  <w:noWrap w:val="0"/>
                  <w:vAlign w:val="center"/>
                </w:tcPr>
                <w:p w14:paraId="73F118BB">
                  <w:pPr>
                    <w:adjustRightInd w:val="0"/>
                    <w:snapToGrid w:val="0"/>
                    <w:jc w:val="center"/>
                    <w:rPr>
                      <w:rFonts w:hint="default" w:ascii="Times New Roman" w:hAnsi="Times New Roman" w:eastAsia="宋体" w:cs="Times New Roman"/>
                      <w:color w:val="000000"/>
                      <w:kern w:val="0"/>
                      <w:sz w:val="21"/>
                      <w:szCs w:val="21"/>
                      <w:u w:val="single"/>
                      <w:lang w:val="en-US" w:eastAsia="zh-CN"/>
                    </w:rPr>
                  </w:pPr>
                  <w:r>
                    <w:rPr>
                      <w:rFonts w:hint="eastAsia"/>
                      <w:color w:val="000000"/>
                      <w:kern w:val="0"/>
                      <w:sz w:val="21"/>
                      <w:szCs w:val="21"/>
                      <w:u w:val="single"/>
                      <w:lang w:val="en-US" w:eastAsia="zh-CN"/>
                    </w:rPr>
                    <w:t>70%</w:t>
                  </w:r>
                </w:p>
              </w:tc>
            </w:tr>
            <w:tr w14:paraId="42B2D1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4" w:type="dxa"/>
                  <w:noWrap w:val="0"/>
                  <w:vAlign w:val="center"/>
                </w:tcPr>
                <w:p w14:paraId="4FE9CB8C">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综合生活污水出水浓度</w:t>
                  </w:r>
                </w:p>
              </w:tc>
              <w:tc>
                <w:tcPr>
                  <w:tcW w:w="995" w:type="dxa"/>
                  <w:noWrap w:val="0"/>
                  <w:vAlign w:val="center"/>
                </w:tcPr>
                <w:p w14:paraId="014A7AE9">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397.6</w:t>
                  </w:r>
                </w:p>
              </w:tc>
              <w:tc>
                <w:tcPr>
                  <w:tcW w:w="928" w:type="dxa"/>
                  <w:noWrap w:val="0"/>
                  <w:vAlign w:val="center"/>
                </w:tcPr>
                <w:p w14:paraId="78C4C069">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144.34</w:t>
                  </w:r>
                </w:p>
              </w:tc>
              <w:tc>
                <w:tcPr>
                  <w:tcW w:w="886" w:type="dxa"/>
                  <w:noWrap w:val="0"/>
                  <w:vAlign w:val="center"/>
                </w:tcPr>
                <w:p w14:paraId="3F916D16">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180.88</w:t>
                  </w:r>
                </w:p>
              </w:tc>
              <w:tc>
                <w:tcPr>
                  <w:tcW w:w="846" w:type="dxa"/>
                  <w:noWrap w:val="0"/>
                  <w:vAlign w:val="center"/>
                </w:tcPr>
                <w:p w14:paraId="7148670C">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33.16</w:t>
                  </w:r>
                </w:p>
              </w:tc>
              <w:tc>
                <w:tcPr>
                  <w:tcW w:w="900" w:type="dxa"/>
                  <w:noWrap w:val="0"/>
                  <w:vAlign w:val="center"/>
                </w:tcPr>
                <w:p w14:paraId="3DBE91EF">
                  <w:pPr>
                    <w:adjustRightInd w:val="0"/>
                    <w:snapToGrid w:val="0"/>
                    <w:jc w:val="center"/>
                    <w:rPr>
                      <w:rFonts w:hint="default" w:eastAsia="宋体"/>
                      <w:color w:val="000000"/>
                      <w:kern w:val="0"/>
                      <w:sz w:val="21"/>
                      <w:szCs w:val="21"/>
                      <w:u w:val="single"/>
                      <w:lang w:val="en-US" w:eastAsia="zh-CN"/>
                    </w:rPr>
                  </w:pPr>
                  <w:r>
                    <w:rPr>
                      <w:rFonts w:hint="eastAsia" w:eastAsia="宋体"/>
                      <w:color w:val="000000"/>
                      <w:kern w:val="0"/>
                      <w:sz w:val="21"/>
                      <w:szCs w:val="21"/>
                      <w:u w:val="single"/>
                      <w:lang w:val="en-US" w:eastAsia="zh-CN"/>
                    </w:rPr>
                    <w:t>5.997</w:t>
                  </w:r>
                </w:p>
              </w:tc>
              <w:tc>
                <w:tcPr>
                  <w:tcW w:w="1077" w:type="dxa"/>
                  <w:noWrap w:val="0"/>
                  <w:vAlign w:val="center"/>
                </w:tcPr>
                <w:p w14:paraId="3C9F6619">
                  <w:pPr>
                    <w:adjustRightInd w:val="0"/>
                    <w:snapToGrid w:val="0"/>
                    <w:jc w:val="center"/>
                    <w:rPr>
                      <w:rFonts w:hint="default" w:ascii="Times New Roman" w:hAnsi="Times New Roman" w:eastAsia="宋体" w:cs="Times New Roman"/>
                      <w:color w:val="000000"/>
                      <w:kern w:val="0"/>
                      <w:sz w:val="21"/>
                      <w:szCs w:val="21"/>
                      <w:u w:val="single"/>
                      <w:lang w:val="en-US" w:eastAsia="zh-CN"/>
                    </w:rPr>
                  </w:pPr>
                  <w:r>
                    <w:rPr>
                      <w:rFonts w:hint="eastAsia" w:ascii="Times New Roman" w:hAnsi="Times New Roman" w:eastAsia="宋体" w:cs="Times New Roman"/>
                      <w:color w:val="000000"/>
                      <w:kern w:val="0"/>
                      <w:sz w:val="21"/>
                      <w:szCs w:val="21"/>
                      <w:u w:val="single"/>
                      <w:lang w:val="en-US" w:eastAsia="zh-CN"/>
                    </w:rPr>
                    <w:t>56.4</w:t>
                  </w:r>
                </w:p>
              </w:tc>
              <w:tc>
                <w:tcPr>
                  <w:tcW w:w="1072" w:type="dxa"/>
                  <w:noWrap w:val="0"/>
                  <w:vAlign w:val="center"/>
                </w:tcPr>
                <w:p w14:paraId="730AEE2D">
                  <w:pPr>
                    <w:adjustRightInd w:val="0"/>
                    <w:snapToGrid w:val="0"/>
                    <w:jc w:val="center"/>
                    <w:rPr>
                      <w:rFonts w:hint="default" w:ascii="Times New Roman" w:hAnsi="Times New Roman" w:eastAsia="宋体" w:cs="Times New Roman"/>
                      <w:color w:val="000000"/>
                      <w:kern w:val="0"/>
                      <w:sz w:val="21"/>
                      <w:szCs w:val="21"/>
                      <w:u w:val="single"/>
                      <w:lang w:val="en-US" w:eastAsia="zh-CN"/>
                    </w:rPr>
                  </w:pPr>
                  <w:r>
                    <w:rPr>
                      <w:rFonts w:hint="eastAsia" w:ascii="Times New Roman" w:hAnsi="Times New Roman" w:eastAsia="宋体" w:cs="Times New Roman"/>
                      <w:color w:val="000000"/>
                      <w:kern w:val="0"/>
                      <w:sz w:val="21"/>
                      <w:szCs w:val="21"/>
                      <w:u w:val="single"/>
                      <w:lang w:val="en-US" w:eastAsia="zh-CN"/>
                    </w:rPr>
                    <w:t>13.56</w:t>
                  </w:r>
                </w:p>
              </w:tc>
            </w:tr>
            <w:tr w14:paraId="51F9E2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4" w:type="dxa"/>
                  <w:noWrap w:val="0"/>
                  <w:vAlign w:val="center"/>
                </w:tcPr>
                <w:p w14:paraId="10A2A5F0">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排放标准</w:t>
                  </w:r>
                </w:p>
              </w:tc>
              <w:tc>
                <w:tcPr>
                  <w:tcW w:w="995" w:type="dxa"/>
                  <w:noWrap w:val="0"/>
                  <w:vAlign w:val="center"/>
                </w:tcPr>
                <w:p w14:paraId="6EB9BA61">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400</w:t>
                  </w:r>
                </w:p>
              </w:tc>
              <w:tc>
                <w:tcPr>
                  <w:tcW w:w="928" w:type="dxa"/>
                  <w:noWrap w:val="0"/>
                  <w:vAlign w:val="center"/>
                </w:tcPr>
                <w:p w14:paraId="055851B9">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200</w:t>
                  </w:r>
                </w:p>
              </w:tc>
              <w:tc>
                <w:tcPr>
                  <w:tcW w:w="886" w:type="dxa"/>
                  <w:noWrap w:val="0"/>
                  <w:vAlign w:val="center"/>
                </w:tcPr>
                <w:p w14:paraId="7BBA7288">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400</w:t>
                  </w:r>
                </w:p>
              </w:tc>
              <w:tc>
                <w:tcPr>
                  <w:tcW w:w="846" w:type="dxa"/>
                  <w:noWrap w:val="0"/>
                  <w:vAlign w:val="center"/>
                </w:tcPr>
                <w:p w14:paraId="08FF0B39">
                  <w:pPr>
                    <w:adjustRightInd w:val="0"/>
                    <w:snapToGrid w:val="0"/>
                    <w:jc w:val="center"/>
                    <w:rPr>
                      <w:rFonts w:hint="default"/>
                      <w:color w:val="000000"/>
                      <w:kern w:val="0"/>
                      <w:sz w:val="21"/>
                      <w:szCs w:val="21"/>
                      <w:u w:val="single"/>
                      <w:lang w:val="en-US" w:eastAsia="zh-CN"/>
                    </w:rPr>
                  </w:pPr>
                  <w:r>
                    <w:rPr>
                      <w:rFonts w:hint="eastAsia"/>
                      <w:color w:val="000000"/>
                      <w:kern w:val="0"/>
                      <w:sz w:val="21"/>
                      <w:szCs w:val="21"/>
                      <w:u w:val="single"/>
                      <w:lang w:val="en-US" w:eastAsia="zh-CN"/>
                    </w:rPr>
                    <w:t>35</w:t>
                  </w:r>
                </w:p>
              </w:tc>
              <w:tc>
                <w:tcPr>
                  <w:tcW w:w="900" w:type="dxa"/>
                  <w:noWrap w:val="0"/>
                  <w:vAlign w:val="center"/>
                </w:tcPr>
                <w:p w14:paraId="3E7C07F2">
                  <w:pPr>
                    <w:adjustRightInd w:val="0"/>
                    <w:snapToGrid w:val="0"/>
                    <w:jc w:val="center"/>
                    <w:rPr>
                      <w:rFonts w:hint="default" w:eastAsia="宋体"/>
                      <w:color w:val="000000"/>
                      <w:kern w:val="0"/>
                      <w:sz w:val="21"/>
                      <w:szCs w:val="21"/>
                      <w:u w:val="single"/>
                      <w:lang w:val="en-US" w:eastAsia="zh-CN"/>
                    </w:rPr>
                  </w:pPr>
                  <w:r>
                    <w:rPr>
                      <w:rFonts w:hint="eastAsia" w:eastAsia="宋体"/>
                      <w:color w:val="000000"/>
                      <w:kern w:val="0"/>
                      <w:sz w:val="21"/>
                      <w:szCs w:val="21"/>
                      <w:u w:val="single"/>
                      <w:lang w:val="en-US" w:eastAsia="zh-CN"/>
                    </w:rPr>
                    <w:t>6</w:t>
                  </w:r>
                </w:p>
              </w:tc>
              <w:tc>
                <w:tcPr>
                  <w:tcW w:w="1077" w:type="dxa"/>
                  <w:noWrap w:val="0"/>
                  <w:vAlign w:val="center"/>
                </w:tcPr>
                <w:p w14:paraId="77592B3A">
                  <w:pPr>
                    <w:adjustRightInd w:val="0"/>
                    <w:snapToGrid w:val="0"/>
                    <w:jc w:val="center"/>
                    <w:rPr>
                      <w:rFonts w:hint="default" w:ascii="Times New Roman" w:hAnsi="Times New Roman" w:eastAsia="宋体" w:cs="Times New Roman"/>
                      <w:color w:val="000000"/>
                      <w:kern w:val="0"/>
                      <w:sz w:val="21"/>
                      <w:szCs w:val="21"/>
                      <w:u w:val="single"/>
                      <w:lang w:val="en-US" w:eastAsia="zh-CN"/>
                    </w:rPr>
                  </w:pPr>
                  <w:r>
                    <w:rPr>
                      <w:rFonts w:hint="eastAsia" w:ascii="Times New Roman" w:hAnsi="Times New Roman" w:eastAsia="宋体" w:cs="Times New Roman"/>
                      <w:color w:val="000000"/>
                      <w:kern w:val="0"/>
                      <w:sz w:val="21"/>
                      <w:szCs w:val="21"/>
                      <w:u w:val="single"/>
                      <w:lang w:val="en-US" w:eastAsia="zh-CN"/>
                    </w:rPr>
                    <w:t>70</w:t>
                  </w:r>
                </w:p>
              </w:tc>
              <w:tc>
                <w:tcPr>
                  <w:tcW w:w="1072" w:type="dxa"/>
                  <w:noWrap w:val="0"/>
                  <w:vAlign w:val="center"/>
                </w:tcPr>
                <w:p w14:paraId="662398E2">
                  <w:pPr>
                    <w:adjustRightInd w:val="0"/>
                    <w:snapToGrid w:val="0"/>
                    <w:jc w:val="center"/>
                    <w:rPr>
                      <w:rFonts w:hint="default" w:ascii="Times New Roman" w:hAnsi="Times New Roman" w:eastAsia="宋体" w:cs="Times New Roman"/>
                      <w:color w:val="000000"/>
                      <w:kern w:val="0"/>
                      <w:sz w:val="21"/>
                      <w:szCs w:val="21"/>
                      <w:u w:val="single"/>
                      <w:lang w:val="en-US" w:eastAsia="zh-CN"/>
                    </w:rPr>
                  </w:pPr>
                  <w:r>
                    <w:rPr>
                      <w:rFonts w:hint="eastAsia" w:ascii="Times New Roman" w:hAnsi="Times New Roman" w:eastAsia="宋体" w:cs="Times New Roman"/>
                      <w:color w:val="000000"/>
                      <w:kern w:val="0"/>
                      <w:sz w:val="21"/>
                      <w:szCs w:val="21"/>
                      <w:u w:val="single"/>
                      <w:lang w:val="en-US" w:eastAsia="zh-CN"/>
                    </w:rPr>
                    <w:t>100</w:t>
                  </w:r>
                </w:p>
              </w:tc>
            </w:tr>
          </w:tbl>
          <w:p w14:paraId="12C295B8">
            <w:pPr>
              <w:adjustRightInd w:val="0"/>
              <w:snapToGrid w:val="0"/>
              <w:spacing w:line="360" w:lineRule="auto"/>
              <w:rPr>
                <w:rFonts w:hint="eastAsia"/>
                <w:b/>
                <w:bCs/>
                <w:color w:val="000000"/>
                <w:sz w:val="24"/>
                <w:lang w:val="en-US" w:bidi="zh-CN"/>
              </w:rPr>
            </w:pPr>
          </w:p>
          <w:p w14:paraId="4D302FF5">
            <w:pPr>
              <w:adjustRightInd w:val="0"/>
              <w:snapToGrid w:val="0"/>
              <w:spacing w:line="360" w:lineRule="auto"/>
              <w:rPr>
                <w:b/>
                <w:bCs/>
                <w:color w:val="000000"/>
                <w:sz w:val="24"/>
                <w:lang w:bidi="zh-CN"/>
              </w:rPr>
            </w:pPr>
            <w:r>
              <w:rPr>
                <w:rFonts w:hint="eastAsia"/>
                <w:b/>
                <w:bCs/>
                <w:color w:val="000000"/>
                <w:sz w:val="24"/>
                <w:lang w:val="en-US" w:bidi="zh-CN"/>
              </w:rPr>
              <w:t>2.4</w:t>
            </w:r>
            <w:r>
              <w:rPr>
                <w:rFonts w:hint="eastAsia"/>
                <w:b/>
                <w:bCs/>
                <w:color w:val="000000"/>
                <w:sz w:val="24"/>
                <w:lang w:bidi="zh-CN"/>
              </w:rPr>
              <w:t>废水排放口情况</w:t>
            </w:r>
          </w:p>
          <w:p w14:paraId="7FDA6E63">
            <w:pPr>
              <w:pStyle w:val="456"/>
              <w:adjustRightInd w:val="0"/>
              <w:snapToGrid w:val="0"/>
              <w:spacing w:line="360" w:lineRule="auto"/>
              <w:ind w:firstLine="480" w:firstLineChars="200"/>
              <w:jc w:val="both"/>
              <w:rPr>
                <w:rFonts w:hint="eastAsia"/>
                <w:b w:val="0"/>
                <w:color w:val="000000"/>
                <w:sz w:val="24"/>
                <w:lang w:bidi="zh-CN"/>
              </w:rPr>
            </w:pPr>
            <w:r>
              <w:rPr>
                <w:rFonts w:hint="eastAsia"/>
                <w:b w:val="0"/>
                <w:color w:val="000000"/>
                <w:sz w:val="24"/>
                <w:lang w:val="en-US" w:bidi="zh-CN"/>
              </w:rPr>
              <w:t>本项目</w:t>
            </w:r>
            <w:r>
              <w:rPr>
                <w:rFonts w:hint="eastAsia"/>
                <w:b w:val="0"/>
                <w:color w:val="000000"/>
                <w:sz w:val="24"/>
                <w:lang w:bidi="zh-CN"/>
              </w:rPr>
              <w:t>废水排放口基本情况及相关参数详见</w:t>
            </w:r>
            <w:r>
              <w:rPr>
                <w:rFonts w:hint="eastAsia"/>
                <w:b w:val="0"/>
                <w:color w:val="000000"/>
                <w:sz w:val="24"/>
                <w:lang w:val="en-US" w:bidi="zh-CN"/>
              </w:rPr>
              <w:t>下</w:t>
            </w:r>
            <w:r>
              <w:rPr>
                <w:rFonts w:hint="eastAsia"/>
                <w:b w:val="0"/>
                <w:color w:val="000000"/>
                <w:sz w:val="24"/>
                <w:lang w:bidi="zh-CN"/>
              </w:rPr>
              <w:t>表。</w:t>
            </w:r>
          </w:p>
          <w:p w14:paraId="05D43B00">
            <w:pPr>
              <w:pStyle w:val="456"/>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b w:val="0"/>
                <w:color w:val="000000"/>
                <w:sz w:val="24"/>
                <w:lang w:bidi="zh-CN"/>
              </w:rPr>
            </w:pPr>
            <w:r>
              <w:rPr>
                <w:color w:val="000000"/>
                <w:sz w:val="24"/>
              </w:rPr>
              <w:t>表4</w:t>
            </w:r>
            <w:r>
              <w:rPr>
                <w:rFonts w:hint="eastAsia"/>
                <w:color w:val="000000"/>
                <w:sz w:val="24"/>
              </w:rPr>
              <w:t>-</w:t>
            </w:r>
            <w:r>
              <w:rPr>
                <w:rFonts w:hint="eastAsia"/>
                <w:color w:val="000000"/>
                <w:sz w:val="24"/>
                <w:lang w:val="en-US" w:eastAsia="zh-CN"/>
              </w:rPr>
              <w:t xml:space="preserve">11 </w:t>
            </w:r>
            <w:r>
              <w:rPr>
                <w:color w:val="000000"/>
                <w:sz w:val="24"/>
              </w:rPr>
              <w:t xml:space="preserve"> 废水排放口基本情况一览表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17"/>
              <w:gridCol w:w="705"/>
              <w:gridCol w:w="1004"/>
              <w:gridCol w:w="554"/>
              <w:gridCol w:w="700"/>
              <w:gridCol w:w="700"/>
              <w:gridCol w:w="1112"/>
              <w:gridCol w:w="1069"/>
              <w:gridCol w:w="2028"/>
            </w:tblGrid>
            <w:tr w14:paraId="2F1079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Merge w:val="restart"/>
                  <w:noWrap w:val="0"/>
                  <w:vAlign w:val="center"/>
                </w:tcPr>
                <w:p w14:paraId="48F3E2AA">
                  <w:pPr>
                    <w:tabs>
                      <w:tab w:val="left" w:pos="720"/>
                      <w:tab w:val="left" w:pos="2520"/>
                      <w:tab w:val="left" w:pos="5180"/>
                    </w:tabs>
                    <w:topLinePunct/>
                    <w:adjustRightInd w:val="0"/>
                    <w:snapToGrid w:val="0"/>
                    <w:jc w:val="center"/>
                    <w:rPr>
                      <w:b/>
                      <w:bCs/>
                      <w:color w:val="auto"/>
                      <w:sz w:val="21"/>
                      <w:szCs w:val="21"/>
                    </w:rPr>
                  </w:pPr>
                  <w:r>
                    <w:rPr>
                      <w:b/>
                      <w:bCs/>
                      <w:color w:val="auto"/>
                      <w:sz w:val="21"/>
                      <w:szCs w:val="21"/>
                    </w:rPr>
                    <w:t>序号</w:t>
                  </w:r>
                </w:p>
              </w:tc>
              <w:tc>
                <w:tcPr>
                  <w:tcW w:w="425" w:type="pct"/>
                  <w:vMerge w:val="restart"/>
                  <w:noWrap w:val="0"/>
                  <w:vAlign w:val="center"/>
                </w:tcPr>
                <w:p w14:paraId="22E5AC6A">
                  <w:pPr>
                    <w:tabs>
                      <w:tab w:val="left" w:pos="720"/>
                      <w:tab w:val="left" w:pos="2520"/>
                      <w:tab w:val="left" w:pos="5180"/>
                    </w:tabs>
                    <w:topLinePunct/>
                    <w:adjustRightInd w:val="0"/>
                    <w:snapToGrid w:val="0"/>
                    <w:jc w:val="center"/>
                    <w:rPr>
                      <w:b/>
                      <w:bCs/>
                      <w:color w:val="auto"/>
                      <w:sz w:val="21"/>
                      <w:szCs w:val="21"/>
                    </w:rPr>
                  </w:pPr>
                  <w:r>
                    <w:rPr>
                      <w:b/>
                      <w:bCs/>
                      <w:color w:val="auto"/>
                      <w:sz w:val="21"/>
                      <w:szCs w:val="21"/>
                    </w:rPr>
                    <w:t>排放口编号</w:t>
                  </w:r>
                </w:p>
              </w:tc>
              <w:tc>
                <w:tcPr>
                  <w:tcW w:w="605" w:type="pct"/>
                  <w:vMerge w:val="restart"/>
                  <w:noWrap w:val="0"/>
                  <w:vAlign w:val="center"/>
                </w:tcPr>
                <w:p w14:paraId="2E038AA5">
                  <w:pPr>
                    <w:tabs>
                      <w:tab w:val="left" w:pos="720"/>
                      <w:tab w:val="left" w:pos="2520"/>
                      <w:tab w:val="left" w:pos="5180"/>
                    </w:tabs>
                    <w:topLinePunct/>
                    <w:adjustRightInd w:val="0"/>
                    <w:snapToGrid w:val="0"/>
                    <w:jc w:val="center"/>
                    <w:rPr>
                      <w:b/>
                      <w:bCs/>
                      <w:color w:val="auto"/>
                      <w:sz w:val="21"/>
                      <w:szCs w:val="21"/>
                    </w:rPr>
                  </w:pPr>
                  <w:r>
                    <w:rPr>
                      <w:b/>
                      <w:bCs/>
                      <w:color w:val="auto"/>
                      <w:sz w:val="21"/>
                      <w:szCs w:val="21"/>
                    </w:rPr>
                    <w:t>排放口名称</w:t>
                  </w:r>
                </w:p>
              </w:tc>
              <w:tc>
                <w:tcPr>
                  <w:tcW w:w="334" w:type="pct"/>
                  <w:vMerge w:val="restart"/>
                  <w:noWrap w:val="0"/>
                  <w:vAlign w:val="center"/>
                </w:tcPr>
                <w:p w14:paraId="27F16D4B">
                  <w:pPr>
                    <w:tabs>
                      <w:tab w:val="left" w:pos="720"/>
                      <w:tab w:val="left" w:pos="2520"/>
                      <w:tab w:val="left" w:pos="5180"/>
                    </w:tabs>
                    <w:topLinePunct/>
                    <w:adjustRightInd w:val="0"/>
                    <w:snapToGrid w:val="0"/>
                    <w:ind w:left="-105" w:leftChars="-50" w:right="-105" w:rightChars="-50"/>
                    <w:jc w:val="center"/>
                    <w:rPr>
                      <w:b/>
                      <w:bCs/>
                      <w:color w:val="auto"/>
                      <w:sz w:val="21"/>
                      <w:szCs w:val="21"/>
                    </w:rPr>
                  </w:pPr>
                  <w:r>
                    <w:rPr>
                      <w:b/>
                      <w:bCs/>
                      <w:color w:val="auto"/>
                      <w:sz w:val="21"/>
                      <w:szCs w:val="21"/>
                    </w:rPr>
                    <w:t>排放方式</w:t>
                  </w:r>
                </w:p>
              </w:tc>
              <w:tc>
                <w:tcPr>
                  <w:tcW w:w="422" w:type="pct"/>
                  <w:vMerge w:val="restart"/>
                  <w:noWrap w:val="0"/>
                  <w:vAlign w:val="center"/>
                </w:tcPr>
                <w:p w14:paraId="7CE27772">
                  <w:pPr>
                    <w:tabs>
                      <w:tab w:val="left" w:pos="720"/>
                      <w:tab w:val="left" w:pos="2520"/>
                      <w:tab w:val="left" w:pos="5180"/>
                    </w:tabs>
                    <w:topLinePunct/>
                    <w:adjustRightInd w:val="0"/>
                    <w:snapToGrid w:val="0"/>
                    <w:ind w:left="-105" w:leftChars="-50" w:right="-105" w:rightChars="-50"/>
                    <w:jc w:val="center"/>
                    <w:rPr>
                      <w:b/>
                      <w:bCs/>
                      <w:color w:val="auto"/>
                      <w:sz w:val="21"/>
                      <w:szCs w:val="21"/>
                    </w:rPr>
                  </w:pPr>
                  <w:r>
                    <w:rPr>
                      <w:b/>
                      <w:bCs/>
                      <w:color w:val="auto"/>
                      <w:sz w:val="21"/>
                      <w:szCs w:val="21"/>
                    </w:rPr>
                    <w:t>排放</w:t>
                  </w:r>
                </w:p>
                <w:p w14:paraId="12EBEBBC">
                  <w:pPr>
                    <w:tabs>
                      <w:tab w:val="left" w:pos="720"/>
                      <w:tab w:val="left" w:pos="2520"/>
                      <w:tab w:val="left" w:pos="5180"/>
                    </w:tabs>
                    <w:topLinePunct/>
                    <w:adjustRightInd w:val="0"/>
                    <w:snapToGrid w:val="0"/>
                    <w:ind w:left="-105" w:leftChars="-50" w:right="-105" w:rightChars="-50"/>
                    <w:jc w:val="center"/>
                    <w:rPr>
                      <w:b/>
                      <w:bCs/>
                      <w:color w:val="auto"/>
                      <w:sz w:val="21"/>
                      <w:szCs w:val="21"/>
                    </w:rPr>
                  </w:pPr>
                  <w:r>
                    <w:rPr>
                      <w:b/>
                      <w:bCs/>
                      <w:color w:val="auto"/>
                      <w:sz w:val="21"/>
                      <w:szCs w:val="21"/>
                    </w:rPr>
                    <w:t>去向</w:t>
                  </w:r>
                </w:p>
              </w:tc>
              <w:tc>
                <w:tcPr>
                  <w:tcW w:w="422" w:type="pct"/>
                  <w:vMerge w:val="restart"/>
                  <w:noWrap w:val="0"/>
                  <w:vAlign w:val="center"/>
                </w:tcPr>
                <w:p w14:paraId="31072A48">
                  <w:pPr>
                    <w:tabs>
                      <w:tab w:val="left" w:pos="720"/>
                      <w:tab w:val="left" w:pos="2520"/>
                      <w:tab w:val="left" w:pos="5180"/>
                    </w:tabs>
                    <w:topLinePunct/>
                    <w:adjustRightInd w:val="0"/>
                    <w:snapToGrid w:val="0"/>
                    <w:ind w:left="-105" w:leftChars="-50" w:right="-105" w:rightChars="-50"/>
                    <w:jc w:val="center"/>
                    <w:rPr>
                      <w:b/>
                      <w:bCs/>
                      <w:color w:val="auto"/>
                      <w:sz w:val="21"/>
                      <w:szCs w:val="21"/>
                    </w:rPr>
                  </w:pPr>
                  <w:r>
                    <w:rPr>
                      <w:b/>
                      <w:bCs/>
                      <w:color w:val="auto"/>
                      <w:sz w:val="21"/>
                      <w:szCs w:val="21"/>
                    </w:rPr>
                    <w:t>排放</w:t>
                  </w:r>
                </w:p>
                <w:p w14:paraId="39972FD1">
                  <w:pPr>
                    <w:tabs>
                      <w:tab w:val="left" w:pos="720"/>
                      <w:tab w:val="left" w:pos="2520"/>
                      <w:tab w:val="left" w:pos="5180"/>
                    </w:tabs>
                    <w:topLinePunct/>
                    <w:adjustRightInd w:val="0"/>
                    <w:snapToGrid w:val="0"/>
                    <w:ind w:left="-105" w:leftChars="-50" w:right="-105" w:rightChars="-50"/>
                    <w:jc w:val="center"/>
                    <w:rPr>
                      <w:b/>
                      <w:bCs/>
                      <w:color w:val="auto"/>
                      <w:sz w:val="21"/>
                      <w:szCs w:val="21"/>
                    </w:rPr>
                  </w:pPr>
                  <w:r>
                    <w:rPr>
                      <w:b/>
                      <w:bCs/>
                      <w:color w:val="auto"/>
                      <w:sz w:val="21"/>
                      <w:szCs w:val="21"/>
                    </w:rPr>
                    <w:t>规律</w:t>
                  </w:r>
                </w:p>
              </w:tc>
              <w:tc>
                <w:tcPr>
                  <w:tcW w:w="1315" w:type="pct"/>
                  <w:gridSpan w:val="2"/>
                  <w:noWrap w:val="0"/>
                  <w:vAlign w:val="center"/>
                </w:tcPr>
                <w:p w14:paraId="1E1FE3B9">
                  <w:pPr>
                    <w:tabs>
                      <w:tab w:val="left" w:pos="720"/>
                      <w:tab w:val="left" w:pos="2520"/>
                      <w:tab w:val="left" w:pos="5180"/>
                    </w:tabs>
                    <w:topLinePunct/>
                    <w:adjustRightInd w:val="0"/>
                    <w:snapToGrid w:val="0"/>
                    <w:jc w:val="center"/>
                    <w:rPr>
                      <w:b/>
                      <w:bCs/>
                      <w:color w:val="auto"/>
                      <w:sz w:val="21"/>
                      <w:szCs w:val="21"/>
                    </w:rPr>
                  </w:pPr>
                  <w:r>
                    <w:rPr>
                      <w:b/>
                      <w:bCs/>
                      <w:color w:val="auto"/>
                      <w:sz w:val="21"/>
                      <w:szCs w:val="21"/>
                    </w:rPr>
                    <w:t>排放口地理坐标</w:t>
                  </w:r>
                </w:p>
              </w:tc>
              <w:tc>
                <w:tcPr>
                  <w:tcW w:w="1223" w:type="pct"/>
                  <w:vMerge w:val="restart"/>
                  <w:noWrap w:val="0"/>
                  <w:vAlign w:val="center"/>
                </w:tcPr>
                <w:p w14:paraId="346CAB1A">
                  <w:pPr>
                    <w:tabs>
                      <w:tab w:val="left" w:pos="720"/>
                      <w:tab w:val="left" w:pos="2520"/>
                      <w:tab w:val="left" w:pos="5180"/>
                    </w:tabs>
                    <w:topLinePunct/>
                    <w:adjustRightInd w:val="0"/>
                    <w:snapToGrid w:val="0"/>
                    <w:jc w:val="center"/>
                    <w:rPr>
                      <w:b/>
                      <w:bCs/>
                      <w:color w:val="FF0000"/>
                      <w:sz w:val="21"/>
                      <w:szCs w:val="21"/>
                    </w:rPr>
                  </w:pPr>
                  <w:r>
                    <w:rPr>
                      <w:b/>
                      <w:bCs/>
                      <w:color w:val="auto"/>
                      <w:sz w:val="21"/>
                      <w:szCs w:val="21"/>
                    </w:rPr>
                    <w:t>排放标准</w:t>
                  </w:r>
                </w:p>
              </w:tc>
            </w:tr>
            <w:tr w14:paraId="5037D7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Merge w:val="continue"/>
                  <w:noWrap w:val="0"/>
                  <w:vAlign w:val="center"/>
                </w:tcPr>
                <w:p w14:paraId="22D35C6A">
                  <w:pPr>
                    <w:tabs>
                      <w:tab w:val="left" w:pos="720"/>
                      <w:tab w:val="left" w:pos="2520"/>
                      <w:tab w:val="left" w:pos="5180"/>
                    </w:tabs>
                    <w:topLinePunct/>
                    <w:adjustRightInd w:val="0"/>
                    <w:snapToGrid w:val="0"/>
                    <w:jc w:val="center"/>
                    <w:rPr>
                      <w:color w:val="auto"/>
                      <w:sz w:val="21"/>
                      <w:szCs w:val="21"/>
                    </w:rPr>
                  </w:pPr>
                </w:p>
              </w:tc>
              <w:tc>
                <w:tcPr>
                  <w:tcW w:w="425" w:type="pct"/>
                  <w:vMerge w:val="continue"/>
                  <w:noWrap w:val="0"/>
                  <w:vAlign w:val="center"/>
                </w:tcPr>
                <w:p w14:paraId="0E076188">
                  <w:pPr>
                    <w:tabs>
                      <w:tab w:val="left" w:pos="720"/>
                      <w:tab w:val="left" w:pos="2520"/>
                      <w:tab w:val="left" w:pos="5180"/>
                    </w:tabs>
                    <w:topLinePunct/>
                    <w:adjustRightInd w:val="0"/>
                    <w:snapToGrid w:val="0"/>
                    <w:jc w:val="center"/>
                    <w:rPr>
                      <w:color w:val="auto"/>
                      <w:sz w:val="21"/>
                      <w:szCs w:val="21"/>
                    </w:rPr>
                  </w:pPr>
                </w:p>
              </w:tc>
              <w:tc>
                <w:tcPr>
                  <w:tcW w:w="605" w:type="pct"/>
                  <w:vMerge w:val="continue"/>
                  <w:noWrap w:val="0"/>
                  <w:vAlign w:val="center"/>
                </w:tcPr>
                <w:p w14:paraId="0AD8738F">
                  <w:pPr>
                    <w:tabs>
                      <w:tab w:val="left" w:pos="720"/>
                      <w:tab w:val="left" w:pos="2520"/>
                      <w:tab w:val="left" w:pos="5180"/>
                    </w:tabs>
                    <w:topLinePunct/>
                    <w:adjustRightInd w:val="0"/>
                    <w:snapToGrid w:val="0"/>
                    <w:jc w:val="center"/>
                    <w:rPr>
                      <w:color w:val="auto"/>
                      <w:sz w:val="21"/>
                      <w:szCs w:val="21"/>
                    </w:rPr>
                  </w:pPr>
                </w:p>
              </w:tc>
              <w:tc>
                <w:tcPr>
                  <w:tcW w:w="334" w:type="pct"/>
                  <w:vMerge w:val="continue"/>
                  <w:noWrap w:val="0"/>
                  <w:vAlign w:val="center"/>
                </w:tcPr>
                <w:p w14:paraId="72A35C02">
                  <w:pPr>
                    <w:tabs>
                      <w:tab w:val="left" w:pos="720"/>
                      <w:tab w:val="left" w:pos="2520"/>
                      <w:tab w:val="left" w:pos="5180"/>
                    </w:tabs>
                    <w:topLinePunct/>
                    <w:adjustRightInd w:val="0"/>
                    <w:snapToGrid w:val="0"/>
                    <w:jc w:val="center"/>
                    <w:rPr>
                      <w:color w:val="auto"/>
                      <w:sz w:val="21"/>
                      <w:szCs w:val="21"/>
                    </w:rPr>
                  </w:pPr>
                </w:p>
              </w:tc>
              <w:tc>
                <w:tcPr>
                  <w:tcW w:w="422" w:type="pct"/>
                  <w:vMerge w:val="continue"/>
                  <w:noWrap w:val="0"/>
                  <w:vAlign w:val="center"/>
                </w:tcPr>
                <w:p w14:paraId="09268483">
                  <w:pPr>
                    <w:tabs>
                      <w:tab w:val="left" w:pos="720"/>
                      <w:tab w:val="left" w:pos="2520"/>
                      <w:tab w:val="left" w:pos="5180"/>
                    </w:tabs>
                    <w:topLinePunct/>
                    <w:adjustRightInd w:val="0"/>
                    <w:snapToGrid w:val="0"/>
                    <w:jc w:val="center"/>
                    <w:rPr>
                      <w:color w:val="auto"/>
                      <w:sz w:val="21"/>
                      <w:szCs w:val="21"/>
                    </w:rPr>
                  </w:pPr>
                </w:p>
              </w:tc>
              <w:tc>
                <w:tcPr>
                  <w:tcW w:w="422" w:type="pct"/>
                  <w:vMerge w:val="continue"/>
                  <w:noWrap w:val="0"/>
                  <w:vAlign w:val="center"/>
                </w:tcPr>
                <w:p w14:paraId="6A86A764">
                  <w:pPr>
                    <w:tabs>
                      <w:tab w:val="left" w:pos="720"/>
                      <w:tab w:val="left" w:pos="2520"/>
                      <w:tab w:val="left" w:pos="5180"/>
                    </w:tabs>
                    <w:topLinePunct/>
                    <w:adjustRightInd w:val="0"/>
                    <w:snapToGrid w:val="0"/>
                    <w:jc w:val="center"/>
                    <w:rPr>
                      <w:color w:val="auto"/>
                      <w:sz w:val="21"/>
                      <w:szCs w:val="21"/>
                    </w:rPr>
                  </w:pPr>
                </w:p>
              </w:tc>
              <w:tc>
                <w:tcPr>
                  <w:tcW w:w="670" w:type="pct"/>
                  <w:noWrap w:val="0"/>
                  <w:vAlign w:val="center"/>
                </w:tcPr>
                <w:p w14:paraId="7BF479CA">
                  <w:pPr>
                    <w:tabs>
                      <w:tab w:val="left" w:pos="720"/>
                      <w:tab w:val="left" w:pos="2520"/>
                      <w:tab w:val="left" w:pos="5180"/>
                    </w:tabs>
                    <w:topLinePunct/>
                    <w:adjustRightInd w:val="0"/>
                    <w:snapToGrid w:val="0"/>
                    <w:jc w:val="center"/>
                    <w:rPr>
                      <w:color w:val="auto"/>
                      <w:sz w:val="21"/>
                      <w:szCs w:val="21"/>
                    </w:rPr>
                  </w:pPr>
                  <w:r>
                    <w:rPr>
                      <w:color w:val="auto"/>
                      <w:sz w:val="21"/>
                      <w:szCs w:val="21"/>
                    </w:rPr>
                    <w:t>经度</w:t>
                  </w:r>
                </w:p>
              </w:tc>
              <w:tc>
                <w:tcPr>
                  <w:tcW w:w="644" w:type="pct"/>
                  <w:noWrap w:val="0"/>
                  <w:vAlign w:val="center"/>
                </w:tcPr>
                <w:p w14:paraId="51209BC8">
                  <w:pPr>
                    <w:tabs>
                      <w:tab w:val="left" w:pos="720"/>
                      <w:tab w:val="left" w:pos="2520"/>
                      <w:tab w:val="left" w:pos="5180"/>
                    </w:tabs>
                    <w:topLinePunct/>
                    <w:adjustRightInd w:val="0"/>
                    <w:snapToGrid w:val="0"/>
                    <w:jc w:val="center"/>
                    <w:rPr>
                      <w:color w:val="auto"/>
                      <w:sz w:val="21"/>
                      <w:szCs w:val="21"/>
                    </w:rPr>
                  </w:pPr>
                  <w:r>
                    <w:rPr>
                      <w:color w:val="auto"/>
                      <w:sz w:val="21"/>
                      <w:szCs w:val="21"/>
                    </w:rPr>
                    <w:t>纬度</w:t>
                  </w:r>
                </w:p>
              </w:tc>
              <w:tc>
                <w:tcPr>
                  <w:tcW w:w="1223" w:type="pct"/>
                  <w:vMerge w:val="continue"/>
                  <w:noWrap w:val="0"/>
                  <w:vAlign w:val="center"/>
                </w:tcPr>
                <w:p w14:paraId="40DCFC30">
                  <w:pPr>
                    <w:tabs>
                      <w:tab w:val="left" w:pos="720"/>
                      <w:tab w:val="left" w:pos="2520"/>
                      <w:tab w:val="left" w:pos="5180"/>
                    </w:tabs>
                    <w:topLinePunct/>
                    <w:adjustRightInd w:val="0"/>
                    <w:snapToGrid w:val="0"/>
                    <w:jc w:val="center"/>
                    <w:rPr>
                      <w:color w:val="FF0000"/>
                      <w:sz w:val="21"/>
                      <w:szCs w:val="21"/>
                    </w:rPr>
                  </w:pPr>
                </w:p>
              </w:tc>
            </w:tr>
            <w:tr w14:paraId="5CBED5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34" w:hRule="atLeast"/>
                <w:jc w:val="center"/>
              </w:trPr>
              <w:tc>
                <w:tcPr>
                  <w:tcW w:w="251" w:type="pct"/>
                  <w:noWrap w:val="0"/>
                  <w:vAlign w:val="center"/>
                </w:tcPr>
                <w:p w14:paraId="0FD6B08C">
                  <w:pPr>
                    <w:tabs>
                      <w:tab w:val="left" w:pos="720"/>
                      <w:tab w:val="left" w:pos="2520"/>
                      <w:tab w:val="left" w:pos="5180"/>
                    </w:tabs>
                    <w:topLinePunct/>
                    <w:adjustRightInd w:val="0"/>
                    <w:snapToGrid w:val="0"/>
                    <w:jc w:val="center"/>
                    <w:rPr>
                      <w:color w:val="auto"/>
                      <w:sz w:val="21"/>
                      <w:szCs w:val="21"/>
                    </w:rPr>
                  </w:pPr>
                  <w:r>
                    <w:rPr>
                      <w:color w:val="auto"/>
                      <w:sz w:val="21"/>
                      <w:szCs w:val="21"/>
                    </w:rPr>
                    <w:t>1</w:t>
                  </w:r>
                </w:p>
              </w:tc>
              <w:tc>
                <w:tcPr>
                  <w:tcW w:w="425" w:type="pct"/>
                  <w:noWrap w:val="0"/>
                  <w:vAlign w:val="center"/>
                </w:tcPr>
                <w:p w14:paraId="7B95DF70">
                  <w:pPr>
                    <w:tabs>
                      <w:tab w:val="left" w:pos="720"/>
                      <w:tab w:val="left" w:pos="2520"/>
                      <w:tab w:val="left" w:pos="5180"/>
                    </w:tabs>
                    <w:topLinePunct/>
                    <w:adjustRightInd w:val="0"/>
                    <w:snapToGrid w:val="0"/>
                    <w:jc w:val="center"/>
                    <w:rPr>
                      <w:color w:val="auto"/>
                      <w:sz w:val="21"/>
                      <w:szCs w:val="21"/>
                    </w:rPr>
                  </w:pPr>
                  <w:r>
                    <w:rPr>
                      <w:color w:val="auto"/>
                      <w:sz w:val="21"/>
                      <w:szCs w:val="21"/>
                    </w:rPr>
                    <w:t>DW001</w:t>
                  </w:r>
                </w:p>
              </w:tc>
              <w:tc>
                <w:tcPr>
                  <w:tcW w:w="605" w:type="pct"/>
                  <w:noWrap w:val="0"/>
                  <w:vAlign w:val="center"/>
                </w:tcPr>
                <w:p w14:paraId="68CE9D67">
                  <w:pPr>
                    <w:tabs>
                      <w:tab w:val="left" w:pos="720"/>
                      <w:tab w:val="left" w:pos="2520"/>
                      <w:tab w:val="left" w:pos="5180"/>
                    </w:tabs>
                    <w:topLinePunct/>
                    <w:adjustRightInd w:val="0"/>
                    <w:snapToGrid w:val="0"/>
                    <w:jc w:val="center"/>
                    <w:rPr>
                      <w:rFonts w:hint="eastAsia"/>
                      <w:color w:val="auto"/>
                      <w:sz w:val="21"/>
                      <w:szCs w:val="21"/>
                    </w:rPr>
                  </w:pPr>
                  <w:r>
                    <w:rPr>
                      <w:rFonts w:hint="eastAsia"/>
                      <w:color w:val="auto"/>
                      <w:sz w:val="21"/>
                      <w:szCs w:val="21"/>
                    </w:rPr>
                    <w:t>生活</w:t>
                  </w:r>
                  <w:r>
                    <w:rPr>
                      <w:color w:val="auto"/>
                      <w:sz w:val="21"/>
                      <w:szCs w:val="21"/>
                    </w:rPr>
                    <w:t>污水排口</w:t>
                  </w:r>
                </w:p>
              </w:tc>
              <w:tc>
                <w:tcPr>
                  <w:tcW w:w="334" w:type="pct"/>
                  <w:vMerge w:val="restart"/>
                  <w:noWrap w:val="0"/>
                  <w:vAlign w:val="center"/>
                </w:tcPr>
                <w:p w14:paraId="3168EB2B">
                  <w:pPr>
                    <w:tabs>
                      <w:tab w:val="left" w:pos="720"/>
                      <w:tab w:val="left" w:pos="2520"/>
                      <w:tab w:val="left" w:pos="5180"/>
                    </w:tabs>
                    <w:topLinePunct/>
                    <w:adjustRightInd w:val="0"/>
                    <w:snapToGrid w:val="0"/>
                    <w:jc w:val="center"/>
                    <w:rPr>
                      <w:rFonts w:ascii="Times New Roman" w:hAnsi="Times New Roman" w:eastAsia="宋体" w:cs="Times New Roman"/>
                      <w:color w:val="auto"/>
                      <w:sz w:val="21"/>
                      <w:szCs w:val="21"/>
                    </w:rPr>
                  </w:pPr>
                  <w:r>
                    <w:rPr>
                      <w:color w:val="auto"/>
                      <w:sz w:val="21"/>
                      <w:szCs w:val="21"/>
                    </w:rPr>
                    <w:t>间接</w:t>
                  </w:r>
                </w:p>
              </w:tc>
              <w:tc>
                <w:tcPr>
                  <w:tcW w:w="422" w:type="pct"/>
                  <w:vMerge w:val="restart"/>
                  <w:noWrap w:val="0"/>
                  <w:vAlign w:val="center"/>
                </w:tcPr>
                <w:p w14:paraId="09D272A0">
                  <w:pPr>
                    <w:pStyle w:val="457"/>
                    <w:rPr>
                      <w:color w:val="auto"/>
                      <w:sz w:val="21"/>
                      <w:szCs w:val="21"/>
                    </w:rPr>
                  </w:pPr>
                  <w:r>
                    <w:rPr>
                      <w:rFonts w:hint="eastAsia"/>
                      <w:color w:val="auto"/>
                      <w:kern w:val="0"/>
                      <w:sz w:val="21"/>
                      <w:szCs w:val="21"/>
                      <w:lang w:val="en-US" w:eastAsia="zh-CN" w:bidi="ar"/>
                    </w:rPr>
                    <w:t>安化县污水处理厂</w:t>
                  </w:r>
                </w:p>
              </w:tc>
              <w:tc>
                <w:tcPr>
                  <w:tcW w:w="422" w:type="pct"/>
                  <w:vMerge w:val="restart"/>
                  <w:noWrap w:val="0"/>
                  <w:vAlign w:val="center"/>
                </w:tcPr>
                <w:p w14:paraId="17F108A3">
                  <w:pPr>
                    <w:pStyle w:val="457"/>
                    <w:rPr>
                      <w:color w:val="auto"/>
                      <w:sz w:val="21"/>
                      <w:szCs w:val="21"/>
                    </w:rPr>
                  </w:pPr>
                  <w:r>
                    <w:rPr>
                      <w:rFonts w:hint="eastAsia"/>
                      <w:color w:val="auto"/>
                      <w:sz w:val="21"/>
                      <w:szCs w:val="21"/>
                    </w:rPr>
                    <w:t>排放期间流量稳定</w:t>
                  </w:r>
                </w:p>
              </w:tc>
              <w:tc>
                <w:tcPr>
                  <w:tcW w:w="670" w:type="pct"/>
                  <w:noWrap w:val="0"/>
                  <w:vAlign w:val="center"/>
                </w:tcPr>
                <w:p w14:paraId="54E4CF6F">
                  <w:pPr>
                    <w:tabs>
                      <w:tab w:val="left" w:pos="720"/>
                      <w:tab w:val="left" w:pos="2520"/>
                      <w:tab w:val="left" w:pos="5180"/>
                    </w:tabs>
                    <w:topLinePunct/>
                    <w:adjustRightInd w:val="0"/>
                    <w:snapToGrid w:val="0"/>
                    <w:jc w:val="center"/>
                    <w:rPr>
                      <w:rFonts w:hint="default" w:ascii="Times New Roman" w:hAnsi="Times New Roman" w:cs="Times New Roman"/>
                      <w:color w:val="FF0000"/>
                      <w:sz w:val="21"/>
                      <w:szCs w:val="21"/>
                      <w:highlight w:val="none"/>
                    </w:rPr>
                  </w:pPr>
                  <w:r>
                    <w:rPr>
                      <w:rFonts w:hint="default" w:ascii="Times New Roman" w:hAnsi="Times New Roman" w:cs="Times New Roman"/>
                      <w:sz w:val="21"/>
                      <w:szCs w:val="21"/>
                    </w:rPr>
                    <w:t>111°11′33.85141″</w:t>
                  </w:r>
                </w:p>
              </w:tc>
              <w:tc>
                <w:tcPr>
                  <w:tcW w:w="644" w:type="pct"/>
                  <w:noWrap w:val="0"/>
                  <w:vAlign w:val="center"/>
                </w:tcPr>
                <w:p w14:paraId="6C42AB8A">
                  <w:pPr>
                    <w:tabs>
                      <w:tab w:val="left" w:pos="720"/>
                      <w:tab w:val="left" w:pos="2520"/>
                      <w:tab w:val="left" w:pos="5180"/>
                    </w:tabs>
                    <w:topLinePunct/>
                    <w:adjustRightInd w:val="0"/>
                    <w:snapToGrid w:val="0"/>
                    <w:jc w:val="center"/>
                    <w:rPr>
                      <w:rFonts w:hint="default" w:ascii="Times New Roman" w:hAnsi="Times New Roman" w:cs="Times New Roman"/>
                      <w:color w:val="FF0000"/>
                      <w:sz w:val="21"/>
                      <w:szCs w:val="21"/>
                      <w:highlight w:val="none"/>
                    </w:rPr>
                  </w:pPr>
                  <w:r>
                    <w:rPr>
                      <w:rFonts w:hint="default" w:ascii="Times New Roman" w:hAnsi="Times New Roman" w:cs="Times New Roman"/>
                      <w:sz w:val="21"/>
                      <w:szCs w:val="21"/>
                    </w:rPr>
                    <w:t>28°22′12.84155″</w:t>
                  </w:r>
                </w:p>
              </w:tc>
              <w:tc>
                <w:tcPr>
                  <w:tcW w:w="1223" w:type="pct"/>
                  <w:shd w:val="clear" w:color="auto" w:fill="auto"/>
                  <w:noWrap w:val="0"/>
                  <w:vAlign w:val="center"/>
                </w:tcPr>
                <w:p w14:paraId="47DC7773">
                  <w:pPr>
                    <w:tabs>
                      <w:tab w:val="left" w:pos="1021"/>
                    </w:tabs>
                    <w:adjustRightInd w:val="0"/>
                    <w:snapToGrid w:val="0"/>
                    <w:ind w:left="-105" w:leftChars="-50" w:right="-105" w:rightChars="-50"/>
                    <w:jc w:val="center"/>
                    <w:rPr>
                      <w:rFonts w:hint="eastAsia" w:ascii="Times New Roman" w:hAnsi="Times New Roman" w:eastAsia="宋体" w:cs="Times New Roman"/>
                      <w:kern w:val="2"/>
                      <w:sz w:val="21"/>
                      <w:szCs w:val="21"/>
                      <w:u w:val="none"/>
                      <w:lang w:val="en-US" w:eastAsia="zh-CN" w:bidi="ar-SA"/>
                    </w:rPr>
                  </w:pPr>
                  <w:r>
                    <w:rPr>
                      <w:rFonts w:hint="eastAsia"/>
                      <w:bCs/>
                      <w:sz w:val="21"/>
                      <w:szCs w:val="21"/>
                      <w:lang w:val="en-US" w:eastAsia="zh-CN"/>
                    </w:rPr>
                    <w:t>生活污水中SS、动植物油、LAS执行《污水综合排放标准》（GB8978-1996）表4中三级排放标准限值；COD、BOD</w:t>
                  </w:r>
                  <w:r>
                    <w:rPr>
                      <w:rFonts w:hint="eastAsia"/>
                      <w:bCs/>
                      <w:sz w:val="21"/>
                      <w:szCs w:val="21"/>
                      <w:vertAlign w:val="subscript"/>
                      <w:lang w:val="en-US" w:eastAsia="zh-CN"/>
                    </w:rPr>
                    <w:t>5</w:t>
                  </w:r>
                  <w:r>
                    <w:rPr>
                      <w:rFonts w:hint="eastAsia"/>
                      <w:bCs/>
                      <w:sz w:val="21"/>
                      <w:szCs w:val="21"/>
                      <w:lang w:val="en-US" w:eastAsia="zh-CN"/>
                    </w:rPr>
                    <w:t>、氨氮、总磷执行安化县污水处理厂进水水质标准；总氮、氯化物执行《污水排入城镇下水道水质标准》(GB/T 31962-2015)表1中B级标准限值</w:t>
                  </w:r>
                </w:p>
              </w:tc>
            </w:tr>
            <w:tr w14:paraId="5AC663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noWrap w:val="0"/>
                  <w:vAlign w:val="center"/>
                </w:tcPr>
                <w:p w14:paraId="11B5B887">
                  <w:pPr>
                    <w:tabs>
                      <w:tab w:val="left" w:pos="720"/>
                      <w:tab w:val="left" w:pos="2520"/>
                      <w:tab w:val="left" w:pos="5180"/>
                    </w:tabs>
                    <w:topLinePunct/>
                    <w:adjustRightInd w:val="0"/>
                    <w:snapToGrid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425" w:type="pct"/>
                  <w:noWrap w:val="0"/>
                  <w:vAlign w:val="center"/>
                </w:tcPr>
                <w:p w14:paraId="35BCEFF7">
                  <w:pPr>
                    <w:tabs>
                      <w:tab w:val="left" w:pos="720"/>
                      <w:tab w:val="left" w:pos="2520"/>
                      <w:tab w:val="left" w:pos="5180"/>
                    </w:tabs>
                    <w:topLinePunct/>
                    <w:adjustRightInd w:val="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DW002</w:t>
                  </w:r>
                </w:p>
              </w:tc>
              <w:tc>
                <w:tcPr>
                  <w:tcW w:w="605" w:type="pct"/>
                  <w:noWrap w:val="0"/>
                  <w:vAlign w:val="center"/>
                </w:tcPr>
                <w:p w14:paraId="614F2C6B">
                  <w:pPr>
                    <w:tabs>
                      <w:tab w:val="left" w:pos="720"/>
                      <w:tab w:val="left" w:pos="2520"/>
                      <w:tab w:val="left" w:pos="5180"/>
                    </w:tabs>
                    <w:topLinePunct/>
                    <w:adjustRightInd w:val="0"/>
                    <w:snapToGrid w:val="0"/>
                    <w:jc w:val="center"/>
                    <w:rPr>
                      <w:rFonts w:hint="eastAsia" w:ascii="Times New Roman" w:hAnsi="Times New Roman" w:eastAsia="宋体" w:cs="Times New Roman"/>
                      <w:color w:val="auto"/>
                      <w:sz w:val="21"/>
                      <w:szCs w:val="21"/>
                    </w:rPr>
                  </w:pPr>
                  <w:r>
                    <w:rPr>
                      <w:rFonts w:hint="eastAsia" w:cs="Times New Roman"/>
                      <w:color w:val="auto"/>
                      <w:sz w:val="21"/>
                      <w:szCs w:val="21"/>
                      <w:lang w:val="en-US" w:eastAsia="zh-CN"/>
                    </w:rPr>
                    <w:t>医疗</w:t>
                  </w:r>
                  <w:r>
                    <w:rPr>
                      <w:rFonts w:hint="eastAsia" w:ascii="Times New Roman" w:hAnsi="Times New Roman" w:eastAsia="宋体" w:cs="Times New Roman"/>
                      <w:color w:val="auto"/>
                      <w:sz w:val="21"/>
                      <w:szCs w:val="21"/>
                    </w:rPr>
                    <w:t>废水排口</w:t>
                  </w:r>
                </w:p>
              </w:tc>
              <w:tc>
                <w:tcPr>
                  <w:tcW w:w="334" w:type="pct"/>
                  <w:vMerge w:val="continue"/>
                  <w:noWrap w:val="0"/>
                  <w:vAlign w:val="center"/>
                </w:tcPr>
                <w:p w14:paraId="2C6651B6">
                  <w:pPr>
                    <w:tabs>
                      <w:tab w:val="left" w:pos="720"/>
                      <w:tab w:val="left" w:pos="2520"/>
                      <w:tab w:val="left" w:pos="5180"/>
                    </w:tabs>
                    <w:topLinePunct/>
                    <w:adjustRightInd w:val="0"/>
                    <w:snapToGrid w:val="0"/>
                    <w:jc w:val="center"/>
                    <w:rPr>
                      <w:rFonts w:ascii="Times New Roman" w:hAnsi="Times New Roman" w:eastAsia="宋体" w:cs="Times New Roman"/>
                      <w:color w:val="FF0000"/>
                      <w:sz w:val="21"/>
                      <w:szCs w:val="21"/>
                    </w:rPr>
                  </w:pPr>
                </w:p>
              </w:tc>
              <w:tc>
                <w:tcPr>
                  <w:tcW w:w="422" w:type="pct"/>
                  <w:vMerge w:val="continue"/>
                  <w:noWrap w:val="0"/>
                  <w:vAlign w:val="center"/>
                </w:tcPr>
                <w:p w14:paraId="46068100">
                  <w:pPr>
                    <w:tabs>
                      <w:tab w:val="left" w:pos="720"/>
                      <w:tab w:val="left" w:pos="2520"/>
                      <w:tab w:val="left" w:pos="5180"/>
                    </w:tabs>
                    <w:topLinePunct/>
                    <w:adjustRightInd w:val="0"/>
                    <w:snapToGrid w:val="0"/>
                    <w:jc w:val="center"/>
                    <w:rPr>
                      <w:rFonts w:ascii="Times New Roman" w:hAnsi="Times New Roman" w:eastAsia="宋体" w:cs="Times New Roman"/>
                      <w:color w:val="FF0000"/>
                      <w:sz w:val="21"/>
                      <w:szCs w:val="21"/>
                    </w:rPr>
                  </w:pPr>
                </w:p>
              </w:tc>
              <w:tc>
                <w:tcPr>
                  <w:tcW w:w="422" w:type="pct"/>
                  <w:vMerge w:val="continue"/>
                  <w:noWrap w:val="0"/>
                  <w:vAlign w:val="center"/>
                </w:tcPr>
                <w:p w14:paraId="1F0CBD71">
                  <w:pPr>
                    <w:tabs>
                      <w:tab w:val="left" w:pos="720"/>
                      <w:tab w:val="left" w:pos="2520"/>
                      <w:tab w:val="left" w:pos="5180"/>
                    </w:tabs>
                    <w:topLinePunct/>
                    <w:adjustRightInd w:val="0"/>
                    <w:snapToGrid w:val="0"/>
                    <w:jc w:val="center"/>
                    <w:rPr>
                      <w:rFonts w:hint="eastAsia" w:ascii="Times New Roman" w:hAnsi="Times New Roman" w:eastAsia="宋体" w:cs="Times New Roman"/>
                      <w:color w:val="FF0000"/>
                      <w:sz w:val="21"/>
                      <w:szCs w:val="21"/>
                    </w:rPr>
                  </w:pPr>
                </w:p>
              </w:tc>
              <w:tc>
                <w:tcPr>
                  <w:tcW w:w="670" w:type="pct"/>
                  <w:noWrap w:val="0"/>
                  <w:vAlign w:val="center"/>
                </w:tcPr>
                <w:p w14:paraId="41CAE2E4">
                  <w:pPr>
                    <w:tabs>
                      <w:tab w:val="left" w:pos="720"/>
                      <w:tab w:val="left" w:pos="2520"/>
                      <w:tab w:val="left" w:pos="5180"/>
                    </w:tabs>
                    <w:topLinePunct/>
                    <w:adjustRightInd w:val="0"/>
                    <w:snapToGrid w:val="0"/>
                    <w:jc w:val="center"/>
                    <w:rPr>
                      <w:rFonts w:hint="default" w:ascii="Times New Roman" w:hAnsi="Times New Roman" w:eastAsia="宋体" w:cs="Times New Roman"/>
                      <w:color w:val="FF0000"/>
                      <w:sz w:val="21"/>
                      <w:szCs w:val="21"/>
                      <w:highlight w:val="none"/>
                    </w:rPr>
                  </w:pPr>
                  <w:r>
                    <w:rPr>
                      <w:rFonts w:hint="default" w:ascii="Times New Roman" w:hAnsi="Times New Roman" w:cs="Times New Roman"/>
                      <w:sz w:val="21"/>
                      <w:szCs w:val="21"/>
                    </w:rPr>
                    <w:t>111°11′31.10913″</w:t>
                  </w:r>
                </w:p>
              </w:tc>
              <w:tc>
                <w:tcPr>
                  <w:tcW w:w="644" w:type="pct"/>
                  <w:noWrap w:val="0"/>
                  <w:vAlign w:val="center"/>
                </w:tcPr>
                <w:p w14:paraId="22D27AE7">
                  <w:pPr>
                    <w:tabs>
                      <w:tab w:val="left" w:pos="720"/>
                      <w:tab w:val="left" w:pos="2520"/>
                      <w:tab w:val="left" w:pos="5180"/>
                    </w:tabs>
                    <w:topLinePunct/>
                    <w:adjustRightInd w:val="0"/>
                    <w:snapToGrid w:val="0"/>
                    <w:jc w:val="center"/>
                    <w:rPr>
                      <w:rFonts w:hint="default" w:ascii="Times New Roman" w:hAnsi="Times New Roman" w:eastAsia="宋体" w:cs="Times New Roman"/>
                      <w:color w:val="FF0000"/>
                      <w:sz w:val="21"/>
                      <w:szCs w:val="21"/>
                      <w:highlight w:val="none"/>
                    </w:rPr>
                  </w:pPr>
                  <w:r>
                    <w:rPr>
                      <w:rFonts w:hint="default" w:ascii="Times New Roman" w:hAnsi="Times New Roman" w:cs="Times New Roman"/>
                      <w:sz w:val="21"/>
                      <w:szCs w:val="21"/>
                    </w:rPr>
                    <w:t>28°22′8.30326″</w:t>
                  </w:r>
                </w:p>
              </w:tc>
              <w:tc>
                <w:tcPr>
                  <w:tcW w:w="1223" w:type="pct"/>
                  <w:noWrap w:val="0"/>
                  <w:vAlign w:val="center"/>
                </w:tcPr>
                <w:p w14:paraId="4175088D">
                  <w:pPr>
                    <w:tabs>
                      <w:tab w:val="left" w:pos="720"/>
                      <w:tab w:val="left" w:pos="2520"/>
                      <w:tab w:val="left" w:pos="5180"/>
                    </w:tabs>
                    <w:topLinePunct/>
                    <w:adjustRightInd w:val="0"/>
                    <w:snapToGrid w:val="0"/>
                    <w:jc w:val="center"/>
                    <w:rPr>
                      <w:rFonts w:ascii="Times New Roman" w:hAnsi="Times New Roman" w:eastAsia="宋体" w:cs="Times New Roman"/>
                      <w:color w:val="FF0000"/>
                      <w:sz w:val="21"/>
                      <w:szCs w:val="21"/>
                    </w:rPr>
                  </w:pPr>
                  <w:r>
                    <w:rPr>
                      <w:rFonts w:hint="eastAsia"/>
                      <w:bCs/>
                      <w:sz w:val="21"/>
                      <w:szCs w:val="21"/>
                    </w:rPr>
                    <w:t>医疗机构水污染物排放标准》</w:t>
                  </w:r>
                  <w:r>
                    <w:rPr>
                      <w:rFonts w:hint="eastAsia" w:ascii="宋体" w:hAnsi="宋体" w:eastAsia="宋体" w:cs="宋体"/>
                      <w:bCs/>
                      <w:sz w:val="21"/>
                      <w:szCs w:val="21"/>
                    </w:rPr>
                    <w:t>(</w:t>
                  </w:r>
                  <w:r>
                    <w:rPr>
                      <w:rFonts w:hint="eastAsia"/>
                      <w:bCs/>
                      <w:sz w:val="21"/>
                      <w:szCs w:val="21"/>
                    </w:rPr>
                    <w:t>GB18466-2005</w:t>
                  </w:r>
                  <w:r>
                    <w:rPr>
                      <w:rFonts w:hint="eastAsia" w:ascii="宋体" w:hAnsi="宋体" w:eastAsia="宋体" w:cs="宋体"/>
                      <w:bCs/>
                      <w:sz w:val="21"/>
                      <w:szCs w:val="21"/>
                    </w:rPr>
                    <w:t>)</w:t>
                  </w:r>
                  <w:r>
                    <w:rPr>
                      <w:rStyle w:val="87"/>
                      <w:rFonts w:hint="eastAsia"/>
                      <w:color w:val="000000"/>
                      <w:sz w:val="21"/>
                      <w:szCs w:val="21"/>
                      <w:lang w:eastAsia="zh-CN"/>
                    </w:rPr>
                    <w:t>（</w:t>
                  </w:r>
                  <w:r>
                    <w:rPr>
                      <w:rStyle w:val="87"/>
                      <w:rFonts w:hint="eastAsia"/>
                      <w:color w:val="000000"/>
                      <w:sz w:val="21"/>
                      <w:szCs w:val="21"/>
                      <w:lang w:val="en-US" w:eastAsia="zh-CN"/>
                    </w:rPr>
                    <w:t>含</w:t>
                  </w:r>
                  <w:r>
                    <w:rPr>
                      <w:rStyle w:val="87"/>
                      <w:rFonts w:hint="default" w:ascii="Times New Roman" w:hAnsi="Times New Roman" w:cs="Times New Roman"/>
                      <w:color w:val="000000"/>
                      <w:sz w:val="21"/>
                      <w:szCs w:val="21"/>
                      <w:lang w:val="en-US" w:eastAsia="zh-CN"/>
                    </w:rPr>
                    <w:t>2026</w:t>
                  </w:r>
                  <w:r>
                    <w:rPr>
                      <w:rStyle w:val="87"/>
                      <w:rFonts w:hint="eastAsia"/>
                      <w:color w:val="000000"/>
                      <w:sz w:val="21"/>
                      <w:szCs w:val="21"/>
                      <w:lang w:val="en-US" w:eastAsia="zh-CN"/>
                    </w:rPr>
                    <w:t>年修改单</w:t>
                  </w:r>
                  <w:r>
                    <w:rPr>
                      <w:rStyle w:val="87"/>
                      <w:rFonts w:hint="eastAsia"/>
                      <w:color w:val="000000"/>
                      <w:sz w:val="21"/>
                      <w:szCs w:val="21"/>
                      <w:lang w:eastAsia="zh-CN"/>
                    </w:rPr>
                    <w:t>）</w:t>
                  </w:r>
                  <w:r>
                    <w:rPr>
                      <w:rFonts w:hint="eastAsia"/>
                      <w:bCs/>
                      <w:sz w:val="21"/>
                      <w:szCs w:val="21"/>
                    </w:rPr>
                    <w:t>表2中预处理标准</w:t>
                  </w:r>
                  <w:r>
                    <w:rPr>
                      <w:rFonts w:hint="eastAsia"/>
                      <w:bCs/>
                      <w:sz w:val="21"/>
                      <w:szCs w:val="21"/>
                      <w:lang w:val="en-US" w:eastAsia="zh-CN"/>
                    </w:rPr>
                    <w:t>及安化县污水处理厂进水水质标准</w:t>
                  </w:r>
                </w:p>
              </w:tc>
            </w:tr>
          </w:tbl>
          <w:p w14:paraId="6A2B406C">
            <w:pPr>
              <w:adjustRightInd w:val="0"/>
              <w:spacing w:line="360" w:lineRule="auto"/>
              <w:rPr>
                <w:b/>
                <w:bCs/>
                <w:color w:val="auto"/>
                <w:sz w:val="24"/>
                <w:szCs w:val="24"/>
                <w:u w:val="single"/>
              </w:rPr>
            </w:pPr>
            <w:r>
              <w:rPr>
                <w:b/>
                <w:bCs/>
                <w:color w:val="auto"/>
                <w:sz w:val="24"/>
                <w:szCs w:val="24"/>
                <w:u w:val="single"/>
              </w:rPr>
              <w:t>2.</w:t>
            </w:r>
            <w:r>
              <w:rPr>
                <w:rFonts w:hint="eastAsia"/>
                <w:b/>
                <w:bCs/>
                <w:color w:val="auto"/>
                <w:sz w:val="24"/>
                <w:szCs w:val="24"/>
                <w:u w:val="single"/>
                <w:lang w:val="en-US" w:eastAsia="zh-CN"/>
              </w:rPr>
              <w:t>5</w:t>
            </w:r>
            <w:r>
              <w:rPr>
                <w:rFonts w:hint="eastAsia"/>
                <w:b/>
                <w:bCs/>
                <w:color w:val="auto"/>
                <w:sz w:val="24"/>
                <w:szCs w:val="24"/>
                <w:u w:val="single"/>
              </w:rPr>
              <w:t>废水治理设施及可行性分析</w:t>
            </w:r>
          </w:p>
          <w:p w14:paraId="18535A89">
            <w:pPr>
              <w:adjustRightInd w:val="0"/>
              <w:spacing w:line="360" w:lineRule="auto"/>
              <w:ind w:firstLine="482" w:firstLineChars="200"/>
              <w:rPr>
                <w:b/>
                <w:bCs/>
                <w:color w:val="auto"/>
                <w:sz w:val="24"/>
                <w:szCs w:val="24"/>
                <w:u w:val="single"/>
              </w:rPr>
            </w:pPr>
            <w:r>
              <w:rPr>
                <w:rFonts w:hint="eastAsia"/>
                <w:b/>
                <w:bCs/>
                <w:color w:val="auto"/>
                <w:sz w:val="24"/>
                <w:szCs w:val="24"/>
                <w:u w:val="single"/>
              </w:rPr>
              <w:t>（1）废水治理设施</w:t>
            </w:r>
          </w:p>
          <w:p w14:paraId="50C4F171">
            <w:pPr>
              <w:adjustRightInd w:val="0"/>
              <w:spacing w:line="360" w:lineRule="auto"/>
              <w:ind w:firstLine="480" w:firstLineChars="200"/>
              <w:rPr>
                <w:color w:val="auto"/>
                <w:sz w:val="24"/>
                <w:szCs w:val="24"/>
                <w:u w:val="single"/>
              </w:rPr>
            </w:pPr>
            <w:r>
              <w:rPr>
                <w:rFonts w:hint="eastAsia"/>
                <w:color w:val="auto"/>
                <w:sz w:val="24"/>
                <w:szCs w:val="24"/>
                <w:u w:val="single"/>
              </w:rPr>
              <w:t>项目医疗检验使用检验用试剂盒，在医疗检验过程中不使用含汞试剂、含镉的医疗器械清洗液，医疗活动中不涉及含铅、铬等重金属的药物或治疗手段，因此项目废水不涉及重金属废水。检验科废水仅为检验设备全自动分析仪需进行一人一检一洗。检验科清洗废水统一汇入</w:t>
            </w:r>
            <w:r>
              <w:rPr>
                <w:rFonts w:hint="eastAsia"/>
                <w:color w:val="auto"/>
                <w:sz w:val="24"/>
                <w:szCs w:val="24"/>
                <w:u w:val="single"/>
                <w:lang w:val="en-US" w:eastAsia="zh-CN"/>
              </w:rPr>
              <w:t>项目</w:t>
            </w:r>
            <w:r>
              <w:rPr>
                <w:rFonts w:hint="eastAsia"/>
                <w:color w:val="auto"/>
                <w:sz w:val="24"/>
                <w:szCs w:val="24"/>
                <w:u w:val="single"/>
              </w:rPr>
              <w:t>污水处理站处理。</w:t>
            </w:r>
          </w:p>
          <w:p w14:paraId="2E6F5451">
            <w:pPr>
              <w:adjustRightInd w:val="0"/>
              <w:spacing w:line="360" w:lineRule="auto"/>
              <w:ind w:firstLine="480" w:firstLineChars="200"/>
              <w:rPr>
                <w:sz w:val="24"/>
                <w:szCs w:val="24"/>
                <w:u w:val="single"/>
              </w:rPr>
            </w:pPr>
            <w:r>
              <w:rPr>
                <w:sz w:val="24"/>
                <w:szCs w:val="24"/>
                <w:u w:val="single"/>
              </w:rPr>
              <w:t>在</w:t>
            </w:r>
            <w:r>
              <w:rPr>
                <w:rFonts w:hint="eastAsia"/>
                <w:sz w:val="24"/>
                <w:szCs w:val="24"/>
                <w:u w:val="single"/>
                <w:lang w:val="en-US" w:eastAsia="zh-CN"/>
              </w:rPr>
              <w:t>医</w:t>
            </w:r>
            <w:r>
              <w:rPr>
                <w:rFonts w:hint="eastAsia" w:cs="宋体"/>
                <w:kern w:val="2"/>
                <w:sz w:val="24"/>
                <w:szCs w:val="24"/>
                <w:highlight w:val="none"/>
                <w:u w:val="single"/>
                <w:lang w:val="en-US" w:eastAsia="zh-CN" w:bidi="ar-SA"/>
              </w:rPr>
              <w:t>疗</w:t>
            </w:r>
            <w:r>
              <w:rPr>
                <w:sz w:val="24"/>
                <w:szCs w:val="24"/>
                <w:u w:val="single"/>
              </w:rPr>
              <w:t>楼外自建</w:t>
            </w:r>
            <w:r>
              <w:rPr>
                <w:rFonts w:hint="eastAsia"/>
                <w:sz w:val="24"/>
                <w:szCs w:val="24"/>
                <w:u w:val="single"/>
                <w:lang w:val="en-US" w:eastAsia="zh-CN"/>
              </w:rPr>
              <w:t>地埋式</w:t>
            </w:r>
            <w:r>
              <w:rPr>
                <w:sz w:val="24"/>
                <w:szCs w:val="24"/>
                <w:u w:val="single"/>
              </w:rPr>
              <w:t>污水处理站一座，</w:t>
            </w:r>
            <w:r>
              <w:rPr>
                <w:rFonts w:hint="eastAsia"/>
                <w:sz w:val="24"/>
                <w:szCs w:val="24"/>
                <w:u w:val="single"/>
                <w:lang w:val="en-US" w:eastAsia="zh-CN"/>
              </w:rPr>
              <w:t>地埋式建污水处理站处理能力为60</w:t>
            </w:r>
            <w:r>
              <w:rPr>
                <w:sz w:val="24"/>
                <w:szCs w:val="24"/>
                <w:u w:val="single"/>
              </w:rPr>
              <w:t>m</w:t>
            </w:r>
            <w:r>
              <w:rPr>
                <w:rFonts w:hint="eastAsia"/>
                <w:sz w:val="24"/>
                <w:szCs w:val="24"/>
                <w:u w:val="single"/>
                <w:vertAlign w:val="superscript"/>
              </w:rPr>
              <w:t>3</w:t>
            </w:r>
            <w:r>
              <w:rPr>
                <w:sz w:val="24"/>
                <w:szCs w:val="24"/>
                <w:u w:val="single"/>
              </w:rPr>
              <w:t>/d</w:t>
            </w:r>
            <w:r>
              <w:rPr>
                <w:rFonts w:hint="eastAsia"/>
                <w:sz w:val="24"/>
                <w:szCs w:val="24"/>
                <w:u w:val="single"/>
                <w:lang w:eastAsia="zh-CN"/>
              </w:rPr>
              <w:t>，</w:t>
            </w:r>
            <w:r>
              <w:rPr>
                <w:rFonts w:hint="eastAsia"/>
                <w:sz w:val="24"/>
                <w:szCs w:val="24"/>
                <w:u w:val="single"/>
                <w:lang w:val="en-US" w:eastAsia="zh-CN"/>
              </w:rPr>
              <w:t>根据第二章节项目计算废水排放量为47.36m</w:t>
            </w:r>
            <w:r>
              <w:rPr>
                <w:rFonts w:hint="eastAsia"/>
                <w:sz w:val="24"/>
                <w:szCs w:val="24"/>
                <w:u w:val="single"/>
                <w:vertAlign w:val="superscript"/>
                <w:lang w:val="en-US" w:eastAsia="zh-CN"/>
              </w:rPr>
              <w:t>3</w:t>
            </w:r>
            <w:r>
              <w:rPr>
                <w:rFonts w:hint="eastAsia"/>
                <w:sz w:val="24"/>
                <w:szCs w:val="24"/>
                <w:u w:val="single"/>
                <w:lang w:val="en-US" w:eastAsia="zh-CN"/>
              </w:rPr>
              <w:t>/d；则项目污水处理站拟建处理规模</w:t>
            </w:r>
            <w:r>
              <w:rPr>
                <w:rFonts w:hint="eastAsia"/>
                <w:sz w:val="24"/>
                <w:szCs w:val="24"/>
                <w:u w:val="single"/>
              </w:rPr>
              <w:t>尚有余量</w:t>
            </w:r>
            <w:r>
              <w:rPr>
                <w:rFonts w:hint="eastAsia"/>
                <w:sz w:val="24"/>
                <w:szCs w:val="24"/>
                <w:u w:val="single"/>
                <w:lang w:eastAsia="zh-CN"/>
              </w:rPr>
              <w:t>，</w:t>
            </w:r>
            <w:r>
              <w:rPr>
                <w:rFonts w:hint="eastAsia"/>
                <w:sz w:val="24"/>
                <w:szCs w:val="24"/>
                <w:u w:val="single"/>
                <w:lang w:val="en-US" w:eastAsia="zh-CN"/>
              </w:rPr>
              <w:t>满足项目废水排放量</w:t>
            </w:r>
            <w:r>
              <w:rPr>
                <w:sz w:val="24"/>
                <w:szCs w:val="24"/>
                <w:u w:val="single"/>
              </w:rPr>
              <w:t>。本项目明确无传染科室，由于废水最终能纳入城市污水处理厂进行处理，依据《医院污水处理工程技术规范》（HJ2029-2013）</w:t>
            </w:r>
            <w:r>
              <w:rPr>
                <w:rFonts w:hint="eastAsia" w:ascii="宋体" w:hAnsi="宋体" w:cs="宋体"/>
                <w:sz w:val="24"/>
                <w:szCs w:val="24"/>
                <w:u w:val="single"/>
              </w:rPr>
              <w:t>中</w:t>
            </w:r>
            <w:r>
              <w:rPr>
                <w:sz w:val="24"/>
                <w:szCs w:val="24"/>
                <w:u w:val="single"/>
              </w:rPr>
              <w:t>6.2.2节，排入城镇污水管网的非传染病医院污水可采用一级强化处理 + 消毒工艺。本项目工艺路线：污水→格栅→调节池→混凝沉淀→消毒→市政污水管网</w:t>
            </w:r>
            <w:r>
              <w:rPr>
                <w:rFonts w:hint="eastAsia"/>
                <w:sz w:val="24"/>
                <w:szCs w:val="24"/>
                <w:u w:val="single"/>
                <w:lang w:eastAsia="zh-CN"/>
              </w:rPr>
              <w:t>；</w:t>
            </w:r>
            <w:r>
              <w:rPr>
                <w:sz w:val="24"/>
                <w:szCs w:val="24"/>
                <w:u w:val="single"/>
              </w:rPr>
              <w:t>混凝沉淀产生污泥收集于污泥池，作为医疗废物委托资质单位外运处置。配套建设有效容积15m³应急事故池，满足《医疗机构污水处理工程技术标准》（GB51459-2024）不小于日排放量 30% 的要求，事故状态下暂存废水，设施恢复运行后分批回流处理，杜绝事故直排。项目污水处理工艺，具体如下。</w:t>
            </w:r>
          </w:p>
          <w:p w14:paraId="00028038">
            <w:pPr>
              <w:adjustRightInd w:val="0"/>
              <w:spacing w:line="360" w:lineRule="auto"/>
              <w:jc w:val="center"/>
              <w:rPr>
                <w:u w:val="single"/>
              </w:rPr>
            </w:pPr>
            <w:r>
              <w:rPr>
                <w:u w:val="single"/>
              </w:rPr>
              <w:drawing>
                <wp:inline distT="0" distB="0" distL="114300" distR="114300">
                  <wp:extent cx="4950460" cy="894080"/>
                  <wp:effectExtent l="0" t="0" r="2540" b="1270"/>
                  <wp:docPr id="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6"/>
                          <pic:cNvPicPr>
                            <a:picLocks noChangeAspect="1"/>
                          </pic:cNvPicPr>
                        </pic:nvPicPr>
                        <pic:blipFill>
                          <a:blip r:embed="rId16"/>
                          <a:stretch>
                            <a:fillRect/>
                          </a:stretch>
                        </pic:blipFill>
                        <pic:spPr>
                          <a:xfrm>
                            <a:off x="0" y="0"/>
                            <a:ext cx="4950460" cy="894080"/>
                          </a:xfrm>
                          <a:prstGeom prst="rect">
                            <a:avLst/>
                          </a:prstGeom>
                          <a:noFill/>
                          <a:ln>
                            <a:noFill/>
                          </a:ln>
                        </pic:spPr>
                      </pic:pic>
                    </a:graphicData>
                  </a:graphic>
                </wp:inline>
              </w:drawing>
            </w:r>
          </w:p>
          <w:p w14:paraId="7AFDA12F">
            <w:pPr>
              <w:adjustRightInd w:val="0"/>
              <w:spacing w:line="360" w:lineRule="auto"/>
              <w:jc w:val="center"/>
              <w:rPr>
                <w:rFonts w:hint="eastAsia"/>
                <w:b/>
                <w:bCs/>
                <w:sz w:val="24"/>
                <w:szCs w:val="28"/>
                <w:u w:val="single"/>
              </w:rPr>
            </w:pPr>
            <w:r>
              <w:rPr>
                <w:rFonts w:hint="eastAsia"/>
                <w:b/>
                <w:bCs/>
                <w:sz w:val="24"/>
                <w:szCs w:val="28"/>
                <w:u w:val="single"/>
              </w:rPr>
              <w:t>图4-1  污水一级强化处理工艺</w:t>
            </w:r>
          </w:p>
          <w:p w14:paraId="6F1D74CB">
            <w:pPr>
              <w:adjustRightInd w:val="0"/>
              <w:spacing w:line="360" w:lineRule="auto"/>
              <w:ind w:firstLine="482" w:firstLineChars="200"/>
              <w:rPr>
                <w:b/>
                <w:bCs/>
                <w:sz w:val="24"/>
                <w:szCs w:val="24"/>
                <w:u w:val="single"/>
              </w:rPr>
            </w:pPr>
            <w:r>
              <w:rPr>
                <w:rFonts w:hint="eastAsia"/>
                <w:b/>
                <w:bCs/>
                <w:sz w:val="24"/>
                <w:szCs w:val="24"/>
                <w:u w:val="single"/>
              </w:rPr>
              <w:t>（2）可行性分析</w:t>
            </w:r>
          </w:p>
          <w:p w14:paraId="58168CF3">
            <w:pPr>
              <w:widowControl/>
              <w:shd w:val="clear" w:color="auto" w:fill="FFFFFF"/>
              <w:adjustRightInd w:val="0"/>
              <w:snapToGrid w:val="0"/>
              <w:spacing w:line="360" w:lineRule="auto"/>
              <w:ind w:firstLine="480" w:firstLineChars="200"/>
              <w:rPr>
                <w:sz w:val="24"/>
                <w:u w:val="single"/>
                <w:shd w:val="clear" w:color="auto" w:fill="FFFFFF"/>
              </w:rPr>
            </w:pPr>
            <w:r>
              <w:rPr>
                <w:rFonts w:hint="eastAsia"/>
                <w:bCs/>
                <w:sz w:val="24"/>
                <w:szCs w:val="24"/>
                <w:u w:val="single"/>
                <w:shd w:val="clear" w:color="auto" w:fill="FFFFFF"/>
              </w:rPr>
              <w:t>根据《排污许可证申请与核发技术规范医疗机构》</w:t>
            </w:r>
            <w:r>
              <w:rPr>
                <w:rFonts w:hint="eastAsia" w:ascii="宋体" w:hAnsi="宋体" w:cs="宋体"/>
                <w:bCs/>
                <w:sz w:val="24"/>
                <w:szCs w:val="24"/>
                <w:u w:val="single"/>
                <w:shd w:val="clear" w:color="auto" w:fill="FFFFFF"/>
              </w:rPr>
              <w:t>(</w:t>
            </w:r>
            <w:r>
              <w:rPr>
                <w:rFonts w:hint="eastAsia"/>
                <w:bCs/>
                <w:sz w:val="24"/>
                <w:szCs w:val="24"/>
                <w:u w:val="single"/>
                <w:shd w:val="clear" w:color="auto" w:fill="FFFFFF"/>
              </w:rPr>
              <w:t>HJ1105-2020</w:t>
            </w:r>
            <w:r>
              <w:rPr>
                <w:rFonts w:hint="eastAsia" w:ascii="宋体" w:hAnsi="宋体" w:cs="宋体"/>
                <w:bCs/>
                <w:sz w:val="24"/>
                <w:szCs w:val="24"/>
                <w:u w:val="single"/>
                <w:shd w:val="clear" w:color="auto" w:fill="FFFFFF"/>
              </w:rPr>
              <w:t>)中</w:t>
            </w:r>
            <w:r>
              <w:rPr>
                <w:rFonts w:hint="eastAsia"/>
                <w:bCs/>
                <w:sz w:val="24"/>
                <w:szCs w:val="24"/>
                <w:u w:val="single"/>
                <w:shd w:val="clear" w:color="auto" w:fill="FFFFFF"/>
              </w:rPr>
              <w:t>医疗机构污水治理可行技术，项目污水处理站采用的处理工艺为：“格栅+调节池+化学混凝法+消毒池”，均属于技术规范中推荐的可行技术</w:t>
            </w:r>
            <w:r>
              <w:rPr>
                <w:rFonts w:hint="eastAsia"/>
                <w:sz w:val="24"/>
                <w:szCs w:val="24"/>
                <w:u w:val="single"/>
                <w:shd w:val="clear" w:color="auto" w:fill="FFFFFF"/>
              </w:rPr>
              <w:t>。</w:t>
            </w:r>
          </w:p>
          <w:p w14:paraId="742A3432">
            <w:pPr>
              <w:widowControl/>
              <w:shd w:val="clear" w:color="auto" w:fill="FFFFFF"/>
              <w:adjustRightInd w:val="0"/>
              <w:snapToGrid w:val="0"/>
              <w:spacing w:line="360" w:lineRule="auto"/>
              <w:jc w:val="center"/>
              <w:rPr>
                <w:b/>
                <w:bCs/>
                <w:sz w:val="24"/>
                <w:u w:val="single"/>
                <w:shd w:val="clear" w:color="auto" w:fill="FFFFFF"/>
              </w:rPr>
            </w:pPr>
            <w:r>
              <w:rPr>
                <w:rFonts w:hint="eastAsia"/>
                <w:b/>
                <w:bCs/>
                <w:sz w:val="24"/>
                <w:u w:val="single"/>
                <w:shd w:val="clear" w:color="auto" w:fill="FFFFFF"/>
              </w:rPr>
              <w:t>表4-</w:t>
            </w:r>
            <w:r>
              <w:rPr>
                <w:rFonts w:hint="eastAsia"/>
                <w:b/>
                <w:bCs/>
                <w:sz w:val="24"/>
                <w:u w:val="single"/>
                <w:shd w:val="clear" w:color="auto" w:fill="FFFFFF"/>
                <w:lang w:val="en-US" w:eastAsia="zh-CN"/>
              </w:rPr>
              <w:t>12</w:t>
            </w:r>
            <w:r>
              <w:rPr>
                <w:rFonts w:hint="eastAsia"/>
                <w:b/>
                <w:bCs/>
                <w:sz w:val="24"/>
                <w:u w:val="single"/>
                <w:shd w:val="clear" w:color="auto" w:fill="FFFFFF"/>
              </w:rPr>
              <w:t xml:space="preserve">  医疗机构排污单位污水治理可行技术参照表</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3116"/>
              <w:gridCol w:w="1290"/>
              <w:gridCol w:w="2634"/>
            </w:tblGrid>
            <w:tr w14:paraId="1BFC64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1269" w:type="dxa"/>
                  <w:vAlign w:val="center"/>
                </w:tcPr>
                <w:p w14:paraId="12214DEA">
                  <w:pPr>
                    <w:widowControl/>
                    <w:adjustRightInd w:val="0"/>
                    <w:snapToGrid w:val="0"/>
                    <w:jc w:val="center"/>
                    <w:rPr>
                      <w:b/>
                      <w:bCs/>
                      <w:szCs w:val="21"/>
                      <w:u w:val="single"/>
                      <w:shd w:val="clear" w:color="auto" w:fill="FFFFFF"/>
                    </w:rPr>
                  </w:pPr>
                  <w:r>
                    <w:rPr>
                      <w:rFonts w:hint="eastAsia"/>
                      <w:b/>
                      <w:bCs/>
                      <w:szCs w:val="21"/>
                      <w:u w:val="single"/>
                      <w:shd w:val="clear" w:color="auto" w:fill="FFFFFF"/>
                    </w:rPr>
                    <w:t>污水类别</w:t>
                  </w:r>
                </w:p>
              </w:tc>
              <w:tc>
                <w:tcPr>
                  <w:tcW w:w="3173" w:type="dxa"/>
                  <w:vAlign w:val="center"/>
                </w:tcPr>
                <w:p w14:paraId="22B6C547">
                  <w:pPr>
                    <w:widowControl/>
                    <w:adjustRightInd w:val="0"/>
                    <w:snapToGrid w:val="0"/>
                    <w:jc w:val="center"/>
                    <w:rPr>
                      <w:b/>
                      <w:bCs/>
                      <w:szCs w:val="21"/>
                      <w:u w:val="single"/>
                      <w:shd w:val="clear" w:color="auto" w:fill="FFFFFF"/>
                    </w:rPr>
                  </w:pPr>
                  <w:r>
                    <w:rPr>
                      <w:rFonts w:hint="eastAsia"/>
                      <w:b/>
                      <w:bCs/>
                      <w:szCs w:val="21"/>
                      <w:u w:val="single"/>
                      <w:shd w:val="clear" w:color="auto" w:fill="FFFFFF"/>
                    </w:rPr>
                    <w:t>污染物种类</w:t>
                  </w:r>
                </w:p>
              </w:tc>
              <w:tc>
                <w:tcPr>
                  <w:tcW w:w="1310" w:type="dxa"/>
                  <w:vAlign w:val="center"/>
                </w:tcPr>
                <w:p w14:paraId="58BB0245">
                  <w:pPr>
                    <w:widowControl/>
                    <w:adjustRightInd w:val="0"/>
                    <w:snapToGrid w:val="0"/>
                    <w:jc w:val="center"/>
                    <w:rPr>
                      <w:b/>
                      <w:bCs/>
                      <w:szCs w:val="21"/>
                      <w:u w:val="single"/>
                      <w:shd w:val="clear" w:color="auto" w:fill="FFFFFF"/>
                    </w:rPr>
                  </w:pPr>
                  <w:r>
                    <w:rPr>
                      <w:rFonts w:hint="eastAsia"/>
                      <w:b/>
                      <w:bCs/>
                      <w:szCs w:val="21"/>
                      <w:u w:val="single"/>
                      <w:shd w:val="clear" w:color="auto" w:fill="FFFFFF"/>
                    </w:rPr>
                    <w:t>排放去向</w:t>
                  </w:r>
                </w:p>
              </w:tc>
              <w:tc>
                <w:tcPr>
                  <w:tcW w:w="2683" w:type="dxa"/>
                  <w:vAlign w:val="center"/>
                </w:tcPr>
                <w:p w14:paraId="1952E3DD">
                  <w:pPr>
                    <w:widowControl/>
                    <w:adjustRightInd w:val="0"/>
                    <w:snapToGrid w:val="0"/>
                    <w:jc w:val="center"/>
                    <w:rPr>
                      <w:b/>
                      <w:bCs/>
                      <w:szCs w:val="21"/>
                      <w:u w:val="single"/>
                      <w:shd w:val="clear" w:color="auto" w:fill="FFFFFF"/>
                    </w:rPr>
                  </w:pPr>
                  <w:r>
                    <w:rPr>
                      <w:rFonts w:hint="eastAsia"/>
                      <w:b/>
                      <w:bCs/>
                      <w:szCs w:val="21"/>
                      <w:u w:val="single"/>
                      <w:shd w:val="clear" w:color="auto" w:fill="FFFFFF"/>
                    </w:rPr>
                    <w:t>可行技术</w:t>
                  </w:r>
                </w:p>
              </w:tc>
            </w:tr>
            <w:tr w14:paraId="0A57B3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9" w:type="dxa"/>
                  <w:vAlign w:val="center"/>
                </w:tcPr>
                <w:p w14:paraId="3C99634F">
                  <w:pPr>
                    <w:widowControl/>
                    <w:adjustRightInd w:val="0"/>
                    <w:snapToGrid w:val="0"/>
                    <w:jc w:val="center"/>
                    <w:rPr>
                      <w:szCs w:val="21"/>
                      <w:u w:val="single"/>
                      <w:shd w:val="clear" w:color="auto" w:fill="FFFFFF"/>
                    </w:rPr>
                  </w:pPr>
                  <w:r>
                    <w:rPr>
                      <w:rFonts w:hint="eastAsia"/>
                      <w:szCs w:val="21"/>
                      <w:u w:val="single"/>
                      <w:shd w:val="clear" w:color="auto" w:fill="FFFFFF"/>
                    </w:rPr>
                    <w:t>医疗废水</w:t>
                  </w:r>
                </w:p>
              </w:tc>
              <w:tc>
                <w:tcPr>
                  <w:tcW w:w="3173" w:type="dxa"/>
                  <w:vAlign w:val="center"/>
                </w:tcPr>
                <w:p w14:paraId="63839F12">
                  <w:pPr>
                    <w:widowControl/>
                    <w:adjustRightInd w:val="0"/>
                    <w:snapToGrid w:val="0"/>
                    <w:jc w:val="center"/>
                    <w:rPr>
                      <w:szCs w:val="21"/>
                      <w:u w:val="single"/>
                      <w:shd w:val="clear" w:color="auto" w:fill="FFFFFF"/>
                    </w:rPr>
                  </w:pPr>
                  <w:r>
                    <w:rPr>
                      <w:rFonts w:hint="eastAsia"/>
                      <w:szCs w:val="21"/>
                      <w:u w:val="single"/>
                      <w:shd w:val="clear" w:color="auto" w:fill="FFFFFF"/>
                    </w:rPr>
                    <w:t>粪大肠菌群数、肠道致病菌、肠道病毒、化学需氧量、氨氮、pH值、悬浮物、五日生化需氧量、动植物油、石油类、阴离子表面活性剂、挥发酚、色度、总氰化物、总余氯</w:t>
                  </w:r>
                </w:p>
              </w:tc>
              <w:tc>
                <w:tcPr>
                  <w:tcW w:w="1310" w:type="dxa"/>
                  <w:vAlign w:val="center"/>
                </w:tcPr>
                <w:p w14:paraId="4B7A596B">
                  <w:pPr>
                    <w:widowControl/>
                    <w:adjustRightInd w:val="0"/>
                    <w:snapToGrid w:val="0"/>
                    <w:jc w:val="center"/>
                    <w:rPr>
                      <w:szCs w:val="21"/>
                      <w:u w:val="single"/>
                      <w:shd w:val="clear" w:color="auto" w:fill="FFFFFF"/>
                    </w:rPr>
                  </w:pPr>
                  <w:r>
                    <w:rPr>
                      <w:rFonts w:hint="eastAsia"/>
                      <w:szCs w:val="21"/>
                      <w:u w:val="single"/>
                      <w:shd w:val="clear" w:color="auto" w:fill="FFFFFF"/>
                    </w:rPr>
                    <w:t>排入城镇污水处理厂</w:t>
                  </w:r>
                </w:p>
              </w:tc>
              <w:tc>
                <w:tcPr>
                  <w:tcW w:w="2683" w:type="dxa"/>
                  <w:vAlign w:val="center"/>
                </w:tcPr>
                <w:p w14:paraId="2FC53C95">
                  <w:pPr>
                    <w:widowControl/>
                    <w:adjustRightInd w:val="0"/>
                    <w:snapToGrid w:val="0"/>
                    <w:rPr>
                      <w:szCs w:val="21"/>
                      <w:u w:val="single"/>
                      <w:shd w:val="clear" w:color="auto" w:fill="FFFFFF"/>
                    </w:rPr>
                  </w:pPr>
                  <w:r>
                    <w:rPr>
                      <w:rFonts w:hint="eastAsia"/>
                      <w:szCs w:val="21"/>
                      <w:u w:val="single"/>
                      <w:shd w:val="clear" w:color="auto" w:fill="FFFFFF"/>
                    </w:rPr>
                    <w:t>一级处理/一级强化处理+消毒工艺。</w:t>
                  </w:r>
                </w:p>
                <w:p w14:paraId="3CB1EA62">
                  <w:pPr>
                    <w:widowControl/>
                    <w:adjustRightInd w:val="0"/>
                    <w:snapToGrid w:val="0"/>
                    <w:rPr>
                      <w:szCs w:val="21"/>
                      <w:u w:val="single"/>
                      <w:shd w:val="clear" w:color="auto" w:fill="FFFFFF"/>
                    </w:rPr>
                  </w:pPr>
                  <w:r>
                    <w:rPr>
                      <w:rFonts w:hint="eastAsia"/>
                      <w:szCs w:val="21"/>
                      <w:u w:val="single"/>
                      <w:shd w:val="clear" w:color="auto" w:fill="FFFFFF"/>
                    </w:rPr>
                    <w:t>一级处理包括：筛滤法；沉淀法；气浮法；预曝气法。</w:t>
                  </w:r>
                </w:p>
                <w:p w14:paraId="10798BAB">
                  <w:pPr>
                    <w:widowControl/>
                    <w:adjustRightInd w:val="0"/>
                    <w:snapToGrid w:val="0"/>
                    <w:rPr>
                      <w:szCs w:val="21"/>
                      <w:u w:val="single"/>
                      <w:shd w:val="clear" w:color="auto" w:fill="FFFFFF"/>
                    </w:rPr>
                  </w:pPr>
                  <w:r>
                    <w:rPr>
                      <w:rFonts w:hint="eastAsia"/>
                      <w:szCs w:val="21"/>
                      <w:u w:val="single"/>
                      <w:shd w:val="clear" w:color="auto" w:fill="FFFFFF"/>
                    </w:rPr>
                    <w:t>一级强化处理包括：化学混凝处理、机械过滤或不完全生物处理。</w:t>
                  </w:r>
                </w:p>
                <w:p w14:paraId="21EFDF56">
                  <w:pPr>
                    <w:widowControl/>
                    <w:adjustRightInd w:val="0"/>
                    <w:snapToGrid w:val="0"/>
                    <w:rPr>
                      <w:szCs w:val="21"/>
                      <w:u w:val="single"/>
                      <w:shd w:val="clear" w:color="auto" w:fill="FFFFFF"/>
                    </w:rPr>
                  </w:pPr>
                  <w:r>
                    <w:rPr>
                      <w:rFonts w:hint="eastAsia"/>
                      <w:szCs w:val="21"/>
                      <w:u w:val="single"/>
                      <w:shd w:val="clear" w:color="auto" w:fill="FFFFFF"/>
                    </w:rPr>
                    <w:t>消毒工艺：加氯消毒，臭氧法消毒，次氯酸钠法、二氧化氯法消毒、紫外线消毒等。</w:t>
                  </w:r>
                </w:p>
              </w:tc>
            </w:tr>
            <w:tr w14:paraId="689F83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69" w:type="dxa"/>
                  <w:vAlign w:val="center"/>
                </w:tcPr>
                <w:p w14:paraId="61852D6A">
                  <w:pPr>
                    <w:widowControl/>
                    <w:adjustRightInd w:val="0"/>
                    <w:snapToGrid w:val="0"/>
                    <w:jc w:val="center"/>
                    <w:rPr>
                      <w:szCs w:val="21"/>
                      <w:u w:val="single"/>
                      <w:shd w:val="clear" w:color="auto" w:fill="FFFFFF"/>
                    </w:rPr>
                  </w:pPr>
                  <w:r>
                    <w:rPr>
                      <w:rFonts w:hint="eastAsia"/>
                      <w:szCs w:val="21"/>
                      <w:u w:val="single"/>
                      <w:shd w:val="clear" w:color="auto" w:fill="FFFFFF"/>
                    </w:rPr>
                    <w:t>生活污水</w:t>
                  </w:r>
                </w:p>
              </w:tc>
              <w:tc>
                <w:tcPr>
                  <w:tcW w:w="3173" w:type="dxa"/>
                  <w:vAlign w:val="center"/>
                </w:tcPr>
                <w:p w14:paraId="4D2C230F">
                  <w:pPr>
                    <w:widowControl/>
                    <w:adjustRightInd w:val="0"/>
                    <w:snapToGrid w:val="0"/>
                    <w:jc w:val="center"/>
                    <w:rPr>
                      <w:szCs w:val="21"/>
                      <w:u w:val="single"/>
                      <w:shd w:val="clear" w:color="auto" w:fill="FFFFFF"/>
                    </w:rPr>
                  </w:pPr>
                  <w:r>
                    <w:rPr>
                      <w:rFonts w:hint="eastAsia"/>
                      <w:szCs w:val="21"/>
                      <w:u w:val="single"/>
                      <w:shd w:val="clear" w:color="auto" w:fill="FFFFFF"/>
                    </w:rPr>
                    <w:t>pH值、化学需氧量、五日生化需氧量、悬浮物、氨氮、动植物油</w:t>
                  </w:r>
                </w:p>
              </w:tc>
              <w:tc>
                <w:tcPr>
                  <w:tcW w:w="1310" w:type="dxa"/>
                  <w:vAlign w:val="center"/>
                </w:tcPr>
                <w:p w14:paraId="3149D157">
                  <w:pPr>
                    <w:widowControl/>
                    <w:adjustRightInd w:val="0"/>
                    <w:snapToGrid w:val="0"/>
                    <w:jc w:val="center"/>
                    <w:rPr>
                      <w:szCs w:val="21"/>
                      <w:u w:val="single"/>
                      <w:shd w:val="clear" w:color="auto" w:fill="FFFFFF"/>
                    </w:rPr>
                  </w:pPr>
                  <w:r>
                    <w:rPr>
                      <w:rFonts w:hint="eastAsia"/>
                      <w:szCs w:val="21"/>
                      <w:u w:val="single"/>
                      <w:shd w:val="clear" w:color="auto" w:fill="FFFFFF"/>
                    </w:rPr>
                    <w:t>排入城镇污水处理厂</w:t>
                  </w:r>
                </w:p>
              </w:tc>
              <w:tc>
                <w:tcPr>
                  <w:tcW w:w="2683" w:type="dxa"/>
                  <w:vAlign w:val="center"/>
                </w:tcPr>
                <w:p w14:paraId="77F0B6BE">
                  <w:pPr>
                    <w:widowControl/>
                    <w:adjustRightInd w:val="0"/>
                    <w:snapToGrid w:val="0"/>
                    <w:jc w:val="center"/>
                    <w:rPr>
                      <w:szCs w:val="21"/>
                      <w:u w:val="single"/>
                      <w:shd w:val="clear" w:color="auto" w:fill="FFFFFF"/>
                    </w:rPr>
                  </w:pPr>
                  <w:r>
                    <w:rPr>
                      <w:rFonts w:hint="eastAsia"/>
                      <w:szCs w:val="21"/>
                      <w:u w:val="single"/>
                      <w:shd w:val="clear" w:color="auto" w:fill="FFFFFF"/>
                    </w:rPr>
                    <w:t>/</w:t>
                  </w:r>
                </w:p>
              </w:tc>
            </w:tr>
          </w:tbl>
          <w:p w14:paraId="442902A5">
            <w:pPr>
              <w:widowControl/>
              <w:shd w:val="clear" w:color="auto" w:fill="FFFFFF"/>
              <w:adjustRightInd w:val="0"/>
              <w:snapToGrid w:val="0"/>
              <w:spacing w:line="360" w:lineRule="auto"/>
              <w:ind w:firstLine="480" w:firstLineChars="200"/>
              <w:rPr>
                <w:rFonts w:hint="eastAsia"/>
                <w:b/>
                <w:bCs/>
                <w:sz w:val="24"/>
                <w:u w:val="single"/>
                <w:shd w:val="clear" w:color="auto" w:fill="FFFFFF"/>
              </w:rPr>
            </w:pPr>
            <w:r>
              <w:rPr>
                <w:rFonts w:ascii="宋体" w:hAnsi="宋体" w:eastAsia="宋体" w:cs="宋体"/>
                <w:sz w:val="24"/>
                <w:szCs w:val="24"/>
                <w:u w:val="single"/>
              </w:rPr>
              <w:t>本项目废水处理工艺符合现行规范要求，处理规模匹配排水需求，治理技术成熟可靠，配套风险防控设施齐全，能够保障废水稳定预处理达标后纳管，废水治理方案技术可行。</w:t>
            </w:r>
          </w:p>
          <w:p w14:paraId="4A827FF5">
            <w:pPr>
              <w:widowControl/>
              <w:shd w:val="clear" w:color="auto" w:fill="FFFFFF"/>
              <w:adjustRightInd w:val="0"/>
              <w:snapToGrid w:val="0"/>
              <w:spacing w:line="360" w:lineRule="auto"/>
              <w:ind w:firstLine="482" w:firstLineChars="200"/>
              <w:rPr>
                <w:b/>
                <w:bCs/>
                <w:sz w:val="24"/>
                <w:u w:val="none"/>
                <w:shd w:val="clear" w:color="auto" w:fill="FFFFFF"/>
              </w:rPr>
            </w:pPr>
            <w:r>
              <w:rPr>
                <w:rFonts w:hint="eastAsia"/>
                <w:b/>
                <w:bCs/>
                <w:sz w:val="24"/>
                <w:u w:val="none"/>
                <w:shd w:val="clear" w:color="auto" w:fill="FFFFFF"/>
              </w:rPr>
              <w:t>废水消毒工艺</w:t>
            </w:r>
          </w:p>
          <w:p w14:paraId="0B73C827">
            <w:pPr>
              <w:spacing w:line="360" w:lineRule="auto"/>
              <w:ind w:firstLine="480" w:firstLineChars="200"/>
              <w:rPr>
                <w:bCs/>
                <w:sz w:val="24"/>
                <w:u w:val="none"/>
              </w:rPr>
            </w:pPr>
            <w:r>
              <w:rPr>
                <w:sz w:val="24"/>
                <w:u w:val="none"/>
                <w:shd w:val="clear" w:color="auto" w:fill="FFFFFF"/>
              </w:rPr>
              <w:t>医</w:t>
            </w:r>
            <w:r>
              <w:rPr>
                <w:rFonts w:hint="eastAsia"/>
                <w:sz w:val="24"/>
                <w:u w:val="none"/>
                <w:shd w:val="clear" w:color="auto" w:fill="FFFFFF"/>
                <w:lang w:val="en-US" w:eastAsia="zh-CN"/>
              </w:rPr>
              <w:t>疗</w:t>
            </w:r>
            <w:r>
              <w:rPr>
                <w:sz w:val="24"/>
                <w:u w:val="none"/>
                <w:shd w:val="clear" w:color="auto" w:fill="FFFFFF"/>
              </w:rPr>
              <w:t>污水消毒是污水处理的重要工艺过程，其目的是杀灭污水中的各种致病菌。</w:t>
            </w:r>
            <w:r>
              <w:rPr>
                <w:rFonts w:hint="eastAsia"/>
                <w:bCs/>
                <w:sz w:val="24"/>
                <w:u w:val="none"/>
              </w:rPr>
              <w:t>活性氧消毒粉进行消毒，主要为云氧，云氧消毒剂本质是活性氧类复合消毒剂的商品名，核心成分以单过硫酸氢钾复合盐为主，部分产品会复配过氧化氢、催化剂或稳定剂，其作用是通过释放活性氧基团与自由基，实现废水的杀菌消毒、有机物降解与水质净化。</w:t>
            </w:r>
          </w:p>
          <w:p w14:paraId="73D23417">
            <w:pPr>
              <w:spacing w:line="360" w:lineRule="auto"/>
              <w:ind w:firstLine="480" w:firstLineChars="200"/>
              <w:rPr>
                <w:bCs/>
                <w:sz w:val="24"/>
                <w:u w:val="none"/>
              </w:rPr>
            </w:pPr>
            <w:r>
              <w:rPr>
                <w:rFonts w:hint="eastAsia"/>
                <w:bCs/>
                <w:sz w:val="24"/>
                <w:u w:val="none"/>
              </w:rPr>
              <w:t>直接杀菌消毒：消毒剂溶于水后快速分解，释放单线态氧（</w:t>
            </w:r>
            <w:r>
              <w:rPr>
                <w:bCs/>
                <w:sz w:val="24"/>
                <w:u w:val="none"/>
              </w:rPr>
              <w:t>¹O₂</w:t>
            </w:r>
            <w:r>
              <w:rPr>
                <w:rFonts w:hint="eastAsia"/>
                <w:bCs/>
                <w:sz w:val="24"/>
                <w:u w:val="none"/>
              </w:rPr>
              <w:t>）、超氧阴离子（</w:t>
            </w:r>
            <w:r>
              <w:rPr>
                <w:bCs/>
                <w:sz w:val="24"/>
                <w:u w:val="none"/>
              </w:rPr>
              <w:t>O₂⁻</w:t>
            </w:r>
            <w:r>
              <w:rPr>
                <w:rFonts w:hint="eastAsia"/>
                <w:bCs/>
                <w:sz w:val="24"/>
                <w:u w:val="none"/>
              </w:rPr>
              <w:t>）等活性氧组分，穿透细菌、病毒、寄生虫卵的细胞膜，破坏其核酸（DNA/RNA）和酶系统，抑制微生物代谢与繁殖，最终使其失活。对医疗废水常见的粪大肠菌群杀灭率≥99.99%，对病毒（如包膜病毒）、芽孢也有良好灭活效果。</w:t>
            </w:r>
          </w:p>
          <w:p w14:paraId="622551D6">
            <w:pPr>
              <w:spacing w:line="360" w:lineRule="auto"/>
              <w:ind w:firstLine="480" w:firstLineChars="200"/>
              <w:rPr>
                <w:bCs/>
                <w:sz w:val="24"/>
                <w:u w:val="none"/>
              </w:rPr>
            </w:pPr>
            <w:r>
              <w:rPr>
                <w:rFonts w:hint="eastAsia"/>
                <w:bCs/>
                <w:sz w:val="24"/>
                <w:u w:val="none"/>
              </w:rPr>
              <w:t>辅助降解有机物：若消毒剂中添加催化剂（如</w:t>
            </w:r>
            <w:r>
              <w:rPr>
                <w:bCs/>
                <w:sz w:val="24"/>
                <w:u w:val="none"/>
              </w:rPr>
              <w:t>Fe²⁺、MnO₂</w:t>
            </w:r>
            <w:r>
              <w:rPr>
                <w:rFonts w:hint="eastAsia"/>
                <w:bCs/>
                <w:sz w:val="24"/>
                <w:u w:val="none"/>
              </w:rPr>
              <w:t>），可进一步触发产生活性极强的羟基自由基（</w:t>
            </w:r>
            <w:r>
              <w:rPr>
                <w:bCs/>
                <w:sz w:val="24"/>
                <w:u w:val="none"/>
              </w:rPr>
              <w:t>・OH</w:t>
            </w:r>
            <w:r>
              <w:rPr>
                <w:rFonts w:hint="eastAsia"/>
                <w:bCs/>
                <w:sz w:val="24"/>
                <w:u w:val="none"/>
              </w:rPr>
              <w:t>），无选择性分解废水中的难降解有机物（如抗生素、洗涤剂、色素），降低COD、色度，提升出水水质。</w:t>
            </w:r>
          </w:p>
          <w:p w14:paraId="4CC165C5">
            <w:pPr>
              <w:pStyle w:val="24"/>
              <w:ind w:firstLine="480"/>
              <w:rPr>
                <w:u w:val="none"/>
              </w:rPr>
            </w:pPr>
            <w:r>
              <w:rPr>
                <w:rFonts w:hint="eastAsia"/>
                <w:u w:val="none"/>
              </w:rPr>
              <w:t>无二次污染优势：分解产物为水、氧气、硫酸盐，无氯代有机物（如三氯甲烷）残留，避免传统含氯消毒剂对水体的二次污染，也不会抑制后续生化系统的微生物活性。</w:t>
            </w:r>
          </w:p>
          <w:p w14:paraId="326A070A">
            <w:pPr>
              <w:spacing w:line="360" w:lineRule="auto"/>
              <w:ind w:firstLine="480" w:firstLineChars="200"/>
              <w:rPr>
                <w:bCs/>
                <w:sz w:val="24"/>
                <w:u w:val="none"/>
              </w:rPr>
            </w:pPr>
            <w:r>
              <w:rPr>
                <w:rFonts w:hint="eastAsia"/>
                <w:bCs/>
                <w:sz w:val="24"/>
                <w:u w:val="none"/>
              </w:rPr>
              <w:t>项目污水处理站所选用的活性氧消毒剂工艺为国内成熟的废水处理工艺，整个工艺流程可有效</w:t>
            </w:r>
            <w:r>
              <w:rPr>
                <w:rFonts w:hint="eastAsia"/>
                <w:bCs/>
                <w:sz w:val="24"/>
                <w:u w:val="none"/>
                <w:lang w:eastAsia="zh-CN"/>
              </w:rPr>
              <w:t>地</w:t>
            </w:r>
            <w:r>
              <w:rPr>
                <w:rFonts w:hint="eastAsia"/>
                <w:bCs/>
                <w:sz w:val="24"/>
                <w:u w:val="none"/>
              </w:rPr>
              <w:t>削减废水中的COD、BOD</w:t>
            </w:r>
            <w:r>
              <w:rPr>
                <w:rFonts w:hint="eastAsia"/>
                <w:bCs/>
                <w:sz w:val="24"/>
                <w:u w:val="none"/>
                <w:vertAlign w:val="subscript"/>
              </w:rPr>
              <w:t>5</w:t>
            </w:r>
            <w:r>
              <w:rPr>
                <w:rFonts w:hint="eastAsia"/>
                <w:bCs/>
                <w:sz w:val="24"/>
                <w:u w:val="none"/>
              </w:rPr>
              <w:t>、SS、氨氮和粪大肠菌群等主要污染物，使项目产生的污水实现达标排放，对</w:t>
            </w:r>
            <w:r>
              <w:rPr>
                <w:rFonts w:hint="eastAsia"/>
                <w:sz w:val="24"/>
                <w:u w:val="none"/>
                <w:lang w:val="en-US" w:eastAsia="zh-CN"/>
              </w:rPr>
              <w:t>安化县</w:t>
            </w:r>
            <w:r>
              <w:rPr>
                <w:rFonts w:hint="eastAsia"/>
                <w:sz w:val="24"/>
                <w:u w:val="none"/>
              </w:rPr>
              <w:t>污水处理厂</w:t>
            </w:r>
            <w:r>
              <w:rPr>
                <w:rFonts w:hint="eastAsia"/>
                <w:bCs/>
                <w:sz w:val="24"/>
                <w:u w:val="none"/>
              </w:rPr>
              <w:t>影响较小。</w:t>
            </w:r>
          </w:p>
          <w:p w14:paraId="289CE79F">
            <w:pPr>
              <w:widowControl/>
              <w:shd w:val="clear" w:color="auto" w:fill="FFFFFF"/>
              <w:adjustRightInd w:val="0"/>
              <w:snapToGrid w:val="0"/>
              <w:spacing w:line="360" w:lineRule="auto"/>
              <w:ind w:firstLine="482" w:firstLineChars="200"/>
              <w:rPr>
                <w:b/>
                <w:bCs/>
                <w:sz w:val="24"/>
                <w:u w:val="none"/>
                <w:shd w:val="clear" w:color="auto" w:fill="FFFFFF"/>
              </w:rPr>
            </w:pPr>
            <w:r>
              <w:rPr>
                <w:rFonts w:hint="eastAsia"/>
                <w:b/>
                <w:bCs/>
                <w:sz w:val="24"/>
                <w:u w:val="none"/>
                <w:shd w:val="clear" w:color="auto" w:fill="FFFFFF"/>
              </w:rPr>
              <w:t>污泥消毒工艺</w:t>
            </w:r>
          </w:p>
          <w:p w14:paraId="266E8233">
            <w:pPr>
              <w:widowControl/>
              <w:shd w:val="clear" w:color="auto" w:fill="FFFFFF"/>
              <w:adjustRightInd w:val="0"/>
              <w:snapToGrid w:val="0"/>
              <w:spacing w:line="360" w:lineRule="auto"/>
              <w:ind w:firstLine="480" w:firstLineChars="200"/>
              <w:rPr>
                <w:sz w:val="24"/>
                <w:u w:val="none"/>
                <w:shd w:val="clear" w:color="auto" w:fill="FFFFFF"/>
              </w:rPr>
            </w:pPr>
            <w:r>
              <w:rPr>
                <w:sz w:val="24"/>
                <w:u w:val="none"/>
                <w:shd w:val="clear" w:color="auto" w:fill="FFFFFF"/>
              </w:rPr>
              <w:t>本项目污水处理站污泥、格栅渣中含有大量致病菌和微生物，根据</w:t>
            </w:r>
            <w:r>
              <w:rPr>
                <w:rFonts w:hint="eastAsia"/>
                <w:bCs/>
                <w:color w:val="000000"/>
                <w:sz w:val="24"/>
                <w:szCs w:val="24"/>
                <w:u w:val="none"/>
              </w:rPr>
              <w:t>《医院污水处理工程技术规范》</w:t>
            </w:r>
            <w:r>
              <w:rPr>
                <w:rFonts w:hint="eastAsia" w:ascii="宋体" w:hAnsi="宋体" w:cs="宋体"/>
                <w:bCs/>
                <w:color w:val="000000"/>
                <w:sz w:val="24"/>
                <w:szCs w:val="24"/>
                <w:u w:val="none"/>
              </w:rPr>
              <w:t>(</w:t>
            </w:r>
            <w:r>
              <w:rPr>
                <w:rFonts w:hint="eastAsia"/>
                <w:bCs/>
                <w:color w:val="000000"/>
                <w:sz w:val="24"/>
                <w:szCs w:val="24"/>
                <w:u w:val="none"/>
              </w:rPr>
              <w:t>HJ2029-2013</w:t>
            </w:r>
            <w:r>
              <w:rPr>
                <w:rFonts w:hint="eastAsia" w:ascii="宋体" w:hAnsi="宋体" w:cs="宋体"/>
                <w:bCs/>
                <w:color w:val="000000"/>
                <w:sz w:val="24"/>
                <w:szCs w:val="24"/>
                <w:u w:val="none"/>
              </w:rPr>
              <w:t>)</w:t>
            </w:r>
            <w:r>
              <w:rPr>
                <w:rFonts w:hint="eastAsia" w:ascii="宋体" w:hAnsi="宋体" w:cs="宋体"/>
                <w:sz w:val="24"/>
                <w:u w:val="none"/>
                <w:shd w:val="clear" w:color="auto" w:fill="FFFFFF"/>
              </w:rPr>
              <w:t>相</w:t>
            </w:r>
            <w:r>
              <w:rPr>
                <w:sz w:val="24"/>
                <w:u w:val="none"/>
                <w:shd w:val="clear" w:color="auto" w:fill="FFFFFF"/>
              </w:rPr>
              <w:t>关要求</w:t>
            </w:r>
            <w:r>
              <w:rPr>
                <w:rFonts w:hint="eastAsia"/>
                <w:sz w:val="24"/>
                <w:u w:val="none"/>
                <w:shd w:val="clear" w:color="auto" w:fill="FFFFFF"/>
              </w:rPr>
              <w:t>：“</w:t>
            </w:r>
            <w:r>
              <w:rPr>
                <w:sz w:val="24"/>
                <w:u w:val="none"/>
                <w:shd w:val="clear" w:color="auto" w:fill="FFFFFF"/>
              </w:rPr>
              <w:t>污泥消毒一般采用化学消毒方式，常用的消毒药剂为</w:t>
            </w:r>
            <w:r>
              <w:rPr>
                <w:rFonts w:hint="eastAsia"/>
                <w:sz w:val="24"/>
                <w:u w:val="none"/>
                <w:shd w:val="clear" w:color="auto" w:fill="FFFFFF"/>
              </w:rPr>
              <w:t>石灰和</w:t>
            </w:r>
            <w:r>
              <w:rPr>
                <w:sz w:val="24"/>
                <w:u w:val="none"/>
                <w:shd w:val="clear" w:color="auto" w:fill="FFFFFF"/>
              </w:rPr>
              <w:t>漂白粉。采用石灰消毒，石灰投量约为15g/L污泥，使pH为11~12，搅拌均匀接触30~60min，并存放7天以上。采用漂白粉消毒，漂白粉投加量约为泥量的10~15%。条件允许，可采用紫外线辐照消毒。</w:t>
            </w:r>
            <w:r>
              <w:rPr>
                <w:rFonts w:hint="eastAsia"/>
                <w:sz w:val="24"/>
                <w:u w:val="none"/>
                <w:shd w:val="clear" w:color="auto" w:fill="FFFFFF"/>
              </w:rPr>
              <w:t>”</w:t>
            </w:r>
          </w:p>
          <w:p w14:paraId="7885A448">
            <w:pPr>
              <w:widowControl/>
              <w:shd w:val="clear" w:color="auto" w:fill="FFFFFF"/>
              <w:adjustRightInd w:val="0"/>
              <w:snapToGrid w:val="0"/>
              <w:spacing w:line="360" w:lineRule="auto"/>
              <w:ind w:firstLine="480" w:firstLineChars="200"/>
              <w:rPr>
                <w:sz w:val="24"/>
                <w:u w:val="single"/>
                <w:shd w:val="clear" w:color="auto" w:fill="FFFFFF"/>
              </w:rPr>
            </w:pPr>
            <w:r>
              <w:rPr>
                <w:sz w:val="24"/>
                <w:u w:val="none"/>
                <w:shd w:val="clear" w:color="auto" w:fill="FFFFFF"/>
              </w:rPr>
              <w:t>本项目污泥使用漂白粉进行消毒，符合相关规范要求。污泥、格栅渣经消毒处理后暂存于</w:t>
            </w:r>
            <w:r>
              <w:rPr>
                <w:rFonts w:hint="eastAsia"/>
                <w:sz w:val="24"/>
                <w:u w:val="none"/>
                <w:shd w:val="clear" w:color="auto" w:fill="FFFFFF"/>
              </w:rPr>
              <w:t>医疗</w:t>
            </w:r>
            <w:r>
              <w:rPr>
                <w:sz w:val="24"/>
                <w:u w:val="none"/>
                <w:shd w:val="clear" w:color="auto" w:fill="FFFFFF"/>
              </w:rPr>
              <w:t>废物暂存间，委托有资质单位进行处理。</w:t>
            </w:r>
          </w:p>
          <w:p w14:paraId="126F0ED7">
            <w:pPr>
              <w:spacing w:line="360" w:lineRule="auto"/>
              <w:ind w:firstLine="482" w:firstLineChars="200"/>
              <w:rPr>
                <w:b/>
                <w:sz w:val="24"/>
              </w:rPr>
            </w:pPr>
            <w:r>
              <w:rPr>
                <w:rFonts w:hint="eastAsia"/>
                <w:b/>
                <w:bCs/>
                <w:sz w:val="24"/>
                <w:szCs w:val="24"/>
              </w:rPr>
              <w:t>（3）营运期废水监测计划</w:t>
            </w:r>
          </w:p>
          <w:p w14:paraId="49990255">
            <w:pPr>
              <w:adjustRightInd w:val="0"/>
              <w:snapToGrid w:val="0"/>
              <w:spacing w:line="360" w:lineRule="auto"/>
              <w:ind w:firstLine="480" w:firstLineChars="200"/>
              <w:rPr>
                <w:sz w:val="24"/>
              </w:rPr>
            </w:pPr>
            <w:r>
              <w:rPr>
                <w:rFonts w:hint="eastAsia"/>
                <w:sz w:val="24"/>
              </w:rPr>
              <w:t>根据《排污许可证申请与核发技术规范医疗机构》(HJ1105-2020)等相关文件和技术规范，项目消毒使用活性氧消毒剂，不属于含氯消毒剂，无需在接触池出口和污水总排口对总余氯进行监测。项目废水监测方案具体如下。</w:t>
            </w:r>
          </w:p>
          <w:p w14:paraId="0DFB4183">
            <w:pPr>
              <w:adjustRightInd w:val="0"/>
              <w:snapToGrid w:val="0"/>
              <w:spacing w:line="360" w:lineRule="auto"/>
              <w:jc w:val="center"/>
              <w:rPr>
                <w:b/>
                <w:bCs/>
                <w:sz w:val="24"/>
              </w:rPr>
            </w:pPr>
            <w:r>
              <w:rPr>
                <w:rFonts w:hint="eastAsia"/>
                <w:b/>
                <w:bCs/>
                <w:sz w:val="24"/>
              </w:rPr>
              <w:t>表4-</w:t>
            </w:r>
            <w:r>
              <w:rPr>
                <w:rFonts w:hint="eastAsia"/>
                <w:b/>
                <w:bCs/>
                <w:sz w:val="24"/>
                <w:lang w:val="en-US" w:eastAsia="zh-CN"/>
              </w:rPr>
              <w:t>13</w:t>
            </w:r>
            <w:r>
              <w:rPr>
                <w:rFonts w:hint="eastAsia"/>
                <w:b/>
                <w:bCs/>
                <w:sz w:val="24"/>
              </w:rPr>
              <w:t xml:space="preserve">  项目废水监测信息一览表</w:t>
            </w:r>
          </w:p>
          <w:tbl>
            <w:tblPr>
              <w:tblStyle w:val="48"/>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661"/>
              <w:gridCol w:w="3553"/>
              <w:gridCol w:w="1956"/>
            </w:tblGrid>
            <w:tr w14:paraId="66D295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Align w:val="center"/>
                </w:tcPr>
                <w:p w14:paraId="7B0CEEC4">
                  <w:pPr>
                    <w:adjustRightInd w:val="0"/>
                    <w:snapToGrid w:val="0"/>
                    <w:jc w:val="center"/>
                    <w:rPr>
                      <w:b/>
                      <w:bCs/>
                      <w:szCs w:val="21"/>
                    </w:rPr>
                  </w:pPr>
                  <w:r>
                    <w:rPr>
                      <w:rFonts w:hint="eastAsia"/>
                      <w:b/>
                      <w:bCs/>
                      <w:szCs w:val="21"/>
                    </w:rPr>
                    <w:t>类别</w:t>
                  </w:r>
                </w:p>
              </w:tc>
              <w:tc>
                <w:tcPr>
                  <w:tcW w:w="1718" w:type="dxa"/>
                  <w:vAlign w:val="center"/>
                </w:tcPr>
                <w:p w14:paraId="3A30CD8A">
                  <w:pPr>
                    <w:adjustRightInd w:val="0"/>
                    <w:snapToGrid w:val="0"/>
                    <w:jc w:val="center"/>
                    <w:rPr>
                      <w:b/>
                      <w:bCs/>
                      <w:szCs w:val="21"/>
                    </w:rPr>
                  </w:pPr>
                  <w:r>
                    <w:rPr>
                      <w:rFonts w:hint="eastAsia"/>
                      <w:b/>
                      <w:bCs/>
                      <w:szCs w:val="21"/>
                    </w:rPr>
                    <w:t>监测点位</w:t>
                  </w:r>
                </w:p>
              </w:tc>
              <w:tc>
                <w:tcPr>
                  <w:tcW w:w="3685" w:type="dxa"/>
                  <w:vAlign w:val="center"/>
                </w:tcPr>
                <w:p w14:paraId="7D49F62E">
                  <w:pPr>
                    <w:adjustRightInd w:val="0"/>
                    <w:snapToGrid w:val="0"/>
                    <w:jc w:val="center"/>
                    <w:rPr>
                      <w:b/>
                      <w:bCs/>
                      <w:szCs w:val="21"/>
                    </w:rPr>
                  </w:pPr>
                  <w:r>
                    <w:rPr>
                      <w:rFonts w:hint="eastAsia"/>
                      <w:b/>
                      <w:bCs/>
                      <w:szCs w:val="21"/>
                    </w:rPr>
                    <w:t>监测指标</w:t>
                  </w:r>
                  <w:r>
                    <w:rPr>
                      <w:rFonts w:hint="eastAsia"/>
                      <w:b/>
                      <w:bCs/>
                      <w:szCs w:val="21"/>
                      <w:vertAlign w:val="superscript"/>
                    </w:rPr>
                    <w:t>a</w:t>
                  </w:r>
                </w:p>
              </w:tc>
              <w:tc>
                <w:tcPr>
                  <w:tcW w:w="2025" w:type="dxa"/>
                  <w:vAlign w:val="center"/>
                </w:tcPr>
                <w:p w14:paraId="197634C1">
                  <w:pPr>
                    <w:adjustRightInd w:val="0"/>
                    <w:snapToGrid w:val="0"/>
                    <w:jc w:val="center"/>
                    <w:rPr>
                      <w:b/>
                      <w:bCs/>
                      <w:szCs w:val="21"/>
                    </w:rPr>
                  </w:pPr>
                  <w:r>
                    <w:rPr>
                      <w:rFonts w:hint="eastAsia"/>
                      <w:b/>
                      <w:bCs/>
                      <w:szCs w:val="21"/>
                    </w:rPr>
                    <w:t>监测频次</w:t>
                  </w:r>
                </w:p>
              </w:tc>
            </w:tr>
            <w:tr w14:paraId="2CCA5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restart"/>
                  <w:vAlign w:val="center"/>
                </w:tcPr>
                <w:p w14:paraId="37B56B02">
                  <w:pPr>
                    <w:adjustRightInd w:val="0"/>
                    <w:snapToGrid w:val="0"/>
                    <w:jc w:val="center"/>
                    <w:rPr>
                      <w:szCs w:val="21"/>
                    </w:rPr>
                  </w:pPr>
                  <w:r>
                    <w:rPr>
                      <w:rFonts w:hint="eastAsia"/>
                      <w:szCs w:val="21"/>
                    </w:rPr>
                    <w:t>废水</w:t>
                  </w:r>
                </w:p>
              </w:tc>
              <w:tc>
                <w:tcPr>
                  <w:tcW w:w="1718" w:type="dxa"/>
                  <w:vMerge w:val="restart"/>
                  <w:vAlign w:val="center"/>
                </w:tcPr>
                <w:p w14:paraId="45D6F7A1">
                  <w:pPr>
                    <w:adjustRightInd w:val="0"/>
                    <w:snapToGrid w:val="0"/>
                    <w:jc w:val="center"/>
                    <w:rPr>
                      <w:szCs w:val="21"/>
                    </w:rPr>
                  </w:pPr>
                  <w:r>
                    <w:rPr>
                      <w:rFonts w:hint="eastAsia"/>
                      <w:szCs w:val="21"/>
                    </w:rPr>
                    <w:t>污水总排口</w:t>
                  </w:r>
                </w:p>
              </w:tc>
              <w:tc>
                <w:tcPr>
                  <w:tcW w:w="3685" w:type="dxa"/>
                  <w:vAlign w:val="center"/>
                </w:tcPr>
                <w:p w14:paraId="62E6B567">
                  <w:pPr>
                    <w:adjustRightInd w:val="0"/>
                    <w:snapToGrid w:val="0"/>
                    <w:jc w:val="center"/>
                    <w:rPr>
                      <w:szCs w:val="21"/>
                    </w:rPr>
                  </w:pPr>
                  <w:r>
                    <w:rPr>
                      <w:rFonts w:hint="eastAsia"/>
                      <w:szCs w:val="21"/>
                    </w:rPr>
                    <w:t>流量</w:t>
                  </w:r>
                </w:p>
              </w:tc>
              <w:tc>
                <w:tcPr>
                  <w:tcW w:w="2025" w:type="dxa"/>
                  <w:vAlign w:val="center"/>
                </w:tcPr>
                <w:p w14:paraId="47CA090F">
                  <w:pPr>
                    <w:adjustRightInd w:val="0"/>
                    <w:snapToGrid w:val="0"/>
                    <w:jc w:val="center"/>
                    <w:rPr>
                      <w:szCs w:val="21"/>
                    </w:rPr>
                  </w:pPr>
                  <w:r>
                    <w:rPr>
                      <w:rFonts w:hint="eastAsia"/>
                      <w:szCs w:val="21"/>
                    </w:rPr>
                    <w:t>自动监测</w:t>
                  </w:r>
                </w:p>
              </w:tc>
            </w:tr>
            <w:tr w14:paraId="11E48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continue"/>
                  <w:vAlign w:val="center"/>
                </w:tcPr>
                <w:p w14:paraId="69E0B671">
                  <w:pPr>
                    <w:adjustRightInd w:val="0"/>
                    <w:snapToGrid w:val="0"/>
                    <w:jc w:val="center"/>
                    <w:rPr>
                      <w:szCs w:val="21"/>
                    </w:rPr>
                  </w:pPr>
                </w:p>
              </w:tc>
              <w:tc>
                <w:tcPr>
                  <w:tcW w:w="1718" w:type="dxa"/>
                  <w:vMerge w:val="continue"/>
                  <w:vAlign w:val="center"/>
                </w:tcPr>
                <w:p w14:paraId="6CC3FBA4">
                  <w:pPr>
                    <w:adjustRightInd w:val="0"/>
                    <w:snapToGrid w:val="0"/>
                    <w:jc w:val="center"/>
                    <w:rPr>
                      <w:szCs w:val="21"/>
                    </w:rPr>
                  </w:pPr>
                </w:p>
              </w:tc>
              <w:tc>
                <w:tcPr>
                  <w:tcW w:w="3685" w:type="dxa"/>
                  <w:vAlign w:val="center"/>
                </w:tcPr>
                <w:p w14:paraId="3599C6AD">
                  <w:pPr>
                    <w:adjustRightInd w:val="0"/>
                    <w:snapToGrid w:val="0"/>
                    <w:jc w:val="center"/>
                    <w:rPr>
                      <w:szCs w:val="21"/>
                    </w:rPr>
                  </w:pPr>
                  <w:r>
                    <w:rPr>
                      <w:rFonts w:hint="eastAsia"/>
                      <w:szCs w:val="21"/>
                    </w:rPr>
                    <w:t>pH值</w:t>
                  </w:r>
                </w:p>
              </w:tc>
              <w:tc>
                <w:tcPr>
                  <w:tcW w:w="2025" w:type="dxa"/>
                  <w:vAlign w:val="center"/>
                </w:tcPr>
                <w:p w14:paraId="6767BDAD">
                  <w:pPr>
                    <w:adjustRightInd w:val="0"/>
                    <w:snapToGrid w:val="0"/>
                    <w:jc w:val="center"/>
                    <w:rPr>
                      <w:szCs w:val="21"/>
                    </w:rPr>
                  </w:pPr>
                  <w:r>
                    <w:rPr>
                      <w:rFonts w:hint="eastAsia"/>
                      <w:szCs w:val="21"/>
                    </w:rPr>
                    <w:t>12小时</w:t>
                  </w:r>
                </w:p>
              </w:tc>
            </w:tr>
            <w:tr w14:paraId="58ECBF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continue"/>
                  <w:vAlign w:val="center"/>
                </w:tcPr>
                <w:p w14:paraId="06F8FDF2">
                  <w:pPr>
                    <w:adjustRightInd w:val="0"/>
                    <w:snapToGrid w:val="0"/>
                    <w:jc w:val="center"/>
                    <w:rPr>
                      <w:szCs w:val="21"/>
                    </w:rPr>
                  </w:pPr>
                </w:p>
              </w:tc>
              <w:tc>
                <w:tcPr>
                  <w:tcW w:w="1718" w:type="dxa"/>
                  <w:vMerge w:val="continue"/>
                  <w:vAlign w:val="center"/>
                </w:tcPr>
                <w:p w14:paraId="1932DB5F">
                  <w:pPr>
                    <w:adjustRightInd w:val="0"/>
                    <w:snapToGrid w:val="0"/>
                    <w:jc w:val="center"/>
                    <w:rPr>
                      <w:szCs w:val="21"/>
                    </w:rPr>
                  </w:pPr>
                </w:p>
              </w:tc>
              <w:tc>
                <w:tcPr>
                  <w:tcW w:w="3685" w:type="dxa"/>
                  <w:vAlign w:val="center"/>
                </w:tcPr>
                <w:p w14:paraId="4F1696AA">
                  <w:pPr>
                    <w:adjustRightInd w:val="0"/>
                    <w:snapToGrid w:val="0"/>
                    <w:jc w:val="center"/>
                    <w:rPr>
                      <w:szCs w:val="21"/>
                    </w:rPr>
                  </w:pPr>
                  <w:r>
                    <w:rPr>
                      <w:rFonts w:hint="eastAsia"/>
                      <w:szCs w:val="21"/>
                    </w:rPr>
                    <w:t>化学需氧量</w:t>
                  </w:r>
                  <w:r>
                    <w:rPr>
                      <w:rFonts w:hint="eastAsia"/>
                      <w:szCs w:val="21"/>
                      <w:vertAlign w:val="superscript"/>
                    </w:rPr>
                    <w:t>b</w:t>
                  </w:r>
                  <w:r>
                    <w:rPr>
                      <w:rFonts w:hint="eastAsia"/>
                      <w:szCs w:val="21"/>
                    </w:rPr>
                    <w:t>、悬浮物</w:t>
                  </w:r>
                </w:p>
              </w:tc>
              <w:tc>
                <w:tcPr>
                  <w:tcW w:w="2025" w:type="dxa"/>
                  <w:vAlign w:val="center"/>
                </w:tcPr>
                <w:p w14:paraId="309ED8B7">
                  <w:pPr>
                    <w:adjustRightInd w:val="0"/>
                    <w:snapToGrid w:val="0"/>
                    <w:jc w:val="center"/>
                    <w:rPr>
                      <w:szCs w:val="21"/>
                    </w:rPr>
                  </w:pPr>
                  <w:r>
                    <w:rPr>
                      <w:rFonts w:hint="eastAsia"/>
                      <w:szCs w:val="21"/>
                    </w:rPr>
                    <w:t>周</w:t>
                  </w:r>
                </w:p>
              </w:tc>
            </w:tr>
            <w:tr w14:paraId="72D21E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continue"/>
                  <w:vAlign w:val="center"/>
                </w:tcPr>
                <w:p w14:paraId="0D8D5E9E">
                  <w:pPr>
                    <w:adjustRightInd w:val="0"/>
                    <w:snapToGrid w:val="0"/>
                    <w:jc w:val="center"/>
                    <w:rPr>
                      <w:szCs w:val="21"/>
                    </w:rPr>
                  </w:pPr>
                </w:p>
              </w:tc>
              <w:tc>
                <w:tcPr>
                  <w:tcW w:w="1718" w:type="dxa"/>
                  <w:vMerge w:val="continue"/>
                  <w:vAlign w:val="center"/>
                </w:tcPr>
                <w:p w14:paraId="03739EDB">
                  <w:pPr>
                    <w:adjustRightInd w:val="0"/>
                    <w:snapToGrid w:val="0"/>
                    <w:jc w:val="center"/>
                    <w:rPr>
                      <w:szCs w:val="21"/>
                    </w:rPr>
                  </w:pPr>
                </w:p>
              </w:tc>
              <w:tc>
                <w:tcPr>
                  <w:tcW w:w="3685" w:type="dxa"/>
                  <w:vAlign w:val="center"/>
                </w:tcPr>
                <w:p w14:paraId="05A1E7AB">
                  <w:pPr>
                    <w:adjustRightInd w:val="0"/>
                    <w:snapToGrid w:val="0"/>
                    <w:jc w:val="center"/>
                    <w:rPr>
                      <w:szCs w:val="21"/>
                    </w:rPr>
                  </w:pPr>
                  <w:r>
                    <w:rPr>
                      <w:rFonts w:hint="eastAsia"/>
                      <w:szCs w:val="21"/>
                    </w:rPr>
                    <w:t>粪大肠菌群数</w:t>
                  </w:r>
                </w:p>
              </w:tc>
              <w:tc>
                <w:tcPr>
                  <w:tcW w:w="2025" w:type="dxa"/>
                  <w:vAlign w:val="center"/>
                </w:tcPr>
                <w:p w14:paraId="2F412FC3">
                  <w:pPr>
                    <w:adjustRightInd w:val="0"/>
                    <w:snapToGrid w:val="0"/>
                    <w:jc w:val="center"/>
                    <w:rPr>
                      <w:szCs w:val="21"/>
                    </w:rPr>
                  </w:pPr>
                  <w:r>
                    <w:rPr>
                      <w:rFonts w:hint="eastAsia"/>
                      <w:szCs w:val="21"/>
                    </w:rPr>
                    <w:t>月</w:t>
                  </w:r>
                </w:p>
              </w:tc>
            </w:tr>
            <w:tr w14:paraId="12407E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1" w:type="dxa"/>
                  <w:vMerge w:val="continue"/>
                  <w:vAlign w:val="center"/>
                </w:tcPr>
                <w:p w14:paraId="01F6C1A8">
                  <w:pPr>
                    <w:adjustRightInd w:val="0"/>
                    <w:snapToGrid w:val="0"/>
                    <w:jc w:val="center"/>
                    <w:rPr>
                      <w:szCs w:val="21"/>
                    </w:rPr>
                  </w:pPr>
                </w:p>
              </w:tc>
              <w:tc>
                <w:tcPr>
                  <w:tcW w:w="1718" w:type="dxa"/>
                  <w:vMerge w:val="continue"/>
                  <w:vAlign w:val="center"/>
                </w:tcPr>
                <w:p w14:paraId="726FF483">
                  <w:pPr>
                    <w:adjustRightInd w:val="0"/>
                    <w:snapToGrid w:val="0"/>
                    <w:jc w:val="center"/>
                    <w:rPr>
                      <w:szCs w:val="21"/>
                    </w:rPr>
                  </w:pPr>
                </w:p>
              </w:tc>
              <w:tc>
                <w:tcPr>
                  <w:tcW w:w="3685" w:type="dxa"/>
                  <w:vAlign w:val="center"/>
                </w:tcPr>
                <w:p w14:paraId="4C04456B">
                  <w:pPr>
                    <w:adjustRightInd w:val="0"/>
                    <w:snapToGrid w:val="0"/>
                    <w:jc w:val="center"/>
                    <w:rPr>
                      <w:szCs w:val="21"/>
                    </w:rPr>
                  </w:pPr>
                  <w:r>
                    <w:rPr>
                      <w:rFonts w:hint="eastAsia"/>
                      <w:szCs w:val="21"/>
                    </w:rPr>
                    <w:t>五日生化需氧量、石油类、挥发酚、动植物油、阴离子表面活性剂、总氰化物</w:t>
                  </w:r>
                </w:p>
              </w:tc>
              <w:tc>
                <w:tcPr>
                  <w:tcW w:w="2025" w:type="dxa"/>
                  <w:vAlign w:val="center"/>
                </w:tcPr>
                <w:p w14:paraId="5AE80624">
                  <w:pPr>
                    <w:adjustRightInd w:val="0"/>
                    <w:snapToGrid w:val="0"/>
                    <w:jc w:val="center"/>
                    <w:rPr>
                      <w:szCs w:val="21"/>
                    </w:rPr>
                  </w:pPr>
                  <w:r>
                    <w:rPr>
                      <w:rFonts w:hint="eastAsia"/>
                      <w:szCs w:val="21"/>
                    </w:rPr>
                    <w:t>季度</w:t>
                  </w:r>
                </w:p>
              </w:tc>
            </w:tr>
            <w:tr w14:paraId="6B0F75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79" w:type="dxa"/>
                  <w:gridSpan w:val="4"/>
                  <w:vAlign w:val="center"/>
                </w:tcPr>
                <w:p w14:paraId="4F5405E0">
                  <w:pPr>
                    <w:adjustRightInd w:val="0"/>
                    <w:snapToGrid w:val="0"/>
                    <w:rPr>
                      <w:szCs w:val="21"/>
                    </w:rPr>
                  </w:pPr>
                  <w:r>
                    <w:rPr>
                      <w:rFonts w:hint="eastAsia"/>
                      <w:szCs w:val="21"/>
                    </w:rPr>
                    <w:t>注：a根据医院科室设置、污水类别和实际排污情况，确定具体的污染物监测指标；</w:t>
                  </w:r>
                </w:p>
                <w:p w14:paraId="65724009">
                  <w:pPr>
                    <w:adjustRightInd w:val="0"/>
                    <w:snapToGrid w:val="0"/>
                    <w:ind w:firstLine="420" w:firstLineChars="200"/>
                    <w:rPr>
                      <w:szCs w:val="21"/>
                    </w:rPr>
                  </w:pPr>
                  <w:r>
                    <w:rPr>
                      <w:rFonts w:hint="eastAsia"/>
                      <w:szCs w:val="21"/>
                    </w:rPr>
                    <w:t>b设区的市级及以上生态环境主管部门明确要求安装在线监测设备的，须采取在线监测；</w:t>
                  </w:r>
                </w:p>
              </w:tc>
            </w:tr>
          </w:tbl>
          <w:p w14:paraId="4B0A877B">
            <w:pPr>
              <w:adjustRightInd w:val="0"/>
              <w:spacing w:line="360" w:lineRule="auto"/>
              <w:rPr>
                <w:b/>
                <w:bCs/>
                <w:sz w:val="24"/>
                <w:szCs w:val="24"/>
                <w:u w:val="single"/>
              </w:rPr>
            </w:pPr>
            <w:r>
              <w:rPr>
                <w:b/>
                <w:bCs/>
                <w:sz w:val="24"/>
                <w:szCs w:val="24"/>
                <w:u w:val="single"/>
              </w:rPr>
              <w:t>2.</w:t>
            </w:r>
            <w:r>
              <w:rPr>
                <w:rFonts w:hint="eastAsia"/>
                <w:b/>
                <w:bCs/>
                <w:sz w:val="24"/>
                <w:szCs w:val="24"/>
                <w:u w:val="single"/>
                <w:lang w:val="en-US" w:eastAsia="zh-CN"/>
              </w:rPr>
              <w:t>6</w:t>
            </w:r>
            <w:r>
              <w:rPr>
                <w:rFonts w:hint="eastAsia"/>
                <w:b/>
                <w:bCs/>
                <w:sz w:val="24"/>
                <w:szCs w:val="24"/>
                <w:u w:val="single"/>
              </w:rPr>
              <w:t>依托安化县污水处理厂可行性分析</w:t>
            </w:r>
          </w:p>
          <w:p w14:paraId="2843FAB2">
            <w:pPr>
              <w:adjustRightInd w:val="0"/>
              <w:snapToGrid w:val="0"/>
              <w:spacing w:line="360" w:lineRule="auto"/>
              <w:ind w:firstLine="480" w:firstLineChars="200"/>
              <w:rPr>
                <w:rFonts w:hint="eastAsia"/>
                <w:sz w:val="24"/>
                <w:u w:val="single"/>
              </w:rPr>
            </w:pPr>
            <w:r>
              <w:rPr>
                <w:rFonts w:hint="eastAsia"/>
                <w:sz w:val="24"/>
                <w:u w:val="single"/>
              </w:rPr>
              <w:t>益阳市安化污水处理厂（安化县海川达水务有限公司），坐落于湖</w:t>
            </w:r>
            <w:r>
              <w:rPr>
                <w:rFonts w:hint="eastAsia"/>
                <w:sz w:val="24"/>
                <w:u w:val="single"/>
                <w:lang w:eastAsia="zh-CN"/>
              </w:rPr>
              <w:t>南省</w:t>
            </w:r>
            <w:r>
              <w:rPr>
                <w:rFonts w:hint="eastAsia"/>
                <w:sz w:val="24"/>
                <w:u w:val="single"/>
              </w:rPr>
              <w:t>益阳市安化县田庄乡茶家村，厂区占地面积43.62亩。规模为2万吨/日处理能力，采用“粗格栅及提升泵房</w:t>
            </w:r>
            <w:r>
              <w:rPr>
                <w:rFonts w:hint="eastAsia"/>
                <w:sz w:val="24"/>
                <w:u w:val="single"/>
                <w:lang w:val="en-US" w:eastAsia="zh-CN"/>
              </w:rPr>
              <w:t>+</w:t>
            </w:r>
            <w:r>
              <w:rPr>
                <w:rFonts w:hint="eastAsia"/>
                <w:sz w:val="24"/>
                <w:u w:val="single"/>
              </w:rPr>
              <w:t>细格栅及旋流沉砂池</w:t>
            </w:r>
            <w:r>
              <w:rPr>
                <w:rFonts w:hint="eastAsia"/>
                <w:sz w:val="24"/>
                <w:u w:val="single"/>
                <w:lang w:val="en-US" w:eastAsia="zh-CN"/>
              </w:rPr>
              <w:t>+</w:t>
            </w:r>
            <w:r>
              <w:rPr>
                <w:rFonts w:hint="eastAsia"/>
                <w:sz w:val="24"/>
                <w:u w:val="single"/>
              </w:rPr>
              <w:t>氧化沟</w:t>
            </w:r>
            <w:r>
              <w:rPr>
                <w:rFonts w:hint="eastAsia"/>
                <w:sz w:val="24"/>
                <w:u w:val="single"/>
                <w:lang w:val="en-US" w:eastAsia="zh-CN"/>
              </w:rPr>
              <w:t>+</w:t>
            </w:r>
            <w:r>
              <w:rPr>
                <w:rFonts w:hint="eastAsia"/>
                <w:sz w:val="24"/>
                <w:u w:val="single"/>
              </w:rPr>
              <w:t>二沉池</w:t>
            </w:r>
            <w:r>
              <w:rPr>
                <w:rFonts w:hint="eastAsia"/>
                <w:sz w:val="24"/>
                <w:u w:val="single"/>
                <w:lang w:val="en-US" w:eastAsia="zh-CN"/>
              </w:rPr>
              <w:t>+</w:t>
            </w:r>
            <w:r>
              <w:rPr>
                <w:rFonts w:hint="eastAsia"/>
                <w:sz w:val="24"/>
                <w:u w:val="single"/>
              </w:rPr>
              <w:t>中间提升泵站</w:t>
            </w:r>
            <w:r>
              <w:rPr>
                <w:rFonts w:hint="eastAsia"/>
                <w:sz w:val="24"/>
                <w:u w:val="single"/>
                <w:lang w:val="en-US" w:eastAsia="zh-CN"/>
              </w:rPr>
              <w:t>+</w:t>
            </w:r>
            <w:r>
              <w:rPr>
                <w:rFonts w:hint="eastAsia"/>
                <w:sz w:val="24"/>
                <w:u w:val="single"/>
              </w:rPr>
              <w:t>高效沉淀池</w:t>
            </w:r>
            <w:r>
              <w:rPr>
                <w:rFonts w:hint="eastAsia"/>
                <w:sz w:val="24"/>
                <w:u w:val="single"/>
                <w:lang w:val="en-US" w:eastAsia="zh-CN"/>
              </w:rPr>
              <w:t>+</w:t>
            </w:r>
            <w:r>
              <w:rPr>
                <w:rFonts w:hint="eastAsia"/>
                <w:sz w:val="24"/>
                <w:u w:val="single"/>
              </w:rPr>
              <w:t>精密过滤器</w:t>
            </w:r>
            <w:r>
              <w:rPr>
                <w:rFonts w:hint="eastAsia"/>
                <w:sz w:val="24"/>
                <w:u w:val="single"/>
                <w:lang w:val="en-US" w:eastAsia="zh-CN"/>
              </w:rPr>
              <w:t>+</w:t>
            </w:r>
            <w:r>
              <w:rPr>
                <w:rFonts w:hint="eastAsia"/>
                <w:sz w:val="24"/>
                <w:u w:val="single"/>
              </w:rPr>
              <w:t xml:space="preserve">紫外线消毒”处理工艺，出水水质要求达到《城镇污水处理厂污染物排放标准》（GB18918-2002）一级A标准后排入资江。污水处理厂服务范围为安化县南区和黄沙坪区、北区和酉州工业园区。 </w:t>
            </w:r>
          </w:p>
          <w:p w14:paraId="35292376">
            <w:pPr>
              <w:adjustRightInd w:val="0"/>
              <w:snapToGrid w:val="0"/>
              <w:spacing w:line="360" w:lineRule="auto"/>
              <w:ind w:firstLine="480" w:firstLineChars="200"/>
              <w:rPr>
                <w:rFonts w:hint="eastAsia"/>
                <w:sz w:val="24"/>
                <w:u w:val="single"/>
              </w:rPr>
            </w:pPr>
            <w:r>
              <w:rPr>
                <w:rFonts w:hint="eastAsia"/>
                <w:sz w:val="24"/>
                <w:u w:val="single"/>
              </w:rPr>
              <w:t xml:space="preserve">（1）水量分析 </w:t>
            </w:r>
          </w:p>
          <w:p w14:paraId="7D653050">
            <w:pPr>
              <w:adjustRightInd w:val="0"/>
              <w:snapToGrid w:val="0"/>
              <w:spacing w:line="360" w:lineRule="auto"/>
              <w:ind w:firstLine="480" w:firstLineChars="200"/>
              <w:rPr>
                <w:rFonts w:hint="eastAsia"/>
                <w:sz w:val="24"/>
                <w:u w:val="single"/>
              </w:rPr>
            </w:pPr>
            <w:r>
              <w:rPr>
                <w:rFonts w:hint="eastAsia"/>
                <w:sz w:val="24"/>
                <w:u w:val="single"/>
              </w:rPr>
              <w:t>本项目运营期</w:t>
            </w:r>
            <w:r>
              <w:rPr>
                <w:rFonts w:hint="eastAsia"/>
                <w:sz w:val="24"/>
                <w:u w:val="single"/>
                <w:lang w:val="en-US" w:eastAsia="zh-CN"/>
              </w:rPr>
              <w:t>医疗</w:t>
            </w:r>
            <w:r>
              <w:rPr>
                <w:rFonts w:hint="eastAsia"/>
                <w:sz w:val="24"/>
                <w:u w:val="single"/>
              </w:rPr>
              <w:t>废水经</w:t>
            </w:r>
            <w:r>
              <w:rPr>
                <w:rFonts w:hint="eastAsia"/>
                <w:sz w:val="24"/>
                <w:u w:val="single"/>
                <w:lang w:val="en-US" w:eastAsia="zh-CN"/>
              </w:rPr>
              <w:t>自建</w:t>
            </w:r>
            <w:r>
              <w:rPr>
                <w:rFonts w:hint="eastAsia"/>
                <w:sz w:val="24"/>
                <w:u w:val="single"/>
              </w:rPr>
              <w:t>污水处理站处理后可达到《医疗机构水污染物排放标准》（GI2029-2013）预处理标准且同时满足安化县污水处理厂进水水质要求。安化县污水处理厂（现运营单位：安化县海川达水务有限公司）处理规模为20000t/d，根据污水处理厂提供的2025年日常污水处理数据，实际处理量约 17000t/d，剩余处理能力约3000t/d，</w:t>
            </w:r>
            <w:r>
              <w:rPr>
                <w:rFonts w:hint="eastAsia"/>
                <w:color w:val="auto"/>
                <w:sz w:val="24"/>
                <w:u w:val="single"/>
              </w:rPr>
              <w:t>本项目产生的废水总量为</w:t>
            </w:r>
            <w:r>
              <w:rPr>
                <w:rFonts w:hint="eastAsia"/>
                <w:color w:val="auto"/>
                <w:sz w:val="24"/>
                <w:u w:val="single"/>
                <w:lang w:val="en-US" w:eastAsia="zh-CN"/>
              </w:rPr>
              <w:t>47.36</w:t>
            </w:r>
            <w:r>
              <w:rPr>
                <w:rFonts w:hint="eastAsia"/>
                <w:color w:val="auto"/>
                <w:sz w:val="24"/>
                <w:u w:val="single"/>
              </w:rPr>
              <w:t>m</w:t>
            </w:r>
            <w:r>
              <w:rPr>
                <w:rFonts w:hint="eastAsia"/>
                <w:color w:val="auto"/>
                <w:sz w:val="24"/>
                <w:u w:val="single"/>
                <w:vertAlign w:val="superscript"/>
              </w:rPr>
              <w:t>3</w:t>
            </w:r>
            <w:r>
              <w:rPr>
                <w:rFonts w:hint="eastAsia"/>
                <w:color w:val="auto"/>
                <w:sz w:val="24"/>
                <w:u w:val="single"/>
              </w:rPr>
              <w:t>/d</w:t>
            </w:r>
            <w:r>
              <w:rPr>
                <w:rFonts w:hint="eastAsia"/>
                <w:color w:val="auto"/>
                <w:sz w:val="24"/>
                <w:u w:val="single"/>
                <w:lang w:eastAsia="zh-CN"/>
              </w:rPr>
              <w:t>，</w:t>
            </w:r>
            <w:r>
              <w:rPr>
                <w:rFonts w:hint="eastAsia"/>
                <w:sz w:val="24"/>
                <w:u w:val="single"/>
              </w:rPr>
              <w:t>当本项目将废水排往污水处理厂时，占安化县污水处理厂（现运营单位：安化县海川达水务有限公司）剩余容量的</w:t>
            </w:r>
            <w:r>
              <w:rPr>
                <w:rFonts w:hint="eastAsia"/>
                <w:sz w:val="24"/>
                <w:u w:val="single"/>
                <w:lang w:val="en-US" w:eastAsia="zh-CN"/>
              </w:rPr>
              <w:t>1.58</w:t>
            </w:r>
            <w:r>
              <w:rPr>
                <w:rFonts w:hint="eastAsia"/>
                <w:sz w:val="24"/>
                <w:u w:val="single"/>
              </w:rPr>
              <w:t>%，可接纳本项目废水量，不会对污水处理站造成水量冲击，污水处理厂能够正常运转。因此，本项目废水纳入安化县污水处理厂</w:t>
            </w:r>
            <w:r>
              <w:rPr>
                <w:rFonts w:ascii="宋体" w:hAnsi="宋体" w:eastAsia="宋体" w:cs="宋体"/>
                <w:sz w:val="24"/>
                <w:szCs w:val="24"/>
                <w:u w:val="single"/>
              </w:rPr>
              <w:t>处理不会额外增加污水处理厂的处理负荷。</w:t>
            </w:r>
          </w:p>
          <w:p w14:paraId="5466D429">
            <w:pPr>
              <w:adjustRightInd w:val="0"/>
              <w:snapToGrid w:val="0"/>
              <w:spacing w:line="360" w:lineRule="auto"/>
              <w:ind w:firstLine="480" w:firstLineChars="200"/>
              <w:rPr>
                <w:rFonts w:hint="eastAsia"/>
                <w:sz w:val="24"/>
                <w:u w:val="single"/>
              </w:rPr>
            </w:pPr>
            <w:r>
              <w:rPr>
                <w:rFonts w:hint="eastAsia"/>
                <w:sz w:val="24"/>
                <w:u w:val="single"/>
              </w:rPr>
              <w:t xml:space="preserve">（2）水质分析 </w:t>
            </w:r>
          </w:p>
          <w:p w14:paraId="7CBF0CD2">
            <w:pPr>
              <w:adjustRightInd w:val="0"/>
              <w:snapToGrid w:val="0"/>
              <w:spacing w:line="360" w:lineRule="auto"/>
              <w:ind w:firstLine="480" w:firstLineChars="200"/>
              <w:rPr>
                <w:rFonts w:hint="eastAsia"/>
                <w:sz w:val="24"/>
                <w:u w:val="single"/>
              </w:rPr>
            </w:pPr>
            <w:r>
              <w:rPr>
                <w:rFonts w:hint="eastAsia"/>
                <w:sz w:val="24"/>
                <w:u w:val="single"/>
              </w:rPr>
              <w:t>本项目排放污水主要为医疗废水。</w:t>
            </w:r>
            <w:r>
              <w:rPr>
                <w:rFonts w:hint="eastAsia"/>
                <w:color w:val="auto"/>
                <w:sz w:val="24"/>
                <w:u w:val="single"/>
              </w:rPr>
              <w:t>废水水</w:t>
            </w:r>
            <w:r>
              <w:rPr>
                <w:rFonts w:hint="eastAsia"/>
                <w:sz w:val="24"/>
                <w:u w:val="single"/>
              </w:rPr>
              <w:t>质参考《医院污水处理工程技术规范》（HI2029-2013）及调查同类型项目，其主要污染物及产生浓度分别为SS120mg/L、COD300mg/L、BOD</w:t>
            </w:r>
            <w:r>
              <w:rPr>
                <w:rFonts w:hint="eastAsia"/>
                <w:sz w:val="24"/>
                <w:u w:val="single"/>
                <w:vertAlign w:val="subscript"/>
              </w:rPr>
              <w:t>5</w:t>
            </w:r>
            <w:r>
              <w:rPr>
                <w:rFonts w:hint="eastAsia"/>
                <w:sz w:val="24"/>
                <w:u w:val="single"/>
              </w:rPr>
              <w:t>150mg/L、氨氮50mg/L，粪大肠菌群3.0×10</w:t>
            </w:r>
            <w:r>
              <w:rPr>
                <w:rFonts w:hint="eastAsia"/>
                <w:sz w:val="24"/>
                <w:u w:val="single"/>
                <w:vertAlign w:val="superscript"/>
              </w:rPr>
              <w:t>8</w:t>
            </w:r>
            <w:r>
              <w:rPr>
                <w:rFonts w:hint="eastAsia"/>
                <w:sz w:val="24"/>
                <w:u w:val="single"/>
              </w:rPr>
              <w:t>个/L</w:t>
            </w:r>
            <w:r>
              <w:rPr>
                <w:rFonts w:hint="eastAsia"/>
                <w:color w:val="auto"/>
                <w:sz w:val="24"/>
                <w:u w:val="single"/>
              </w:rPr>
              <w:t>；</w:t>
            </w:r>
            <w:r>
              <w:rPr>
                <w:rFonts w:hint="eastAsia"/>
                <w:color w:val="auto"/>
                <w:sz w:val="24"/>
                <w:u w:val="single"/>
                <w:lang w:val="en-US" w:eastAsia="zh-CN"/>
              </w:rPr>
              <w:t>本项目污水处理站处理拟采用</w:t>
            </w:r>
            <w:r>
              <w:rPr>
                <w:rFonts w:hint="eastAsia"/>
                <w:bCs/>
                <w:sz w:val="24"/>
                <w:u w:val="single"/>
                <w:shd w:val="clear" w:color="auto" w:fill="FFFFFF"/>
              </w:rPr>
              <w:t>“格栅+调节池+化学混凝法+消毒池”</w:t>
            </w:r>
            <w:r>
              <w:rPr>
                <w:rFonts w:hint="eastAsia"/>
                <w:bCs/>
                <w:sz w:val="24"/>
                <w:u w:val="single"/>
                <w:shd w:val="clear" w:color="auto" w:fill="FFFFFF"/>
                <w:lang w:val="en-US" w:eastAsia="zh-CN"/>
              </w:rPr>
              <w:t>工艺</w:t>
            </w:r>
            <w:r>
              <w:rPr>
                <w:rFonts w:hint="eastAsia"/>
                <w:sz w:val="24"/>
                <w:u w:val="single"/>
              </w:rPr>
              <w:t xml:space="preserve">处理后，废水中各污染因子均达到《医疗机构水污染物排放标准》（GB18466-2005）表2中预处理标准可以满足污水处理厂进水水质要求，不会对安化县污水处理厂正常运行造成影响。 </w:t>
            </w:r>
          </w:p>
          <w:p w14:paraId="5893076C">
            <w:pPr>
              <w:adjustRightInd w:val="0"/>
              <w:snapToGrid w:val="0"/>
              <w:spacing w:line="360" w:lineRule="auto"/>
              <w:ind w:firstLine="480" w:firstLineChars="200"/>
              <w:rPr>
                <w:rFonts w:hint="eastAsia"/>
                <w:color w:val="auto"/>
                <w:sz w:val="24"/>
                <w:u w:val="single"/>
              </w:rPr>
            </w:pPr>
            <w:r>
              <w:rPr>
                <w:rFonts w:hint="eastAsia"/>
                <w:color w:val="auto"/>
                <w:sz w:val="24"/>
                <w:u w:val="single"/>
              </w:rPr>
              <w:t xml:space="preserve">（3）接管分析 </w:t>
            </w:r>
          </w:p>
          <w:p w14:paraId="5581D0FF">
            <w:pPr>
              <w:adjustRightInd w:val="0"/>
              <w:snapToGrid w:val="0"/>
              <w:spacing w:line="360" w:lineRule="auto"/>
              <w:ind w:firstLine="480" w:firstLineChars="200"/>
              <w:rPr>
                <w:rFonts w:hint="eastAsia"/>
                <w:color w:val="FF0000"/>
                <w:sz w:val="24"/>
                <w:u w:val="single"/>
              </w:rPr>
            </w:pPr>
            <w:r>
              <w:rPr>
                <w:rFonts w:hint="eastAsia"/>
                <w:color w:val="auto"/>
                <w:sz w:val="24"/>
                <w:u w:val="single"/>
              </w:rPr>
              <w:t>安化县污水处理厂服务范围包括安化县南区和黄沙坪区、北区和酉州工业园区。本项目位于安化县东坪镇，属于安化县南区，为安化县污水处理厂服务范围内。</w:t>
            </w:r>
            <w:r>
              <w:rPr>
                <w:rFonts w:hint="eastAsia"/>
                <w:color w:val="auto"/>
                <w:sz w:val="24"/>
                <w:u w:val="single"/>
                <w:lang w:val="en-US" w:eastAsia="zh-CN"/>
              </w:rPr>
              <w:t>且建设</w:t>
            </w:r>
            <w:r>
              <w:rPr>
                <w:rFonts w:hint="eastAsia"/>
                <w:color w:val="auto"/>
                <w:sz w:val="24"/>
                <w:u w:val="single"/>
              </w:rPr>
              <w:t>单位（安化县莲花台幸福驿站项目管理有限公司）联合城南社区居民委员会已正式向安化县住房和城乡建设局提交《关于请求将养老院污水接入市政排污管网的报告》，完整说明项目建设背景、养老床位</w:t>
            </w:r>
            <w:r>
              <w:rPr>
                <w:rFonts w:hint="eastAsia"/>
                <w:color w:val="auto"/>
                <w:sz w:val="24"/>
                <w:u w:val="single"/>
                <w:lang w:eastAsia="zh-CN"/>
              </w:rPr>
              <w:t>、</w:t>
            </w:r>
            <w:r>
              <w:rPr>
                <w:rFonts w:hint="eastAsia"/>
                <w:color w:val="auto"/>
                <w:sz w:val="24"/>
                <w:u w:val="single"/>
              </w:rPr>
              <w:t>医疗床位设置、用地审批进度及污水接入诉求，</w:t>
            </w:r>
            <w:r>
              <w:rPr>
                <w:rFonts w:hint="eastAsia"/>
                <w:color w:val="auto"/>
                <w:sz w:val="24"/>
                <w:u w:val="single"/>
                <w:lang w:val="en-US" w:eastAsia="zh-CN"/>
              </w:rPr>
              <w:t>该项目已取得</w:t>
            </w:r>
            <w:r>
              <w:rPr>
                <w:rFonts w:hint="eastAsia"/>
                <w:color w:val="auto"/>
                <w:sz w:val="24"/>
                <w:u w:val="single"/>
              </w:rPr>
              <w:t>安化县住房和城乡建设局</w:t>
            </w:r>
            <w:r>
              <w:rPr>
                <w:rFonts w:hint="eastAsia"/>
                <w:color w:val="auto"/>
                <w:sz w:val="24"/>
                <w:u w:val="single"/>
                <w:lang w:val="en-US" w:eastAsia="zh-CN"/>
              </w:rPr>
              <w:t>同意</w:t>
            </w:r>
            <w:r>
              <w:rPr>
                <w:rFonts w:hint="eastAsia"/>
                <w:color w:val="auto"/>
                <w:sz w:val="24"/>
                <w:u w:val="single"/>
              </w:rPr>
              <w:t>，主管部门可统筹规划项目支管与市政干管接驳施工，接管流程合规可落地</w:t>
            </w:r>
            <w:r>
              <w:rPr>
                <w:rFonts w:hint="eastAsia"/>
                <w:color w:val="auto"/>
                <w:sz w:val="24"/>
                <w:u w:val="single"/>
                <w:lang w:eastAsia="zh-CN"/>
              </w:rPr>
              <w:t>（</w:t>
            </w:r>
            <w:r>
              <w:rPr>
                <w:rFonts w:hint="eastAsia"/>
                <w:color w:val="auto"/>
                <w:sz w:val="24"/>
                <w:u w:val="single"/>
                <w:lang w:val="en-US" w:eastAsia="zh-CN"/>
              </w:rPr>
              <w:t>详见附件8</w:t>
            </w:r>
            <w:r>
              <w:rPr>
                <w:rFonts w:hint="eastAsia"/>
                <w:color w:val="auto"/>
                <w:sz w:val="24"/>
                <w:u w:val="single"/>
                <w:lang w:eastAsia="zh-CN"/>
              </w:rPr>
              <w:t>）</w:t>
            </w:r>
            <w:r>
              <w:rPr>
                <w:rFonts w:hint="eastAsia"/>
                <w:color w:val="auto"/>
                <w:sz w:val="24"/>
                <w:u w:val="single"/>
              </w:rPr>
              <w:t>。</w:t>
            </w:r>
          </w:p>
          <w:p w14:paraId="13B33206">
            <w:pPr>
              <w:adjustRightInd w:val="0"/>
              <w:snapToGrid w:val="0"/>
              <w:spacing w:line="360" w:lineRule="auto"/>
              <w:ind w:firstLine="480" w:firstLineChars="200"/>
              <w:rPr>
                <w:rFonts w:hint="eastAsia"/>
                <w:sz w:val="24"/>
                <w:u w:val="single"/>
              </w:rPr>
            </w:pPr>
            <w:r>
              <w:rPr>
                <w:rFonts w:hint="eastAsia"/>
                <w:sz w:val="24"/>
                <w:u w:val="single"/>
              </w:rPr>
              <w:t>（4）时间分析</w:t>
            </w:r>
          </w:p>
          <w:p w14:paraId="208CF2C0">
            <w:pPr>
              <w:adjustRightInd w:val="0"/>
              <w:snapToGrid w:val="0"/>
              <w:spacing w:line="360" w:lineRule="auto"/>
              <w:ind w:firstLine="480" w:firstLineChars="200"/>
              <w:rPr>
                <w:rFonts w:hint="eastAsia"/>
                <w:sz w:val="24"/>
                <w:u w:val="single"/>
              </w:rPr>
            </w:pPr>
            <w:r>
              <w:rPr>
                <w:rFonts w:hint="eastAsia"/>
                <w:sz w:val="24"/>
                <w:u w:val="single"/>
              </w:rPr>
              <w:t>根据对项目现场情况调查，项目所在区域已完善污水管网的配套建设以及安化县污水处理厂的建设运营，本项目废水排放能满足纳管进安化县污水处理厂要求。</w:t>
            </w:r>
          </w:p>
          <w:p w14:paraId="312B0920">
            <w:pPr>
              <w:adjustRightInd w:val="0"/>
              <w:snapToGrid w:val="0"/>
              <w:spacing w:line="360" w:lineRule="auto"/>
              <w:ind w:firstLine="480" w:firstLineChars="200"/>
              <w:rPr>
                <w:rFonts w:hint="eastAsia"/>
                <w:sz w:val="24"/>
                <w:u w:val="single"/>
              </w:rPr>
            </w:pPr>
            <w:r>
              <w:rPr>
                <w:rFonts w:hint="eastAsia"/>
                <w:sz w:val="24"/>
                <w:u w:val="single"/>
              </w:rPr>
              <w:t>综上所述，项目在安化县污水处理厂服务范围内</w:t>
            </w:r>
            <w:r>
              <w:rPr>
                <w:rFonts w:hint="eastAsia"/>
                <w:color w:val="auto"/>
                <w:sz w:val="24"/>
                <w:u w:val="single"/>
              </w:rPr>
              <w:t>，北侧已接通管网，</w:t>
            </w:r>
            <w:r>
              <w:rPr>
                <w:rFonts w:hint="eastAsia"/>
                <w:sz w:val="24"/>
                <w:u w:val="single"/>
              </w:rPr>
              <w:t>项目建成后，废水接入北侧污水管网，具有接管条件，水质符合</w:t>
            </w:r>
            <w:r>
              <w:rPr>
                <w:rFonts w:hint="eastAsia"/>
                <w:sz w:val="24"/>
                <w:u w:val="single"/>
                <w:lang w:val="en-US" w:eastAsia="zh-CN"/>
              </w:rPr>
              <w:t>安化县</w:t>
            </w:r>
            <w:r>
              <w:rPr>
                <w:rFonts w:hint="eastAsia"/>
                <w:sz w:val="24"/>
                <w:u w:val="single"/>
              </w:rPr>
              <w:t>污水处理厂进水水质要求，本项目外排废水量远小于污水处理厂可接纳废水量，不会对</w:t>
            </w:r>
            <w:r>
              <w:rPr>
                <w:rFonts w:hint="eastAsia"/>
                <w:sz w:val="24"/>
                <w:u w:val="single"/>
                <w:lang w:val="en-US" w:eastAsia="zh-CN"/>
              </w:rPr>
              <w:t>安化县</w:t>
            </w:r>
            <w:r>
              <w:rPr>
                <w:rFonts w:hint="eastAsia"/>
                <w:sz w:val="24"/>
                <w:u w:val="single"/>
              </w:rPr>
              <w:t>污水处理厂造成水量冲击。本项目废水排放排往</w:t>
            </w:r>
            <w:r>
              <w:rPr>
                <w:rFonts w:hint="eastAsia"/>
                <w:sz w:val="24"/>
                <w:u w:val="single"/>
                <w:lang w:val="en-US" w:eastAsia="zh-CN"/>
              </w:rPr>
              <w:t>安化县</w:t>
            </w:r>
            <w:r>
              <w:rPr>
                <w:rFonts w:hint="eastAsia"/>
                <w:sz w:val="24"/>
                <w:u w:val="single"/>
              </w:rPr>
              <w:t>污水处理厂是可行的。</w:t>
            </w:r>
          </w:p>
          <w:p w14:paraId="4B7F4E87">
            <w:pPr>
              <w:adjustRightInd w:val="0"/>
              <w:snapToGrid w:val="0"/>
              <w:spacing w:line="360" w:lineRule="auto"/>
              <w:rPr>
                <w:b/>
                <w:color w:val="000000"/>
                <w:sz w:val="24"/>
                <w:szCs w:val="24"/>
              </w:rPr>
            </w:pPr>
            <w:r>
              <w:rPr>
                <w:b/>
                <w:color w:val="000000"/>
                <w:sz w:val="24"/>
                <w:szCs w:val="24"/>
              </w:rPr>
              <w:t>3 噪声</w:t>
            </w:r>
          </w:p>
          <w:p w14:paraId="6DF46C4E">
            <w:pPr>
              <w:adjustRightInd w:val="0"/>
              <w:snapToGrid w:val="0"/>
              <w:spacing w:line="360" w:lineRule="auto"/>
              <w:ind w:firstLine="480" w:firstLineChars="200"/>
              <w:rPr>
                <w:bCs/>
                <w:color w:val="000000"/>
                <w:sz w:val="24"/>
                <w:szCs w:val="24"/>
              </w:rPr>
            </w:pPr>
            <w:r>
              <w:rPr>
                <w:bCs/>
                <w:color w:val="000000"/>
                <w:sz w:val="24"/>
                <w:szCs w:val="24"/>
              </w:rPr>
              <w:t>本项目噪声源主要</w:t>
            </w:r>
            <w:r>
              <w:rPr>
                <w:rFonts w:hint="eastAsia"/>
                <w:bCs/>
                <w:color w:val="000000"/>
                <w:sz w:val="24"/>
                <w:szCs w:val="24"/>
              </w:rPr>
              <w:t>来自</w:t>
            </w:r>
            <w:r>
              <w:rPr>
                <w:bCs/>
                <w:color w:val="000000"/>
                <w:sz w:val="24"/>
                <w:szCs w:val="24"/>
              </w:rPr>
              <w:t>各类设备噪声，具体噪声源情况如下表所示。</w:t>
            </w:r>
          </w:p>
          <w:p w14:paraId="54EBCF51">
            <w:pPr>
              <w:adjustRightInd w:val="0"/>
              <w:snapToGrid w:val="0"/>
              <w:spacing w:line="360" w:lineRule="auto"/>
              <w:jc w:val="center"/>
              <w:rPr>
                <w:b/>
                <w:sz w:val="24"/>
                <w:szCs w:val="24"/>
              </w:rPr>
            </w:pPr>
            <w:r>
              <w:rPr>
                <w:b/>
                <w:sz w:val="24"/>
                <w:szCs w:val="24"/>
              </w:rPr>
              <w:t>表4-</w:t>
            </w:r>
            <w:r>
              <w:rPr>
                <w:rFonts w:hint="eastAsia"/>
                <w:b/>
                <w:sz w:val="24"/>
                <w:szCs w:val="24"/>
                <w:lang w:val="en-US" w:eastAsia="zh-CN"/>
              </w:rPr>
              <w:t>14</w:t>
            </w:r>
            <w:r>
              <w:rPr>
                <w:b/>
                <w:sz w:val="24"/>
                <w:szCs w:val="24"/>
              </w:rPr>
              <w:t xml:space="preserve">  噪声源信息表（室外声源）</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Layout w:type="fixed"/>
              <w:tblCellMar>
                <w:top w:w="0" w:type="dxa"/>
                <w:left w:w="0" w:type="dxa"/>
                <w:bottom w:w="0" w:type="dxa"/>
                <w:right w:w="0" w:type="dxa"/>
              </w:tblCellMar>
            </w:tblPr>
            <w:tblGrid>
              <w:gridCol w:w="639"/>
              <w:gridCol w:w="1386"/>
              <w:gridCol w:w="1246"/>
              <w:gridCol w:w="1928"/>
              <w:gridCol w:w="1490"/>
              <w:gridCol w:w="1598"/>
            </w:tblGrid>
            <w:tr w14:paraId="1F7C7ADF">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PrEx>
              <w:trPr>
                <w:trHeight w:val="397" w:hRule="atLeast"/>
                <w:tblHeader/>
                <w:jc w:val="center"/>
              </w:trPr>
              <w:tc>
                <w:tcPr>
                  <w:tcW w:w="385" w:type="pct"/>
                  <w:vMerge w:val="restart"/>
                  <w:vAlign w:val="center"/>
                </w:tcPr>
                <w:p w14:paraId="757D2E50">
                  <w:pPr>
                    <w:pStyle w:val="12"/>
                    <w:adjustRightInd w:val="0"/>
                    <w:snapToGrid w:val="0"/>
                    <w:ind w:left="0" w:leftChars="0" w:firstLine="0" w:firstLineChars="0"/>
                    <w:jc w:val="center"/>
                    <w:rPr>
                      <w:b/>
                      <w:bCs/>
                    </w:rPr>
                  </w:pPr>
                  <w:r>
                    <w:rPr>
                      <w:b/>
                      <w:bCs/>
                    </w:rPr>
                    <w:t>序号</w:t>
                  </w:r>
                </w:p>
              </w:tc>
              <w:tc>
                <w:tcPr>
                  <w:tcW w:w="836" w:type="pct"/>
                  <w:vMerge w:val="restart"/>
                  <w:vAlign w:val="center"/>
                </w:tcPr>
                <w:p w14:paraId="5E66B5BC">
                  <w:pPr>
                    <w:pStyle w:val="12"/>
                    <w:adjustRightInd w:val="0"/>
                    <w:snapToGrid w:val="0"/>
                    <w:ind w:left="0" w:leftChars="0" w:firstLine="0" w:firstLineChars="0"/>
                    <w:jc w:val="center"/>
                    <w:rPr>
                      <w:b/>
                      <w:bCs/>
                    </w:rPr>
                  </w:pPr>
                  <w:r>
                    <w:rPr>
                      <w:b/>
                      <w:bCs/>
                    </w:rPr>
                    <w:t>声源名称</w:t>
                  </w:r>
                </w:p>
              </w:tc>
              <w:tc>
                <w:tcPr>
                  <w:tcW w:w="751" w:type="pct"/>
                  <w:vMerge w:val="restart"/>
                  <w:vAlign w:val="center"/>
                </w:tcPr>
                <w:p w14:paraId="2556E51C">
                  <w:pPr>
                    <w:pStyle w:val="12"/>
                    <w:adjustRightInd w:val="0"/>
                    <w:snapToGrid w:val="0"/>
                    <w:ind w:left="0" w:leftChars="0" w:firstLine="0" w:firstLineChars="0"/>
                    <w:jc w:val="center"/>
                    <w:rPr>
                      <w:b/>
                      <w:bCs/>
                    </w:rPr>
                  </w:pPr>
                  <w:r>
                    <w:rPr>
                      <w:b/>
                      <w:bCs/>
                    </w:rPr>
                    <w:t>数量</w:t>
                  </w:r>
                </w:p>
              </w:tc>
              <w:tc>
                <w:tcPr>
                  <w:tcW w:w="1163" w:type="pct"/>
                  <w:vMerge w:val="restart"/>
                  <w:vAlign w:val="center"/>
                </w:tcPr>
                <w:p w14:paraId="11A027A9">
                  <w:pPr>
                    <w:pStyle w:val="12"/>
                    <w:adjustRightInd w:val="0"/>
                    <w:snapToGrid w:val="0"/>
                    <w:ind w:left="0" w:leftChars="0" w:firstLine="0" w:firstLineChars="0"/>
                    <w:jc w:val="center"/>
                    <w:rPr>
                      <w:b/>
                      <w:bCs/>
                    </w:rPr>
                  </w:pPr>
                  <w:r>
                    <w:rPr>
                      <w:b/>
                      <w:bCs/>
                    </w:rPr>
                    <w:t>声功率级/dB（A）</w:t>
                  </w:r>
                </w:p>
              </w:tc>
              <w:tc>
                <w:tcPr>
                  <w:tcW w:w="898" w:type="pct"/>
                  <w:vMerge w:val="restart"/>
                  <w:vAlign w:val="center"/>
                </w:tcPr>
                <w:p w14:paraId="481E329F">
                  <w:pPr>
                    <w:pStyle w:val="12"/>
                    <w:adjustRightInd w:val="0"/>
                    <w:snapToGrid w:val="0"/>
                    <w:ind w:left="0" w:leftChars="0" w:firstLine="0" w:firstLineChars="0"/>
                    <w:jc w:val="center"/>
                    <w:rPr>
                      <w:b/>
                      <w:bCs/>
                    </w:rPr>
                  </w:pPr>
                  <w:r>
                    <w:rPr>
                      <w:b/>
                      <w:bCs/>
                    </w:rPr>
                    <w:t>声源控制措施</w:t>
                  </w:r>
                </w:p>
              </w:tc>
              <w:tc>
                <w:tcPr>
                  <w:tcW w:w="964" w:type="pct"/>
                  <w:vMerge w:val="restart"/>
                  <w:vAlign w:val="center"/>
                </w:tcPr>
                <w:p w14:paraId="4988C864">
                  <w:pPr>
                    <w:pStyle w:val="12"/>
                    <w:adjustRightInd w:val="0"/>
                    <w:snapToGrid w:val="0"/>
                    <w:ind w:left="0" w:leftChars="0" w:firstLine="0" w:firstLineChars="0"/>
                    <w:jc w:val="center"/>
                    <w:rPr>
                      <w:b/>
                      <w:bCs/>
                    </w:rPr>
                  </w:pPr>
                  <w:r>
                    <w:rPr>
                      <w:b/>
                      <w:bCs/>
                    </w:rPr>
                    <w:t>运行时段</w:t>
                  </w:r>
                </w:p>
              </w:tc>
            </w:tr>
            <w:tr w14:paraId="6BE41350">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397" w:hRule="atLeast"/>
                <w:tblHeader/>
                <w:jc w:val="center"/>
              </w:trPr>
              <w:tc>
                <w:tcPr>
                  <w:tcW w:w="385" w:type="pct"/>
                  <w:vMerge w:val="continue"/>
                  <w:vAlign w:val="center"/>
                </w:tcPr>
                <w:p w14:paraId="05828EFD">
                  <w:pPr>
                    <w:pStyle w:val="12"/>
                    <w:ind w:left="0" w:leftChars="0" w:firstLine="0" w:firstLineChars="0"/>
                    <w:jc w:val="center"/>
                  </w:pPr>
                </w:p>
              </w:tc>
              <w:tc>
                <w:tcPr>
                  <w:tcW w:w="836" w:type="pct"/>
                  <w:vMerge w:val="continue"/>
                  <w:vAlign w:val="center"/>
                </w:tcPr>
                <w:p w14:paraId="7CB42871">
                  <w:pPr>
                    <w:pStyle w:val="12"/>
                    <w:ind w:left="0" w:leftChars="0" w:firstLine="0" w:firstLineChars="0"/>
                    <w:jc w:val="center"/>
                  </w:pPr>
                </w:p>
              </w:tc>
              <w:tc>
                <w:tcPr>
                  <w:tcW w:w="751" w:type="pct"/>
                  <w:vMerge w:val="continue"/>
                  <w:vAlign w:val="center"/>
                </w:tcPr>
                <w:p w14:paraId="26808185">
                  <w:pPr>
                    <w:pStyle w:val="12"/>
                    <w:ind w:left="0" w:leftChars="0" w:firstLine="0" w:firstLineChars="0"/>
                    <w:jc w:val="center"/>
                  </w:pPr>
                </w:p>
              </w:tc>
              <w:tc>
                <w:tcPr>
                  <w:tcW w:w="1163" w:type="pct"/>
                  <w:vMerge w:val="continue"/>
                  <w:vAlign w:val="center"/>
                </w:tcPr>
                <w:p w14:paraId="2AF59892">
                  <w:pPr>
                    <w:pStyle w:val="12"/>
                    <w:ind w:left="0" w:leftChars="0" w:firstLine="0" w:firstLineChars="0"/>
                    <w:jc w:val="center"/>
                  </w:pPr>
                </w:p>
              </w:tc>
              <w:tc>
                <w:tcPr>
                  <w:tcW w:w="898" w:type="pct"/>
                  <w:vMerge w:val="continue"/>
                  <w:vAlign w:val="center"/>
                </w:tcPr>
                <w:p w14:paraId="2AEAD6EE">
                  <w:pPr>
                    <w:pStyle w:val="12"/>
                    <w:ind w:left="0" w:leftChars="0" w:firstLine="0" w:firstLineChars="0"/>
                    <w:jc w:val="center"/>
                  </w:pPr>
                </w:p>
              </w:tc>
              <w:tc>
                <w:tcPr>
                  <w:tcW w:w="964" w:type="pct"/>
                  <w:vMerge w:val="continue"/>
                  <w:vAlign w:val="center"/>
                </w:tcPr>
                <w:p w14:paraId="0E4443A7">
                  <w:pPr>
                    <w:pStyle w:val="12"/>
                    <w:ind w:left="0" w:leftChars="0" w:firstLine="0" w:firstLineChars="0"/>
                    <w:jc w:val="center"/>
                  </w:pPr>
                </w:p>
              </w:tc>
            </w:tr>
            <w:tr w14:paraId="64357A99">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PrEx>
              <w:trPr>
                <w:trHeight w:val="397" w:hRule="atLeast"/>
                <w:jc w:val="center"/>
              </w:trPr>
              <w:tc>
                <w:tcPr>
                  <w:tcW w:w="385" w:type="pct"/>
                  <w:vAlign w:val="center"/>
                </w:tcPr>
                <w:p w14:paraId="27C5E65D">
                  <w:pPr>
                    <w:pStyle w:val="12"/>
                    <w:ind w:left="0" w:leftChars="0" w:firstLine="0" w:firstLineChars="0"/>
                    <w:jc w:val="center"/>
                  </w:pPr>
                  <w:r>
                    <w:t>1</w:t>
                  </w:r>
                </w:p>
              </w:tc>
              <w:tc>
                <w:tcPr>
                  <w:tcW w:w="836" w:type="pct"/>
                  <w:vAlign w:val="center"/>
                </w:tcPr>
                <w:p w14:paraId="6E2352D4">
                  <w:pPr>
                    <w:jc w:val="center"/>
                  </w:pPr>
                  <w:r>
                    <w:rPr>
                      <w:rFonts w:hint="eastAsia"/>
                      <w:szCs w:val="21"/>
                    </w:rPr>
                    <w:t>污水泵</w:t>
                  </w:r>
                </w:p>
              </w:tc>
              <w:tc>
                <w:tcPr>
                  <w:tcW w:w="751" w:type="pct"/>
                  <w:vAlign w:val="center"/>
                </w:tcPr>
                <w:p w14:paraId="5C2D6F13">
                  <w:pPr>
                    <w:pStyle w:val="12"/>
                    <w:ind w:left="0" w:leftChars="0" w:firstLine="0" w:firstLineChars="0"/>
                    <w:jc w:val="center"/>
                  </w:pPr>
                  <w:r>
                    <w:rPr>
                      <w:rFonts w:hint="eastAsia"/>
                    </w:rPr>
                    <w:t>1</w:t>
                  </w:r>
                </w:p>
              </w:tc>
              <w:tc>
                <w:tcPr>
                  <w:tcW w:w="1163" w:type="pct"/>
                  <w:vAlign w:val="center"/>
                </w:tcPr>
                <w:p w14:paraId="560B00A5">
                  <w:pPr>
                    <w:pStyle w:val="12"/>
                    <w:ind w:left="0" w:leftChars="0" w:firstLine="0" w:firstLineChars="0"/>
                    <w:jc w:val="center"/>
                  </w:pPr>
                  <w:r>
                    <w:rPr>
                      <w:rFonts w:hint="eastAsia"/>
                    </w:rPr>
                    <w:t>80</w:t>
                  </w:r>
                  <w:r>
                    <w:t>-</w:t>
                  </w:r>
                  <w:r>
                    <w:rPr>
                      <w:rFonts w:hint="eastAsia"/>
                    </w:rPr>
                    <w:t>90</w:t>
                  </w:r>
                </w:p>
              </w:tc>
              <w:tc>
                <w:tcPr>
                  <w:tcW w:w="898" w:type="pct"/>
                  <w:vMerge w:val="restart"/>
                  <w:vAlign w:val="center"/>
                </w:tcPr>
                <w:p w14:paraId="7F24A47C">
                  <w:pPr>
                    <w:pStyle w:val="12"/>
                    <w:ind w:left="0" w:leftChars="0" w:firstLine="0" w:firstLineChars="0"/>
                    <w:jc w:val="center"/>
                  </w:pPr>
                  <w:r>
                    <w:t>基础减振</w:t>
                  </w:r>
                </w:p>
              </w:tc>
              <w:tc>
                <w:tcPr>
                  <w:tcW w:w="964" w:type="pct"/>
                  <w:vMerge w:val="restart"/>
                  <w:vAlign w:val="center"/>
                </w:tcPr>
                <w:p w14:paraId="3BC7347D">
                  <w:pPr>
                    <w:pStyle w:val="12"/>
                    <w:ind w:left="0" w:leftChars="0" w:firstLine="0" w:firstLineChars="0"/>
                    <w:jc w:val="center"/>
                  </w:pPr>
                  <w:r>
                    <w:rPr>
                      <w:rFonts w:hint="eastAsia"/>
                    </w:rPr>
                    <w:t>0</w:t>
                  </w:r>
                  <w:r>
                    <w:t>：00-2</w:t>
                  </w:r>
                  <w:r>
                    <w:rPr>
                      <w:rFonts w:hint="eastAsia"/>
                    </w:rPr>
                    <w:t>4</w:t>
                  </w:r>
                  <w:r>
                    <w:t>：00</w:t>
                  </w:r>
                </w:p>
              </w:tc>
            </w:tr>
            <w:tr w14:paraId="43C52FD8">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85" w:type="pct"/>
                  <w:vAlign w:val="center"/>
                </w:tcPr>
                <w:p w14:paraId="72AD1B97">
                  <w:pPr>
                    <w:pStyle w:val="12"/>
                    <w:ind w:left="0" w:leftChars="0" w:firstLine="0" w:firstLineChars="0"/>
                    <w:jc w:val="center"/>
                  </w:pPr>
                  <w:r>
                    <w:t>2</w:t>
                  </w:r>
                </w:p>
              </w:tc>
              <w:tc>
                <w:tcPr>
                  <w:tcW w:w="836" w:type="pct"/>
                  <w:vAlign w:val="center"/>
                </w:tcPr>
                <w:p w14:paraId="76087227">
                  <w:pPr>
                    <w:jc w:val="center"/>
                  </w:pPr>
                  <w:r>
                    <w:rPr>
                      <w:rFonts w:hint="eastAsia"/>
                      <w:szCs w:val="21"/>
                    </w:rPr>
                    <w:t>污泥泵</w:t>
                  </w:r>
                </w:p>
              </w:tc>
              <w:tc>
                <w:tcPr>
                  <w:tcW w:w="751" w:type="pct"/>
                  <w:vAlign w:val="center"/>
                </w:tcPr>
                <w:p w14:paraId="3D103D93">
                  <w:pPr>
                    <w:pStyle w:val="12"/>
                    <w:ind w:left="0" w:leftChars="0" w:firstLine="0" w:firstLineChars="0"/>
                    <w:jc w:val="center"/>
                  </w:pPr>
                  <w:r>
                    <w:t>1</w:t>
                  </w:r>
                </w:p>
              </w:tc>
              <w:tc>
                <w:tcPr>
                  <w:tcW w:w="1163" w:type="pct"/>
                  <w:vAlign w:val="center"/>
                </w:tcPr>
                <w:p w14:paraId="33171089">
                  <w:pPr>
                    <w:pStyle w:val="12"/>
                    <w:ind w:left="0" w:leftChars="0" w:firstLine="0" w:firstLineChars="0"/>
                    <w:jc w:val="center"/>
                  </w:pPr>
                  <w:r>
                    <w:t>70-80</w:t>
                  </w:r>
                </w:p>
              </w:tc>
              <w:tc>
                <w:tcPr>
                  <w:tcW w:w="898" w:type="pct"/>
                  <w:vMerge w:val="continue"/>
                  <w:vAlign w:val="center"/>
                </w:tcPr>
                <w:p w14:paraId="16E23356">
                  <w:pPr>
                    <w:pStyle w:val="12"/>
                    <w:ind w:left="0" w:leftChars="0" w:firstLine="0" w:firstLineChars="0"/>
                    <w:jc w:val="center"/>
                  </w:pPr>
                </w:p>
              </w:tc>
              <w:tc>
                <w:tcPr>
                  <w:tcW w:w="964" w:type="pct"/>
                  <w:vMerge w:val="continue"/>
                  <w:vAlign w:val="center"/>
                </w:tcPr>
                <w:p w14:paraId="7ED81C5E">
                  <w:pPr>
                    <w:pStyle w:val="12"/>
                    <w:ind w:left="0" w:leftChars="0" w:firstLine="0" w:firstLineChars="0"/>
                    <w:jc w:val="center"/>
                  </w:pPr>
                </w:p>
              </w:tc>
            </w:tr>
            <w:tr w14:paraId="5D470F73">
              <w:tblPrEx>
                <w:tblBorders>
                  <w:top w:val="single" w:color="auto" w:sz="12" w:space="0"/>
                  <w:left w:val="single" w:color="auto" w:sz="12" w:space="0"/>
                  <w:bottom w:val="single" w:color="auto" w:sz="12" w:space="0"/>
                  <w:right w:val="single" w:color="auto" w:sz="12" w:space="0"/>
                  <w:insideH w:val="single" w:color="000000" w:sz="6" w:space="0"/>
                  <w:insideV w:val="single" w:color="000000" w:sz="6" w:space="0"/>
                </w:tblBorders>
              </w:tblPrEx>
              <w:trPr>
                <w:trHeight w:val="397" w:hRule="atLeast"/>
                <w:jc w:val="center"/>
              </w:trPr>
              <w:tc>
                <w:tcPr>
                  <w:tcW w:w="385" w:type="pct"/>
                  <w:vAlign w:val="center"/>
                </w:tcPr>
                <w:p w14:paraId="7EC9484F">
                  <w:pPr>
                    <w:pStyle w:val="12"/>
                    <w:ind w:left="0" w:leftChars="0" w:firstLine="0" w:firstLineChars="0"/>
                    <w:jc w:val="center"/>
                  </w:pPr>
                  <w:r>
                    <w:rPr>
                      <w:rFonts w:hint="eastAsia"/>
                    </w:rPr>
                    <w:t>3</w:t>
                  </w:r>
                </w:p>
              </w:tc>
              <w:tc>
                <w:tcPr>
                  <w:tcW w:w="836" w:type="pct"/>
                  <w:vAlign w:val="center"/>
                </w:tcPr>
                <w:p w14:paraId="0AE7EC8C">
                  <w:pPr>
                    <w:widowControl/>
                    <w:adjustRightInd w:val="0"/>
                    <w:snapToGrid w:val="0"/>
                    <w:jc w:val="center"/>
                    <w:rPr>
                      <w:szCs w:val="21"/>
                    </w:rPr>
                  </w:pPr>
                  <w:r>
                    <w:rPr>
                      <w:rFonts w:hint="eastAsia"/>
                      <w:color w:val="000000"/>
                      <w:kern w:val="0"/>
                      <w:szCs w:val="21"/>
                    </w:rPr>
                    <w:t>空调外机</w:t>
                  </w:r>
                </w:p>
              </w:tc>
              <w:tc>
                <w:tcPr>
                  <w:tcW w:w="751" w:type="pct"/>
                  <w:vAlign w:val="center"/>
                </w:tcPr>
                <w:p w14:paraId="7E6A756C">
                  <w:pPr>
                    <w:pStyle w:val="12"/>
                    <w:ind w:left="0" w:leftChars="0" w:firstLine="0" w:firstLineChars="0"/>
                    <w:jc w:val="center"/>
                  </w:pPr>
                  <w:r>
                    <w:rPr>
                      <w:rFonts w:hint="eastAsia"/>
                    </w:rPr>
                    <w:t>40</w:t>
                  </w:r>
                </w:p>
              </w:tc>
              <w:tc>
                <w:tcPr>
                  <w:tcW w:w="1163" w:type="pct"/>
                  <w:vAlign w:val="center"/>
                </w:tcPr>
                <w:p w14:paraId="5527A3C6">
                  <w:pPr>
                    <w:pStyle w:val="12"/>
                    <w:ind w:left="0" w:leftChars="0" w:firstLine="0" w:firstLineChars="0"/>
                    <w:jc w:val="center"/>
                  </w:pPr>
                  <w:r>
                    <w:rPr>
                      <w:rFonts w:hint="eastAsia"/>
                    </w:rPr>
                    <w:t>60-70</w:t>
                  </w:r>
                </w:p>
              </w:tc>
              <w:tc>
                <w:tcPr>
                  <w:tcW w:w="898" w:type="pct"/>
                  <w:vMerge w:val="continue"/>
                  <w:vAlign w:val="center"/>
                </w:tcPr>
                <w:p w14:paraId="6CC2C05D">
                  <w:pPr>
                    <w:pStyle w:val="12"/>
                    <w:ind w:left="0" w:leftChars="0" w:firstLine="0" w:firstLineChars="0"/>
                    <w:jc w:val="center"/>
                  </w:pPr>
                </w:p>
              </w:tc>
              <w:tc>
                <w:tcPr>
                  <w:tcW w:w="964" w:type="pct"/>
                  <w:vMerge w:val="continue"/>
                  <w:vAlign w:val="center"/>
                </w:tcPr>
                <w:p w14:paraId="065A9D09">
                  <w:pPr>
                    <w:pStyle w:val="12"/>
                    <w:ind w:left="0" w:leftChars="0" w:firstLine="0" w:firstLineChars="0"/>
                    <w:jc w:val="center"/>
                  </w:pPr>
                </w:p>
              </w:tc>
            </w:tr>
          </w:tbl>
          <w:p w14:paraId="47564279">
            <w:pPr>
              <w:tabs>
                <w:tab w:val="left" w:pos="2196"/>
              </w:tabs>
              <w:spacing w:line="360" w:lineRule="auto"/>
              <w:jc w:val="center"/>
              <w:rPr>
                <w:b/>
                <w:sz w:val="24"/>
                <w:szCs w:val="24"/>
              </w:rPr>
            </w:pPr>
            <w:r>
              <w:rPr>
                <w:rFonts w:hint="eastAsia"/>
                <w:b/>
                <w:sz w:val="24"/>
                <w:szCs w:val="24"/>
              </w:rPr>
              <w:t>表4-</w:t>
            </w:r>
            <w:r>
              <w:rPr>
                <w:rFonts w:hint="eastAsia"/>
                <w:b/>
                <w:sz w:val="24"/>
                <w:szCs w:val="24"/>
                <w:lang w:val="en-US" w:eastAsia="zh-CN"/>
              </w:rPr>
              <w:t>15</w:t>
            </w:r>
            <w:r>
              <w:rPr>
                <w:rFonts w:hint="eastAsia"/>
                <w:b/>
                <w:sz w:val="24"/>
                <w:szCs w:val="24"/>
              </w:rPr>
              <w:t xml:space="preserve">  </w:t>
            </w:r>
            <w:r>
              <w:rPr>
                <w:b/>
                <w:sz w:val="24"/>
                <w:szCs w:val="24"/>
              </w:rPr>
              <w:t>噪声源信息表</w:t>
            </w:r>
          </w:p>
          <w:tbl>
            <w:tblPr>
              <w:tblStyle w:val="47"/>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1"/>
              <w:gridCol w:w="696"/>
              <w:gridCol w:w="630"/>
              <w:gridCol w:w="700"/>
              <w:gridCol w:w="579"/>
              <w:gridCol w:w="574"/>
              <w:gridCol w:w="637"/>
              <w:gridCol w:w="505"/>
              <w:gridCol w:w="545"/>
              <w:gridCol w:w="558"/>
              <w:gridCol w:w="693"/>
              <w:gridCol w:w="594"/>
              <w:gridCol w:w="700"/>
              <w:gridCol w:w="431"/>
            </w:tblGrid>
            <w:tr w14:paraId="07E5ED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Merge w:val="restart"/>
                  <w:vAlign w:val="center"/>
                </w:tcPr>
                <w:p w14:paraId="5340EE27">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序号</w:t>
                  </w:r>
                </w:p>
              </w:tc>
              <w:tc>
                <w:tcPr>
                  <w:tcW w:w="708" w:type="dxa"/>
                  <w:vMerge w:val="restart"/>
                  <w:vAlign w:val="center"/>
                </w:tcPr>
                <w:p w14:paraId="7CFD31F8">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声源名称</w:t>
                  </w:r>
                </w:p>
              </w:tc>
              <w:tc>
                <w:tcPr>
                  <w:tcW w:w="641" w:type="dxa"/>
                  <w:vMerge w:val="restart"/>
                  <w:vAlign w:val="center"/>
                </w:tcPr>
                <w:p w14:paraId="1872F533">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数量</w:t>
                  </w:r>
                </w:p>
              </w:tc>
              <w:tc>
                <w:tcPr>
                  <w:tcW w:w="712" w:type="dxa"/>
                  <w:vMerge w:val="restart"/>
                  <w:vAlign w:val="center"/>
                </w:tcPr>
                <w:p w14:paraId="0D3573FB">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声功率级/dB（A）</w:t>
                  </w:r>
                </w:p>
              </w:tc>
              <w:tc>
                <w:tcPr>
                  <w:tcW w:w="589" w:type="dxa"/>
                  <w:vMerge w:val="restart"/>
                  <w:vAlign w:val="center"/>
                </w:tcPr>
                <w:p w14:paraId="56AF1E7A">
                  <w:pPr>
                    <w:jc w:val="center"/>
                    <w:rPr>
                      <w:b/>
                      <w:color w:val="000000"/>
                      <w:u w:val="none"/>
                    </w:rPr>
                  </w:pPr>
                  <w:r>
                    <w:rPr>
                      <w:b/>
                      <w:color w:val="000000"/>
                      <w:u w:val="none"/>
                    </w:rPr>
                    <w:t>声源控制措施</w:t>
                  </w:r>
                </w:p>
              </w:tc>
              <w:tc>
                <w:tcPr>
                  <w:tcW w:w="1746" w:type="dxa"/>
                  <w:gridSpan w:val="3"/>
                  <w:vAlign w:val="center"/>
                </w:tcPr>
                <w:p w14:paraId="1731144D">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空间相对位置</w:t>
                  </w:r>
                </w:p>
              </w:tc>
              <w:tc>
                <w:tcPr>
                  <w:tcW w:w="554" w:type="dxa"/>
                  <w:vMerge w:val="restart"/>
                  <w:vAlign w:val="center"/>
                </w:tcPr>
                <w:p w14:paraId="50E4899D">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距室内边界距离m</w:t>
                  </w:r>
                </w:p>
              </w:tc>
              <w:tc>
                <w:tcPr>
                  <w:tcW w:w="568" w:type="dxa"/>
                  <w:vMerge w:val="restart"/>
                  <w:vAlign w:val="center"/>
                </w:tcPr>
                <w:p w14:paraId="6A803C5A">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室内边界声级dB（A）</w:t>
                  </w:r>
                </w:p>
              </w:tc>
              <w:tc>
                <w:tcPr>
                  <w:tcW w:w="705" w:type="dxa"/>
                  <w:vMerge w:val="restart"/>
                  <w:vAlign w:val="center"/>
                </w:tcPr>
                <w:p w14:paraId="54982D40">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运行</w:t>
                  </w:r>
                </w:p>
                <w:p w14:paraId="6D0CC0F2">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时段</w:t>
                  </w:r>
                </w:p>
              </w:tc>
              <w:tc>
                <w:tcPr>
                  <w:tcW w:w="604" w:type="dxa"/>
                  <w:vMerge w:val="restart"/>
                  <w:vAlign w:val="center"/>
                </w:tcPr>
                <w:p w14:paraId="1D52F5CF">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建筑物插入损失/dB（A）</w:t>
                  </w:r>
                </w:p>
              </w:tc>
              <w:tc>
                <w:tcPr>
                  <w:tcW w:w="1150" w:type="dxa"/>
                  <w:gridSpan w:val="2"/>
                  <w:vAlign w:val="center"/>
                </w:tcPr>
                <w:p w14:paraId="12ACBD46">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建筑物外噪声</w:t>
                  </w:r>
                </w:p>
              </w:tc>
            </w:tr>
            <w:tr w14:paraId="21AE6A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Merge w:val="continue"/>
                  <w:vAlign w:val="center"/>
                </w:tcPr>
                <w:p w14:paraId="1ACDE976">
                  <w:pPr>
                    <w:pStyle w:val="115"/>
                    <w:adjustRightInd/>
                    <w:snapToGrid/>
                    <w:spacing w:beforeLines="0" w:line="240" w:lineRule="auto"/>
                    <w:jc w:val="center"/>
                    <w:rPr>
                      <w:rFonts w:ascii="Times New Roman" w:hAnsi="Times New Roman"/>
                      <w:b/>
                      <w:bCs/>
                      <w:color w:val="000000"/>
                      <w:szCs w:val="21"/>
                      <w:u w:val="none"/>
                    </w:rPr>
                  </w:pPr>
                </w:p>
              </w:tc>
              <w:tc>
                <w:tcPr>
                  <w:tcW w:w="708" w:type="dxa"/>
                  <w:vMerge w:val="continue"/>
                  <w:vAlign w:val="center"/>
                </w:tcPr>
                <w:p w14:paraId="68820DB6">
                  <w:pPr>
                    <w:pStyle w:val="115"/>
                    <w:adjustRightInd/>
                    <w:snapToGrid/>
                    <w:spacing w:beforeLines="0" w:line="240" w:lineRule="auto"/>
                    <w:jc w:val="center"/>
                    <w:rPr>
                      <w:rFonts w:ascii="Times New Roman" w:hAnsi="Times New Roman"/>
                      <w:b/>
                      <w:bCs/>
                      <w:color w:val="000000"/>
                      <w:szCs w:val="21"/>
                      <w:u w:val="none"/>
                    </w:rPr>
                  </w:pPr>
                </w:p>
              </w:tc>
              <w:tc>
                <w:tcPr>
                  <w:tcW w:w="641" w:type="dxa"/>
                  <w:vMerge w:val="continue"/>
                  <w:vAlign w:val="center"/>
                </w:tcPr>
                <w:p w14:paraId="6054E1A5">
                  <w:pPr>
                    <w:pStyle w:val="115"/>
                    <w:adjustRightInd/>
                    <w:snapToGrid/>
                    <w:spacing w:beforeLines="0" w:line="240" w:lineRule="auto"/>
                    <w:jc w:val="center"/>
                    <w:rPr>
                      <w:rFonts w:ascii="Times New Roman" w:hAnsi="Times New Roman"/>
                      <w:b/>
                      <w:bCs/>
                      <w:color w:val="000000"/>
                      <w:szCs w:val="21"/>
                      <w:u w:val="none"/>
                    </w:rPr>
                  </w:pPr>
                </w:p>
              </w:tc>
              <w:tc>
                <w:tcPr>
                  <w:tcW w:w="712" w:type="dxa"/>
                  <w:vMerge w:val="continue"/>
                  <w:vAlign w:val="center"/>
                </w:tcPr>
                <w:p w14:paraId="336171AD">
                  <w:pPr>
                    <w:pStyle w:val="115"/>
                    <w:adjustRightInd/>
                    <w:snapToGrid/>
                    <w:spacing w:beforeLines="0" w:line="240" w:lineRule="auto"/>
                    <w:jc w:val="center"/>
                    <w:rPr>
                      <w:rFonts w:ascii="Times New Roman" w:hAnsi="Times New Roman"/>
                      <w:b/>
                      <w:bCs/>
                      <w:color w:val="000000"/>
                      <w:szCs w:val="21"/>
                      <w:u w:val="none"/>
                    </w:rPr>
                  </w:pPr>
                </w:p>
              </w:tc>
              <w:tc>
                <w:tcPr>
                  <w:tcW w:w="589" w:type="dxa"/>
                  <w:vMerge w:val="continue"/>
                  <w:vAlign w:val="center"/>
                </w:tcPr>
                <w:p w14:paraId="3C52C18E">
                  <w:pPr>
                    <w:jc w:val="center"/>
                    <w:rPr>
                      <w:b/>
                      <w:color w:val="000000"/>
                      <w:u w:val="none"/>
                    </w:rPr>
                  </w:pPr>
                </w:p>
              </w:tc>
              <w:tc>
                <w:tcPr>
                  <w:tcW w:w="584" w:type="dxa"/>
                  <w:vAlign w:val="center"/>
                </w:tcPr>
                <w:p w14:paraId="4DD837E8">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X</w:t>
                  </w:r>
                </w:p>
              </w:tc>
              <w:tc>
                <w:tcPr>
                  <w:tcW w:w="648" w:type="dxa"/>
                  <w:vAlign w:val="center"/>
                </w:tcPr>
                <w:p w14:paraId="7AE59884">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Y</w:t>
                  </w:r>
                </w:p>
              </w:tc>
              <w:tc>
                <w:tcPr>
                  <w:tcW w:w="514" w:type="dxa"/>
                  <w:vAlign w:val="center"/>
                </w:tcPr>
                <w:p w14:paraId="55190CF8">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Z</w:t>
                  </w:r>
                </w:p>
              </w:tc>
              <w:tc>
                <w:tcPr>
                  <w:tcW w:w="554" w:type="dxa"/>
                  <w:vMerge w:val="continue"/>
                  <w:vAlign w:val="center"/>
                </w:tcPr>
                <w:p w14:paraId="3D135A3D">
                  <w:pPr>
                    <w:pStyle w:val="115"/>
                    <w:adjustRightInd/>
                    <w:snapToGrid/>
                    <w:spacing w:beforeLines="0" w:line="240" w:lineRule="auto"/>
                    <w:jc w:val="center"/>
                    <w:rPr>
                      <w:rFonts w:ascii="Times New Roman" w:hAnsi="Times New Roman"/>
                      <w:b/>
                      <w:bCs/>
                      <w:color w:val="000000"/>
                      <w:szCs w:val="21"/>
                      <w:u w:val="none"/>
                    </w:rPr>
                  </w:pPr>
                </w:p>
              </w:tc>
              <w:tc>
                <w:tcPr>
                  <w:tcW w:w="568" w:type="dxa"/>
                  <w:vMerge w:val="continue"/>
                  <w:vAlign w:val="center"/>
                </w:tcPr>
                <w:p w14:paraId="2A79AF54">
                  <w:pPr>
                    <w:pStyle w:val="115"/>
                    <w:adjustRightInd/>
                    <w:snapToGrid/>
                    <w:spacing w:beforeLines="0" w:line="240" w:lineRule="auto"/>
                    <w:jc w:val="center"/>
                    <w:rPr>
                      <w:rFonts w:ascii="Times New Roman" w:hAnsi="Times New Roman"/>
                      <w:b/>
                      <w:bCs/>
                      <w:color w:val="000000"/>
                      <w:szCs w:val="21"/>
                      <w:u w:val="none"/>
                    </w:rPr>
                  </w:pPr>
                </w:p>
              </w:tc>
              <w:tc>
                <w:tcPr>
                  <w:tcW w:w="705" w:type="dxa"/>
                  <w:vMerge w:val="continue"/>
                  <w:vAlign w:val="center"/>
                </w:tcPr>
                <w:p w14:paraId="1947E2D7">
                  <w:pPr>
                    <w:pStyle w:val="115"/>
                    <w:adjustRightInd/>
                    <w:snapToGrid/>
                    <w:spacing w:beforeLines="0" w:line="240" w:lineRule="auto"/>
                    <w:jc w:val="center"/>
                    <w:rPr>
                      <w:rFonts w:ascii="Times New Roman" w:hAnsi="Times New Roman"/>
                      <w:b/>
                      <w:bCs/>
                      <w:color w:val="000000"/>
                      <w:szCs w:val="21"/>
                      <w:u w:val="none"/>
                    </w:rPr>
                  </w:pPr>
                </w:p>
              </w:tc>
              <w:tc>
                <w:tcPr>
                  <w:tcW w:w="604" w:type="dxa"/>
                  <w:vMerge w:val="continue"/>
                  <w:vAlign w:val="center"/>
                </w:tcPr>
                <w:p w14:paraId="75D603DB">
                  <w:pPr>
                    <w:pStyle w:val="115"/>
                    <w:adjustRightInd/>
                    <w:snapToGrid/>
                    <w:spacing w:beforeLines="0" w:line="240" w:lineRule="auto"/>
                    <w:jc w:val="center"/>
                    <w:rPr>
                      <w:rFonts w:ascii="Times New Roman" w:hAnsi="Times New Roman"/>
                      <w:b/>
                      <w:bCs/>
                      <w:color w:val="000000"/>
                      <w:szCs w:val="21"/>
                      <w:u w:val="none"/>
                    </w:rPr>
                  </w:pPr>
                </w:p>
              </w:tc>
              <w:tc>
                <w:tcPr>
                  <w:tcW w:w="712" w:type="dxa"/>
                  <w:vAlign w:val="center"/>
                </w:tcPr>
                <w:p w14:paraId="2E5ED9C7">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声压级/dB（A）</w:t>
                  </w:r>
                </w:p>
              </w:tc>
              <w:tc>
                <w:tcPr>
                  <w:tcW w:w="438" w:type="dxa"/>
                  <w:vAlign w:val="center"/>
                </w:tcPr>
                <w:p w14:paraId="07D56C75">
                  <w:pPr>
                    <w:pStyle w:val="115"/>
                    <w:adjustRightInd/>
                    <w:snapToGrid/>
                    <w:spacing w:beforeLines="0" w:line="240" w:lineRule="auto"/>
                    <w:jc w:val="center"/>
                    <w:rPr>
                      <w:rFonts w:ascii="Times New Roman" w:hAnsi="Times New Roman"/>
                      <w:b/>
                      <w:bCs/>
                      <w:color w:val="000000"/>
                      <w:szCs w:val="21"/>
                      <w:u w:val="none"/>
                    </w:rPr>
                  </w:pPr>
                  <w:r>
                    <w:rPr>
                      <w:rFonts w:ascii="Times New Roman" w:hAnsi="Times New Roman"/>
                      <w:b/>
                      <w:bCs/>
                      <w:color w:val="000000"/>
                      <w:szCs w:val="21"/>
                      <w:u w:val="none"/>
                    </w:rPr>
                    <w:t>建筑物外距离/m</w:t>
                  </w:r>
                </w:p>
              </w:tc>
            </w:tr>
            <w:tr w14:paraId="71699E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3B40E0BF">
                  <w:pPr>
                    <w:pStyle w:val="115"/>
                    <w:spacing w:before="24" w:line="240" w:lineRule="auto"/>
                    <w:jc w:val="center"/>
                    <w:rPr>
                      <w:rFonts w:ascii="Times New Roman" w:hAnsi="Times New Roman"/>
                      <w:bCs/>
                      <w:color w:val="000000"/>
                      <w:szCs w:val="21"/>
                      <w:u w:val="none"/>
                    </w:rPr>
                  </w:pPr>
                  <w:r>
                    <w:rPr>
                      <w:rFonts w:ascii="Times New Roman" w:hAnsi="Times New Roman"/>
                      <w:color w:val="000000"/>
                      <w:szCs w:val="21"/>
                      <w:u w:val="none"/>
                    </w:rPr>
                    <w:t>1</w:t>
                  </w:r>
                </w:p>
              </w:tc>
              <w:tc>
                <w:tcPr>
                  <w:tcW w:w="708" w:type="dxa"/>
                  <w:vAlign w:val="center"/>
                </w:tcPr>
                <w:p w14:paraId="42FAD9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szCs w:val="21"/>
                      <w:u w:val="none"/>
                    </w:rPr>
                  </w:pPr>
                  <w:r>
                    <w:rPr>
                      <w:rFonts w:hint="default" w:eastAsia="宋体"/>
                      <w:b w:val="0"/>
                      <w:bCs w:val="0"/>
                      <w:color w:val="000000"/>
                      <w:kern w:val="0"/>
                      <w:sz w:val="21"/>
                      <w:szCs w:val="21"/>
                      <w:u w:val="none"/>
                      <w:vertAlign w:val="baseline"/>
                      <w:lang w:val="en-US" w:eastAsia="zh-CN"/>
                    </w:rPr>
                    <w:t>DR</w:t>
                  </w:r>
                </w:p>
              </w:tc>
              <w:tc>
                <w:tcPr>
                  <w:tcW w:w="641" w:type="dxa"/>
                  <w:vAlign w:val="center"/>
                </w:tcPr>
                <w:p w14:paraId="2C6F37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41B5574E">
                  <w:pPr>
                    <w:jc w:val="center"/>
                    <w:rPr>
                      <w:color w:val="000000"/>
                      <w:szCs w:val="21"/>
                      <w:u w:val="none"/>
                    </w:rPr>
                  </w:pPr>
                  <w:r>
                    <w:rPr>
                      <w:rFonts w:hint="eastAsia"/>
                      <w:color w:val="000000"/>
                      <w:szCs w:val="21"/>
                      <w:u w:val="none"/>
                    </w:rPr>
                    <w:t>60-70</w:t>
                  </w:r>
                </w:p>
              </w:tc>
              <w:tc>
                <w:tcPr>
                  <w:tcW w:w="589" w:type="dxa"/>
                  <w:vMerge w:val="restart"/>
                  <w:vAlign w:val="center"/>
                </w:tcPr>
                <w:p w14:paraId="64E319EF">
                  <w:pPr>
                    <w:jc w:val="center"/>
                    <w:rPr>
                      <w:color w:val="000000"/>
                      <w:szCs w:val="21"/>
                      <w:u w:val="none"/>
                    </w:rPr>
                  </w:pPr>
                  <w:r>
                    <w:rPr>
                      <w:color w:val="000000"/>
                      <w:szCs w:val="21"/>
                      <w:u w:val="none"/>
                    </w:rPr>
                    <w:t>减震、隔声、消声、吸声、距离衰减等</w:t>
                  </w:r>
                </w:p>
              </w:tc>
              <w:tc>
                <w:tcPr>
                  <w:tcW w:w="584" w:type="dxa"/>
                  <w:vAlign w:val="center"/>
                </w:tcPr>
                <w:p w14:paraId="7766D46A">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231.06</w:t>
                  </w:r>
                </w:p>
              </w:tc>
              <w:tc>
                <w:tcPr>
                  <w:tcW w:w="648" w:type="dxa"/>
                  <w:vAlign w:val="center"/>
                </w:tcPr>
                <w:p w14:paraId="3EEFEA9B">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124.25</w:t>
                  </w:r>
                </w:p>
              </w:tc>
              <w:tc>
                <w:tcPr>
                  <w:tcW w:w="514" w:type="dxa"/>
                  <w:vAlign w:val="center"/>
                </w:tcPr>
                <w:p w14:paraId="15081F24">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739F71F4">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5</w:t>
                  </w:r>
                </w:p>
              </w:tc>
              <w:tc>
                <w:tcPr>
                  <w:tcW w:w="568" w:type="dxa"/>
                  <w:vAlign w:val="center"/>
                </w:tcPr>
                <w:p w14:paraId="46E3A197">
                  <w:pPr>
                    <w:pStyle w:val="115"/>
                    <w:adjustRightInd/>
                    <w:snapToGrid/>
                    <w:spacing w:beforeLines="0" w:line="240" w:lineRule="auto"/>
                    <w:jc w:val="center"/>
                    <w:rPr>
                      <w:rFonts w:hint="default" w:ascii="Times New Roman" w:hAnsi="Times New Roman" w:eastAsia="宋体"/>
                      <w:color w:val="000000"/>
                      <w:kern w:val="0"/>
                      <w:szCs w:val="21"/>
                      <w:u w:val="none"/>
                      <w:lang w:val="en-US" w:eastAsia="zh-CN" w:bidi="en-US"/>
                    </w:rPr>
                  </w:pPr>
                  <w:r>
                    <w:rPr>
                      <w:rFonts w:hint="eastAsia" w:ascii="Times New Roman" w:hAnsi="Times New Roman"/>
                      <w:color w:val="000000"/>
                      <w:kern w:val="0"/>
                      <w:szCs w:val="21"/>
                      <w:u w:val="none"/>
                      <w:lang w:val="en-US" w:eastAsia="zh-CN" w:bidi="en-US"/>
                    </w:rPr>
                    <w:t>54</w:t>
                  </w:r>
                </w:p>
              </w:tc>
              <w:tc>
                <w:tcPr>
                  <w:tcW w:w="705" w:type="dxa"/>
                  <w:vMerge w:val="restart"/>
                  <w:vAlign w:val="center"/>
                </w:tcPr>
                <w:p w14:paraId="25BAF2C0">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color w:val="000000"/>
                      <w:kern w:val="0"/>
                      <w:szCs w:val="21"/>
                      <w:u w:val="none"/>
                      <w:lang w:val="en-US" w:eastAsia="zh-CN" w:bidi="en-US"/>
                    </w:rPr>
                    <w:t>0</w:t>
                  </w:r>
                  <w:r>
                    <w:rPr>
                      <w:rFonts w:ascii="Times New Roman" w:hAnsi="Times New Roman"/>
                      <w:color w:val="000000"/>
                      <w:kern w:val="0"/>
                      <w:szCs w:val="21"/>
                      <w:u w:val="none"/>
                      <w:lang w:bidi="en-US"/>
                    </w:rPr>
                    <w:t>：00-24：00</w:t>
                  </w:r>
                </w:p>
              </w:tc>
              <w:tc>
                <w:tcPr>
                  <w:tcW w:w="604" w:type="dxa"/>
                  <w:vAlign w:val="center"/>
                </w:tcPr>
                <w:p w14:paraId="0FFF81E0">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15</w:t>
                  </w:r>
                </w:p>
              </w:tc>
              <w:tc>
                <w:tcPr>
                  <w:tcW w:w="712" w:type="dxa"/>
                  <w:vAlign w:val="center"/>
                </w:tcPr>
                <w:p w14:paraId="582624D9">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39</w:t>
                  </w:r>
                </w:p>
              </w:tc>
              <w:tc>
                <w:tcPr>
                  <w:tcW w:w="438" w:type="dxa"/>
                  <w:vAlign w:val="center"/>
                </w:tcPr>
                <w:p w14:paraId="4A6074B2">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1E6914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7BF8BCF7">
                  <w:pPr>
                    <w:pStyle w:val="115"/>
                    <w:spacing w:before="24"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2</w:t>
                  </w:r>
                </w:p>
              </w:tc>
              <w:tc>
                <w:tcPr>
                  <w:tcW w:w="708" w:type="dxa"/>
                  <w:vAlign w:val="center"/>
                </w:tcPr>
                <w:p w14:paraId="10764E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szCs w:val="21"/>
                      <w:u w:val="none"/>
                    </w:rPr>
                  </w:pPr>
                  <w:r>
                    <w:rPr>
                      <w:rFonts w:hint="eastAsia" w:eastAsia="宋体"/>
                      <w:b w:val="0"/>
                      <w:bCs w:val="0"/>
                      <w:color w:val="000000"/>
                      <w:kern w:val="0"/>
                      <w:sz w:val="21"/>
                      <w:szCs w:val="21"/>
                      <w:u w:val="none"/>
                      <w:vertAlign w:val="baseline"/>
                      <w:lang w:val="en-US" w:eastAsia="zh-CN"/>
                    </w:rPr>
                    <w:t>心电图机</w:t>
                  </w:r>
                </w:p>
              </w:tc>
              <w:tc>
                <w:tcPr>
                  <w:tcW w:w="641" w:type="dxa"/>
                  <w:vAlign w:val="center"/>
                </w:tcPr>
                <w:p w14:paraId="25ABD8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b w:val="0"/>
                      <w:bCs w:val="0"/>
                      <w:color w:val="000000"/>
                      <w:kern w:val="0"/>
                      <w:sz w:val="21"/>
                      <w:szCs w:val="21"/>
                      <w:u w:val="none"/>
                      <w:vertAlign w:val="baseline"/>
                      <w:lang w:val="en-US" w:eastAsia="zh-CN"/>
                    </w:rPr>
                    <w:t>1</w:t>
                  </w:r>
                </w:p>
              </w:tc>
              <w:tc>
                <w:tcPr>
                  <w:tcW w:w="712" w:type="dxa"/>
                  <w:vAlign w:val="center"/>
                </w:tcPr>
                <w:p w14:paraId="4C905C95">
                  <w:pPr>
                    <w:jc w:val="center"/>
                    <w:rPr>
                      <w:color w:val="000000"/>
                      <w:szCs w:val="21"/>
                      <w:u w:val="none"/>
                    </w:rPr>
                  </w:pPr>
                  <w:r>
                    <w:rPr>
                      <w:rFonts w:hint="eastAsia"/>
                      <w:color w:val="000000"/>
                      <w:szCs w:val="21"/>
                      <w:u w:val="none"/>
                    </w:rPr>
                    <w:t>50-60</w:t>
                  </w:r>
                </w:p>
              </w:tc>
              <w:tc>
                <w:tcPr>
                  <w:tcW w:w="589" w:type="dxa"/>
                  <w:vMerge w:val="continue"/>
                  <w:vAlign w:val="center"/>
                </w:tcPr>
                <w:p w14:paraId="593CA91A">
                  <w:pPr>
                    <w:jc w:val="center"/>
                    <w:rPr>
                      <w:color w:val="000000"/>
                      <w:szCs w:val="21"/>
                      <w:u w:val="none"/>
                    </w:rPr>
                  </w:pPr>
                </w:p>
              </w:tc>
              <w:tc>
                <w:tcPr>
                  <w:tcW w:w="584" w:type="dxa"/>
                  <w:vAlign w:val="center"/>
                </w:tcPr>
                <w:p w14:paraId="073036A5">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228.29</w:t>
                  </w:r>
                </w:p>
              </w:tc>
              <w:tc>
                <w:tcPr>
                  <w:tcW w:w="648" w:type="dxa"/>
                  <w:vAlign w:val="center"/>
                </w:tcPr>
                <w:p w14:paraId="5FAD1681">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124.3</w:t>
                  </w:r>
                </w:p>
              </w:tc>
              <w:tc>
                <w:tcPr>
                  <w:tcW w:w="514" w:type="dxa"/>
                  <w:vAlign w:val="center"/>
                </w:tcPr>
                <w:p w14:paraId="0E454668">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12AABAB5">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10</w:t>
                  </w:r>
                </w:p>
              </w:tc>
              <w:tc>
                <w:tcPr>
                  <w:tcW w:w="568" w:type="dxa"/>
                  <w:vAlign w:val="center"/>
                </w:tcPr>
                <w:p w14:paraId="3AC96AB3">
                  <w:pPr>
                    <w:jc w:val="center"/>
                    <w:rPr>
                      <w:rFonts w:hint="default" w:eastAsia="宋体"/>
                      <w:color w:val="000000"/>
                      <w:u w:val="none"/>
                      <w:lang w:val="en-US" w:eastAsia="zh-CN"/>
                    </w:rPr>
                  </w:pPr>
                  <w:r>
                    <w:rPr>
                      <w:rFonts w:hint="eastAsia"/>
                      <w:color w:val="000000"/>
                      <w:u w:val="none"/>
                      <w:lang w:val="en-US" w:eastAsia="zh-CN"/>
                    </w:rPr>
                    <w:t>44</w:t>
                  </w:r>
                </w:p>
              </w:tc>
              <w:tc>
                <w:tcPr>
                  <w:tcW w:w="705" w:type="dxa"/>
                  <w:vMerge w:val="continue"/>
                  <w:vAlign w:val="center"/>
                </w:tcPr>
                <w:p w14:paraId="5C0F30AA">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4DCAC937">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77962C8D">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29</w:t>
                  </w:r>
                </w:p>
              </w:tc>
              <w:tc>
                <w:tcPr>
                  <w:tcW w:w="438" w:type="dxa"/>
                  <w:vAlign w:val="center"/>
                </w:tcPr>
                <w:p w14:paraId="57381ACD">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438F91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404FA648">
                  <w:pPr>
                    <w:pStyle w:val="115"/>
                    <w:spacing w:before="24"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3</w:t>
                  </w:r>
                </w:p>
              </w:tc>
              <w:tc>
                <w:tcPr>
                  <w:tcW w:w="708" w:type="dxa"/>
                  <w:vAlign w:val="center"/>
                </w:tcPr>
                <w:p w14:paraId="4AAAFF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 w:val="21"/>
                      <w:szCs w:val="21"/>
                      <w:u w:val="none"/>
                    </w:rPr>
                  </w:pPr>
                  <w:r>
                    <w:rPr>
                      <w:rFonts w:hint="eastAsia" w:eastAsia="宋体"/>
                      <w:b w:val="0"/>
                      <w:bCs w:val="0"/>
                      <w:color w:val="000000"/>
                      <w:kern w:val="0"/>
                      <w:sz w:val="21"/>
                      <w:szCs w:val="21"/>
                      <w:u w:val="none"/>
                      <w:vertAlign w:val="baseline"/>
                      <w:lang w:val="en-US" w:eastAsia="zh-CN"/>
                    </w:rPr>
                    <w:t>心超</w:t>
                  </w:r>
                </w:p>
              </w:tc>
              <w:tc>
                <w:tcPr>
                  <w:tcW w:w="641" w:type="dxa"/>
                  <w:vAlign w:val="center"/>
                </w:tcPr>
                <w:p w14:paraId="1D1DBD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 w:val="21"/>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19061931">
                  <w:pPr>
                    <w:jc w:val="center"/>
                    <w:rPr>
                      <w:color w:val="000000"/>
                      <w:szCs w:val="21"/>
                      <w:u w:val="none"/>
                    </w:rPr>
                  </w:pPr>
                  <w:r>
                    <w:rPr>
                      <w:rFonts w:hint="eastAsia"/>
                      <w:color w:val="000000"/>
                      <w:szCs w:val="21"/>
                      <w:u w:val="none"/>
                    </w:rPr>
                    <w:t>50-60</w:t>
                  </w:r>
                </w:p>
              </w:tc>
              <w:tc>
                <w:tcPr>
                  <w:tcW w:w="589" w:type="dxa"/>
                  <w:vMerge w:val="continue"/>
                  <w:vAlign w:val="center"/>
                </w:tcPr>
                <w:p w14:paraId="1A01327D">
                  <w:pPr>
                    <w:jc w:val="center"/>
                    <w:rPr>
                      <w:color w:val="000000"/>
                      <w:szCs w:val="21"/>
                      <w:u w:val="none"/>
                    </w:rPr>
                  </w:pPr>
                </w:p>
              </w:tc>
              <w:tc>
                <w:tcPr>
                  <w:tcW w:w="584" w:type="dxa"/>
                  <w:vAlign w:val="center"/>
                </w:tcPr>
                <w:p w14:paraId="3AFA960A">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232.81</w:t>
                  </w:r>
                </w:p>
              </w:tc>
              <w:tc>
                <w:tcPr>
                  <w:tcW w:w="648" w:type="dxa"/>
                  <w:vAlign w:val="center"/>
                </w:tcPr>
                <w:p w14:paraId="3A5AD30D">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124.19</w:t>
                  </w:r>
                </w:p>
              </w:tc>
              <w:tc>
                <w:tcPr>
                  <w:tcW w:w="514" w:type="dxa"/>
                  <w:vAlign w:val="center"/>
                </w:tcPr>
                <w:p w14:paraId="495F7642">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6E48A853">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5</w:t>
                  </w:r>
                </w:p>
              </w:tc>
              <w:tc>
                <w:tcPr>
                  <w:tcW w:w="568" w:type="dxa"/>
                  <w:vAlign w:val="center"/>
                </w:tcPr>
                <w:p w14:paraId="746E7CFF">
                  <w:pPr>
                    <w:jc w:val="center"/>
                    <w:rPr>
                      <w:rFonts w:hint="default" w:eastAsia="宋体"/>
                      <w:color w:val="000000"/>
                      <w:kern w:val="0"/>
                      <w:szCs w:val="21"/>
                      <w:u w:val="none"/>
                      <w:lang w:val="en-US" w:eastAsia="zh-CN" w:bidi="en-US"/>
                    </w:rPr>
                  </w:pPr>
                  <w:r>
                    <w:rPr>
                      <w:rFonts w:hint="eastAsia"/>
                      <w:color w:val="000000"/>
                      <w:kern w:val="0"/>
                      <w:szCs w:val="21"/>
                      <w:u w:val="none"/>
                      <w:lang w:val="en-US" w:eastAsia="zh-CN" w:bidi="en-US"/>
                    </w:rPr>
                    <w:t>44</w:t>
                  </w:r>
                </w:p>
              </w:tc>
              <w:tc>
                <w:tcPr>
                  <w:tcW w:w="705" w:type="dxa"/>
                  <w:vMerge w:val="continue"/>
                  <w:vAlign w:val="center"/>
                </w:tcPr>
                <w:p w14:paraId="4DBE44C9">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1761C07E">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1C2263B6">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29</w:t>
                  </w:r>
                </w:p>
              </w:tc>
              <w:tc>
                <w:tcPr>
                  <w:tcW w:w="438" w:type="dxa"/>
                  <w:vAlign w:val="center"/>
                </w:tcPr>
                <w:p w14:paraId="6E5810F6">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534C2E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75BB5D22">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4</w:t>
                  </w:r>
                </w:p>
              </w:tc>
              <w:tc>
                <w:tcPr>
                  <w:tcW w:w="708" w:type="dxa"/>
                  <w:vAlign w:val="center"/>
                </w:tcPr>
                <w:p w14:paraId="2FF0C5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eastAsia="宋体"/>
                      <w:b w:val="0"/>
                      <w:bCs w:val="0"/>
                      <w:color w:val="000000"/>
                      <w:kern w:val="0"/>
                      <w:sz w:val="21"/>
                      <w:szCs w:val="21"/>
                      <w:u w:val="none"/>
                      <w:vertAlign w:val="baseline"/>
                      <w:lang w:val="en-US" w:eastAsia="zh-CN"/>
                    </w:rPr>
                    <w:t>B 超</w:t>
                  </w:r>
                </w:p>
              </w:tc>
              <w:tc>
                <w:tcPr>
                  <w:tcW w:w="641" w:type="dxa"/>
                  <w:vAlign w:val="center"/>
                </w:tcPr>
                <w:p w14:paraId="42E526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6BF49973">
                  <w:pPr>
                    <w:jc w:val="center"/>
                    <w:rPr>
                      <w:color w:val="000000"/>
                      <w:szCs w:val="21"/>
                      <w:u w:val="none"/>
                    </w:rPr>
                  </w:pPr>
                  <w:r>
                    <w:rPr>
                      <w:rFonts w:hint="eastAsia"/>
                      <w:color w:val="000000"/>
                      <w:szCs w:val="21"/>
                      <w:u w:val="none"/>
                    </w:rPr>
                    <w:t>50-60</w:t>
                  </w:r>
                </w:p>
              </w:tc>
              <w:tc>
                <w:tcPr>
                  <w:tcW w:w="589" w:type="dxa"/>
                  <w:vMerge w:val="continue"/>
                  <w:vAlign w:val="center"/>
                </w:tcPr>
                <w:p w14:paraId="21AFCC56">
                  <w:pPr>
                    <w:jc w:val="center"/>
                    <w:rPr>
                      <w:color w:val="000000"/>
                      <w:szCs w:val="21"/>
                      <w:u w:val="none"/>
                    </w:rPr>
                  </w:pPr>
                </w:p>
              </w:tc>
              <w:tc>
                <w:tcPr>
                  <w:tcW w:w="584" w:type="dxa"/>
                  <w:vAlign w:val="center"/>
                </w:tcPr>
                <w:p w14:paraId="703EC6F2">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225.39</w:t>
                  </w:r>
                </w:p>
              </w:tc>
              <w:tc>
                <w:tcPr>
                  <w:tcW w:w="648" w:type="dxa"/>
                  <w:vAlign w:val="center"/>
                </w:tcPr>
                <w:p w14:paraId="33632B99">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123.84</w:t>
                  </w:r>
                </w:p>
              </w:tc>
              <w:tc>
                <w:tcPr>
                  <w:tcW w:w="514" w:type="dxa"/>
                  <w:vAlign w:val="center"/>
                </w:tcPr>
                <w:p w14:paraId="7E8C65D1">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6B2B0FF0">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5</w:t>
                  </w:r>
                </w:p>
              </w:tc>
              <w:tc>
                <w:tcPr>
                  <w:tcW w:w="568" w:type="dxa"/>
                  <w:vAlign w:val="center"/>
                </w:tcPr>
                <w:p w14:paraId="6E0F64B1">
                  <w:pPr>
                    <w:pStyle w:val="115"/>
                    <w:adjustRightInd/>
                    <w:snapToGrid/>
                    <w:spacing w:beforeLines="0" w:line="240" w:lineRule="auto"/>
                    <w:jc w:val="center"/>
                    <w:rPr>
                      <w:rFonts w:hint="default" w:ascii="Times New Roman" w:hAnsi="Times New Roman" w:eastAsia="宋体"/>
                      <w:color w:val="000000"/>
                      <w:kern w:val="0"/>
                      <w:szCs w:val="21"/>
                      <w:u w:val="none"/>
                      <w:lang w:val="en-US" w:eastAsia="zh-CN" w:bidi="en-US"/>
                    </w:rPr>
                  </w:pPr>
                  <w:r>
                    <w:rPr>
                      <w:rFonts w:hint="eastAsia" w:ascii="Times New Roman" w:hAnsi="Times New Roman"/>
                      <w:color w:val="000000"/>
                      <w:kern w:val="0"/>
                      <w:szCs w:val="21"/>
                      <w:u w:val="none"/>
                      <w:lang w:val="en-US" w:eastAsia="zh-CN" w:bidi="en-US"/>
                    </w:rPr>
                    <w:t>44</w:t>
                  </w:r>
                </w:p>
              </w:tc>
              <w:tc>
                <w:tcPr>
                  <w:tcW w:w="705" w:type="dxa"/>
                  <w:vMerge w:val="continue"/>
                  <w:vAlign w:val="center"/>
                </w:tcPr>
                <w:p w14:paraId="5F96D9E7">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393259A5">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5BA5E9E7">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29</w:t>
                  </w:r>
                </w:p>
              </w:tc>
              <w:tc>
                <w:tcPr>
                  <w:tcW w:w="438" w:type="dxa"/>
                  <w:vAlign w:val="center"/>
                </w:tcPr>
                <w:p w14:paraId="070B3064">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66FCDF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2C97BA8D">
                  <w:pPr>
                    <w:pStyle w:val="115"/>
                    <w:spacing w:before="24"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5</w:t>
                  </w:r>
                </w:p>
              </w:tc>
              <w:tc>
                <w:tcPr>
                  <w:tcW w:w="708" w:type="dxa"/>
                  <w:vAlign w:val="center"/>
                </w:tcPr>
                <w:p w14:paraId="53DC70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eastAsia="宋体"/>
                      <w:b w:val="0"/>
                      <w:bCs w:val="0"/>
                      <w:color w:val="000000"/>
                      <w:kern w:val="0"/>
                      <w:sz w:val="21"/>
                      <w:szCs w:val="21"/>
                      <w:u w:val="none"/>
                      <w:vertAlign w:val="baseline"/>
                      <w:lang w:val="en-US" w:eastAsia="zh-CN"/>
                    </w:rPr>
                    <w:t>CT</w:t>
                  </w:r>
                </w:p>
              </w:tc>
              <w:tc>
                <w:tcPr>
                  <w:tcW w:w="641" w:type="dxa"/>
                  <w:vAlign w:val="center"/>
                </w:tcPr>
                <w:p w14:paraId="4AD541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72488617">
                  <w:pPr>
                    <w:jc w:val="center"/>
                    <w:rPr>
                      <w:color w:val="000000"/>
                      <w:szCs w:val="21"/>
                      <w:u w:val="none"/>
                    </w:rPr>
                  </w:pPr>
                  <w:r>
                    <w:rPr>
                      <w:rFonts w:hint="eastAsia"/>
                      <w:color w:val="000000"/>
                      <w:szCs w:val="21"/>
                      <w:u w:val="none"/>
                    </w:rPr>
                    <w:t>60-70</w:t>
                  </w:r>
                </w:p>
              </w:tc>
              <w:tc>
                <w:tcPr>
                  <w:tcW w:w="589" w:type="dxa"/>
                  <w:vMerge w:val="continue"/>
                  <w:vAlign w:val="center"/>
                </w:tcPr>
                <w:p w14:paraId="634D1FA8">
                  <w:pPr>
                    <w:jc w:val="center"/>
                    <w:rPr>
                      <w:color w:val="000000"/>
                      <w:szCs w:val="21"/>
                      <w:u w:val="none"/>
                    </w:rPr>
                  </w:pPr>
                </w:p>
              </w:tc>
              <w:tc>
                <w:tcPr>
                  <w:tcW w:w="584" w:type="dxa"/>
                  <w:vAlign w:val="center"/>
                </w:tcPr>
                <w:p w14:paraId="20C46140">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226.9</w:t>
                  </w:r>
                </w:p>
              </w:tc>
              <w:tc>
                <w:tcPr>
                  <w:tcW w:w="648" w:type="dxa"/>
                  <w:vAlign w:val="center"/>
                </w:tcPr>
                <w:p w14:paraId="28D39956">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121.99</w:t>
                  </w:r>
                </w:p>
              </w:tc>
              <w:tc>
                <w:tcPr>
                  <w:tcW w:w="514" w:type="dxa"/>
                  <w:vAlign w:val="center"/>
                </w:tcPr>
                <w:p w14:paraId="58AE3DD9">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2F87A438">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5</w:t>
                  </w:r>
                </w:p>
              </w:tc>
              <w:tc>
                <w:tcPr>
                  <w:tcW w:w="568" w:type="dxa"/>
                  <w:vAlign w:val="center"/>
                </w:tcPr>
                <w:p w14:paraId="01B3D1E3">
                  <w:pPr>
                    <w:pStyle w:val="115"/>
                    <w:adjustRightInd/>
                    <w:snapToGrid/>
                    <w:spacing w:beforeLines="0" w:line="240" w:lineRule="auto"/>
                    <w:jc w:val="center"/>
                    <w:rPr>
                      <w:rFonts w:hint="default" w:ascii="Times New Roman" w:hAnsi="Times New Roman" w:eastAsia="宋体"/>
                      <w:color w:val="000000"/>
                      <w:kern w:val="0"/>
                      <w:szCs w:val="21"/>
                      <w:u w:val="none"/>
                      <w:lang w:val="en-US" w:eastAsia="zh-CN" w:bidi="en-US"/>
                    </w:rPr>
                  </w:pPr>
                  <w:r>
                    <w:rPr>
                      <w:rFonts w:hint="eastAsia" w:ascii="Times New Roman" w:hAnsi="Times New Roman"/>
                      <w:color w:val="000000"/>
                      <w:kern w:val="0"/>
                      <w:szCs w:val="21"/>
                      <w:u w:val="none"/>
                      <w:lang w:val="en-US" w:eastAsia="zh-CN" w:bidi="en-US"/>
                    </w:rPr>
                    <w:t>54</w:t>
                  </w:r>
                </w:p>
              </w:tc>
              <w:tc>
                <w:tcPr>
                  <w:tcW w:w="705" w:type="dxa"/>
                  <w:vMerge w:val="continue"/>
                  <w:vAlign w:val="center"/>
                </w:tcPr>
                <w:p w14:paraId="6A87A743">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71289F37">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3E70E4B6">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39</w:t>
                  </w:r>
                </w:p>
              </w:tc>
              <w:tc>
                <w:tcPr>
                  <w:tcW w:w="438" w:type="dxa"/>
                  <w:vAlign w:val="center"/>
                </w:tcPr>
                <w:p w14:paraId="0C02EAF8">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647ABD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0E0B565C">
                  <w:pPr>
                    <w:pStyle w:val="115"/>
                    <w:spacing w:before="24"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6</w:t>
                  </w:r>
                </w:p>
              </w:tc>
              <w:tc>
                <w:tcPr>
                  <w:tcW w:w="708" w:type="dxa"/>
                  <w:vAlign w:val="center"/>
                </w:tcPr>
                <w:p w14:paraId="63FCCF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default" w:eastAsia="宋体"/>
                      <w:b w:val="0"/>
                      <w:bCs w:val="0"/>
                      <w:color w:val="000000"/>
                      <w:kern w:val="0"/>
                      <w:sz w:val="21"/>
                      <w:szCs w:val="21"/>
                      <w:u w:val="none"/>
                      <w:vertAlign w:val="baseline"/>
                      <w:lang w:val="en-US" w:eastAsia="zh-CN"/>
                    </w:rPr>
                    <w:t>全自动生化分析仪</w:t>
                  </w:r>
                </w:p>
              </w:tc>
              <w:tc>
                <w:tcPr>
                  <w:tcW w:w="641" w:type="dxa"/>
                  <w:vAlign w:val="center"/>
                </w:tcPr>
                <w:p w14:paraId="74A018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3CD65E0C">
                  <w:pPr>
                    <w:jc w:val="center"/>
                    <w:rPr>
                      <w:color w:val="000000"/>
                      <w:szCs w:val="21"/>
                      <w:u w:val="none"/>
                    </w:rPr>
                  </w:pPr>
                  <w:r>
                    <w:rPr>
                      <w:color w:val="000000"/>
                      <w:szCs w:val="21"/>
                      <w:u w:val="none"/>
                    </w:rPr>
                    <w:t>60-70</w:t>
                  </w:r>
                </w:p>
              </w:tc>
              <w:tc>
                <w:tcPr>
                  <w:tcW w:w="589" w:type="dxa"/>
                  <w:vMerge w:val="continue"/>
                  <w:vAlign w:val="center"/>
                </w:tcPr>
                <w:p w14:paraId="06E2D8CA">
                  <w:pPr>
                    <w:jc w:val="center"/>
                    <w:rPr>
                      <w:color w:val="000000"/>
                      <w:szCs w:val="21"/>
                      <w:u w:val="none"/>
                    </w:rPr>
                  </w:pPr>
                </w:p>
              </w:tc>
              <w:tc>
                <w:tcPr>
                  <w:tcW w:w="584" w:type="dxa"/>
                  <w:vAlign w:val="center"/>
                </w:tcPr>
                <w:p w14:paraId="47A37C79">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230.03</w:t>
                  </w:r>
                </w:p>
              </w:tc>
              <w:tc>
                <w:tcPr>
                  <w:tcW w:w="648" w:type="dxa"/>
                  <w:vAlign w:val="center"/>
                </w:tcPr>
                <w:p w14:paraId="65EB058C">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122.1</w:t>
                  </w:r>
                </w:p>
              </w:tc>
              <w:tc>
                <w:tcPr>
                  <w:tcW w:w="514" w:type="dxa"/>
                  <w:vAlign w:val="center"/>
                </w:tcPr>
                <w:p w14:paraId="0440B2AA">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4112DF53">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5</w:t>
                  </w:r>
                </w:p>
              </w:tc>
              <w:tc>
                <w:tcPr>
                  <w:tcW w:w="568" w:type="dxa"/>
                  <w:vAlign w:val="center"/>
                </w:tcPr>
                <w:p w14:paraId="0C0E5C81">
                  <w:pPr>
                    <w:pStyle w:val="115"/>
                    <w:adjustRightInd/>
                    <w:snapToGrid/>
                    <w:spacing w:beforeLines="0" w:line="240" w:lineRule="auto"/>
                    <w:jc w:val="center"/>
                    <w:rPr>
                      <w:rFonts w:hint="default" w:ascii="Times New Roman" w:hAnsi="Times New Roman" w:eastAsia="宋体"/>
                      <w:color w:val="000000"/>
                      <w:kern w:val="0"/>
                      <w:szCs w:val="21"/>
                      <w:u w:val="none"/>
                      <w:lang w:val="en-US" w:eastAsia="zh-CN" w:bidi="en-US"/>
                    </w:rPr>
                  </w:pPr>
                  <w:r>
                    <w:rPr>
                      <w:rFonts w:hint="eastAsia" w:ascii="Times New Roman" w:hAnsi="Times New Roman"/>
                      <w:color w:val="000000"/>
                      <w:kern w:val="0"/>
                      <w:szCs w:val="21"/>
                      <w:u w:val="none"/>
                      <w:lang w:val="en-US" w:eastAsia="zh-CN" w:bidi="en-US"/>
                    </w:rPr>
                    <w:t>54</w:t>
                  </w:r>
                </w:p>
              </w:tc>
              <w:tc>
                <w:tcPr>
                  <w:tcW w:w="705" w:type="dxa"/>
                  <w:vMerge w:val="continue"/>
                  <w:vAlign w:val="center"/>
                </w:tcPr>
                <w:p w14:paraId="1DFF832D">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6E5825AB">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46AA0689">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39</w:t>
                  </w:r>
                </w:p>
              </w:tc>
              <w:tc>
                <w:tcPr>
                  <w:tcW w:w="438" w:type="dxa"/>
                  <w:vAlign w:val="center"/>
                </w:tcPr>
                <w:p w14:paraId="03C98187">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7D97B2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53CAB6EA">
                  <w:pPr>
                    <w:pStyle w:val="115"/>
                    <w:spacing w:before="24"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7</w:t>
                  </w:r>
                </w:p>
              </w:tc>
              <w:tc>
                <w:tcPr>
                  <w:tcW w:w="708" w:type="dxa"/>
                  <w:vAlign w:val="center"/>
                </w:tcPr>
                <w:p w14:paraId="22D803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default" w:eastAsia="宋体"/>
                      <w:b w:val="0"/>
                      <w:bCs w:val="0"/>
                      <w:color w:val="000000"/>
                      <w:kern w:val="0"/>
                      <w:sz w:val="21"/>
                      <w:szCs w:val="21"/>
                      <w:u w:val="none"/>
                      <w:vertAlign w:val="baseline"/>
                      <w:lang w:val="en-US" w:eastAsia="zh-CN"/>
                    </w:rPr>
                    <w:t>全自动血球分析仪</w:t>
                  </w:r>
                </w:p>
              </w:tc>
              <w:tc>
                <w:tcPr>
                  <w:tcW w:w="641" w:type="dxa"/>
                  <w:vAlign w:val="center"/>
                </w:tcPr>
                <w:p w14:paraId="540C27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715B5603">
                  <w:pPr>
                    <w:jc w:val="center"/>
                    <w:rPr>
                      <w:color w:val="000000"/>
                      <w:szCs w:val="21"/>
                      <w:u w:val="none"/>
                    </w:rPr>
                  </w:pPr>
                  <w:r>
                    <w:rPr>
                      <w:rFonts w:hint="eastAsia"/>
                      <w:color w:val="000000"/>
                      <w:szCs w:val="21"/>
                      <w:u w:val="none"/>
                    </w:rPr>
                    <w:t>60-70</w:t>
                  </w:r>
                </w:p>
              </w:tc>
              <w:tc>
                <w:tcPr>
                  <w:tcW w:w="589" w:type="dxa"/>
                  <w:vMerge w:val="continue"/>
                  <w:vAlign w:val="center"/>
                </w:tcPr>
                <w:p w14:paraId="57FFB171">
                  <w:pPr>
                    <w:jc w:val="center"/>
                    <w:rPr>
                      <w:color w:val="000000"/>
                      <w:szCs w:val="21"/>
                      <w:u w:val="none"/>
                    </w:rPr>
                  </w:pPr>
                </w:p>
              </w:tc>
              <w:tc>
                <w:tcPr>
                  <w:tcW w:w="584" w:type="dxa"/>
                  <w:vAlign w:val="center"/>
                </w:tcPr>
                <w:p w14:paraId="07471BBD">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236.87</w:t>
                  </w:r>
                </w:p>
              </w:tc>
              <w:tc>
                <w:tcPr>
                  <w:tcW w:w="648" w:type="dxa"/>
                  <w:vAlign w:val="center"/>
                </w:tcPr>
                <w:p w14:paraId="4DFFD369">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121.87</w:t>
                  </w:r>
                </w:p>
              </w:tc>
              <w:tc>
                <w:tcPr>
                  <w:tcW w:w="514" w:type="dxa"/>
                  <w:vAlign w:val="center"/>
                </w:tcPr>
                <w:p w14:paraId="6A5E545C">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3FD738DF">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5</w:t>
                  </w:r>
                </w:p>
              </w:tc>
              <w:tc>
                <w:tcPr>
                  <w:tcW w:w="568" w:type="dxa"/>
                  <w:vAlign w:val="center"/>
                </w:tcPr>
                <w:p w14:paraId="3EAD889F">
                  <w:pPr>
                    <w:jc w:val="center"/>
                    <w:rPr>
                      <w:rFonts w:hint="default" w:eastAsia="宋体"/>
                      <w:color w:val="000000"/>
                      <w:u w:val="none"/>
                      <w:lang w:val="en-US" w:eastAsia="zh-CN"/>
                    </w:rPr>
                  </w:pPr>
                  <w:r>
                    <w:rPr>
                      <w:rFonts w:hint="eastAsia"/>
                      <w:color w:val="000000"/>
                      <w:u w:val="none"/>
                      <w:lang w:val="en-US" w:eastAsia="zh-CN"/>
                    </w:rPr>
                    <w:t>54</w:t>
                  </w:r>
                </w:p>
              </w:tc>
              <w:tc>
                <w:tcPr>
                  <w:tcW w:w="705" w:type="dxa"/>
                  <w:vMerge w:val="continue"/>
                  <w:vAlign w:val="center"/>
                </w:tcPr>
                <w:p w14:paraId="225F0BCA">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3353F78F">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374D051D">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39</w:t>
                  </w:r>
                </w:p>
              </w:tc>
              <w:tc>
                <w:tcPr>
                  <w:tcW w:w="438" w:type="dxa"/>
                  <w:vAlign w:val="center"/>
                </w:tcPr>
                <w:p w14:paraId="20C9ED0C">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0EFC6A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3F97CFD5">
                  <w:pPr>
                    <w:pStyle w:val="115"/>
                    <w:spacing w:before="24"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8</w:t>
                  </w:r>
                </w:p>
              </w:tc>
              <w:tc>
                <w:tcPr>
                  <w:tcW w:w="708" w:type="dxa"/>
                  <w:vAlign w:val="center"/>
                </w:tcPr>
                <w:p w14:paraId="3E0CF020">
                  <w:pPr>
                    <w:jc w:val="center"/>
                    <w:rPr>
                      <w:color w:val="000000"/>
                      <w:kern w:val="0"/>
                      <w:szCs w:val="21"/>
                      <w:u w:val="none"/>
                    </w:rPr>
                  </w:pPr>
                  <w:r>
                    <w:rPr>
                      <w:rFonts w:hint="eastAsia" w:ascii="Times New Roman" w:hAnsi="Times New Roman" w:eastAsia="宋体" w:cs="Times New Roman"/>
                      <w:szCs w:val="21"/>
                      <w:u w:val="none"/>
                      <w:lang w:val="en-US" w:eastAsia="zh-CN"/>
                    </w:rPr>
                    <w:t>全自动血凝仪</w:t>
                  </w:r>
                </w:p>
              </w:tc>
              <w:tc>
                <w:tcPr>
                  <w:tcW w:w="641" w:type="dxa"/>
                  <w:vAlign w:val="center"/>
                </w:tcPr>
                <w:p w14:paraId="1164DB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65581CA6">
                  <w:pPr>
                    <w:jc w:val="center"/>
                    <w:rPr>
                      <w:color w:val="000000"/>
                      <w:szCs w:val="21"/>
                      <w:u w:val="none"/>
                    </w:rPr>
                  </w:pPr>
                  <w:r>
                    <w:rPr>
                      <w:rFonts w:hint="eastAsia"/>
                      <w:color w:val="000000"/>
                      <w:szCs w:val="21"/>
                      <w:u w:val="none"/>
                    </w:rPr>
                    <w:t>60-70</w:t>
                  </w:r>
                </w:p>
              </w:tc>
              <w:tc>
                <w:tcPr>
                  <w:tcW w:w="589" w:type="dxa"/>
                  <w:vMerge w:val="continue"/>
                  <w:vAlign w:val="center"/>
                </w:tcPr>
                <w:p w14:paraId="004FFECD">
                  <w:pPr>
                    <w:jc w:val="center"/>
                    <w:rPr>
                      <w:color w:val="000000"/>
                      <w:szCs w:val="21"/>
                      <w:u w:val="none"/>
                    </w:rPr>
                  </w:pPr>
                </w:p>
              </w:tc>
              <w:tc>
                <w:tcPr>
                  <w:tcW w:w="584" w:type="dxa"/>
                  <w:vAlign w:val="center"/>
                </w:tcPr>
                <w:p w14:paraId="17EEA091">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240.58</w:t>
                  </w:r>
                </w:p>
              </w:tc>
              <w:tc>
                <w:tcPr>
                  <w:tcW w:w="648" w:type="dxa"/>
                  <w:vAlign w:val="center"/>
                </w:tcPr>
                <w:p w14:paraId="3892A6F4">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122.1</w:t>
                  </w:r>
                </w:p>
              </w:tc>
              <w:tc>
                <w:tcPr>
                  <w:tcW w:w="514" w:type="dxa"/>
                  <w:vAlign w:val="center"/>
                </w:tcPr>
                <w:p w14:paraId="6D1BC366">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5D240D86">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5</w:t>
                  </w:r>
                </w:p>
              </w:tc>
              <w:tc>
                <w:tcPr>
                  <w:tcW w:w="568" w:type="dxa"/>
                  <w:vAlign w:val="center"/>
                </w:tcPr>
                <w:p w14:paraId="4B27B60E">
                  <w:pPr>
                    <w:pStyle w:val="115"/>
                    <w:adjustRightInd/>
                    <w:snapToGrid/>
                    <w:spacing w:beforeLines="0" w:line="240" w:lineRule="auto"/>
                    <w:jc w:val="center"/>
                    <w:rPr>
                      <w:rFonts w:hint="default" w:ascii="Times New Roman" w:hAnsi="Times New Roman" w:eastAsia="宋体"/>
                      <w:color w:val="000000"/>
                      <w:kern w:val="0"/>
                      <w:szCs w:val="21"/>
                      <w:u w:val="none"/>
                      <w:lang w:val="en-US" w:eastAsia="zh-CN" w:bidi="en-US"/>
                    </w:rPr>
                  </w:pPr>
                  <w:r>
                    <w:rPr>
                      <w:rFonts w:hint="eastAsia" w:ascii="Times New Roman" w:hAnsi="Times New Roman"/>
                      <w:color w:val="000000"/>
                      <w:kern w:val="0"/>
                      <w:szCs w:val="21"/>
                      <w:u w:val="none"/>
                      <w:lang w:val="en-US" w:eastAsia="zh-CN" w:bidi="en-US"/>
                    </w:rPr>
                    <w:t>54</w:t>
                  </w:r>
                </w:p>
              </w:tc>
              <w:tc>
                <w:tcPr>
                  <w:tcW w:w="705" w:type="dxa"/>
                  <w:vMerge w:val="continue"/>
                  <w:vAlign w:val="center"/>
                </w:tcPr>
                <w:p w14:paraId="4D8011E6">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453B8417">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1747308A">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39</w:t>
                  </w:r>
                </w:p>
              </w:tc>
              <w:tc>
                <w:tcPr>
                  <w:tcW w:w="438" w:type="dxa"/>
                  <w:vAlign w:val="center"/>
                </w:tcPr>
                <w:p w14:paraId="211DCADE">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421F21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04A11234">
                  <w:pPr>
                    <w:pStyle w:val="115"/>
                    <w:spacing w:before="24"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9</w:t>
                  </w:r>
                </w:p>
              </w:tc>
              <w:tc>
                <w:tcPr>
                  <w:tcW w:w="708" w:type="dxa"/>
                  <w:vAlign w:val="center"/>
                </w:tcPr>
                <w:p w14:paraId="32440166">
                  <w:pPr>
                    <w:jc w:val="center"/>
                    <w:rPr>
                      <w:color w:val="000000"/>
                      <w:kern w:val="0"/>
                      <w:szCs w:val="21"/>
                      <w:u w:val="none"/>
                    </w:rPr>
                  </w:pPr>
                  <w:r>
                    <w:rPr>
                      <w:rFonts w:hint="eastAsia" w:ascii="Times New Roman" w:hAnsi="Times New Roman" w:eastAsia="宋体" w:cs="Times New Roman"/>
                      <w:szCs w:val="21"/>
                      <w:u w:val="none"/>
                      <w:lang w:val="en-US" w:eastAsia="zh-CN"/>
                    </w:rPr>
                    <w:t>全自动尿液分析仪</w:t>
                  </w:r>
                </w:p>
              </w:tc>
              <w:tc>
                <w:tcPr>
                  <w:tcW w:w="641" w:type="dxa"/>
                  <w:vAlign w:val="center"/>
                </w:tcPr>
                <w:p w14:paraId="75F67B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0BFA0CDA">
                  <w:pPr>
                    <w:jc w:val="center"/>
                    <w:rPr>
                      <w:color w:val="000000"/>
                      <w:szCs w:val="21"/>
                      <w:u w:val="none"/>
                    </w:rPr>
                  </w:pPr>
                  <w:r>
                    <w:rPr>
                      <w:rFonts w:hint="eastAsia"/>
                      <w:color w:val="000000"/>
                      <w:szCs w:val="21"/>
                      <w:u w:val="none"/>
                    </w:rPr>
                    <w:t>55-65</w:t>
                  </w:r>
                </w:p>
              </w:tc>
              <w:tc>
                <w:tcPr>
                  <w:tcW w:w="589" w:type="dxa"/>
                  <w:vMerge w:val="continue"/>
                  <w:vAlign w:val="center"/>
                </w:tcPr>
                <w:p w14:paraId="12CBB295">
                  <w:pPr>
                    <w:jc w:val="center"/>
                    <w:rPr>
                      <w:color w:val="000000"/>
                      <w:szCs w:val="21"/>
                      <w:u w:val="none"/>
                    </w:rPr>
                  </w:pPr>
                </w:p>
              </w:tc>
              <w:tc>
                <w:tcPr>
                  <w:tcW w:w="584" w:type="dxa"/>
                  <w:vAlign w:val="center"/>
                </w:tcPr>
                <w:p w14:paraId="2B8EB820">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243.94</w:t>
                  </w:r>
                </w:p>
              </w:tc>
              <w:tc>
                <w:tcPr>
                  <w:tcW w:w="648" w:type="dxa"/>
                  <w:vAlign w:val="center"/>
                </w:tcPr>
                <w:p w14:paraId="1D3A6DBB">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124.3</w:t>
                  </w:r>
                </w:p>
              </w:tc>
              <w:tc>
                <w:tcPr>
                  <w:tcW w:w="514" w:type="dxa"/>
                  <w:vAlign w:val="center"/>
                </w:tcPr>
                <w:p w14:paraId="65906B0F">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70680D44">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5</w:t>
                  </w:r>
                </w:p>
              </w:tc>
              <w:tc>
                <w:tcPr>
                  <w:tcW w:w="568" w:type="dxa"/>
                  <w:vAlign w:val="center"/>
                </w:tcPr>
                <w:p w14:paraId="62D1DC57">
                  <w:pPr>
                    <w:jc w:val="center"/>
                    <w:rPr>
                      <w:rFonts w:hint="default" w:eastAsia="宋体"/>
                      <w:color w:val="000000"/>
                      <w:u w:val="none"/>
                      <w:lang w:val="en-US" w:eastAsia="zh-CN"/>
                    </w:rPr>
                  </w:pPr>
                  <w:r>
                    <w:rPr>
                      <w:rFonts w:hint="eastAsia"/>
                      <w:color w:val="000000"/>
                      <w:u w:val="none"/>
                      <w:lang w:val="en-US" w:eastAsia="zh-CN"/>
                    </w:rPr>
                    <w:t>49</w:t>
                  </w:r>
                </w:p>
              </w:tc>
              <w:tc>
                <w:tcPr>
                  <w:tcW w:w="705" w:type="dxa"/>
                  <w:vMerge w:val="continue"/>
                  <w:vAlign w:val="center"/>
                </w:tcPr>
                <w:p w14:paraId="27FEF283">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7AAA5D8F">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74D42C36">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34</w:t>
                  </w:r>
                </w:p>
              </w:tc>
              <w:tc>
                <w:tcPr>
                  <w:tcW w:w="438" w:type="dxa"/>
                  <w:vAlign w:val="center"/>
                </w:tcPr>
                <w:p w14:paraId="0AB0F7CD">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315906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69C5C815">
                  <w:pPr>
                    <w:pStyle w:val="115"/>
                    <w:spacing w:before="24" w:line="240" w:lineRule="auto"/>
                    <w:jc w:val="center"/>
                    <w:rPr>
                      <w:rFonts w:hint="eastAsia"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10</w:t>
                  </w:r>
                </w:p>
              </w:tc>
              <w:tc>
                <w:tcPr>
                  <w:tcW w:w="708" w:type="dxa"/>
                  <w:vAlign w:val="center"/>
                </w:tcPr>
                <w:p w14:paraId="04CEBF2D">
                  <w:pPr>
                    <w:jc w:val="center"/>
                    <w:rPr>
                      <w:color w:val="000000"/>
                      <w:kern w:val="0"/>
                      <w:szCs w:val="21"/>
                      <w:u w:val="none"/>
                    </w:rPr>
                  </w:pPr>
                  <w:r>
                    <w:rPr>
                      <w:rFonts w:hint="eastAsia" w:ascii="Times New Roman" w:hAnsi="Times New Roman" w:eastAsia="宋体" w:cs="Times New Roman"/>
                      <w:szCs w:val="21"/>
                      <w:u w:val="none"/>
                      <w:lang w:val="en-US" w:eastAsia="zh-CN"/>
                    </w:rPr>
                    <w:t>电解质分析仪</w:t>
                  </w:r>
                </w:p>
              </w:tc>
              <w:tc>
                <w:tcPr>
                  <w:tcW w:w="641" w:type="dxa"/>
                  <w:vAlign w:val="center"/>
                </w:tcPr>
                <w:p w14:paraId="499FB8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kern w:val="0"/>
                      <w:sz w:val="21"/>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3759EEFC">
                  <w:pPr>
                    <w:jc w:val="center"/>
                    <w:rPr>
                      <w:rFonts w:hint="default" w:eastAsia="宋体"/>
                      <w:color w:val="000000"/>
                      <w:szCs w:val="21"/>
                      <w:u w:val="none"/>
                      <w:lang w:val="en-US" w:eastAsia="zh-CN"/>
                    </w:rPr>
                  </w:pPr>
                  <w:r>
                    <w:rPr>
                      <w:rFonts w:hint="eastAsia"/>
                      <w:color w:val="000000"/>
                      <w:szCs w:val="21"/>
                      <w:u w:val="none"/>
                      <w:lang w:val="en-US" w:eastAsia="zh-CN"/>
                    </w:rPr>
                    <w:t>55-65</w:t>
                  </w:r>
                </w:p>
              </w:tc>
              <w:tc>
                <w:tcPr>
                  <w:tcW w:w="589" w:type="dxa"/>
                  <w:vMerge w:val="continue"/>
                  <w:vAlign w:val="center"/>
                </w:tcPr>
                <w:p w14:paraId="440D6CA7">
                  <w:pPr>
                    <w:jc w:val="center"/>
                    <w:rPr>
                      <w:color w:val="000000"/>
                      <w:szCs w:val="21"/>
                      <w:u w:val="none"/>
                    </w:rPr>
                  </w:pPr>
                </w:p>
              </w:tc>
              <w:tc>
                <w:tcPr>
                  <w:tcW w:w="584" w:type="dxa"/>
                  <w:vAlign w:val="center"/>
                </w:tcPr>
                <w:p w14:paraId="158CE367">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243.06</w:t>
                  </w:r>
                </w:p>
              </w:tc>
              <w:tc>
                <w:tcPr>
                  <w:tcW w:w="648" w:type="dxa"/>
                  <w:vAlign w:val="center"/>
                </w:tcPr>
                <w:p w14:paraId="706BDF40">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117.96</w:t>
                  </w:r>
                </w:p>
              </w:tc>
              <w:tc>
                <w:tcPr>
                  <w:tcW w:w="514" w:type="dxa"/>
                  <w:vAlign w:val="center"/>
                </w:tcPr>
                <w:p w14:paraId="02605623">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74895278">
                  <w:pPr>
                    <w:pStyle w:val="115"/>
                    <w:adjustRightInd/>
                    <w:snapToGrid/>
                    <w:spacing w:beforeLines="0" w:line="240" w:lineRule="auto"/>
                    <w:jc w:val="center"/>
                    <w:rPr>
                      <w:rFonts w:hint="eastAsia"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5</w:t>
                  </w:r>
                </w:p>
              </w:tc>
              <w:tc>
                <w:tcPr>
                  <w:tcW w:w="568" w:type="dxa"/>
                  <w:vAlign w:val="center"/>
                </w:tcPr>
                <w:p w14:paraId="4EA936EA">
                  <w:pPr>
                    <w:jc w:val="center"/>
                    <w:rPr>
                      <w:rFonts w:hint="default" w:eastAsia="宋体"/>
                      <w:color w:val="000000"/>
                      <w:kern w:val="0"/>
                      <w:szCs w:val="21"/>
                      <w:u w:val="none"/>
                      <w:lang w:val="en-US" w:eastAsia="zh-CN" w:bidi="en-US"/>
                    </w:rPr>
                  </w:pPr>
                  <w:r>
                    <w:rPr>
                      <w:rFonts w:hint="eastAsia"/>
                      <w:color w:val="000000"/>
                      <w:kern w:val="0"/>
                      <w:szCs w:val="21"/>
                      <w:u w:val="none"/>
                      <w:lang w:val="en-US" w:eastAsia="zh-CN" w:bidi="en-US"/>
                    </w:rPr>
                    <w:t>49</w:t>
                  </w:r>
                </w:p>
              </w:tc>
              <w:tc>
                <w:tcPr>
                  <w:tcW w:w="705" w:type="dxa"/>
                  <w:vMerge w:val="continue"/>
                  <w:vAlign w:val="center"/>
                </w:tcPr>
                <w:p w14:paraId="5D5D3C12">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6C98B9BF">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15</w:t>
                  </w:r>
                </w:p>
              </w:tc>
              <w:tc>
                <w:tcPr>
                  <w:tcW w:w="712" w:type="dxa"/>
                  <w:vAlign w:val="center"/>
                </w:tcPr>
                <w:p w14:paraId="3A5CAE68">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34</w:t>
                  </w:r>
                </w:p>
              </w:tc>
              <w:tc>
                <w:tcPr>
                  <w:tcW w:w="438" w:type="dxa"/>
                  <w:vAlign w:val="center"/>
                </w:tcPr>
                <w:p w14:paraId="46FB6944">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69EE21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43E2C03B">
                  <w:pPr>
                    <w:pStyle w:val="115"/>
                    <w:spacing w:before="24"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11</w:t>
                  </w:r>
                </w:p>
              </w:tc>
              <w:tc>
                <w:tcPr>
                  <w:tcW w:w="708" w:type="dxa"/>
                  <w:vAlign w:val="center"/>
                </w:tcPr>
                <w:p w14:paraId="4500E752">
                  <w:pPr>
                    <w:jc w:val="center"/>
                    <w:rPr>
                      <w:color w:val="000000"/>
                      <w:kern w:val="0"/>
                      <w:szCs w:val="21"/>
                      <w:u w:val="none"/>
                    </w:rPr>
                  </w:pPr>
                  <w:r>
                    <w:rPr>
                      <w:rFonts w:hint="eastAsia" w:ascii="Times New Roman" w:hAnsi="Times New Roman" w:eastAsia="宋体" w:cs="Times New Roman"/>
                      <w:szCs w:val="21"/>
                      <w:u w:val="none"/>
                      <w:lang w:val="en-US" w:eastAsia="zh-CN"/>
                    </w:rPr>
                    <w:t>离心机</w:t>
                  </w:r>
                </w:p>
              </w:tc>
              <w:tc>
                <w:tcPr>
                  <w:tcW w:w="641" w:type="dxa"/>
                  <w:vAlign w:val="center"/>
                </w:tcPr>
                <w:p w14:paraId="6D57F6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kern w:val="0"/>
                      <w:sz w:val="21"/>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42E26759">
                  <w:pPr>
                    <w:jc w:val="center"/>
                    <w:rPr>
                      <w:rFonts w:hint="default" w:eastAsia="宋体"/>
                      <w:color w:val="000000"/>
                      <w:szCs w:val="21"/>
                      <w:u w:val="none"/>
                      <w:lang w:val="en-US" w:eastAsia="zh-CN"/>
                    </w:rPr>
                  </w:pPr>
                  <w:r>
                    <w:rPr>
                      <w:rFonts w:hint="eastAsia"/>
                      <w:color w:val="000000"/>
                      <w:szCs w:val="21"/>
                      <w:u w:val="none"/>
                      <w:lang w:val="en-US" w:eastAsia="zh-CN"/>
                    </w:rPr>
                    <w:t>60-70</w:t>
                  </w:r>
                </w:p>
              </w:tc>
              <w:tc>
                <w:tcPr>
                  <w:tcW w:w="589" w:type="dxa"/>
                  <w:vMerge w:val="continue"/>
                  <w:vAlign w:val="center"/>
                </w:tcPr>
                <w:p w14:paraId="67B913D4">
                  <w:pPr>
                    <w:jc w:val="center"/>
                    <w:rPr>
                      <w:color w:val="000000"/>
                      <w:szCs w:val="21"/>
                      <w:u w:val="none"/>
                    </w:rPr>
                  </w:pPr>
                </w:p>
              </w:tc>
              <w:tc>
                <w:tcPr>
                  <w:tcW w:w="584" w:type="dxa"/>
                  <w:vAlign w:val="center"/>
                </w:tcPr>
                <w:p w14:paraId="57194B7C">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229.39</w:t>
                  </w:r>
                </w:p>
              </w:tc>
              <w:tc>
                <w:tcPr>
                  <w:tcW w:w="648" w:type="dxa"/>
                  <w:vAlign w:val="center"/>
                </w:tcPr>
                <w:p w14:paraId="75DBBDDB">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118.19</w:t>
                  </w:r>
                </w:p>
              </w:tc>
              <w:tc>
                <w:tcPr>
                  <w:tcW w:w="514" w:type="dxa"/>
                  <w:vAlign w:val="center"/>
                </w:tcPr>
                <w:p w14:paraId="7177D07F">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6648CEB0">
                  <w:pPr>
                    <w:pStyle w:val="115"/>
                    <w:adjustRightInd/>
                    <w:snapToGrid/>
                    <w:spacing w:beforeLines="0" w:line="240" w:lineRule="auto"/>
                    <w:jc w:val="center"/>
                    <w:rPr>
                      <w:rFonts w:hint="eastAsia"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5</w:t>
                  </w:r>
                </w:p>
              </w:tc>
              <w:tc>
                <w:tcPr>
                  <w:tcW w:w="568" w:type="dxa"/>
                  <w:vAlign w:val="center"/>
                </w:tcPr>
                <w:p w14:paraId="6F5DDA12">
                  <w:pPr>
                    <w:jc w:val="center"/>
                    <w:rPr>
                      <w:rFonts w:hint="default" w:eastAsia="宋体"/>
                      <w:color w:val="000000"/>
                      <w:kern w:val="0"/>
                      <w:szCs w:val="21"/>
                      <w:u w:val="none"/>
                      <w:lang w:val="en-US" w:eastAsia="zh-CN" w:bidi="en-US"/>
                    </w:rPr>
                  </w:pPr>
                  <w:r>
                    <w:rPr>
                      <w:rFonts w:hint="eastAsia"/>
                      <w:color w:val="000000"/>
                      <w:kern w:val="0"/>
                      <w:szCs w:val="21"/>
                      <w:u w:val="none"/>
                      <w:lang w:val="en-US" w:eastAsia="zh-CN" w:bidi="en-US"/>
                    </w:rPr>
                    <w:t>54</w:t>
                  </w:r>
                </w:p>
              </w:tc>
              <w:tc>
                <w:tcPr>
                  <w:tcW w:w="705" w:type="dxa"/>
                  <w:vMerge w:val="continue"/>
                  <w:vAlign w:val="center"/>
                </w:tcPr>
                <w:p w14:paraId="42F61245">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516B18D9">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70CF92F4">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39</w:t>
                  </w:r>
                </w:p>
              </w:tc>
              <w:tc>
                <w:tcPr>
                  <w:tcW w:w="438" w:type="dxa"/>
                  <w:vAlign w:val="center"/>
                </w:tcPr>
                <w:p w14:paraId="6B42DA6C">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0E6719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3E1591AB">
                  <w:pPr>
                    <w:pStyle w:val="115"/>
                    <w:spacing w:before="24"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12</w:t>
                  </w:r>
                </w:p>
              </w:tc>
              <w:tc>
                <w:tcPr>
                  <w:tcW w:w="708" w:type="dxa"/>
                  <w:vAlign w:val="center"/>
                </w:tcPr>
                <w:p w14:paraId="6F322D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eastAsia="宋体"/>
                      <w:b w:val="0"/>
                      <w:bCs w:val="0"/>
                      <w:color w:val="000000"/>
                      <w:kern w:val="0"/>
                      <w:sz w:val="21"/>
                      <w:szCs w:val="21"/>
                      <w:u w:val="none"/>
                      <w:vertAlign w:val="baseline"/>
                      <w:lang w:val="en-US" w:eastAsia="zh-CN"/>
                    </w:rPr>
                    <w:t>心肺复苏仪</w:t>
                  </w:r>
                </w:p>
              </w:tc>
              <w:tc>
                <w:tcPr>
                  <w:tcW w:w="641" w:type="dxa"/>
                  <w:vAlign w:val="center"/>
                </w:tcPr>
                <w:p w14:paraId="4A7B0F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kern w:val="0"/>
                      <w:sz w:val="21"/>
                      <w:szCs w:val="21"/>
                      <w:u w:val="none"/>
                    </w:rPr>
                  </w:pPr>
                  <w:r>
                    <w:rPr>
                      <w:rFonts w:hint="eastAsia" w:eastAsia="宋体"/>
                      <w:b w:val="0"/>
                      <w:bCs w:val="0"/>
                      <w:color w:val="000000"/>
                      <w:kern w:val="0"/>
                      <w:sz w:val="21"/>
                      <w:szCs w:val="21"/>
                      <w:u w:val="none"/>
                      <w:vertAlign w:val="baseline"/>
                      <w:lang w:val="en-US" w:eastAsia="zh-CN"/>
                    </w:rPr>
                    <w:t>2</w:t>
                  </w:r>
                </w:p>
              </w:tc>
              <w:tc>
                <w:tcPr>
                  <w:tcW w:w="712" w:type="dxa"/>
                  <w:vAlign w:val="center"/>
                </w:tcPr>
                <w:p w14:paraId="01F022E1">
                  <w:pPr>
                    <w:jc w:val="center"/>
                    <w:rPr>
                      <w:rFonts w:hint="eastAsia"/>
                      <w:color w:val="000000"/>
                      <w:szCs w:val="21"/>
                      <w:u w:val="none"/>
                    </w:rPr>
                  </w:pPr>
                  <w:r>
                    <w:rPr>
                      <w:rFonts w:hint="eastAsia"/>
                      <w:color w:val="000000"/>
                      <w:szCs w:val="21"/>
                      <w:u w:val="none"/>
                      <w:lang w:val="en-US" w:eastAsia="zh-CN"/>
                    </w:rPr>
                    <w:t>55-65</w:t>
                  </w:r>
                </w:p>
              </w:tc>
              <w:tc>
                <w:tcPr>
                  <w:tcW w:w="589" w:type="dxa"/>
                  <w:vMerge w:val="continue"/>
                  <w:vAlign w:val="center"/>
                </w:tcPr>
                <w:p w14:paraId="19FC02B9">
                  <w:pPr>
                    <w:jc w:val="center"/>
                    <w:rPr>
                      <w:color w:val="000000"/>
                      <w:szCs w:val="21"/>
                      <w:u w:val="none"/>
                    </w:rPr>
                  </w:pPr>
                </w:p>
              </w:tc>
              <w:tc>
                <w:tcPr>
                  <w:tcW w:w="584" w:type="dxa"/>
                  <w:vAlign w:val="center"/>
                </w:tcPr>
                <w:p w14:paraId="78EEE954">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225.26</w:t>
                  </w:r>
                </w:p>
              </w:tc>
              <w:tc>
                <w:tcPr>
                  <w:tcW w:w="648" w:type="dxa"/>
                  <w:vAlign w:val="center"/>
                </w:tcPr>
                <w:p w14:paraId="0485A22D">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116.92</w:t>
                  </w:r>
                </w:p>
              </w:tc>
              <w:tc>
                <w:tcPr>
                  <w:tcW w:w="514" w:type="dxa"/>
                  <w:vAlign w:val="center"/>
                </w:tcPr>
                <w:p w14:paraId="47AAF0AA">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72932979">
                  <w:pPr>
                    <w:pStyle w:val="115"/>
                    <w:adjustRightInd/>
                    <w:snapToGrid/>
                    <w:spacing w:beforeLines="0" w:line="240" w:lineRule="auto"/>
                    <w:jc w:val="center"/>
                    <w:rPr>
                      <w:rFonts w:hint="eastAsia"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5</w:t>
                  </w:r>
                </w:p>
              </w:tc>
              <w:tc>
                <w:tcPr>
                  <w:tcW w:w="568" w:type="dxa"/>
                  <w:vAlign w:val="center"/>
                </w:tcPr>
                <w:p w14:paraId="475DCD58">
                  <w:pPr>
                    <w:jc w:val="center"/>
                    <w:rPr>
                      <w:rFonts w:hint="default" w:eastAsia="宋体"/>
                      <w:color w:val="000000"/>
                      <w:kern w:val="0"/>
                      <w:szCs w:val="21"/>
                      <w:u w:val="none"/>
                      <w:lang w:val="en-US" w:eastAsia="zh-CN" w:bidi="en-US"/>
                    </w:rPr>
                  </w:pPr>
                  <w:r>
                    <w:rPr>
                      <w:rFonts w:hint="eastAsia"/>
                      <w:color w:val="000000"/>
                      <w:kern w:val="0"/>
                      <w:szCs w:val="21"/>
                      <w:u w:val="none"/>
                      <w:lang w:val="en-US" w:eastAsia="zh-CN" w:bidi="en-US"/>
                    </w:rPr>
                    <w:t>49</w:t>
                  </w:r>
                </w:p>
              </w:tc>
              <w:tc>
                <w:tcPr>
                  <w:tcW w:w="705" w:type="dxa"/>
                  <w:vMerge w:val="continue"/>
                  <w:vAlign w:val="center"/>
                </w:tcPr>
                <w:p w14:paraId="59E88A68">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685782FE">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02E57441">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34</w:t>
                  </w:r>
                </w:p>
              </w:tc>
              <w:tc>
                <w:tcPr>
                  <w:tcW w:w="438" w:type="dxa"/>
                  <w:vAlign w:val="center"/>
                </w:tcPr>
                <w:p w14:paraId="69D16CB4">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1CCE26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250E1CF8">
                  <w:pPr>
                    <w:pStyle w:val="115"/>
                    <w:spacing w:before="24"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13</w:t>
                  </w:r>
                </w:p>
              </w:tc>
              <w:tc>
                <w:tcPr>
                  <w:tcW w:w="708" w:type="dxa"/>
                  <w:vAlign w:val="center"/>
                </w:tcPr>
                <w:p w14:paraId="7ADE73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default" w:eastAsia="宋体"/>
                      <w:b w:val="0"/>
                      <w:bCs w:val="0"/>
                      <w:color w:val="000000"/>
                      <w:kern w:val="0"/>
                      <w:sz w:val="21"/>
                      <w:szCs w:val="21"/>
                      <w:u w:val="none"/>
                      <w:vertAlign w:val="baseline"/>
                      <w:lang w:val="en-US" w:eastAsia="zh-CN"/>
                    </w:rPr>
                    <w:t>心电监护仪</w:t>
                  </w:r>
                </w:p>
              </w:tc>
              <w:tc>
                <w:tcPr>
                  <w:tcW w:w="641" w:type="dxa"/>
                  <w:vAlign w:val="center"/>
                </w:tcPr>
                <w:p w14:paraId="049459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kern w:val="0"/>
                      <w:sz w:val="21"/>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3B341A1B">
                  <w:pPr>
                    <w:jc w:val="center"/>
                    <w:rPr>
                      <w:rFonts w:hint="eastAsia"/>
                      <w:color w:val="000000"/>
                      <w:szCs w:val="21"/>
                      <w:u w:val="none"/>
                    </w:rPr>
                  </w:pPr>
                  <w:r>
                    <w:rPr>
                      <w:rFonts w:hint="eastAsia"/>
                      <w:color w:val="000000"/>
                      <w:szCs w:val="21"/>
                      <w:u w:val="none"/>
                      <w:lang w:val="en-US" w:eastAsia="zh-CN"/>
                    </w:rPr>
                    <w:t>55-65</w:t>
                  </w:r>
                </w:p>
              </w:tc>
              <w:tc>
                <w:tcPr>
                  <w:tcW w:w="589" w:type="dxa"/>
                  <w:vMerge w:val="continue"/>
                  <w:vAlign w:val="center"/>
                </w:tcPr>
                <w:p w14:paraId="7E4C726D">
                  <w:pPr>
                    <w:jc w:val="center"/>
                    <w:rPr>
                      <w:color w:val="000000"/>
                      <w:szCs w:val="21"/>
                      <w:u w:val="none"/>
                    </w:rPr>
                  </w:pPr>
                </w:p>
              </w:tc>
              <w:tc>
                <w:tcPr>
                  <w:tcW w:w="584" w:type="dxa"/>
                  <w:vAlign w:val="center"/>
                </w:tcPr>
                <w:p w14:paraId="6AB42CE8">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236.51</w:t>
                  </w:r>
                </w:p>
              </w:tc>
              <w:tc>
                <w:tcPr>
                  <w:tcW w:w="648" w:type="dxa"/>
                  <w:vAlign w:val="center"/>
                </w:tcPr>
                <w:p w14:paraId="66C413C4">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117.15</w:t>
                  </w:r>
                </w:p>
              </w:tc>
              <w:tc>
                <w:tcPr>
                  <w:tcW w:w="514" w:type="dxa"/>
                  <w:vAlign w:val="center"/>
                </w:tcPr>
                <w:p w14:paraId="4BFCE2F6">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4.5</w:t>
                  </w:r>
                </w:p>
              </w:tc>
              <w:tc>
                <w:tcPr>
                  <w:tcW w:w="554" w:type="dxa"/>
                  <w:vAlign w:val="center"/>
                </w:tcPr>
                <w:p w14:paraId="36E6DF6A">
                  <w:pPr>
                    <w:pStyle w:val="115"/>
                    <w:adjustRightInd/>
                    <w:snapToGrid/>
                    <w:spacing w:beforeLines="0" w:line="240" w:lineRule="auto"/>
                    <w:jc w:val="center"/>
                    <w:rPr>
                      <w:rFonts w:hint="eastAsia"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5</w:t>
                  </w:r>
                </w:p>
              </w:tc>
              <w:tc>
                <w:tcPr>
                  <w:tcW w:w="568" w:type="dxa"/>
                  <w:vAlign w:val="center"/>
                </w:tcPr>
                <w:p w14:paraId="1253BCE6">
                  <w:pPr>
                    <w:jc w:val="center"/>
                    <w:rPr>
                      <w:rFonts w:hint="default" w:eastAsia="宋体"/>
                      <w:color w:val="000000"/>
                      <w:kern w:val="0"/>
                      <w:szCs w:val="21"/>
                      <w:u w:val="none"/>
                      <w:lang w:val="en-US" w:eastAsia="zh-CN" w:bidi="en-US"/>
                    </w:rPr>
                  </w:pPr>
                  <w:r>
                    <w:rPr>
                      <w:rFonts w:hint="eastAsia"/>
                      <w:color w:val="000000"/>
                      <w:kern w:val="0"/>
                      <w:szCs w:val="21"/>
                      <w:u w:val="none"/>
                      <w:lang w:val="en-US" w:eastAsia="zh-CN" w:bidi="en-US"/>
                    </w:rPr>
                    <w:t>49</w:t>
                  </w:r>
                </w:p>
              </w:tc>
              <w:tc>
                <w:tcPr>
                  <w:tcW w:w="705" w:type="dxa"/>
                  <w:vMerge w:val="continue"/>
                  <w:vAlign w:val="center"/>
                </w:tcPr>
                <w:p w14:paraId="589EE5A7">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46D8E52F">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78EB5842">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34</w:t>
                  </w:r>
                </w:p>
              </w:tc>
              <w:tc>
                <w:tcPr>
                  <w:tcW w:w="438" w:type="dxa"/>
                  <w:vAlign w:val="center"/>
                </w:tcPr>
                <w:p w14:paraId="72FB09E4">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73ADF5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3C58F7E6">
                  <w:pPr>
                    <w:pStyle w:val="115"/>
                    <w:spacing w:before="24"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14</w:t>
                  </w:r>
                </w:p>
              </w:tc>
              <w:tc>
                <w:tcPr>
                  <w:tcW w:w="708" w:type="dxa"/>
                  <w:vAlign w:val="center"/>
                </w:tcPr>
                <w:p w14:paraId="045FCA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eastAsia="宋体"/>
                      <w:b w:val="0"/>
                      <w:bCs w:val="0"/>
                      <w:color w:val="000000"/>
                      <w:kern w:val="0"/>
                      <w:sz w:val="21"/>
                      <w:szCs w:val="21"/>
                      <w:u w:val="none"/>
                      <w:vertAlign w:val="baseline"/>
                      <w:lang w:val="en-US" w:eastAsia="zh-CN"/>
                    </w:rPr>
                    <w:t>心脏除颤仪</w:t>
                  </w:r>
                </w:p>
              </w:tc>
              <w:tc>
                <w:tcPr>
                  <w:tcW w:w="641" w:type="dxa"/>
                  <w:vAlign w:val="center"/>
                </w:tcPr>
                <w:p w14:paraId="17030C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kern w:val="0"/>
                      <w:sz w:val="21"/>
                      <w:szCs w:val="21"/>
                      <w:u w:val="none"/>
                    </w:rPr>
                  </w:pPr>
                  <w:r>
                    <w:rPr>
                      <w:rFonts w:hint="eastAsia" w:eastAsia="宋体"/>
                      <w:b w:val="0"/>
                      <w:bCs w:val="0"/>
                      <w:color w:val="000000"/>
                      <w:kern w:val="0"/>
                      <w:sz w:val="21"/>
                      <w:szCs w:val="21"/>
                      <w:u w:val="none"/>
                      <w:vertAlign w:val="baseline"/>
                      <w:lang w:val="en-US" w:eastAsia="zh-CN"/>
                    </w:rPr>
                    <w:t>1</w:t>
                  </w:r>
                </w:p>
              </w:tc>
              <w:tc>
                <w:tcPr>
                  <w:tcW w:w="712" w:type="dxa"/>
                  <w:vAlign w:val="center"/>
                </w:tcPr>
                <w:p w14:paraId="53EEB047">
                  <w:pPr>
                    <w:jc w:val="center"/>
                    <w:rPr>
                      <w:rFonts w:hint="eastAsia"/>
                      <w:color w:val="000000"/>
                      <w:szCs w:val="21"/>
                      <w:u w:val="none"/>
                    </w:rPr>
                  </w:pPr>
                  <w:r>
                    <w:rPr>
                      <w:rFonts w:hint="eastAsia"/>
                      <w:color w:val="000000"/>
                      <w:szCs w:val="21"/>
                      <w:u w:val="none"/>
                      <w:lang w:val="en-US" w:eastAsia="zh-CN"/>
                    </w:rPr>
                    <w:t>55-65</w:t>
                  </w:r>
                </w:p>
              </w:tc>
              <w:tc>
                <w:tcPr>
                  <w:tcW w:w="589" w:type="dxa"/>
                  <w:vMerge w:val="continue"/>
                  <w:vAlign w:val="center"/>
                </w:tcPr>
                <w:p w14:paraId="62AF3100">
                  <w:pPr>
                    <w:jc w:val="center"/>
                    <w:rPr>
                      <w:color w:val="000000"/>
                      <w:szCs w:val="21"/>
                      <w:u w:val="none"/>
                    </w:rPr>
                  </w:pPr>
                </w:p>
              </w:tc>
              <w:tc>
                <w:tcPr>
                  <w:tcW w:w="584" w:type="dxa"/>
                  <w:vAlign w:val="center"/>
                </w:tcPr>
                <w:p w14:paraId="23B8CD18">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230.66</w:t>
                  </w:r>
                </w:p>
              </w:tc>
              <w:tc>
                <w:tcPr>
                  <w:tcW w:w="648" w:type="dxa"/>
                  <w:vAlign w:val="center"/>
                </w:tcPr>
                <w:p w14:paraId="34D1AE95">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114.97</w:t>
                  </w:r>
                </w:p>
              </w:tc>
              <w:tc>
                <w:tcPr>
                  <w:tcW w:w="514" w:type="dxa"/>
                  <w:vAlign w:val="center"/>
                </w:tcPr>
                <w:p w14:paraId="0C3727CC">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rPr>
                    <w:t>4.5</w:t>
                  </w:r>
                </w:p>
              </w:tc>
              <w:tc>
                <w:tcPr>
                  <w:tcW w:w="554" w:type="dxa"/>
                  <w:vAlign w:val="center"/>
                </w:tcPr>
                <w:p w14:paraId="17C909B9">
                  <w:pPr>
                    <w:pStyle w:val="115"/>
                    <w:adjustRightInd/>
                    <w:snapToGrid/>
                    <w:spacing w:beforeLines="0" w:line="240" w:lineRule="auto"/>
                    <w:jc w:val="center"/>
                    <w:rPr>
                      <w:rFonts w:hint="eastAsia"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5</w:t>
                  </w:r>
                </w:p>
              </w:tc>
              <w:tc>
                <w:tcPr>
                  <w:tcW w:w="568" w:type="dxa"/>
                  <w:vAlign w:val="center"/>
                </w:tcPr>
                <w:p w14:paraId="4006329E">
                  <w:pPr>
                    <w:jc w:val="center"/>
                    <w:rPr>
                      <w:rFonts w:hint="default" w:eastAsia="宋体"/>
                      <w:color w:val="000000"/>
                      <w:kern w:val="0"/>
                      <w:szCs w:val="21"/>
                      <w:u w:val="none"/>
                      <w:lang w:val="en-US" w:eastAsia="zh-CN" w:bidi="en-US"/>
                    </w:rPr>
                  </w:pPr>
                  <w:r>
                    <w:rPr>
                      <w:rFonts w:hint="eastAsia"/>
                      <w:color w:val="000000"/>
                      <w:kern w:val="0"/>
                      <w:szCs w:val="21"/>
                      <w:u w:val="none"/>
                      <w:lang w:val="en-US" w:eastAsia="zh-CN" w:bidi="en-US"/>
                    </w:rPr>
                    <w:t>49</w:t>
                  </w:r>
                </w:p>
              </w:tc>
              <w:tc>
                <w:tcPr>
                  <w:tcW w:w="705" w:type="dxa"/>
                  <w:vMerge w:val="continue"/>
                  <w:vAlign w:val="center"/>
                </w:tcPr>
                <w:p w14:paraId="28D03BCC">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46D53692">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02ADD974">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34</w:t>
                  </w:r>
                </w:p>
              </w:tc>
              <w:tc>
                <w:tcPr>
                  <w:tcW w:w="438" w:type="dxa"/>
                  <w:vAlign w:val="center"/>
                </w:tcPr>
                <w:p w14:paraId="7C4EF1AD">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1FF71D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71E888ED">
                  <w:pPr>
                    <w:pStyle w:val="115"/>
                    <w:spacing w:before="24"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15</w:t>
                  </w:r>
                </w:p>
              </w:tc>
              <w:tc>
                <w:tcPr>
                  <w:tcW w:w="708" w:type="dxa"/>
                  <w:vAlign w:val="center"/>
                </w:tcPr>
                <w:p w14:paraId="7D49D7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kern w:val="0"/>
                      <w:szCs w:val="21"/>
                      <w:u w:val="none"/>
                    </w:rPr>
                  </w:pPr>
                  <w:r>
                    <w:rPr>
                      <w:rFonts w:hint="eastAsia" w:ascii="Times New Roman" w:hAnsi="Times New Roman" w:eastAsia="宋体" w:cs="Times New Roman"/>
                      <w:szCs w:val="21"/>
                      <w:u w:val="none"/>
                      <w:lang w:val="en-US" w:eastAsia="zh-CN"/>
                    </w:rPr>
                    <w:t>康复专用慢跑台</w:t>
                  </w:r>
                </w:p>
              </w:tc>
              <w:tc>
                <w:tcPr>
                  <w:tcW w:w="641" w:type="dxa"/>
                  <w:vAlign w:val="center"/>
                </w:tcPr>
                <w:p w14:paraId="1F2FF56A">
                  <w:pPr>
                    <w:pStyle w:val="445"/>
                    <w:spacing w:line="240" w:lineRule="auto"/>
                    <w:ind w:firstLine="0" w:firstLineChars="0"/>
                    <w:jc w:val="center"/>
                    <w:rPr>
                      <w:rFonts w:hint="eastAsia" w:eastAsia="宋体"/>
                      <w:color w:val="000000"/>
                      <w:kern w:val="0"/>
                      <w:sz w:val="21"/>
                      <w:szCs w:val="21"/>
                      <w:u w:val="none"/>
                      <w:lang w:val="en-US" w:eastAsia="zh-CN"/>
                    </w:rPr>
                  </w:pPr>
                  <w:r>
                    <w:rPr>
                      <w:rFonts w:hint="eastAsia"/>
                      <w:color w:val="000000"/>
                      <w:kern w:val="0"/>
                      <w:sz w:val="21"/>
                      <w:szCs w:val="21"/>
                      <w:u w:val="none"/>
                      <w:lang w:val="en-US" w:eastAsia="zh-CN"/>
                    </w:rPr>
                    <w:t>1</w:t>
                  </w:r>
                </w:p>
              </w:tc>
              <w:tc>
                <w:tcPr>
                  <w:tcW w:w="712" w:type="dxa"/>
                  <w:vAlign w:val="center"/>
                </w:tcPr>
                <w:p w14:paraId="22F892D8">
                  <w:pPr>
                    <w:jc w:val="center"/>
                    <w:rPr>
                      <w:rFonts w:hint="default" w:eastAsia="宋体"/>
                      <w:color w:val="000000"/>
                      <w:szCs w:val="21"/>
                      <w:u w:val="none"/>
                      <w:lang w:val="en-US" w:eastAsia="zh-CN"/>
                    </w:rPr>
                  </w:pPr>
                  <w:r>
                    <w:rPr>
                      <w:rFonts w:hint="eastAsia"/>
                      <w:color w:val="000000"/>
                      <w:szCs w:val="21"/>
                      <w:u w:val="none"/>
                      <w:lang w:val="en-US" w:eastAsia="zh-CN"/>
                    </w:rPr>
                    <w:t>60-70</w:t>
                  </w:r>
                </w:p>
              </w:tc>
              <w:tc>
                <w:tcPr>
                  <w:tcW w:w="589" w:type="dxa"/>
                  <w:vMerge w:val="continue"/>
                  <w:vAlign w:val="center"/>
                </w:tcPr>
                <w:p w14:paraId="036F363C">
                  <w:pPr>
                    <w:jc w:val="center"/>
                    <w:rPr>
                      <w:color w:val="000000"/>
                      <w:szCs w:val="21"/>
                      <w:u w:val="none"/>
                    </w:rPr>
                  </w:pPr>
                </w:p>
              </w:tc>
              <w:tc>
                <w:tcPr>
                  <w:tcW w:w="584" w:type="dxa"/>
                  <w:vAlign w:val="center"/>
                </w:tcPr>
                <w:p w14:paraId="0CDF07ED">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250.11</w:t>
                  </w:r>
                </w:p>
              </w:tc>
              <w:tc>
                <w:tcPr>
                  <w:tcW w:w="648" w:type="dxa"/>
                  <w:vAlign w:val="center"/>
                </w:tcPr>
                <w:p w14:paraId="3C5C09E2">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125.19</w:t>
                  </w:r>
                </w:p>
              </w:tc>
              <w:tc>
                <w:tcPr>
                  <w:tcW w:w="514" w:type="dxa"/>
                  <w:vAlign w:val="center"/>
                </w:tcPr>
                <w:p w14:paraId="6E228B98">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15.5</w:t>
                  </w:r>
                </w:p>
              </w:tc>
              <w:tc>
                <w:tcPr>
                  <w:tcW w:w="554" w:type="dxa"/>
                  <w:vAlign w:val="center"/>
                </w:tcPr>
                <w:p w14:paraId="1D29D3E2">
                  <w:pPr>
                    <w:pStyle w:val="115"/>
                    <w:adjustRightInd/>
                    <w:snapToGrid/>
                    <w:spacing w:beforeLines="0" w:line="240" w:lineRule="auto"/>
                    <w:jc w:val="center"/>
                    <w:rPr>
                      <w:rFonts w:hint="eastAsia"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5</w:t>
                  </w:r>
                </w:p>
              </w:tc>
              <w:tc>
                <w:tcPr>
                  <w:tcW w:w="568" w:type="dxa"/>
                  <w:vAlign w:val="center"/>
                </w:tcPr>
                <w:p w14:paraId="392205F8">
                  <w:pPr>
                    <w:jc w:val="center"/>
                    <w:rPr>
                      <w:rFonts w:hint="default" w:eastAsia="宋体"/>
                      <w:color w:val="000000"/>
                      <w:kern w:val="0"/>
                      <w:szCs w:val="21"/>
                      <w:u w:val="none"/>
                      <w:lang w:val="en-US" w:eastAsia="zh-CN" w:bidi="en-US"/>
                    </w:rPr>
                  </w:pPr>
                  <w:r>
                    <w:rPr>
                      <w:rFonts w:hint="eastAsia"/>
                      <w:color w:val="000000"/>
                      <w:kern w:val="0"/>
                      <w:szCs w:val="21"/>
                      <w:u w:val="none"/>
                      <w:lang w:val="en-US" w:eastAsia="zh-CN" w:bidi="en-US"/>
                    </w:rPr>
                    <w:t>54</w:t>
                  </w:r>
                </w:p>
              </w:tc>
              <w:tc>
                <w:tcPr>
                  <w:tcW w:w="705" w:type="dxa"/>
                  <w:vMerge w:val="continue"/>
                  <w:vAlign w:val="center"/>
                </w:tcPr>
                <w:p w14:paraId="617C476D">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5DC9B128">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48E0E482">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39</w:t>
                  </w:r>
                </w:p>
              </w:tc>
              <w:tc>
                <w:tcPr>
                  <w:tcW w:w="438" w:type="dxa"/>
                  <w:vAlign w:val="center"/>
                </w:tcPr>
                <w:p w14:paraId="53B72DCA">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7D777C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43056DBD">
                  <w:pPr>
                    <w:pStyle w:val="115"/>
                    <w:spacing w:before="24"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16</w:t>
                  </w:r>
                </w:p>
              </w:tc>
              <w:tc>
                <w:tcPr>
                  <w:tcW w:w="708" w:type="dxa"/>
                  <w:vAlign w:val="center"/>
                </w:tcPr>
                <w:p w14:paraId="55B0FB4D">
                  <w:pPr>
                    <w:jc w:val="center"/>
                    <w:rPr>
                      <w:color w:val="000000"/>
                      <w:kern w:val="0"/>
                      <w:szCs w:val="21"/>
                      <w:u w:val="none"/>
                    </w:rPr>
                  </w:pPr>
                  <w:r>
                    <w:rPr>
                      <w:rFonts w:hint="eastAsia" w:ascii="Times New Roman" w:hAnsi="Times New Roman" w:eastAsia="宋体" w:cs="Times New Roman"/>
                      <w:szCs w:val="21"/>
                      <w:u w:val="none"/>
                      <w:lang w:val="en-US" w:eastAsia="zh-CN"/>
                    </w:rPr>
                    <w:t>智能运动康复训练机</w:t>
                  </w:r>
                </w:p>
              </w:tc>
              <w:tc>
                <w:tcPr>
                  <w:tcW w:w="641" w:type="dxa"/>
                  <w:vAlign w:val="center"/>
                </w:tcPr>
                <w:p w14:paraId="297733FD">
                  <w:pPr>
                    <w:pStyle w:val="445"/>
                    <w:spacing w:line="240" w:lineRule="auto"/>
                    <w:ind w:firstLine="0" w:firstLineChars="0"/>
                    <w:jc w:val="center"/>
                    <w:rPr>
                      <w:rFonts w:hint="eastAsia" w:eastAsia="宋体"/>
                      <w:color w:val="000000"/>
                      <w:kern w:val="0"/>
                      <w:sz w:val="21"/>
                      <w:szCs w:val="21"/>
                      <w:u w:val="none"/>
                      <w:lang w:val="en-US" w:eastAsia="zh-CN"/>
                    </w:rPr>
                  </w:pPr>
                  <w:r>
                    <w:rPr>
                      <w:rFonts w:hint="eastAsia"/>
                      <w:color w:val="000000"/>
                      <w:kern w:val="0"/>
                      <w:sz w:val="21"/>
                      <w:szCs w:val="21"/>
                      <w:u w:val="none"/>
                      <w:lang w:val="en-US" w:eastAsia="zh-CN"/>
                    </w:rPr>
                    <w:t>1</w:t>
                  </w:r>
                </w:p>
              </w:tc>
              <w:tc>
                <w:tcPr>
                  <w:tcW w:w="712" w:type="dxa"/>
                  <w:vAlign w:val="center"/>
                </w:tcPr>
                <w:p w14:paraId="3EEF35CA">
                  <w:pPr>
                    <w:jc w:val="center"/>
                    <w:rPr>
                      <w:rFonts w:hint="default" w:eastAsia="宋体"/>
                      <w:color w:val="000000"/>
                      <w:szCs w:val="21"/>
                      <w:u w:val="none"/>
                      <w:lang w:val="en-US" w:eastAsia="zh-CN"/>
                    </w:rPr>
                  </w:pPr>
                  <w:r>
                    <w:rPr>
                      <w:rFonts w:hint="eastAsia"/>
                      <w:color w:val="000000"/>
                      <w:szCs w:val="21"/>
                      <w:u w:val="none"/>
                      <w:lang w:val="en-US" w:eastAsia="zh-CN"/>
                    </w:rPr>
                    <w:t>60-70</w:t>
                  </w:r>
                </w:p>
              </w:tc>
              <w:tc>
                <w:tcPr>
                  <w:tcW w:w="589" w:type="dxa"/>
                  <w:vMerge w:val="continue"/>
                  <w:vAlign w:val="center"/>
                </w:tcPr>
                <w:p w14:paraId="347CC568">
                  <w:pPr>
                    <w:jc w:val="center"/>
                    <w:rPr>
                      <w:color w:val="000000"/>
                      <w:szCs w:val="21"/>
                      <w:u w:val="none"/>
                    </w:rPr>
                  </w:pPr>
                </w:p>
              </w:tc>
              <w:tc>
                <w:tcPr>
                  <w:tcW w:w="584" w:type="dxa"/>
                  <w:vAlign w:val="center"/>
                </w:tcPr>
                <w:p w14:paraId="6AC4AFEB">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249.89</w:t>
                  </w:r>
                </w:p>
              </w:tc>
              <w:tc>
                <w:tcPr>
                  <w:tcW w:w="648" w:type="dxa"/>
                  <w:vAlign w:val="center"/>
                </w:tcPr>
                <w:p w14:paraId="6F677580">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120.05</w:t>
                  </w:r>
                </w:p>
              </w:tc>
              <w:tc>
                <w:tcPr>
                  <w:tcW w:w="514" w:type="dxa"/>
                  <w:vAlign w:val="center"/>
                </w:tcPr>
                <w:p w14:paraId="239C33B3">
                  <w:pPr>
                    <w:pStyle w:val="115"/>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15.5</w:t>
                  </w:r>
                </w:p>
              </w:tc>
              <w:tc>
                <w:tcPr>
                  <w:tcW w:w="554" w:type="dxa"/>
                  <w:vAlign w:val="center"/>
                </w:tcPr>
                <w:p w14:paraId="6A84A54E">
                  <w:pPr>
                    <w:pStyle w:val="115"/>
                    <w:adjustRightInd/>
                    <w:snapToGrid/>
                    <w:spacing w:beforeLines="0" w:line="240" w:lineRule="auto"/>
                    <w:jc w:val="center"/>
                    <w:rPr>
                      <w:rFonts w:hint="eastAsia"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5</w:t>
                  </w:r>
                </w:p>
              </w:tc>
              <w:tc>
                <w:tcPr>
                  <w:tcW w:w="568" w:type="dxa"/>
                  <w:vAlign w:val="center"/>
                </w:tcPr>
                <w:p w14:paraId="5BC0FD2C">
                  <w:pPr>
                    <w:jc w:val="center"/>
                    <w:rPr>
                      <w:rFonts w:hint="default" w:eastAsia="宋体"/>
                      <w:color w:val="000000"/>
                      <w:kern w:val="0"/>
                      <w:szCs w:val="21"/>
                      <w:u w:val="none"/>
                      <w:lang w:val="en-US" w:eastAsia="zh-CN" w:bidi="en-US"/>
                    </w:rPr>
                  </w:pPr>
                  <w:r>
                    <w:rPr>
                      <w:rFonts w:hint="eastAsia"/>
                      <w:color w:val="000000"/>
                      <w:kern w:val="0"/>
                      <w:szCs w:val="21"/>
                      <w:u w:val="none"/>
                      <w:lang w:val="en-US" w:eastAsia="zh-CN" w:bidi="en-US"/>
                    </w:rPr>
                    <w:t>54</w:t>
                  </w:r>
                </w:p>
              </w:tc>
              <w:tc>
                <w:tcPr>
                  <w:tcW w:w="705" w:type="dxa"/>
                  <w:vMerge w:val="continue"/>
                  <w:vAlign w:val="center"/>
                </w:tcPr>
                <w:p w14:paraId="08F10949">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4E70C647">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0F0D1F18">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39</w:t>
                  </w:r>
                </w:p>
              </w:tc>
              <w:tc>
                <w:tcPr>
                  <w:tcW w:w="438" w:type="dxa"/>
                  <w:vAlign w:val="center"/>
                </w:tcPr>
                <w:p w14:paraId="18BBE73C">
                  <w:pPr>
                    <w:pStyle w:val="115"/>
                    <w:adjustRightInd/>
                    <w:snapToGrid/>
                    <w:spacing w:beforeLines="0" w:line="240" w:lineRule="auto"/>
                    <w:jc w:val="center"/>
                    <w:rPr>
                      <w:rFonts w:ascii="Times New Roman" w:hAnsi="Times New Roman"/>
                      <w:bCs/>
                      <w:color w:val="000000"/>
                      <w:szCs w:val="21"/>
                      <w:u w:val="none"/>
                    </w:rPr>
                  </w:pPr>
                  <w:r>
                    <w:rPr>
                      <w:rFonts w:ascii="Times New Roman" w:hAnsi="Times New Roman"/>
                      <w:bCs/>
                      <w:color w:val="000000"/>
                      <w:szCs w:val="21"/>
                      <w:u w:val="none"/>
                    </w:rPr>
                    <w:t>1</w:t>
                  </w:r>
                </w:p>
              </w:tc>
            </w:tr>
            <w:tr w14:paraId="40965B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9" w:type="dxa"/>
                  <w:vAlign w:val="center"/>
                </w:tcPr>
                <w:p w14:paraId="736FCA6A">
                  <w:pPr>
                    <w:pStyle w:val="115"/>
                    <w:spacing w:before="24"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17</w:t>
                  </w:r>
                </w:p>
              </w:tc>
              <w:tc>
                <w:tcPr>
                  <w:tcW w:w="708" w:type="dxa"/>
                  <w:vAlign w:val="center"/>
                </w:tcPr>
                <w:p w14:paraId="6BBDECBB">
                  <w:pPr>
                    <w:widowControl/>
                    <w:adjustRightInd w:val="0"/>
                    <w:snapToGrid w:val="0"/>
                    <w:jc w:val="center"/>
                    <w:rPr>
                      <w:rFonts w:hint="eastAsia" w:eastAsia="宋体"/>
                      <w:color w:val="000000"/>
                      <w:kern w:val="0"/>
                      <w:szCs w:val="21"/>
                      <w:u w:val="none"/>
                      <w:lang w:val="en-US" w:eastAsia="zh-CN"/>
                    </w:rPr>
                  </w:pPr>
                  <w:r>
                    <w:rPr>
                      <w:rFonts w:hint="eastAsia"/>
                      <w:color w:val="000000"/>
                      <w:kern w:val="0"/>
                      <w:szCs w:val="21"/>
                      <w:u w:val="none"/>
                      <w:lang w:val="en-US" w:eastAsia="zh-CN"/>
                    </w:rPr>
                    <w:t>废气风机</w:t>
                  </w:r>
                </w:p>
              </w:tc>
              <w:tc>
                <w:tcPr>
                  <w:tcW w:w="641" w:type="dxa"/>
                  <w:vAlign w:val="center"/>
                </w:tcPr>
                <w:p w14:paraId="05E3A2FC">
                  <w:pPr>
                    <w:pStyle w:val="445"/>
                    <w:spacing w:line="240" w:lineRule="auto"/>
                    <w:ind w:firstLine="0" w:firstLineChars="0"/>
                    <w:jc w:val="center"/>
                    <w:rPr>
                      <w:rFonts w:hint="eastAsia" w:eastAsia="宋体"/>
                      <w:color w:val="000000"/>
                      <w:kern w:val="0"/>
                      <w:sz w:val="21"/>
                      <w:szCs w:val="21"/>
                      <w:u w:val="none"/>
                      <w:lang w:val="en-US" w:eastAsia="zh-CN"/>
                    </w:rPr>
                  </w:pPr>
                  <w:r>
                    <w:rPr>
                      <w:rFonts w:hint="eastAsia"/>
                      <w:color w:val="000000"/>
                      <w:kern w:val="0"/>
                      <w:sz w:val="21"/>
                      <w:szCs w:val="21"/>
                      <w:u w:val="none"/>
                      <w:lang w:val="en-US" w:eastAsia="zh-CN"/>
                    </w:rPr>
                    <w:t>1</w:t>
                  </w:r>
                </w:p>
              </w:tc>
              <w:tc>
                <w:tcPr>
                  <w:tcW w:w="712" w:type="dxa"/>
                  <w:vAlign w:val="center"/>
                </w:tcPr>
                <w:p w14:paraId="03788ADD">
                  <w:pPr>
                    <w:jc w:val="center"/>
                    <w:rPr>
                      <w:rFonts w:hint="default" w:eastAsia="宋体"/>
                      <w:color w:val="000000"/>
                      <w:szCs w:val="21"/>
                      <w:u w:val="none"/>
                      <w:lang w:val="en-US" w:eastAsia="zh-CN"/>
                    </w:rPr>
                  </w:pPr>
                  <w:r>
                    <w:rPr>
                      <w:rFonts w:hint="eastAsia"/>
                      <w:color w:val="000000"/>
                      <w:szCs w:val="21"/>
                      <w:u w:val="none"/>
                      <w:lang w:val="en-US" w:eastAsia="zh-CN"/>
                    </w:rPr>
                    <w:t>80-90</w:t>
                  </w:r>
                </w:p>
              </w:tc>
              <w:tc>
                <w:tcPr>
                  <w:tcW w:w="589" w:type="dxa"/>
                  <w:vMerge w:val="continue"/>
                  <w:vAlign w:val="center"/>
                </w:tcPr>
                <w:p w14:paraId="5E83F6EF">
                  <w:pPr>
                    <w:jc w:val="center"/>
                    <w:rPr>
                      <w:color w:val="000000"/>
                      <w:szCs w:val="21"/>
                      <w:u w:val="none"/>
                    </w:rPr>
                  </w:pPr>
                </w:p>
              </w:tc>
              <w:tc>
                <w:tcPr>
                  <w:tcW w:w="584" w:type="dxa"/>
                  <w:vAlign w:val="center"/>
                </w:tcPr>
                <w:p w14:paraId="7AD415DC">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252.78</w:t>
                  </w:r>
                </w:p>
              </w:tc>
              <w:tc>
                <w:tcPr>
                  <w:tcW w:w="648" w:type="dxa"/>
                  <w:vAlign w:val="center"/>
                </w:tcPr>
                <w:p w14:paraId="3C6D065D">
                  <w:pPr>
                    <w:pStyle w:val="115"/>
                    <w:adjustRightInd/>
                    <w:snapToGrid/>
                    <w:spacing w:beforeLines="0" w:line="240" w:lineRule="auto"/>
                    <w:jc w:val="center"/>
                    <w:rPr>
                      <w:rFonts w:hint="eastAsia" w:ascii="Times New Roman" w:hAnsi="Times New Roman"/>
                      <w:bCs/>
                      <w:color w:val="000000"/>
                      <w:szCs w:val="21"/>
                      <w:u w:val="none"/>
                    </w:rPr>
                  </w:pPr>
                  <w:r>
                    <w:rPr>
                      <w:rFonts w:hint="eastAsia" w:ascii="Times New Roman" w:hAnsi="Times New Roman"/>
                      <w:bCs/>
                      <w:color w:val="000000"/>
                      <w:szCs w:val="21"/>
                      <w:u w:val="none"/>
                    </w:rPr>
                    <w:t>127.55</w:t>
                  </w:r>
                </w:p>
              </w:tc>
              <w:tc>
                <w:tcPr>
                  <w:tcW w:w="514" w:type="dxa"/>
                  <w:vAlign w:val="center"/>
                </w:tcPr>
                <w:p w14:paraId="2A60570F">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1.5</w:t>
                  </w:r>
                </w:p>
              </w:tc>
              <w:tc>
                <w:tcPr>
                  <w:tcW w:w="554" w:type="dxa"/>
                  <w:vAlign w:val="center"/>
                </w:tcPr>
                <w:p w14:paraId="020107C1">
                  <w:pPr>
                    <w:pStyle w:val="115"/>
                    <w:adjustRightInd/>
                    <w:snapToGrid/>
                    <w:spacing w:beforeLines="0" w:line="240" w:lineRule="auto"/>
                    <w:jc w:val="center"/>
                    <w:rPr>
                      <w:rFonts w:hint="eastAsia"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5</w:t>
                  </w:r>
                </w:p>
              </w:tc>
              <w:tc>
                <w:tcPr>
                  <w:tcW w:w="568" w:type="dxa"/>
                  <w:vAlign w:val="center"/>
                </w:tcPr>
                <w:p w14:paraId="042600E0">
                  <w:pPr>
                    <w:jc w:val="center"/>
                    <w:rPr>
                      <w:rFonts w:hint="default" w:eastAsia="宋体"/>
                      <w:color w:val="000000"/>
                      <w:kern w:val="0"/>
                      <w:szCs w:val="21"/>
                      <w:u w:val="none"/>
                      <w:lang w:val="en-US" w:eastAsia="zh-CN" w:bidi="en-US"/>
                    </w:rPr>
                  </w:pPr>
                  <w:r>
                    <w:rPr>
                      <w:rFonts w:hint="eastAsia"/>
                      <w:color w:val="000000"/>
                      <w:kern w:val="0"/>
                      <w:szCs w:val="21"/>
                      <w:u w:val="none"/>
                      <w:lang w:val="en-US" w:eastAsia="zh-CN" w:bidi="en-US"/>
                    </w:rPr>
                    <w:t>74</w:t>
                  </w:r>
                </w:p>
              </w:tc>
              <w:tc>
                <w:tcPr>
                  <w:tcW w:w="705" w:type="dxa"/>
                  <w:vMerge w:val="continue"/>
                  <w:vAlign w:val="center"/>
                </w:tcPr>
                <w:p w14:paraId="0F10DBE2">
                  <w:pPr>
                    <w:pStyle w:val="115"/>
                    <w:adjustRightInd/>
                    <w:snapToGrid/>
                    <w:spacing w:beforeLines="0" w:line="240" w:lineRule="auto"/>
                    <w:jc w:val="center"/>
                    <w:rPr>
                      <w:rFonts w:ascii="Times New Roman" w:hAnsi="Times New Roman"/>
                      <w:color w:val="000000"/>
                      <w:kern w:val="0"/>
                      <w:szCs w:val="21"/>
                      <w:u w:val="none"/>
                      <w:lang w:bidi="en-US"/>
                    </w:rPr>
                  </w:pPr>
                </w:p>
              </w:tc>
              <w:tc>
                <w:tcPr>
                  <w:tcW w:w="604" w:type="dxa"/>
                  <w:vAlign w:val="center"/>
                </w:tcPr>
                <w:p w14:paraId="74C1617F">
                  <w:pPr>
                    <w:adjustRightInd/>
                    <w:snapToGrid/>
                    <w:spacing w:beforeLines="0" w:line="240" w:lineRule="auto"/>
                    <w:jc w:val="center"/>
                    <w:rPr>
                      <w:rFonts w:ascii="Times New Roman" w:hAnsi="Times New Roman"/>
                      <w:bCs/>
                      <w:color w:val="000000"/>
                      <w:szCs w:val="21"/>
                      <w:u w:val="none"/>
                    </w:rPr>
                  </w:pPr>
                  <w:r>
                    <w:rPr>
                      <w:rFonts w:hint="eastAsia" w:ascii="Times New Roman" w:hAnsi="Times New Roman"/>
                      <w:bCs/>
                      <w:color w:val="000000"/>
                      <w:szCs w:val="21"/>
                      <w:u w:val="none"/>
                      <w:lang w:val="en-US" w:eastAsia="zh-CN"/>
                    </w:rPr>
                    <w:t>15</w:t>
                  </w:r>
                </w:p>
              </w:tc>
              <w:tc>
                <w:tcPr>
                  <w:tcW w:w="712" w:type="dxa"/>
                  <w:vAlign w:val="center"/>
                </w:tcPr>
                <w:p w14:paraId="5B3E460C">
                  <w:pPr>
                    <w:pStyle w:val="115"/>
                    <w:adjustRightInd/>
                    <w:snapToGrid/>
                    <w:spacing w:beforeLines="0" w:line="240" w:lineRule="auto"/>
                    <w:jc w:val="center"/>
                    <w:rPr>
                      <w:rFonts w:hint="default"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59</w:t>
                  </w:r>
                </w:p>
              </w:tc>
              <w:tc>
                <w:tcPr>
                  <w:tcW w:w="438" w:type="dxa"/>
                  <w:vAlign w:val="center"/>
                </w:tcPr>
                <w:p w14:paraId="3F909AAB">
                  <w:pPr>
                    <w:pStyle w:val="115"/>
                    <w:adjustRightInd/>
                    <w:snapToGrid/>
                    <w:spacing w:beforeLines="0" w:line="240" w:lineRule="auto"/>
                    <w:jc w:val="center"/>
                    <w:rPr>
                      <w:rFonts w:hint="eastAsia" w:ascii="Times New Roman" w:hAnsi="Times New Roman" w:eastAsia="宋体"/>
                      <w:bCs/>
                      <w:color w:val="000000"/>
                      <w:szCs w:val="21"/>
                      <w:u w:val="none"/>
                      <w:lang w:val="en-US" w:eastAsia="zh-CN"/>
                    </w:rPr>
                  </w:pPr>
                  <w:r>
                    <w:rPr>
                      <w:rFonts w:hint="eastAsia" w:ascii="Times New Roman" w:hAnsi="Times New Roman"/>
                      <w:bCs/>
                      <w:color w:val="000000"/>
                      <w:szCs w:val="21"/>
                      <w:u w:val="none"/>
                      <w:lang w:val="en-US" w:eastAsia="zh-CN"/>
                    </w:rPr>
                    <w:t>1</w:t>
                  </w:r>
                </w:p>
              </w:tc>
            </w:tr>
          </w:tbl>
          <w:p w14:paraId="63504578">
            <w:pPr>
              <w:adjustRightInd w:val="0"/>
              <w:snapToGrid w:val="0"/>
              <w:spacing w:line="360" w:lineRule="auto"/>
              <w:ind w:firstLine="482" w:firstLineChars="200"/>
              <w:rPr>
                <w:b/>
                <w:color w:val="000000"/>
                <w:sz w:val="24"/>
                <w:szCs w:val="24"/>
              </w:rPr>
            </w:pPr>
            <w:r>
              <w:rPr>
                <w:b/>
                <w:color w:val="000000"/>
                <w:sz w:val="24"/>
                <w:szCs w:val="24"/>
              </w:rPr>
              <w:t>预测分析</w:t>
            </w:r>
          </w:p>
          <w:p w14:paraId="1985FB27">
            <w:pPr>
              <w:adjustRightInd w:val="0"/>
              <w:snapToGrid w:val="0"/>
              <w:spacing w:line="360" w:lineRule="auto"/>
              <w:ind w:firstLine="480" w:firstLineChars="200"/>
              <w:rPr>
                <w:bCs/>
                <w:color w:val="000000"/>
                <w:sz w:val="24"/>
                <w:szCs w:val="24"/>
              </w:rPr>
            </w:pPr>
            <w:r>
              <w:rPr>
                <w:bCs/>
                <w:color w:val="000000"/>
                <w:sz w:val="24"/>
                <w:szCs w:val="24"/>
              </w:rPr>
              <w:t>根据《环境影响评价技术导则 声环境》（HJ2.4-2021），本次评价采用下述噪声预测模式：</w:t>
            </w:r>
          </w:p>
          <w:p w14:paraId="4400CE33">
            <w:pPr>
              <w:adjustRightInd w:val="0"/>
              <w:snapToGrid w:val="0"/>
              <w:spacing w:line="360" w:lineRule="auto"/>
              <w:ind w:firstLine="480" w:firstLineChars="200"/>
              <w:rPr>
                <w:bCs/>
                <w:color w:val="000000"/>
                <w:sz w:val="24"/>
                <w:szCs w:val="24"/>
              </w:rPr>
            </w:pPr>
            <w:r>
              <w:rPr>
                <w:bCs/>
                <w:color w:val="000000"/>
                <w:sz w:val="24"/>
                <w:szCs w:val="24"/>
              </w:rPr>
              <w:fldChar w:fldCharType="begin"/>
            </w:r>
            <w:r>
              <w:rPr>
                <w:bCs/>
                <w:color w:val="000000"/>
                <w:sz w:val="24"/>
                <w:szCs w:val="24"/>
              </w:rPr>
              <w:instrText xml:space="preserve"> = 1 \* GB3 </w:instrText>
            </w:r>
            <w:r>
              <w:rPr>
                <w:bCs/>
                <w:color w:val="000000"/>
                <w:sz w:val="24"/>
                <w:szCs w:val="24"/>
              </w:rPr>
              <w:fldChar w:fldCharType="separate"/>
            </w:r>
            <w:r>
              <w:rPr>
                <w:rFonts w:hint="eastAsia" w:ascii="宋体" w:hAnsi="宋体" w:cs="宋体"/>
                <w:bCs/>
                <w:color w:val="000000"/>
                <w:sz w:val="24"/>
                <w:szCs w:val="24"/>
              </w:rPr>
              <w:t>①</w:t>
            </w:r>
            <w:r>
              <w:rPr>
                <w:bCs/>
                <w:color w:val="000000"/>
                <w:sz w:val="24"/>
                <w:szCs w:val="24"/>
              </w:rPr>
              <w:fldChar w:fldCharType="end"/>
            </w:r>
            <w:r>
              <w:rPr>
                <w:bCs/>
                <w:color w:val="000000"/>
                <w:sz w:val="24"/>
                <w:szCs w:val="24"/>
              </w:rPr>
              <w:t>室外声源在预测点产生的声级计算模型</w:t>
            </w:r>
          </w:p>
          <w:p w14:paraId="6DF35BDB">
            <w:pPr>
              <w:adjustRightInd w:val="0"/>
              <w:snapToGrid w:val="0"/>
              <w:spacing w:line="360" w:lineRule="auto"/>
              <w:ind w:firstLine="480" w:firstLineChars="200"/>
              <w:rPr>
                <w:bCs/>
                <w:color w:val="000000"/>
                <w:sz w:val="24"/>
                <w:szCs w:val="24"/>
              </w:rPr>
            </w:pPr>
            <w:r>
              <w:rPr>
                <w:bCs/>
                <w:color w:val="000000"/>
                <w:sz w:val="24"/>
                <w:szCs w:val="24"/>
              </w:rPr>
              <w:t>本项目室外声源在预测点产生的声级计算模型主要采用附录A中户外声传播衰减公式：</w:t>
            </w:r>
          </w:p>
          <w:p w14:paraId="2C17DEE4">
            <w:pPr>
              <w:adjustRightInd w:val="0"/>
              <w:snapToGrid w:val="0"/>
              <w:spacing w:line="360" w:lineRule="auto"/>
              <w:ind w:firstLine="420" w:firstLineChars="200"/>
              <w:rPr>
                <w:bCs/>
                <w:i/>
                <w:color w:val="000000"/>
                <w:sz w:val="24"/>
                <w:szCs w:val="24"/>
              </w:rPr>
            </w:pPr>
            <w:r>
              <w:pict>
                <v:shape id="_x0000_i1027" o:spt="75" type="#_x0000_t75" style="height:18.35pt;width:230.25pt;" filled="f" o:preferrelative="t" stroked="f" coordsize="21600,21600"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80&quot;/&gt;&lt;w:displayBackgroundShape/&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docVars&gt;&lt;w:docVar w:name=&quot;commondata&quot; w:val=&quot;eyJoZGlkIjoiYzYxMTk3NTc1NzI3NTBmNjE3NTg5YTVhYmVmNzdhOWQifQ==&quot;/&gt;&lt;/w:docVars&gt;&lt;wsp:rsids&gt;&lt;wsp:rsidRoot wsp:val=&quot;00172A27&quot;/&gt;&lt;wsp:rsid wsp:val=&quot;000000E1&quot;/&gt;&lt;wsp:rsid wsp:val=&quot;00000384&quot;/&gt;&lt;wsp:rsid wsp:val=&quot;000006AB&quot;/&gt;&lt;wsp:rsid wsp:val=&quot;000009D1&quot;/&gt;&lt;wsp:rsid wsp:val=&quot;00001235&quot;/&gt;&lt;wsp:rsid wsp:val=&quot;000014A9&quot;/&gt;&lt;wsp:rsid wsp:val=&quot;000022C8&quot;/&gt;&lt;wsp:rsid wsp:val=&quot;00002B6D&quot;/&gt;&lt;wsp:rsid wsp:val=&quot;00002DC4&quot;/&gt;&lt;wsp:rsid wsp:val=&quot;000032CD&quot;/&gt;&lt;wsp:rsid wsp:val=&quot;000034AA&quot;/&gt;&lt;wsp:rsid wsp:val=&quot;0000355C&quot;/&gt;&lt;wsp:rsid wsp:val=&quot;00003718&quot;/&gt;&lt;wsp:rsid wsp:val=&quot;000038BB&quot;/&gt;&lt;wsp:rsid wsp:val=&quot;00003FCC&quot;/&gt;&lt;wsp:rsid wsp:val=&quot;00004021&quot;/&gt;&lt;wsp:rsid wsp:val=&quot;00004A8A&quot;/&gt;&lt;wsp:rsid wsp:val=&quot;00005F47&quot;/&gt;&lt;wsp:rsid wsp:val=&quot;00006EB1&quot;/&gt;&lt;wsp:rsid wsp:val=&quot;0000713A&quot;/&gt;&lt;wsp:rsid wsp:val=&quot;000072D5&quot;/&gt;&lt;wsp:rsid wsp:val=&quot;00007BE5&quot;/&gt;&lt;wsp:rsid wsp:val=&quot;0001075F&quot;/&gt;&lt;wsp:rsid wsp:val=&quot;000114A3&quot;/&gt;&lt;wsp:rsid wsp:val=&quot;000122D0&quot;/&gt;&lt;wsp:rsid wsp:val=&quot;00012356&quot;/&gt;&lt;wsp:rsid wsp:val=&quot;000123CF&quot;/&gt;&lt;wsp:rsid wsp:val=&quot;000130F0&quot;/&gt;&lt;wsp:rsid wsp:val=&quot;0001348A&quot;/&gt;&lt;wsp:rsid wsp:val=&quot;00013BF5&quot;/&gt;&lt;wsp:rsid wsp:val=&quot;00013CBF&quot;/&gt;&lt;wsp:rsid wsp:val=&quot;00014340&quot;/&gt;&lt;wsp:rsid wsp:val=&quot;00014DB6&quot;/&gt;&lt;wsp:rsid wsp:val=&quot;0001517C&quot;/&gt;&lt;wsp:rsid wsp:val=&quot;000154A5&quot;/&gt;&lt;wsp:rsid wsp:val=&quot;00015A1F&quot;/&gt;&lt;wsp:rsid wsp:val=&quot;00015BB0&quot;/&gt;&lt;wsp:rsid wsp:val=&quot;00016A81&quot;/&gt;&lt;wsp:rsid wsp:val=&quot;00016EC0&quot;/&gt;&lt;wsp:rsid wsp:val=&quot;0001730A&quot;/&gt;&lt;wsp:rsid wsp:val=&quot;00017469&quot;/&gt;&lt;wsp:rsid wsp:val=&quot;0001755D&quot;/&gt;&lt;wsp:rsid wsp:val=&quot;00017CEA&quot;/&gt;&lt;wsp:rsid wsp:val=&quot;00017F89&quot;/&gt;&lt;wsp:rsid wsp:val=&quot;00020D89&quot;/&gt;&lt;wsp:rsid wsp:val=&quot;00021E12&quot;/&gt;&lt;wsp:rsid wsp:val=&quot;00021E6B&quot;/&gt;&lt;wsp:rsid wsp:val=&quot;000224B7&quot;/&gt;&lt;wsp:rsid wsp:val=&quot;0002338D&quot;/&gt;&lt;wsp:rsid wsp:val=&quot;00023A95&quot;/&gt;&lt;wsp:rsid wsp:val=&quot;000240ED&quot;/&gt;&lt;wsp:rsid wsp:val=&quot;00024481&quot;/&gt;&lt;wsp:rsid wsp:val=&quot;000245B2&quot;/&gt;&lt;wsp:rsid wsp:val=&quot;00024E4C&quot;/&gt;&lt;wsp:rsid wsp:val=&quot;00025204&quot;/&gt;&lt;wsp:rsid wsp:val=&quot;00025A1D&quot;/&gt;&lt;wsp:rsid wsp:val=&quot;00025FDA&quot;/&gt;&lt;wsp:rsid wsp:val=&quot;000261E7&quot;/&gt;&lt;wsp:rsid wsp:val=&quot;00026A7E&quot;/&gt;&lt;wsp:rsid wsp:val=&quot;00026E58&quot;/&gt;&lt;wsp:rsid wsp:val=&quot;000275E4&quot;/&gt;&lt;wsp:rsid wsp:val=&quot;00027BBB&quot;/&gt;&lt;wsp:rsid wsp:val=&quot;00027E5A&quot;/&gt;&lt;wsp:rsid wsp:val=&quot;00027F18&quot;/&gt;&lt;wsp:rsid wsp:val=&quot;0003029B&quot;/&gt;&lt;wsp:rsid wsp:val=&quot;000303DC&quot;/&gt;&lt;wsp:rsid wsp:val=&quot;0003057F&quot;/&gt;&lt;wsp:rsid wsp:val=&quot;00030993&quot;/&gt;&lt;wsp:rsid wsp:val=&quot;00030CCD&quot;/&gt;&lt;wsp:rsid wsp:val=&quot;00032665&quot;/&gt;&lt;wsp:rsid wsp:val=&quot;000327B7&quot;/&gt;&lt;wsp:rsid wsp:val=&quot;00032A9F&quot;/&gt;&lt;wsp:rsid wsp:val=&quot;00032BFA&quot;/&gt;&lt;wsp:rsid wsp:val=&quot;00032D02&quot;/&gt;&lt;wsp:rsid wsp:val=&quot;00032FB9&quot;/&gt;&lt;wsp:rsid wsp:val=&quot;0003314E&quot;/&gt;&lt;wsp:rsid wsp:val=&quot;000332B9&quot;/&gt;&lt;wsp:rsid wsp:val=&quot;00033402&quot;/&gt;&lt;wsp:rsid wsp:val=&quot;00033925&quot;/&gt;&lt;wsp:rsid wsp:val=&quot;000339F8&quot;/&gt;&lt;wsp:rsid wsp:val=&quot;00033EEB&quot;/&gt;&lt;wsp:rsid wsp:val=&quot;000343C9&quot;/&gt;&lt;wsp:rsid wsp:val=&quot;00034E5F&quot;/&gt;&lt;wsp:rsid wsp:val=&quot;00035946&quot;/&gt;&lt;wsp:rsid wsp:val=&quot;00035DBC&quot;/&gt;&lt;wsp:rsid wsp:val=&quot;0003607A&quot;/&gt;&lt;wsp:rsid wsp:val=&quot;000368CA&quot;/&gt;&lt;wsp:rsid wsp:val=&quot;000369B8&quot;/&gt;&lt;wsp:rsid wsp:val=&quot;00036D60&quot;/&gt;&lt;wsp:rsid wsp:val=&quot;00036F18&quot;/&gt;&lt;wsp:rsid wsp:val=&quot;000379E1&quot;/&gt;&lt;wsp:rsid wsp:val=&quot;00037B71&quot;/&gt;&lt;wsp:rsid wsp:val=&quot;00037C97&quot;/&gt;&lt;wsp:rsid wsp:val=&quot;000403A0&quot;/&gt;&lt;wsp:rsid wsp:val=&quot;00040E2F&quot;/&gt;&lt;wsp:rsid wsp:val=&quot;00040FAB&quot;/&gt;&lt;wsp:rsid wsp:val=&quot;0004133E&quot;/&gt;&lt;wsp:rsid wsp:val=&quot;000419F0&quot;/&gt;&lt;wsp:rsid wsp:val=&quot;00041DDD&quot;/&gt;&lt;wsp:rsid wsp:val=&quot;00041DF7&quot;/&gt;&lt;wsp:rsid wsp:val=&quot;0004231E&quot;/&gt;&lt;wsp:rsid wsp:val=&quot;000428F9&quot;/&gt;&lt;wsp:rsid wsp:val=&quot;0004324C&quot;/&gt;&lt;wsp:rsid wsp:val=&quot;00043302&quot;/&gt;&lt;wsp:rsid wsp:val=&quot;00043460&quot;/&gt;&lt;wsp:rsid wsp:val=&quot;0004381A&quot;/&gt;&lt;wsp:rsid wsp:val=&quot;00043A61&quot;/&gt;&lt;wsp:rsid wsp:val=&quot;00044079&quot;/&gt;&lt;wsp:rsid wsp:val=&quot;00044735&quot;/&gt;&lt;wsp:rsid wsp:val=&quot;00044945&quot;/&gt;&lt;wsp:rsid wsp:val=&quot;000451D9&quot;/&gt;&lt;wsp:rsid wsp:val=&quot;00046136&quot;/&gt;&lt;wsp:rsid wsp:val=&quot;00046842&quot;/&gt;&lt;wsp:rsid wsp:val=&quot;00047117&quot;/&gt;&lt;wsp:rsid wsp:val=&quot;00047226&quot;/&gt;&lt;wsp:rsid wsp:val=&quot;0004742D&quot;/&gt;&lt;wsp:rsid wsp:val=&quot;000478BE&quot;/&gt;&lt;wsp:rsid wsp:val=&quot;00047D6E&quot;/&gt;&lt;wsp:rsid wsp:val=&quot;00047DA1&quot;/&gt;&lt;wsp:rsid wsp:val=&quot;0005042F&quot;/&gt;&lt;wsp:rsid wsp:val=&quot;00050A8E&quot;/&gt;&lt;wsp:rsid wsp:val=&quot;00050AF8&quot;/&gt;&lt;wsp:rsid wsp:val=&quot;00050BBA&quot;/&gt;&lt;wsp:rsid wsp:val=&quot;00050E97&quot;/&gt;&lt;wsp:rsid wsp:val=&quot;00050EF2&quot;/&gt;&lt;wsp:rsid wsp:val=&quot;000510FC&quot;/&gt;&lt;wsp:rsid wsp:val=&quot;000513EB&quot;/&gt;&lt;wsp:rsid wsp:val=&quot;0005152E&quot;/&gt;&lt;wsp:rsid wsp:val=&quot;00051CE8&quot;/&gt;&lt;wsp:rsid wsp:val=&quot;00051EC6&quot;/&gt;&lt;wsp:rsid wsp:val=&quot;0005203D&quot;/&gt;&lt;wsp:rsid wsp:val=&quot;000525A1&quot;/&gt;&lt;wsp:rsid wsp:val=&quot;00052790&quot;/&gt;&lt;wsp:rsid wsp:val=&quot;00053ABF&quot;/&gt;&lt;wsp:rsid wsp:val=&quot;00053CC4&quot;/&gt;&lt;wsp:rsid wsp:val=&quot;00053FC8&quot;/&gt;&lt;wsp:rsid wsp:val=&quot;0005435D&quot;/&gt;&lt;wsp:rsid wsp:val=&quot;00054CBF&quot;/&gt;&lt;wsp:rsid wsp:val=&quot;00054CF1&quot;/&gt;&lt;wsp:rsid wsp:val=&quot;00054E06&quot;/&gt;&lt;wsp:rsid wsp:val=&quot;00054E67&quot;/&gt;&lt;wsp:rsid wsp:val=&quot;00056697&quot;/&gt;&lt;wsp:rsid wsp:val=&quot;0005719D&quot;/&gt;&lt;wsp:rsid wsp:val=&quot;00057445&quot;/&gt;&lt;wsp:rsid wsp:val=&quot;000575FC&quot;/&gt;&lt;wsp:rsid wsp:val=&quot;00057AC4&quot;/&gt;&lt;wsp:rsid wsp:val=&quot;00057D9D&quot;/&gt;&lt;wsp:rsid wsp:val=&quot;00060708&quot;/&gt;&lt;wsp:rsid wsp:val=&quot;00060AC3&quot;/&gt;&lt;wsp:rsid wsp:val=&quot;00060BF1&quot;/&gt;&lt;wsp:rsid wsp:val=&quot;00061A2B&quot;/&gt;&lt;wsp:rsid wsp:val=&quot;00062344&quot;/&gt;&lt;wsp:rsid wsp:val=&quot;00062606&quot;/&gt;&lt;wsp:rsid wsp:val=&quot;00062675&quot;/&gt;&lt;wsp:rsid wsp:val=&quot;00062692&quot;/&gt;&lt;wsp:rsid wsp:val=&quot;00062AC1&quot;/&gt;&lt;wsp:rsid wsp:val=&quot;00062FD6&quot;/&gt;&lt;wsp:rsid wsp:val=&quot;00063457&quot;/&gt;&lt;wsp:rsid wsp:val=&quot;000639DD&quot;/&gt;&lt;wsp:rsid wsp:val=&quot;00063BB0&quot;/&gt;&lt;wsp:rsid wsp:val=&quot;00063CDE&quot;/&gt;&lt;wsp:rsid wsp:val=&quot;00063E4C&quot;/&gt;&lt;wsp:rsid wsp:val=&quot;00063F85&quot;/&gt;&lt;wsp:rsid wsp:val=&quot;0006454E&quot;/&gt;&lt;wsp:rsid wsp:val=&quot;00065025&quot;/&gt;&lt;wsp:rsid wsp:val=&quot;0006572B&quot;/&gt;&lt;wsp:rsid wsp:val=&quot;000665A5&quot;/&gt;&lt;wsp:rsid wsp:val=&quot;000672FE&quot;/&gt;&lt;wsp:rsid wsp:val=&quot;00070280&quot;/&gt;&lt;wsp:rsid wsp:val=&quot;00070A32&quot;/&gt;&lt;wsp:rsid wsp:val=&quot;00070F4C&quot;/&gt;&lt;wsp:rsid wsp:val=&quot;000713B5&quot;/&gt;&lt;wsp:rsid wsp:val=&quot;00071AD0&quot;/&gt;&lt;wsp:rsid wsp:val=&quot;00071E2D&quot;/&gt;&lt;wsp:rsid wsp:val=&quot;0007206C&quot;/&gt;&lt;wsp:rsid wsp:val=&quot;00072397&quot;/&gt;&lt;wsp:rsid wsp:val=&quot;00072D6D&quot;/&gt;&lt;wsp:rsid wsp:val=&quot;000731EF&quot;/&gt;&lt;wsp:rsid wsp:val=&quot;00073780&quot;/&gt;&lt;wsp:rsid wsp:val=&quot;00073A88&quot;/&gt;&lt;wsp:rsid wsp:val=&quot;00073B30&quot;/&gt;&lt;wsp:rsid wsp:val=&quot;00074EF3&quot;/&gt;&lt;wsp:rsid wsp:val=&quot;000750CA&quot;/&gt;&lt;wsp:rsid wsp:val=&quot;0007642D&quot;/&gt;&lt;wsp:rsid wsp:val=&quot;00076989&quot;/&gt;&lt;wsp:rsid wsp:val=&quot;00076B05&quot;/&gt;&lt;wsp:rsid wsp:val=&quot;0008046A&quot;/&gt;&lt;wsp:rsid wsp:val=&quot;000820A1&quot;/&gt;&lt;wsp:rsid wsp:val=&quot;00082718&quot;/&gt;&lt;wsp:rsid wsp:val=&quot;00082780&quot;/&gt;&lt;wsp:rsid wsp:val=&quot;00082836&quot;/&gt;&lt;wsp:rsid wsp:val=&quot;00082A7E&quot;/&gt;&lt;wsp:rsid wsp:val=&quot;00082B73&quot;/&gt;&lt;wsp:rsid wsp:val=&quot;00082BB1&quot;/&gt;&lt;wsp:rsid wsp:val=&quot;00082C63&quot;/&gt;&lt;wsp:rsid wsp:val=&quot;00083256&quot;/&gt;&lt;wsp:rsid wsp:val=&quot;00083A9D&quot;/&gt;&lt;wsp:rsid wsp:val=&quot;000847DE&quot;/&gt;&lt;wsp:rsid wsp:val=&quot;00084C61&quot;/&gt;&lt;wsp:rsid wsp:val=&quot;00084E5B&quot;/&gt;&lt;wsp:rsid wsp:val=&quot;0008524B&quot;/&gt;&lt;wsp:rsid wsp:val=&quot;0008557C&quot;/&gt;&lt;wsp:rsid wsp:val=&quot;00085970&quot;/&gt;&lt;wsp:rsid wsp:val=&quot;00085F0E&quot;/&gt;&lt;wsp:rsid wsp:val=&quot;00086DA3&quot;/&gt;&lt;wsp:rsid wsp:val=&quot;00087183&quot;/&gt;&lt;wsp:rsid wsp:val=&quot;00087EB8&quot;/&gt;&lt;wsp:rsid wsp:val=&quot;0009007B&quot;/&gt;&lt;wsp:rsid wsp:val=&quot;00090B2E&quot;/&gt;&lt;wsp:rsid wsp:val=&quot;00090B96&quot;/&gt;&lt;wsp:rsid wsp:val=&quot;00090BE8&quot;/&gt;&lt;wsp:rsid wsp:val=&quot;00090CAD&quot;/&gt;&lt;wsp:rsid wsp:val=&quot;00091336&quot;/&gt;&lt;wsp:rsid wsp:val=&quot;00091435&quot;/&gt;&lt;wsp:rsid wsp:val=&quot;00091EAE&quot;/&gt;&lt;wsp:rsid wsp:val=&quot;00092501&quot;/&gt;&lt;wsp:rsid wsp:val=&quot;00093107&quot;/&gt;&lt;wsp:rsid wsp:val=&quot;000937A1&quot;/&gt;&lt;wsp:rsid wsp:val=&quot;0009433D&quot;/&gt;&lt;wsp:rsid wsp:val=&quot;00095509&quot;/&gt;&lt;wsp:rsid wsp:val=&quot;00095519&quot;/&gt;&lt;wsp:rsid wsp:val=&quot;000957BC&quot;/&gt;&lt;wsp:rsid wsp:val=&quot;00095A1A&quot;/&gt;&lt;wsp:rsid wsp:val=&quot;00095BDC&quot;/&gt;&lt;wsp:rsid wsp:val=&quot;0009632C&quot;/&gt;&lt;wsp:rsid wsp:val=&quot;0009675A&quot;/&gt;&lt;wsp:rsid wsp:val=&quot;00096A33&quot;/&gt;&lt;wsp:rsid wsp:val=&quot;00096C0E&quot;/&gt;&lt;wsp:rsid wsp:val=&quot;00097294&quot;/&gt;&lt;wsp:rsid wsp:val=&quot;00097BBF&quot;/&gt;&lt;wsp:rsid wsp:val=&quot;00097E40&quot;/&gt;&lt;wsp:rsid wsp:val=&quot;000A0A75&quot;/&gt;&lt;wsp:rsid wsp:val=&quot;000A0B0C&quot;/&gt;&lt;wsp:rsid wsp:val=&quot;000A0F15&quot;/&gt;&lt;wsp:rsid wsp:val=&quot;000A1578&quot;/&gt;&lt;wsp:rsid wsp:val=&quot;000A19B5&quot;/&gt;&lt;wsp:rsid wsp:val=&quot;000A19B7&quot;/&gt;&lt;wsp:rsid wsp:val=&quot;000A1DD4&quot;/&gt;&lt;wsp:rsid wsp:val=&quot;000A1EAF&quot;/&gt;&lt;wsp:rsid wsp:val=&quot;000A1EFA&quot;/&gt;&lt;wsp:rsid wsp:val=&quot;000A2DEC&quot;/&gt;&lt;wsp:rsid wsp:val=&quot;000A3147&quot;/&gt;&lt;wsp:rsid wsp:val=&quot;000A3333&quot;/&gt;&lt;wsp:rsid wsp:val=&quot;000A3931&quot;/&gt;&lt;wsp:rsid wsp:val=&quot;000A44C6&quot;/&gt;&lt;wsp:rsid wsp:val=&quot;000A46B2&quot;/&gt;&lt;wsp:rsid wsp:val=&quot;000A4D6D&quot;/&gt;&lt;wsp:rsid wsp:val=&quot;000A61DB&quot;/&gt;&lt;wsp:rsid wsp:val=&quot;000A675B&quot;/&gt;&lt;wsp:rsid wsp:val=&quot;000A7337&quot;/&gt;&lt;wsp:rsid wsp:val=&quot;000A741E&quot;/&gt;&lt;wsp:rsid wsp:val=&quot;000A7CE7&quot;/&gt;&lt;wsp:rsid wsp:val=&quot;000B0216&quot;/&gt;&lt;wsp:rsid wsp:val=&quot;000B03F5&quot;/&gt;&lt;wsp:rsid wsp:val=&quot;000B064B&quot;/&gt;&lt;wsp:rsid wsp:val=&quot;000B0F8E&quot;/&gt;&lt;wsp:rsid wsp:val=&quot;000B0FCB&quot;/&gt;&lt;wsp:rsid wsp:val=&quot;000B1EC8&quot;/&gt;&lt;wsp:rsid wsp:val=&quot;000B264B&quot;/&gt;&lt;wsp:rsid wsp:val=&quot;000B2DAA&quot;/&gt;&lt;wsp:rsid wsp:val=&quot;000B2E4A&quot;/&gt;&lt;wsp:rsid wsp:val=&quot;000B31CA&quot;/&gt;&lt;wsp:rsid wsp:val=&quot;000B31F7&quot;/&gt;&lt;wsp:rsid wsp:val=&quot;000B4062&quot;/&gt;&lt;wsp:rsid wsp:val=&quot;000B45A4&quot;/&gt;&lt;wsp:rsid wsp:val=&quot;000B4AD7&quot;/&gt;&lt;wsp:rsid wsp:val=&quot;000B5458&quot;/&gt;&lt;wsp:rsid wsp:val=&quot;000B55AF&quot;/&gt;&lt;wsp:rsid wsp:val=&quot;000B5B93&quot;/&gt;&lt;wsp:rsid wsp:val=&quot;000B5E06&quot;/&gt;&lt;wsp:rsid wsp:val=&quot;000B6106&quot;/&gt;&lt;wsp:rsid wsp:val=&quot;000B6678&quot;/&gt;&lt;wsp:rsid wsp:val=&quot;000B671F&quot;/&gt;&lt;wsp:rsid wsp:val=&quot;000B70F1&quot;/&gt;&lt;wsp:rsid wsp:val=&quot;000B744B&quot;/&gt;&lt;wsp:rsid wsp:val=&quot;000B7B79&quot;/&gt;&lt;wsp:rsid wsp:val=&quot;000C0B5E&quot;/&gt;&lt;wsp:rsid wsp:val=&quot;000C0C18&quot;/&gt;&lt;wsp:rsid wsp:val=&quot;000C0D66&quot;/&gt;&lt;wsp:rsid wsp:val=&quot;000C1120&quot;/&gt;&lt;wsp:rsid wsp:val=&quot;000C1252&quot;/&gt;&lt;wsp:rsid wsp:val=&quot;000C1AF2&quot;/&gt;&lt;wsp:rsid wsp:val=&quot;000C1EF9&quot;/&gt;&lt;wsp:rsid wsp:val=&quot;000C2262&quot;/&gt;&lt;wsp:rsid wsp:val=&quot;000C235E&quot;/&gt;&lt;wsp:rsid wsp:val=&quot;000C2459&quot;/&gt;&lt;wsp:rsid wsp:val=&quot;000C2967&quot;/&gt;&lt;wsp:rsid wsp:val=&quot;000C2C75&quot;/&gt;&lt;wsp:rsid wsp:val=&quot;000C2F5D&quot;/&gt;&lt;wsp:rsid wsp:val=&quot;000C3017&quot;/&gt;&lt;wsp:rsid wsp:val=&quot;000C316A&quot;/&gt;&lt;wsp:rsid wsp:val=&quot;000C369E&quot;/&gt;&lt;wsp:rsid wsp:val=&quot;000C436C&quot;/&gt;&lt;wsp:rsid wsp:val=&quot;000C47D6&quot;/&gt;&lt;wsp:rsid wsp:val=&quot;000C4E3B&quot;/&gt;&lt;wsp:rsid wsp:val=&quot;000C5CE0&quot;/&gt;&lt;wsp:rsid wsp:val=&quot;000C5E17&quot;/&gt;&lt;wsp:rsid wsp:val=&quot;000C5E29&quot;/&gt;&lt;wsp:rsid wsp:val=&quot;000C5F29&quot;/&gt;&lt;wsp:rsid wsp:val=&quot;000C61E6&quot;/&gt;&lt;wsp:rsid wsp:val=&quot;000C7137&quot;/&gt;&lt;wsp:rsid wsp:val=&quot;000C75A5&quot;/&gt;&lt;wsp:rsid wsp:val=&quot;000C79B7&quot;/&gt;&lt;wsp:rsid wsp:val=&quot;000C7C56&quot;/&gt;&lt;wsp:rsid wsp:val=&quot;000C7C5F&quot;/&gt;&lt;wsp:rsid wsp:val=&quot;000C7DBB&quot;/&gt;&lt;wsp:rsid wsp:val=&quot;000C7E0F&quot;/&gt;&lt;wsp:rsid wsp:val=&quot;000D06E9&quot;/&gt;&lt;wsp:rsid wsp:val=&quot;000D09C4&quot;/&gt;&lt;wsp:rsid wsp:val=&quot;000D0ECA&quot;/&gt;&lt;wsp:rsid wsp:val=&quot;000D22EE&quot;/&gt;&lt;wsp:rsid wsp:val=&quot;000D243F&quot;/&gt;&lt;wsp:rsid wsp:val=&quot;000D24E0&quot;/&gt;&lt;wsp:rsid wsp:val=&quot;000D385C&quot;/&gt;&lt;wsp:rsid wsp:val=&quot;000D4110&quot;/&gt;&lt;wsp:rsid wsp:val=&quot;000D4E93&quot;/&gt;&lt;wsp:rsid wsp:val=&quot;000D51E7&quot;/&gt;&lt;wsp:rsid wsp:val=&quot;000D573D&quot;/&gt;&lt;wsp:rsid wsp:val=&quot;000D5F41&quot;/&gt;&lt;wsp:rsid wsp:val=&quot;000D5F7F&quot;/&gt;&lt;wsp:rsid wsp:val=&quot;000D6463&quot;/&gt;&lt;wsp:rsid wsp:val=&quot;000D6FC9&quot;/&gt;&lt;wsp:rsid wsp:val=&quot;000D78F8&quot;/&gt;&lt;wsp:rsid wsp:val=&quot;000E0B11&quot;/&gt;&lt;wsp:rsid wsp:val=&quot;000E0B9B&quot;/&gt;&lt;wsp:rsid wsp:val=&quot;000E0D49&quot;/&gt;&lt;wsp:rsid wsp:val=&quot;000E0D4F&quot;/&gt;&lt;wsp:rsid wsp:val=&quot;000E1CB4&quot;/&gt;&lt;wsp:rsid wsp:val=&quot;000E1D2A&quot;/&gt;&lt;wsp:rsid wsp:val=&quot;000E24C3&quot;/&gt;&lt;wsp:rsid wsp:val=&quot;000E27B5&quot;/&gt;&lt;wsp:rsid wsp:val=&quot;000E2925&quot;/&gt;&lt;wsp:rsid wsp:val=&quot;000E2E1C&quot;/&gt;&lt;wsp:rsid wsp:val=&quot;000E3485&quot;/&gt;&lt;wsp:rsid wsp:val=&quot;000E34CD&quot;/&gt;&lt;wsp:rsid wsp:val=&quot;000E37E4&quot;/&gt;&lt;wsp:rsid wsp:val=&quot;000E492D&quot;/&gt;&lt;wsp:rsid wsp:val=&quot;000E4957&quot;/&gt;&lt;wsp:rsid wsp:val=&quot;000E4C70&quot;/&gt;&lt;wsp:rsid wsp:val=&quot;000E4D7D&quot;/&gt;&lt;wsp:rsid wsp:val=&quot;000E51C4&quot;/&gt;&lt;wsp:rsid wsp:val=&quot;000E55E2&quot;/&gt;&lt;wsp:rsid wsp:val=&quot;000E5CC4&quot;/&gt;&lt;wsp:rsid wsp:val=&quot;000E5E2A&quot;/&gt;&lt;wsp:rsid wsp:val=&quot;000E6CE0&quot;/&gt;&lt;wsp:rsid wsp:val=&quot;000E71DC&quot;/&gt;&lt;wsp:rsid wsp:val=&quot;000E7850&quot;/&gt;&lt;wsp:rsid wsp:val=&quot;000E7882&quot;/&gt;&lt;wsp:rsid wsp:val=&quot;000F06FB&quot;/&gt;&lt;wsp:rsid wsp:val=&quot;000F15F1&quot;/&gt;&lt;wsp:rsid wsp:val=&quot;000F1A26&quot;/&gt;&lt;wsp:rsid wsp:val=&quot;000F1C34&quot;/&gt;&lt;wsp:rsid wsp:val=&quot;000F1CE3&quot;/&gt;&lt;wsp:rsid wsp:val=&quot;000F2080&quot;/&gt;&lt;wsp:rsid wsp:val=&quot;000F2E83&quot;/&gt;&lt;wsp:rsid wsp:val=&quot;000F3DC7&quot;/&gt;&lt;wsp:rsid wsp:val=&quot;000F3EA9&quot;/&gt;&lt;wsp:rsid wsp:val=&quot;000F3FF0&quot;/&gt;&lt;wsp:rsid wsp:val=&quot;000F401A&quot;/&gt;&lt;wsp:rsid wsp:val=&quot;000F4380&quot;/&gt;&lt;wsp:rsid wsp:val=&quot;000F6629&quot;/&gt;&lt;wsp:rsid wsp:val=&quot;000F66BD&quot;/&gt;&lt;wsp:rsid wsp:val=&quot;000F7BC2&quot;/&gt;&lt;wsp:rsid wsp:val=&quot;001001EC&quot;/&gt;&lt;wsp:rsid wsp:val=&quot;001001ED&quot;/&gt;&lt;wsp:rsid wsp:val=&quot;001003BB&quot;/&gt;&lt;wsp:rsid wsp:val=&quot;00100D34&quot;/&gt;&lt;wsp:rsid wsp:val=&quot;001012DC&quot;/&gt;&lt;wsp:rsid wsp:val=&quot;001016E3&quot;/&gt;&lt;wsp:rsid wsp:val=&quot;0010206A&quot;/&gt;&lt;wsp:rsid wsp:val=&quot;001020EC&quot;/&gt;&lt;wsp:rsid wsp:val=&quot;0010273F&quot;/&gt;&lt;wsp:rsid wsp:val=&quot;00102EDF&quot;/&gt;&lt;wsp:rsid wsp:val=&quot;001034DB&quot;/&gt;&lt;wsp:rsid wsp:val=&quot;00103774&quot;/&gt;&lt;wsp:rsid wsp:val=&quot;0010390E&quot;/&gt;&lt;wsp:rsid wsp:val=&quot;001039C1&quot;/&gt;&lt;wsp:rsid wsp:val=&quot;00103C31&quot;/&gt;&lt;wsp:rsid wsp:val=&quot;0010503D&quot;/&gt;&lt;wsp:rsid wsp:val=&quot;001055E3&quot;/&gt;&lt;wsp:rsid wsp:val=&quot;00105C3A&quot;/&gt;&lt;wsp:rsid wsp:val=&quot;001071B2&quot;/&gt;&lt;wsp:rsid wsp:val=&quot;001073D3&quot;/&gt;&lt;wsp:rsid wsp:val=&quot;001075EA&quot;/&gt;&lt;wsp:rsid wsp:val=&quot;0010772D&quot;/&gt;&lt;wsp:rsid wsp:val=&quot;00107808&quot;/&gt;&lt;wsp:rsid wsp:val=&quot;00107CF3&quot;/&gt;&lt;wsp:rsid wsp:val=&quot;00107D8D&quot;/&gt;&lt;wsp:rsid wsp:val=&quot;00110191&quot;/&gt;&lt;wsp:rsid wsp:val=&quot;001106D8&quot;/&gt;&lt;wsp:rsid wsp:val=&quot;00110D9F&quot;/&gt;&lt;wsp:rsid wsp:val=&quot;00111EF3&quot;/&gt;&lt;wsp:rsid wsp:val=&quot;0011207F&quot;/&gt;&lt;wsp:rsid wsp:val=&quot;001121DC&quot;/&gt;&lt;wsp:rsid wsp:val=&quot;00113030&quot;/&gt;&lt;wsp:rsid wsp:val=&quot;00113291&quot;/&gt;&lt;wsp:rsid wsp:val=&quot;00113E68&quot;/&gt;&lt;wsp:rsid wsp:val=&quot;001147D7&quot;/&gt;&lt;wsp:rsid wsp:val=&quot;001150A9&quot;/&gt;&lt;wsp:rsid wsp:val=&quot;001165B3&quot;/&gt;&lt;wsp:rsid wsp:val=&quot;00117786&quot;/&gt;&lt;wsp:rsid wsp:val=&quot;00117AB9&quot;/&gt;&lt;wsp:rsid wsp:val=&quot;00117AE8&quot;/&gt;&lt;wsp:rsid wsp:val=&quot;001200DF&quot;/&gt;&lt;wsp:rsid wsp:val=&quot;001204F1&quot;/&gt;&lt;wsp:rsid wsp:val=&quot;00120677&quot;/&gt;&lt;wsp:rsid wsp:val=&quot;00120E1C&quot;/&gt;&lt;wsp:rsid wsp:val=&quot;00120EAD&quot;/&gt;&lt;wsp:rsid wsp:val=&quot;001211FD&quot;/&gt;&lt;wsp:rsid wsp:val=&quot;00121875&quot;/&gt;&lt;wsp:rsid wsp:val=&quot;001218B4&quot;/&gt;&lt;wsp:rsid wsp:val=&quot;00121B39&quot;/&gt;&lt;wsp:rsid wsp:val=&quot;00121DA9&quot;/&gt;&lt;wsp:rsid wsp:val=&quot;00122016&quot;/&gt;&lt;wsp:rsid wsp:val=&quot;00122099&quot;/&gt;&lt;wsp:rsid wsp:val=&quot;00122293&quot;/&gt;&lt;wsp:rsid wsp:val=&quot;00122C29&quot;/&gt;&lt;wsp:rsid wsp:val=&quot;00122E6C&quot;/&gt;&lt;wsp:rsid wsp:val=&quot;00123150&quot;/&gt;&lt;wsp:rsid wsp:val=&quot;001239C7&quot;/&gt;&lt;wsp:rsid wsp:val=&quot;00123B28&quot;/&gt;&lt;wsp:rsid wsp:val=&quot;00123B74&quot;/&gt;&lt;wsp:rsid wsp:val=&quot;001240F1&quot;/&gt;&lt;wsp:rsid wsp:val=&quot;00124460&quot;/&gt;&lt;wsp:rsid wsp:val=&quot;00124CF3&quot;/&gt;&lt;wsp:rsid wsp:val=&quot;00124D34&quot;/&gt;&lt;wsp:rsid wsp:val=&quot;00125145&quot;/&gt;&lt;wsp:rsid wsp:val=&quot;00126167&quot;/&gt;&lt;wsp:rsid wsp:val=&quot;00126AD4&quot;/&gt;&lt;wsp:rsid wsp:val=&quot;00127245&quot;/&gt;&lt;wsp:rsid wsp:val=&quot;0012729C&quot;/&gt;&lt;wsp:rsid wsp:val=&quot;001276BE&quot;/&gt;&lt;wsp:rsid wsp:val=&quot;00130AE8&quot;/&gt;&lt;wsp:rsid wsp:val=&quot;00131B56&quot;/&gt;&lt;wsp:rsid wsp:val=&quot;001329E5&quot;/&gt;&lt;wsp:rsid wsp:val=&quot;001330B9&quot;/&gt;&lt;wsp:rsid wsp:val=&quot;00133676&quot;/&gt;&lt;wsp:rsid wsp:val=&quot;00133A41&quot;/&gt;&lt;wsp:rsid wsp:val=&quot;00133C5F&quot;/&gt;&lt;wsp:rsid wsp:val=&quot;00133D0E&quot;/&gt;&lt;wsp:rsid wsp:val=&quot;00134204&quot;/&gt;&lt;wsp:rsid wsp:val=&quot;001345C5&quot;/&gt;&lt;wsp:rsid wsp:val=&quot;00134ED3&quot;/&gt;&lt;wsp:rsid wsp:val=&quot;001351E5&quot;/&gt;&lt;wsp:rsid wsp:val=&quot;00135303&quot;/&gt;&lt;wsp:rsid wsp:val=&quot;00135674&quot;/&gt;&lt;wsp:rsid wsp:val=&quot;001356A6&quot;/&gt;&lt;wsp:rsid wsp:val=&quot;00135733&quot;/&gt;&lt;wsp:rsid wsp:val=&quot;00135791&quot;/&gt;&lt;wsp:rsid wsp:val=&quot;0013585D&quot;/&gt;&lt;wsp:rsid wsp:val=&quot;001359A0&quot;/&gt;&lt;wsp:rsid wsp:val=&quot;0013611F&quot;/&gt;&lt;wsp:rsid wsp:val=&quot;0013619C&quot;/&gt;&lt;wsp:rsid wsp:val=&quot;00136DF3&quot;/&gt;&lt;wsp:rsid wsp:val=&quot;001372FF&quot;/&gt;&lt;wsp:rsid wsp:val=&quot;001378EF&quot;/&gt;&lt;wsp:rsid wsp:val=&quot;00137988&quot;/&gt;&lt;wsp:rsid wsp:val=&quot;00140863&quot;/&gt;&lt;wsp:rsid wsp:val=&quot;001412A7&quot;/&gt;&lt;wsp:rsid wsp:val=&quot;0014131F&quot;/&gt;&lt;wsp:rsid wsp:val=&quot;001420AB&quot;/&gt;&lt;wsp:rsid wsp:val=&quot;001420B8&quot;/&gt;&lt;wsp:rsid wsp:val=&quot;001428CC&quot;/&gt;&lt;wsp:rsid wsp:val=&quot;00142AC5&quot;/&gt;&lt;wsp:rsid wsp:val=&quot;00142E23&quot;/&gt;&lt;wsp:rsid wsp:val=&quot;00143B23&quot;/&gt;&lt;wsp:rsid wsp:val=&quot;001444D2&quot;/&gt;&lt;wsp:rsid wsp:val=&quot;0014466A&quot;/&gt;&lt;wsp:rsid wsp:val=&quot;00144FBB&quot;/&gt;&lt;wsp:rsid wsp:val=&quot;00145316&quot;/&gt;&lt;wsp:rsid wsp:val=&quot;00145633&quot;/&gt;&lt;wsp:rsid wsp:val=&quot;00145DFF&quot;/&gt;&lt;wsp:rsid wsp:val=&quot;00145E35&quot;/&gt;&lt;wsp:rsid wsp:val=&quot;0014641F&quot;/&gt;&lt;wsp:rsid wsp:val=&quot;00146DC1&quot;/&gt;&lt;wsp:rsid wsp:val=&quot;001470EC&quot;/&gt;&lt;wsp:rsid wsp:val=&quot;0014788C&quot;/&gt;&lt;wsp:rsid wsp:val=&quot;001478F2&quot;/&gt;&lt;wsp:rsid wsp:val=&quot;00147EE2&quot;/&gt;&lt;wsp:rsid wsp:val=&quot;00147F6A&quot;/&gt;&lt;wsp:rsid wsp:val=&quot;00150275&quot;/&gt;&lt;wsp:rsid wsp:val=&quot;0015077B&quot;/&gt;&lt;wsp:rsid wsp:val=&quot;001517C2&quot;/&gt;&lt;wsp:rsid wsp:val=&quot;0015180A&quot;/&gt;&lt;wsp:rsid wsp:val=&quot;001519EF&quot;/&gt;&lt;wsp:rsid wsp:val=&quot;00151FF5&quot;/&gt;&lt;wsp:rsid wsp:val=&quot;0015215A&quot;/&gt;&lt;wsp:rsid wsp:val=&quot;001523DF&quot;/&gt;&lt;wsp:rsid wsp:val=&quot;00152B94&quot;/&gt;&lt;wsp:rsid wsp:val=&quot;00152F03&quot;/&gt;&lt;wsp:rsid wsp:val=&quot;00152F47&quot;/&gt;&lt;wsp:rsid wsp:val=&quot;00153BB4&quot;/&gt;&lt;wsp:rsid wsp:val=&quot;00153C79&quot;/&gt;&lt;wsp:rsid wsp:val=&quot;00154095&quot;/&gt;&lt;wsp:rsid wsp:val=&quot;00155276&quot;/&gt;&lt;wsp:rsid wsp:val=&quot;001554AD&quot;/&gt;&lt;wsp:rsid wsp:val=&quot;001555DC&quot;/&gt;&lt;wsp:rsid wsp:val=&quot;001557DB&quot;/&gt;&lt;wsp:rsid wsp:val=&quot;00155B27&quot;/&gt;&lt;wsp:rsid wsp:val=&quot;00155D6E&quot;/&gt;&lt;wsp:rsid wsp:val=&quot;0015638E&quot;/&gt;&lt;wsp:rsid wsp:val=&quot;00156DA3&quot;/&gt;&lt;wsp:rsid wsp:val=&quot;00156EBD&quot;/&gt;&lt;wsp:rsid wsp:val=&quot;001572D2&quot;/&gt;&lt;wsp:rsid wsp:val=&quot;0015752E&quot;/&gt;&lt;wsp:rsid wsp:val=&quot;00160B9A&quot;/&gt;&lt;wsp:rsid wsp:val=&quot;00160EF9&quot;/&gt;&lt;wsp:rsid wsp:val=&quot;00161081&quot;/&gt;&lt;wsp:rsid wsp:val=&quot;00161266&quot;/&gt;&lt;wsp:rsid wsp:val=&quot;001613D9&quot;/&gt;&lt;wsp:rsid wsp:val=&quot;0016151A&quot;/&gt;&lt;wsp:rsid wsp:val=&quot;001619F2&quot;/&gt;&lt;wsp:rsid wsp:val=&quot;00161A19&quot;/&gt;&lt;wsp:rsid wsp:val=&quot;00161A8F&quot;/&gt;&lt;wsp:rsid wsp:val=&quot;00161A90&quot;/&gt;&lt;wsp:rsid wsp:val=&quot;00161FB8&quot;/&gt;&lt;wsp:rsid wsp:val=&quot;00162064&quot;/&gt;&lt;wsp:rsid wsp:val=&quot;00163235&quot;/&gt;&lt;wsp:rsid wsp:val=&quot;00163325&quot;/&gt;&lt;wsp:rsid wsp:val=&quot;00163ED9&quot;/&gt;&lt;wsp:rsid wsp:val=&quot;00164141&quot;/&gt;&lt;wsp:rsid wsp:val=&quot;001642AF&quot;/&gt;&lt;wsp:rsid wsp:val=&quot;00164885&quot;/&gt;&lt;wsp:rsid wsp:val=&quot;00165016&quot;/&gt;&lt;wsp:rsid wsp:val=&quot;001650CD&quot;/&gt;&lt;wsp:rsid wsp:val=&quot;00165397&quot;/&gt;&lt;wsp:rsid wsp:val=&quot;001654CE&quot;/&gt;&lt;wsp:rsid wsp:val=&quot;00165581&quot;/&gt;&lt;wsp:rsid wsp:val=&quot;00165EBF&quot;/&gt;&lt;wsp:rsid wsp:val=&quot;00165F81&quot;/&gt;&lt;wsp:rsid wsp:val=&quot;00166374&quot;/&gt;&lt;wsp:rsid wsp:val=&quot;00166F00&quot;/&gt;&lt;wsp:rsid wsp:val=&quot;001678B3&quot;/&gt;&lt;wsp:rsid wsp:val=&quot;00167D65&quot;/&gt;&lt;wsp:rsid wsp:val=&quot;001700D0&quot;/&gt;&lt;wsp:rsid wsp:val=&quot;001708B9&quot;/&gt;&lt;wsp:rsid wsp:val=&quot;0017099E&quot;/&gt;&lt;wsp:rsid wsp:val=&quot;00170D02&quot;/&gt;&lt;wsp:rsid wsp:val=&quot;00172045&quot;/&gt;&lt;wsp:rsid wsp:val=&quot;0017209E&quot;/&gt;&lt;wsp:rsid wsp:val=&quot;00172DC8&quot;/&gt;&lt;wsp:rsid wsp:val=&quot;00173E3D&quot;/&gt;&lt;wsp:rsid wsp:val=&quot;00173E8F&quot;/&gt;&lt;wsp:rsid wsp:val=&quot;001741D6&quot;/&gt;&lt;wsp:rsid wsp:val=&quot;0017420E&quot;/&gt;&lt;wsp:rsid wsp:val=&quot;0017442B&quot;/&gt;&lt;wsp:rsid wsp:val=&quot;00174C68&quot;/&gt;&lt;wsp:rsid wsp:val=&quot;00174DB9&quot;/&gt;&lt;wsp:rsid wsp:val=&quot;001754BB&quot;/&gt;&lt;wsp:rsid wsp:val=&quot;00175917&quot;/&gt;&lt;wsp:rsid wsp:val=&quot;00175CE5&quot;/&gt;&lt;wsp:rsid wsp:val=&quot;00176593&quot;/&gt;&lt;wsp:rsid wsp:val=&quot;00176D19&quot;/&gt;&lt;wsp:rsid wsp:val=&quot;0017779C&quot;/&gt;&lt;wsp:rsid wsp:val=&quot;00177AAE&quot;/&gt;&lt;wsp:rsid wsp:val=&quot;00177BE0&quot;/&gt;&lt;wsp:rsid wsp:val=&quot;00177EE7&quot;/&gt;&lt;wsp:rsid wsp:val=&quot;00177F06&quot;/&gt;&lt;wsp:rsid wsp:val=&quot;00180278&quot;/&gt;&lt;wsp:rsid wsp:val=&quot;00180B93&quot;/&gt;&lt;wsp:rsid wsp:val=&quot;0018107E&quot;/&gt;&lt;wsp:rsid wsp:val=&quot;001812E7&quot;/&gt;&lt;wsp:rsid wsp:val=&quot;001814EB&quot;/&gt;&lt;wsp:rsid wsp:val=&quot;001828D0&quot;/&gt;&lt;wsp:rsid wsp:val=&quot;00182990&quot;/&gt;&lt;wsp:rsid wsp:val=&quot;00182F4A&quot;/&gt;&lt;wsp:rsid wsp:val=&quot;0018316A&quot;/&gt;&lt;wsp:rsid wsp:val=&quot;001832A3&quot;/&gt;&lt;wsp:rsid wsp:val=&quot;00183651&quot;/&gt;&lt;wsp:rsid wsp:val=&quot;00183FD1&quot;/&gt;&lt;wsp:rsid wsp:val=&quot;001841B4&quot;/&gt;&lt;wsp:rsid wsp:val=&quot;001859F3&quot;/&gt;&lt;wsp:rsid wsp:val=&quot;00185BAB&quot;/&gt;&lt;wsp:rsid wsp:val=&quot;001860DE&quot;/&gt;&lt;wsp:rsid wsp:val=&quot;001860E7&quot;/&gt;&lt;wsp:rsid wsp:val=&quot;00186DFB&quot;/&gt;&lt;wsp:rsid wsp:val=&quot;001871A4&quot;/&gt;&lt;wsp:rsid wsp:val=&quot;00187BE3&quot;/&gt;&lt;wsp:rsid wsp:val=&quot;00190459&quot;/&gt;&lt;wsp:rsid wsp:val=&quot;0019068E&quot;/&gt;&lt;wsp:rsid wsp:val=&quot;00190BF9&quot;/&gt;&lt;wsp:rsid wsp:val=&quot;0019118D&quot;/&gt;&lt;wsp:rsid wsp:val=&quot;001913DC&quot;/&gt;&lt;wsp:rsid wsp:val=&quot;00191BA2&quot;/&gt;&lt;wsp:rsid wsp:val=&quot;00192216&quot;/&gt;&lt;wsp:rsid wsp:val=&quot;00192413&quot;/&gt;&lt;wsp:rsid wsp:val=&quot;00192F23&quot;/&gt;&lt;wsp:rsid wsp:val=&quot;00192F25&quot;/&gt;&lt;wsp:rsid wsp:val=&quot;00193163&quot;/&gt;&lt;wsp:rsid wsp:val=&quot;00193A03&quot;/&gt;&lt;wsp:rsid wsp:val=&quot;00193EA6&quot;/&gt;&lt;wsp:rsid wsp:val=&quot;0019440C&quot;/&gt;&lt;wsp:rsid wsp:val=&quot;00194428&quot;/&gt;&lt;wsp:rsid wsp:val=&quot;0019479F&quot;/&gt;&lt;wsp:rsid wsp:val=&quot;00194B3B&quot;/&gt;&lt;wsp:rsid wsp:val=&quot;0019521E&quot;/&gt;&lt;wsp:rsid wsp:val=&quot;00195362&quot;/&gt;&lt;wsp:rsid wsp:val=&quot;001955CA&quot;/&gt;&lt;wsp:rsid wsp:val=&quot;00195866&quot;/&gt;&lt;wsp:rsid wsp:val=&quot;00195E8E&quot;/&gt;&lt;wsp:rsid wsp:val=&quot;0019613A&quot;/&gt;&lt;wsp:rsid wsp:val=&quot;0019622D&quot;/&gt;&lt;wsp:rsid wsp:val=&quot;00196C46&quot;/&gt;&lt;wsp:rsid wsp:val=&quot;00196FFE&quot;/&gt;&lt;wsp:rsid wsp:val=&quot;0019719C&quot;/&gt;&lt;wsp:rsid wsp:val=&quot;0019731C&quot;/&gt;&lt;wsp:rsid wsp:val=&quot;00197334&quot;/&gt;&lt;wsp:rsid wsp:val=&quot;00197C0E&quot;/&gt;&lt;wsp:rsid wsp:val=&quot;001A02A7&quot;/&gt;&lt;wsp:rsid wsp:val=&quot;001A040F&quot;/&gt;&lt;wsp:rsid wsp:val=&quot;001A05EC&quot;/&gt;&lt;wsp:rsid wsp:val=&quot;001A1261&quot;/&gt;&lt;wsp:rsid wsp:val=&quot;001A1DD3&quot;/&gt;&lt;wsp:rsid wsp:val=&quot;001A26A9&quot;/&gt;&lt;wsp:rsid wsp:val=&quot;001A3997&quot;/&gt;&lt;wsp:rsid wsp:val=&quot;001A3B2C&quot;/&gt;&lt;wsp:rsid wsp:val=&quot;001A4034&quot;/&gt;&lt;wsp:rsid wsp:val=&quot;001A443C&quot;/&gt;&lt;wsp:rsid wsp:val=&quot;001A4BEE&quot;/&gt;&lt;wsp:rsid wsp:val=&quot;001A54C7&quot;/&gt;&lt;wsp:rsid wsp:val=&quot;001A5F6C&quot;/&gt;&lt;wsp:rsid wsp:val=&quot;001A64AD&quot;/&gt;&lt;wsp:rsid wsp:val=&quot;001A68D7&quot;/&gt;&lt;wsp:rsid wsp:val=&quot;001A6E4C&quot;/&gt;&lt;wsp:rsid wsp:val=&quot;001A6FF5&quot;/&gt;&lt;wsp:rsid wsp:val=&quot;001A78BE&quot;/&gt;&lt;wsp:rsid wsp:val=&quot;001A78C4&quot;/&gt;&lt;wsp:rsid wsp:val=&quot;001A790A&quot;/&gt;&lt;wsp:rsid wsp:val=&quot;001A7F5B&quot;/&gt;&lt;wsp:rsid wsp:val=&quot;001B052B&quot;/&gt;&lt;wsp:rsid wsp:val=&quot;001B0909&quot;/&gt;&lt;wsp:rsid wsp:val=&quot;001B1211&quot;/&gt;&lt;wsp:rsid wsp:val=&quot;001B1270&quot;/&gt;&lt;wsp:rsid wsp:val=&quot;001B1EC0&quot;/&gt;&lt;wsp:rsid wsp:val=&quot;001B2290&quot;/&gt;&lt;wsp:rsid wsp:val=&quot;001B27B0&quot;/&gt;&lt;wsp:rsid wsp:val=&quot;001B28D1&quot;/&gt;&lt;wsp:rsid wsp:val=&quot;001B3242&quot;/&gt;&lt;wsp:rsid wsp:val=&quot;001B37D4&quot;/&gt;&lt;wsp:rsid wsp:val=&quot;001B46D0&quot;/&gt;&lt;wsp:rsid wsp:val=&quot;001B4909&quot;/&gt;&lt;wsp:rsid wsp:val=&quot;001B5072&quot;/&gt;&lt;wsp:rsid wsp:val=&quot;001B549A&quot;/&gt;&lt;wsp:rsid wsp:val=&quot;001B5D25&quot;/&gt;&lt;wsp:rsid wsp:val=&quot;001B5F7C&quot;/&gt;&lt;wsp:rsid wsp:val=&quot;001B5F93&quot;/&gt;&lt;wsp:rsid wsp:val=&quot;001B6E22&quot;/&gt;&lt;wsp:rsid wsp:val=&quot;001B71BE&quot;/&gt;&lt;wsp:rsid wsp:val=&quot;001B7310&quot;/&gt;&lt;wsp:rsid wsp:val=&quot;001B78E9&quot;/&gt;&lt;wsp:rsid wsp:val=&quot;001B7DEE&quot;/&gt;&lt;wsp:rsid wsp:val=&quot;001B7FCF&quot;/&gt;&lt;wsp:rsid wsp:val=&quot;001C0540&quot;/&gt;&lt;wsp:rsid wsp:val=&quot;001C0739&quot;/&gt;&lt;wsp:rsid wsp:val=&quot;001C0985&quot;/&gt;&lt;wsp:rsid wsp:val=&quot;001C0A70&quot;/&gt;&lt;wsp:rsid wsp:val=&quot;001C0D50&quot;/&gt;&lt;wsp:rsid wsp:val=&quot;001C19FA&quot;/&gt;&lt;wsp:rsid wsp:val=&quot;001C1A49&quot;/&gt;&lt;wsp:rsid wsp:val=&quot;001C1D4E&quot;/&gt;&lt;wsp:rsid wsp:val=&quot;001C2355&quot;/&gt;&lt;wsp:rsid wsp:val=&quot;001C2781&quot;/&gt;&lt;wsp:rsid wsp:val=&quot;001C2D97&quot;/&gt;&lt;wsp:rsid wsp:val=&quot;001C2F84&quot;/&gt;&lt;wsp:rsid wsp:val=&quot;001C345A&quot;/&gt;&lt;wsp:rsid wsp:val=&quot;001C376E&quot;/&gt;&lt;wsp:rsid wsp:val=&quot;001C3C03&quot;/&gt;&lt;wsp:rsid wsp:val=&quot;001C3D43&quot;/&gt;&lt;wsp:rsid wsp:val=&quot;001C43E7&quot;/&gt;&lt;wsp:rsid wsp:val=&quot;001C4745&quot;/&gt;&lt;wsp:rsid wsp:val=&quot;001C48FB&quot;/&gt;&lt;wsp:rsid wsp:val=&quot;001C49AE&quot;/&gt;&lt;wsp:rsid wsp:val=&quot;001C5049&quot;/&gt;&lt;wsp:rsid wsp:val=&quot;001C50B1&quot;/&gt;&lt;wsp:rsid wsp:val=&quot;001C5F03&quot;/&gt;&lt;wsp:rsid wsp:val=&quot;001C5FE9&quot;/&gt;&lt;wsp:rsid wsp:val=&quot;001C63FE&quot;/&gt;&lt;wsp:rsid wsp:val=&quot;001C66CD&quot;/&gt;&lt;wsp:rsid wsp:val=&quot;001C6A96&quot;/&gt;&lt;wsp:rsid wsp:val=&quot;001C77A1&quot;/&gt;&lt;wsp:rsid wsp:val=&quot;001C7F81&quot;/&gt;&lt;wsp:rsid wsp:val=&quot;001D0B01&quot;/&gt;&lt;wsp:rsid wsp:val=&quot;001D10DA&quot;/&gt;&lt;wsp:rsid wsp:val=&quot;001D1737&quot;/&gt;&lt;wsp:rsid wsp:val=&quot;001D1CCD&quot;/&gt;&lt;wsp:rsid wsp:val=&quot;001D1FBD&quot;/&gt;&lt;wsp:rsid wsp:val=&quot;001D2028&quot;/&gt;&lt;wsp:rsid wsp:val=&quot;001D2652&quot;/&gt;&lt;wsp:rsid wsp:val=&quot;001D2BD8&quot;/&gt;&lt;wsp:rsid wsp:val=&quot;001D3181&quot;/&gt;&lt;wsp:rsid wsp:val=&quot;001D36A8&quot;/&gt;&lt;wsp:rsid wsp:val=&quot;001D36BA&quot;/&gt;&lt;wsp:rsid wsp:val=&quot;001D37A6&quot;/&gt;&lt;wsp:rsid wsp:val=&quot;001D404E&quot;/&gt;&lt;wsp:rsid wsp:val=&quot;001D4BDD&quot;/&gt;&lt;wsp:rsid wsp:val=&quot;001D4FB3&quot;/&gt;&lt;wsp:rsid wsp:val=&quot;001D6332&quot;/&gt;&lt;wsp:rsid wsp:val=&quot;001D78C8&quot;/&gt;&lt;wsp:rsid wsp:val=&quot;001D792C&quot;/&gt;&lt;wsp:rsid wsp:val=&quot;001D7A4C&quot;/&gt;&lt;wsp:rsid wsp:val=&quot;001D7A61&quot;/&gt;&lt;wsp:rsid wsp:val=&quot;001D7E0B&quot;/&gt;&lt;wsp:rsid wsp:val=&quot;001D7F98&quot;/&gt;&lt;wsp:rsid wsp:val=&quot;001E01E7&quot;/&gt;&lt;wsp:rsid wsp:val=&quot;001E05AA&quot;/&gt;&lt;wsp:rsid wsp:val=&quot;001E0AF2&quot;/&gt;&lt;wsp:rsid wsp:val=&quot;001E10F5&quot;/&gt;&lt;wsp:rsid wsp:val=&quot;001E113C&quot;/&gt;&lt;wsp:rsid wsp:val=&quot;001E156A&quot;/&gt;&lt;wsp:rsid wsp:val=&quot;001E1605&quot;/&gt;&lt;wsp:rsid wsp:val=&quot;001E2C32&quot;/&gt;&lt;wsp:rsid wsp:val=&quot;001E3385&quot;/&gt;&lt;wsp:rsid wsp:val=&quot;001E3583&quot;/&gt;&lt;wsp:rsid wsp:val=&quot;001E42B7&quot;/&gt;&lt;wsp:rsid wsp:val=&quot;001E4752&quot;/&gt;&lt;wsp:rsid wsp:val=&quot;001E483C&quot;/&gt;&lt;wsp:rsid wsp:val=&quot;001E4861&quot;/&gt;&lt;wsp:rsid wsp:val=&quot;001E4983&quot;/&gt;&lt;wsp:rsid wsp:val=&quot;001E4B90&quot;/&gt;&lt;wsp:rsid wsp:val=&quot;001E50E3&quot;/&gt;&lt;wsp:rsid wsp:val=&quot;001E523B&quot;/&gt;&lt;wsp:rsid wsp:val=&quot;001E54FA&quot;/&gt;&lt;wsp:rsid wsp:val=&quot;001E5BC7&quot;/&gt;&lt;wsp:rsid wsp:val=&quot;001E664D&quot;/&gt;&lt;wsp:rsid wsp:val=&quot;001E73A7&quot;/&gt;&lt;wsp:rsid wsp:val=&quot;001E74C8&quot;/&gt;&lt;wsp:rsid wsp:val=&quot;001E7E38&quot;/&gt;&lt;wsp:rsid wsp:val=&quot;001F0080&quot;/&gt;&lt;wsp:rsid wsp:val=&quot;001F076E&quot;/&gt;&lt;wsp:rsid wsp:val=&quot;001F19F5&quot;/&gt;&lt;wsp:rsid wsp:val=&quot;001F1DA9&quot;/&gt;&lt;wsp:rsid wsp:val=&quot;001F2588&quot;/&gt;&lt;wsp:rsid wsp:val=&quot;001F31CA&quot;/&gt;&lt;wsp:rsid wsp:val=&quot;001F382C&quot;/&gt;&lt;wsp:rsid wsp:val=&quot;001F38B9&quot;/&gt;&lt;wsp:rsid wsp:val=&quot;001F3AF4&quot;/&gt;&lt;wsp:rsid wsp:val=&quot;001F3B6B&quot;/&gt;&lt;wsp:rsid wsp:val=&quot;001F3F65&quot;/&gt;&lt;wsp:rsid wsp:val=&quot;001F4E7C&quot;/&gt;&lt;wsp:rsid wsp:val=&quot;001F51FB&quot;/&gt;&lt;wsp:rsid wsp:val=&quot;001F5B86&quot;/&gt;&lt;wsp:rsid wsp:val=&quot;001F6C73&quot;/&gt;&lt;wsp:rsid wsp:val=&quot;001F740C&quot;/&gt;&lt;wsp:rsid wsp:val=&quot;001F7BE7&quot;/&gt;&lt;wsp:rsid wsp:val=&quot;002000B6&quot;/&gt;&lt;wsp:rsid wsp:val=&quot;00200526&quot;/&gt;&lt;wsp:rsid wsp:val=&quot;002006AD&quot;/&gt;&lt;wsp:rsid wsp:val=&quot;002013BF&quot;/&gt;&lt;wsp:rsid wsp:val=&quot;002015F9&quot;/&gt;&lt;wsp:rsid wsp:val=&quot;0020218C&quot;/&gt;&lt;wsp:rsid wsp:val=&quot;00202AB5&quot;/&gt;&lt;wsp:rsid wsp:val=&quot;002039D4&quot;/&gt;&lt;wsp:rsid wsp:val=&quot;00203CC6&quot;/&gt;&lt;wsp:rsid wsp:val=&quot;0020466E&quot;/&gt;&lt;wsp:rsid wsp:val=&quot;0020491B&quot;/&gt;&lt;wsp:rsid wsp:val=&quot;00204C9C&quot;/&gt;&lt;wsp:rsid wsp:val=&quot;00204E02&quot;/&gt;&lt;wsp:rsid wsp:val=&quot;00205158&quot;/&gt;&lt;wsp:rsid wsp:val=&quot;00205639&quot;/&gt;&lt;wsp:rsid wsp:val=&quot;00205910&quot;/&gt;&lt;wsp:rsid wsp:val=&quot;00205B6C&quot;/&gt;&lt;wsp:rsid wsp:val=&quot;00205BC4&quot;/&gt;&lt;wsp:rsid wsp:val=&quot;00205D7B&quot;/&gt;&lt;wsp:rsid wsp:val=&quot;00205D82&quot;/&gt;&lt;wsp:rsid wsp:val=&quot;002062DE&quot;/&gt;&lt;wsp:rsid wsp:val=&quot;00206487&quot;/&gt;&lt;wsp:rsid wsp:val=&quot;00206866&quot;/&gt;&lt;wsp:rsid wsp:val=&quot;00206BA0&quot;/&gt;&lt;wsp:rsid wsp:val=&quot;00207A48&quot;/&gt;&lt;wsp:rsid wsp:val=&quot;00210679&quot;/&gt;&lt;wsp:rsid wsp:val=&quot;00210851&quot;/&gt;&lt;wsp:rsid wsp:val=&quot;0021127A&quot;/&gt;&lt;wsp:rsid wsp:val=&quot;0021239D&quot;/&gt;&lt;wsp:rsid wsp:val=&quot;00212513&quot;/&gt;&lt;wsp:rsid wsp:val=&quot;00212659&quot;/&gt;&lt;wsp:rsid wsp:val=&quot;0021275D&quot;/&gt;&lt;wsp:rsid wsp:val=&quot;002128EC&quot;/&gt;&lt;wsp:rsid wsp:val=&quot;0021311B&quot;/&gt;&lt;wsp:rsid wsp:val=&quot;00213745&quot;/&gt;&lt;wsp:rsid wsp:val=&quot;00214702&quot;/&gt;&lt;wsp:rsid wsp:val=&quot;00214AB4&quot;/&gt;&lt;wsp:rsid wsp:val=&quot;002150CC&quot;/&gt;&lt;wsp:rsid wsp:val=&quot;00215361&quot;/&gt;&lt;wsp:rsid wsp:val=&quot;0021553B&quot;/&gt;&lt;wsp:rsid wsp:val=&quot;0021595F&quot;/&gt;&lt;wsp:rsid wsp:val=&quot;0021635E&quot;/&gt;&lt;wsp:rsid wsp:val=&quot;00216563&quot;/&gt;&lt;wsp:rsid wsp:val=&quot;00216C94&quot;/&gt;&lt;wsp:rsid wsp:val=&quot;00216F38&quot;/&gt;&lt;wsp:rsid wsp:val=&quot;00217273&quot;/&gt;&lt;wsp:rsid wsp:val=&quot;00217BF8&quot;/&gt;&lt;wsp:rsid wsp:val=&quot;00217C29&quot;/&gt;&lt;wsp:rsid wsp:val=&quot;00221154&quot;/&gt;&lt;wsp:rsid wsp:val=&quot;00221AFB&quot;/&gt;&lt;wsp:rsid wsp:val=&quot;00221D17&quot;/&gt;&lt;wsp:rsid wsp:val=&quot;00222395&quot;/&gt;&lt;wsp:rsid wsp:val=&quot;002228F0&quot;/&gt;&lt;wsp:rsid wsp:val=&quot;00222950&quot;/&gt;&lt;wsp:rsid wsp:val=&quot;00222C50&quot;/&gt;&lt;wsp:rsid wsp:val=&quot;00222C6E&quot;/&gt;&lt;wsp:rsid wsp:val=&quot;00222FCB&quot;/&gt;&lt;wsp:rsid wsp:val=&quot;00223028&quot;/&gt;&lt;wsp:rsid wsp:val=&quot;00223E06&quot;/&gt;&lt;wsp:rsid wsp:val=&quot;00223EAF&quot;/&gt;&lt;wsp:rsid wsp:val=&quot;00224119&quot;/&gt;&lt;wsp:rsid wsp:val=&quot;00224493&quot;/&gt;&lt;wsp:rsid wsp:val=&quot;002247B1&quot;/&gt;&lt;wsp:rsid wsp:val=&quot;00225162&quot;/&gt;&lt;wsp:rsid wsp:val=&quot;002257A3&quot;/&gt;&lt;wsp:rsid wsp:val=&quot;002267FD&quot;/&gt;&lt;wsp:rsid wsp:val=&quot;00226D86&quot;/&gt;&lt;wsp:rsid wsp:val=&quot;00227EE9&quot;/&gt;&lt;wsp:rsid wsp:val=&quot;00230340&quot;/&gt;&lt;wsp:rsid wsp:val=&quot;002309EE&quot;/&gt;&lt;wsp:rsid wsp:val=&quot;00230BCF&quot;/&gt;&lt;wsp:rsid wsp:val=&quot;00230FD2&quot;/&gt;&lt;wsp:rsid wsp:val=&quot;00231351&quot;/&gt;&lt;wsp:rsid wsp:val=&quot;00231630&quot;/&gt;&lt;wsp:rsid wsp:val=&quot;002339DB&quot;/&gt;&lt;wsp:rsid wsp:val=&quot;00233BA5&quot;/&gt;&lt;wsp:rsid wsp:val=&quot;00233D21&quot;/&gt;&lt;wsp:rsid wsp:val=&quot;002341D5&quot;/&gt;&lt;wsp:rsid wsp:val=&quot;00234C44&quot;/&gt;&lt;wsp:rsid wsp:val=&quot;00234DFB&quot;/&gt;&lt;wsp:rsid wsp:val=&quot;002353DC&quot;/&gt;&lt;wsp:rsid wsp:val=&quot;00235782&quot;/&gt;&lt;wsp:rsid wsp:val=&quot;00235866&quot;/&gt;&lt;wsp:rsid wsp:val=&quot;00235AB4&quot;/&gt;&lt;wsp:rsid wsp:val=&quot;00235F2A&quot;/&gt;&lt;wsp:rsid wsp:val=&quot;00236228&quot;/&gt;&lt;wsp:rsid wsp:val=&quot;00236A1D&quot;/&gt;&lt;wsp:rsid wsp:val=&quot;00237449&quot;/&gt;&lt;wsp:rsid wsp:val=&quot;002377CE&quot;/&gt;&lt;wsp:rsid wsp:val=&quot;002379D2&quot;/&gt;&lt;wsp:rsid wsp:val=&quot;0024042A&quot;/&gt;&lt;wsp:rsid wsp:val=&quot;00240DE0&quot;/&gt;&lt;wsp:rsid wsp:val=&quot;00242432&quot;/&gt;&lt;wsp:rsid wsp:val=&quot;00243004&quot;/&gt;&lt;wsp:rsid wsp:val=&quot;0024302F&quot;/&gt;&lt;wsp:rsid wsp:val=&quot;00243292&quot;/&gt;&lt;wsp:rsid wsp:val=&quot;002433DB&quot;/&gt;&lt;wsp:rsid wsp:val=&quot;00243720&quot;/&gt;&lt;wsp:rsid wsp:val=&quot;00243CDD&quot;/&gt;&lt;wsp:rsid wsp:val=&quot;00243D4F&quot;/&gt;&lt;wsp:rsid wsp:val=&quot;00243FCD&quot;/&gt;&lt;wsp:rsid wsp:val=&quot;002446E6&quot;/&gt;&lt;wsp:rsid wsp:val=&quot;002449E0&quot;/&gt;&lt;wsp:rsid wsp:val=&quot;00244C0C&quot;/&gt;&lt;wsp:rsid wsp:val=&quot;002456AF&quot;/&gt;&lt;wsp:rsid wsp:val=&quot;00245E86&quot;/&gt;&lt;wsp:rsid wsp:val=&quot;002462E6&quot;/&gt;&lt;wsp:rsid wsp:val=&quot;00246627&quot;/&gt;&lt;wsp:rsid wsp:val=&quot;00246C89&quot;/&gt;&lt;wsp:rsid wsp:val=&quot;00250E7A&quot;/&gt;&lt;wsp:rsid wsp:val=&quot;0025166D&quot;/&gt;&lt;wsp:rsid wsp:val=&quot;002517E7&quot;/&gt;&lt;wsp:rsid wsp:val=&quot;0025302B&quot;/&gt;&lt;wsp:rsid wsp:val=&quot;0025388A&quot;/&gt;&lt;wsp:rsid wsp:val=&quot;00253AEC&quot;/&gt;&lt;wsp:rsid wsp:val=&quot;00253C12&quot;/&gt;&lt;wsp:rsid wsp:val=&quot;00253D4F&quot;/&gt;&lt;wsp:rsid wsp:val=&quot;002544FE&quot;/&gt;&lt;wsp:rsid wsp:val=&quot;00254661&quot;/&gt;&lt;wsp:rsid wsp:val=&quot;0025485D&quot;/&gt;&lt;wsp:rsid wsp:val=&quot;00254C9A&quot;/&gt;&lt;wsp:rsid wsp:val=&quot;002572CD&quot;/&gt;&lt;wsp:rsid wsp:val=&quot;002575F1&quot;/&gt;&lt;wsp:rsid wsp:val=&quot;00257E2E&quot;/&gt;&lt;wsp:rsid wsp:val=&quot;00260AFC&quot;/&gt;&lt;wsp:rsid wsp:val=&quot;00260F41&quot;/&gt;&lt;wsp:rsid wsp:val=&quot;002613A9&quot;/&gt;&lt;wsp:rsid wsp:val=&quot;002619BE&quot;/&gt;&lt;wsp:rsid wsp:val=&quot;00261E78&quot;/&gt;&lt;wsp:rsid wsp:val=&quot;00261E93&quot;/&gt;&lt;wsp:rsid wsp:val=&quot;0026212F&quot;/&gt;&lt;wsp:rsid wsp:val=&quot;0026345B&quot;/&gt;&lt;wsp:rsid wsp:val=&quot;0026348E&quot;/&gt;&lt;wsp:rsid wsp:val=&quot;00263A11&quot;/&gt;&lt;wsp:rsid wsp:val=&quot;00263CF2&quot;/&gt;&lt;wsp:rsid wsp:val=&quot;00263D24&quot;/&gt;&lt;wsp:rsid wsp:val=&quot;00264032&quot;/&gt;&lt;wsp:rsid wsp:val=&quot;002644CA&quot;/&gt;&lt;wsp:rsid wsp:val=&quot;0026473B&quot;/&gt;&lt;wsp:rsid wsp:val=&quot;00264EC5&quot;/&gt;&lt;wsp:rsid wsp:val=&quot;002658CC&quot;/&gt;&lt;wsp:rsid wsp:val=&quot;00265A1D&quot;/&gt;&lt;wsp:rsid wsp:val=&quot;00265BC4&quot;/&gt;&lt;wsp:rsid wsp:val=&quot;002660BC&quot;/&gt;&lt;wsp:rsid wsp:val=&quot;00266192&quot;/&gt;&lt;wsp:rsid wsp:val=&quot;002662C8&quot;/&gt;&lt;wsp:rsid wsp:val=&quot;002665FC&quot;/&gt;&lt;wsp:rsid wsp:val=&quot;002669E3&quot;/&gt;&lt;wsp:rsid wsp:val=&quot;002669EA&quot;/&gt;&lt;wsp:rsid wsp:val=&quot;00266B49&quot;/&gt;&lt;wsp:rsid wsp:val=&quot;0026753C&quot;/&gt;&lt;wsp:rsid wsp:val=&quot;00267744&quot;/&gt;&lt;wsp:rsid wsp:val=&quot;00267E2B&quot;/&gt;&lt;wsp:rsid wsp:val=&quot;00270D5B&quot;/&gt;&lt;wsp:rsid wsp:val=&quot;00270F6B&quot;/&gt;&lt;wsp:rsid wsp:val=&quot;0027139C&quot;/&gt;&lt;wsp:rsid wsp:val=&quot;00271CBA&quot;/&gt;&lt;wsp:rsid wsp:val=&quot;002723C7&quot;/&gt;&lt;wsp:rsid wsp:val=&quot;002723C8&quot;/&gt;&lt;wsp:rsid wsp:val=&quot;002725F4&quot;/&gt;&lt;wsp:rsid wsp:val=&quot;00272DF2&quot;/&gt;&lt;wsp:rsid wsp:val=&quot;00273542&quot;/&gt;&lt;wsp:rsid wsp:val=&quot;00273559&quot;/&gt;&lt;wsp:rsid wsp:val=&quot;002738EB&quot;/&gt;&lt;wsp:rsid wsp:val=&quot;00273E72&quot;/&gt;&lt;wsp:rsid wsp:val=&quot;00274817&quot;/&gt;&lt;wsp:rsid wsp:val=&quot;002748BD&quot;/&gt;&lt;wsp:rsid wsp:val=&quot;00275111&quot;/&gt;&lt;wsp:rsid wsp:val=&quot;002753BD&quot;/&gt;&lt;wsp:rsid wsp:val=&quot;002765D3&quot;/&gt;&lt;wsp:rsid wsp:val=&quot;0027667E&quot;/&gt;&lt;wsp:rsid wsp:val=&quot;002769A3&quot;/&gt;&lt;wsp:rsid wsp:val=&quot;00276C8A&quot;/&gt;&lt;wsp:rsid wsp:val=&quot;00276D44&quot;/&gt;&lt;wsp:rsid wsp:val=&quot;00277816&quot;/&gt;&lt;wsp:rsid wsp:val=&quot;0028050E&quot;/&gt;&lt;wsp:rsid wsp:val=&quot;002805AC&quot;/&gt;&lt;wsp:rsid wsp:val=&quot;00280D14&quot;/&gt;&lt;wsp:rsid wsp:val=&quot;00281208&quot;/&gt;&lt;wsp:rsid wsp:val=&quot;002816E1&quot;/&gt;&lt;wsp:rsid wsp:val=&quot;00281B4E&quot;/&gt;&lt;wsp:rsid wsp:val=&quot;00281DCB&quot;/&gt;&lt;wsp:rsid wsp:val=&quot;00282366&quot;/&gt;&lt;wsp:rsid wsp:val=&quot;002836BD&quot;/&gt;&lt;wsp:rsid wsp:val=&quot;00283939&quot;/&gt;&lt;wsp:rsid wsp:val=&quot;00284250&quot;/&gt;&lt;wsp:rsid wsp:val=&quot;002843E1&quot;/&gt;&lt;wsp:rsid wsp:val=&quot;00284D5B&quot;/&gt;&lt;wsp:rsid wsp:val=&quot;00284F7B&quot;/&gt;&lt;wsp:rsid wsp:val=&quot;00285078&quot;/&gt;&lt;wsp:rsid wsp:val=&quot;002851F6&quot;/&gt;&lt;wsp:rsid wsp:val=&quot;00285323&quot;/&gt;&lt;wsp:rsid wsp:val=&quot;002854F3&quot;/&gt;&lt;wsp:rsid wsp:val=&quot;002857D1&quot;/&gt;&lt;wsp:rsid wsp:val=&quot;00285D12&quot;/&gt;&lt;wsp:rsid wsp:val=&quot;002864D5&quot;/&gt;&lt;wsp:rsid wsp:val=&quot;00286967&quot;/&gt;&lt;wsp:rsid wsp:val=&quot;00287612&quot;/&gt;&lt;wsp:rsid wsp:val=&quot;002878C7&quot;/&gt;&lt;wsp:rsid wsp:val=&quot;00287CAD&quot;/&gt;&lt;wsp:rsid wsp:val=&quot;0029021D&quot;/&gt;&lt;wsp:rsid wsp:val=&quot;00290391&quot;/&gt;&lt;wsp:rsid wsp:val=&quot;00290470&quot;/&gt;&lt;wsp:rsid wsp:val=&quot;00290BDC&quot;/&gt;&lt;wsp:rsid wsp:val=&quot;0029181F&quot;/&gt;&lt;wsp:rsid wsp:val=&quot;002918E2&quot;/&gt;&lt;wsp:rsid wsp:val=&quot;00291955&quot;/&gt;&lt;wsp:rsid wsp:val=&quot;00292212&quot;/&gt;&lt;wsp:rsid wsp:val=&quot;002929CC&quot;/&gt;&lt;wsp:rsid wsp:val=&quot;00292CDB&quot;/&gt;&lt;wsp:rsid wsp:val=&quot;00293DD5&quot;/&gt;&lt;wsp:rsid wsp:val=&quot;00293EEF&quot;/&gt;&lt;wsp:rsid wsp:val=&quot;00293F84&quot;/&gt;&lt;wsp:rsid wsp:val=&quot;00293FD5&quot;/&gt;&lt;wsp:rsid wsp:val=&quot;0029445A&quot;/&gt;&lt;wsp:rsid wsp:val=&quot;0029460E&quot;/&gt;&lt;wsp:rsid wsp:val=&quot;0029478B&quot;/&gt;&lt;wsp:rsid wsp:val=&quot;0029543F&quot;/&gt;&lt;wsp:rsid wsp:val=&quot;002959BC&quot;/&gt;&lt;wsp:rsid wsp:val=&quot;00295ABF&quot;/&gt;&lt;wsp:rsid wsp:val=&quot;00295D19&quot;/&gt;&lt;wsp:rsid wsp:val=&quot;00296A75&quot;/&gt;&lt;wsp:rsid wsp:val=&quot;00296A82&quot;/&gt;&lt;wsp:rsid wsp:val=&quot;00296F8E&quot;/&gt;&lt;wsp:rsid wsp:val=&quot;00297267&quot;/&gt;&lt;wsp:rsid wsp:val=&quot;002978D9&quot;/&gt;&lt;wsp:rsid wsp:val=&quot;00297CE4&quot;/&gt;&lt;wsp:rsid wsp:val=&quot;00297F94&quot;/&gt;&lt;wsp:rsid wsp:val=&quot;002A05DB&quot;/&gt;&lt;wsp:rsid wsp:val=&quot;002A0838&quot;/&gt;&lt;wsp:rsid wsp:val=&quot;002A0A67&quot;/&gt;&lt;wsp:rsid wsp:val=&quot;002A0DC1&quot;/&gt;&lt;wsp:rsid wsp:val=&quot;002A15D1&quot;/&gt;&lt;wsp:rsid wsp:val=&quot;002A1F25&quot;/&gt;&lt;wsp:rsid wsp:val=&quot;002A2407&quot;/&gt;&lt;wsp:rsid wsp:val=&quot;002A279A&quot;/&gt;&lt;wsp:rsid wsp:val=&quot;002A37A1&quot;/&gt;&lt;wsp:rsid wsp:val=&quot;002A3F0F&quot;/&gt;&lt;wsp:rsid wsp:val=&quot;002A48DD&quot;/&gt;&lt;wsp:rsid wsp:val=&quot;002A514E&quot;/&gt;&lt;wsp:rsid wsp:val=&quot;002A65CE&quot;/&gt;&lt;wsp:rsid wsp:val=&quot;002A6BE7&quot;/&gt;&lt;wsp:rsid wsp:val=&quot;002A7D1F&quot;/&gt;&lt;wsp:rsid wsp:val=&quot;002A7F68&quot;/&gt;&lt;wsp:rsid wsp:val=&quot;002B0A8F&quot;/&gt;&lt;wsp:rsid wsp:val=&quot;002B0C31&quot;/&gt;&lt;wsp:rsid wsp:val=&quot;002B0D32&quot;/&gt;&lt;wsp:rsid wsp:val=&quot;002B0D51&quot;/&gt;&lt;wsp:rsid wsp:val=&quot;002B1EF8&quot;/&gt;&lt;wsp:rsid wsp:val=&quot;002B2D71&quot;/&gt;&lt;wsp:rsid wsp:val=&quot;002B352F&quot;/&gt;&lt;wsp:rsid wsp:val=&quot;002B37BA&quot;/&gt;&lt;wsp:rsid wsp:val=&quot;002B4B79&quot;/&gt;&lt;wsp:rsid wsp:val=&quot;002B4F66&quot;/&gt;&lt;wsp:rsid wsp:val=&quot;002B5119&quot;/&gt;&lt;wsp:rsid wsp:val=&quot;002B5146&quot;/&gt;&lt;wsp:rsid wsp:val=&quot;002B51B6&quot;/&gt;&lt;wsp:rsid wsp:val=&quot;002B60EF&quot;/&gt;&lt;wsp:rsid wsp:val=&quot;002B749F&quot;/&gt;&lt;wsp:rsid wsp:val=&quot;002B79D1&quot;/&gt;&lt;wsp:rsid wsp:val=&quot;002B7DFF&quot;/&gt;&lt;wsp:rsid wsp:val=&quot;002C00D4&quot;/&gt;&lt;wsp:rsid wsp:val=&quot;002C0824&quot;/&gt;&lt;wsp:rsid wsp:val=&quot;002C09FC&quot;/&gt;&lt;wsp:rsid wsp:val=&quot;002C1FBE&quot;/&gt;&lt;wsp:rsid wsp:val=&quot;002C283B&quot;/&gt;&lt;wsp:rsid wsp:val=&quot;002C33EB&quot;/&gt;&lt;wsp:rsid wsp:val=&quot;002C3771&quot;/&gt;&lt;wsp:rsid wsp:val=&quot;002C3BEA&quot;/&gt;&lt;wsp:rsid wsp:val=&quot;002C4CA6&quot;/&gt;&lt;wsp:rsid wsp:val=&quot;002C526F&quot;/&gt;&lt;wsp:rsid wsp:val=&quot;002C536D&quot;/&gt;&lt;wsp:rsid wsp:val=&quot;002C56F6&quot;/&gt;&lt;wsp:rsid wsp:val=&quot;002C6986&quot;/&gt;&lt;wsp:rsid wsp:val=&quot;002C6A81&quot;/&gt;&lt;wsp:rsid wsp:val=&quot;002C7A4C&quot;/&gt;&lt;wsp:rsid wsp:val=&quot;002C7E90&quot;/&gt;&lt;wsp:rsid wsp:val=&quot;002C7F8F&quot;/&gt;&lt;wsp:rsid wsp:val=&quot;002D10FD&quot;/&gt;&lt;wsp:rsid wsp:val=&quot;002D1407&quot;/&gt;&lt;wsp:rsid wsp:val=&quot;002D1731&quot;/&gt;&lt;wsp:rsid wsp:val=&quot;002D19FB&quot;/&gt;&lt;wsp:rsid wsp:val=&quot;002D1C70&quot;/&gt;&lt;wsp:rsid wsp:val=&quot;002D23CF&quot;/&gt;&lt;wsp:rsid wsp:val=&quot;002D36F2&quot;/&gt;&lt;wsp:rsid wsp:val=&quot;002D3CFE&quot;/&gt;&lt;wsp:rsid wsp:val=&quot;002D444C&quot;/&gt;&lt;wsp:rsid wsp:val=&quot;002D4868&quot;/&gt;&lt;wsp:rsid wsp:val=&quot;002D4DE8&quot;/&gt;&lt;wsp:rsid wsp:val=&quot;002D4E6C&quot;/&gt;&lt;wsp:rsid wsp:val=&quot;002D51C3&quot;/&gt;&lt;wsp:rsid wsp:val=&quot;002D5564&quot;/&gt;&lt;wsp:rsid wsp:val=&quot;002D71DF&quot;/&gt;&lt;wsp:rsid wsp:val=&quot;002D7283&quot;/&gt;&lt;wsp:rsid wsp:val=&quot;002D7641&quot;/&gt;&lt;wsp:rsid wsp:val=&quot;002D7C37&quot;/&gt;&lt;wsp:rsid wsp:val=&quot;002E012D&quot;/&gt;&lt;wsp:rsid wsp:val=&quot;002E0376&quot;/&gt;&lt;wsp:rsid wsp:val=&quot;002E047B&quot;/&gt;&lt;wsp:rsid wsp:val=&quot;002E0A74&quot;/&gt;&lt;wsp:rsid wsp:val=&quot;002E0B7C&quot;/&gt;&lt;wsp:rsid wsp:val=&quot;002E1599&quot;/&gt;&lt;wsp:rsid wsp:val=&quot;002E17EF&quot;/&gt;&lt;wsp:rsid wsp:val=&quot;002E1BA3&quot;/&gt;&lt;wsp:rsid wsp:val=&quot;002E2074&quot;/&gt;&lt;wsp:rsid wsp:val=&quot;002E2610&quot;/&gt;&lt;wsp:rsid wsp:val=&quot;002E2882&quot;/&gt;&lt;wsp:rsid wsp:val=&quot;002E2969&quot;/&gt;&lt;wsp:rsid wsp:val=&quot;002E37B6&quot;/&gt;&lt;wsp:rsid wsp:val=&quot;002E3E87&quot;/&gt;&lt;wsp:rsid wsp:val=&quot;002E41D0&quot;/&gt;&lt;wsp:rsid wsp:val=&quot;002E450F&quot;/&gt;&lt;wsp:rsid wsp:val=&quot;002E46EA&quot;/&gt;&lt;wsp:rsid wsp:val=&quot;002E5927&quot;/&gt;&lt;wsp:rsid wsp:val=&quot;002E593F&quot;/&gt;&lt;wsp:rsid wsp:val=&quot;002E5D1A&quot;/&gt;&lt;wsp:rsid wsp:val=&quot;002E5DEA&quot;/&gt;&lt;wsp:rsid wsp:val=&quot;002E5E90&quot;/&gt;&lt;wsp:rsid wsp:val=&quot;002E6430&quot;/&gt;&lt;wsp:rsid wsp:val=&quot;002E686B&quot;/&gt;&lt;wsp:rsid wsp:val=&quot;002E6D4F&quot;/&gt;&lt;wsp:rsid wsp:val=&quot;002E7AB9&quot;/&gt;&lt;wsp:rsid wsp:val=&quot;002E7CBA&quot;/&gt;&lt;wsp:rsid wsp:val=&quot;002F0AFE&quot;/&gt;&lt;wsp:rsid wsp:val=&quot;002F0C3A&quot;/&gt;&lt;wsp:rsid wsp:val=&quot;002F158D&quot;/&gt;&lt;wsp:rsid wsp:val=&quot;002F1AA6&quot;/&gt;&lt;wsp:rsid wsp:val=&quot;002F27EC&quot;/&gt;&lt;wsp:rsid wsp:val=&quot;002F28A7&quot;/&gt;&lt;wsp:rsid wsp:val=&quot;002F2BEA&quot;/&gt;&lt;wsp:rsid wsp:val=&quot;002F35BA&quot;/&gt;&lt;wsp:rsid wsp:val=&quot;002F35BE&quot;/&gt;&lt;wsp:rsid wsp:val=&quot;002F4A0F&quot;/&gt;&lt;wsp:rsid wsp:val=&quot;002F4F82&quot;/&gt;&lt;wsp:rsid wsp:val=&quot;002F51F7&quot;/&gt;&lt;wsp:rsid wsp:val=&quot;002F54E6&quot;/&gt;&lt;wsp:rsid wsp:val=&quot;002F58EB&quot;/&gt;&lt;wsp:rsid wsp:val=&quot;002F59FB&quot;/&gt;&lt;wsp:rsid wsp:val=&quot;002F5DDF&quot;/&gt;&lt;wsp:rsid wsp:val=&quot;002F5FE1&quot;/&gt;&lt;wsp:rsid wsp:val=&quot;002F672C&quot;/&gt;&lt;wsp:rsid wsp:val=&quot;002F6AB7&quot;/&gt;&lt;wsp:rsid wsp:val=&quot;002F6F33&quot;/&gt;&lt;wsp:rsid wsp:val=&quot;002F7283&quot;/&gt;&lt;wsp:rsid wsp:val=&quot;002F72D0&quot;/&gt;&lt;wsp:rsid wsp:val=&quot;002F775E&quot;/&gt;&lt;wsp:rsid wsp:val=&quot;003006B4&quot;/&gt;&lt;wsp:rsid wsp:val=&quot;00300911&quot;/&gt;&lt;wsp:rsid wsp:val=&quot;00300A0B&quot;/&gt;&lt;wsp:rsid wsp:val=&quot;00300BE9&quot;/&gt;&lt;wsp:rsid wsp:val=&quot;00301DD3&quot;/&gt;&lt;wsp:rsid wsp:val=&quot;003020A5&quot;/&gt;&lt;wsp:rsid wsp:val=&quot;00302F27&quot;/&gt;&lt;wsp:rsid wsp:val=&quot;0030387B&quot;/&gt;&lt;wsp:rsid wsp:val=&quot;00303CD4&quot;/&gt;&lt;wsp:rsid wsp:val=&quot;00303E7E&quot;/&gt;&lt;wsp:rsid wsp:val=&quot;00304903&quot;/&gt;&lt;wsp:rsid wsp:val=&quot;00304B93&quot;/&gt;&lt;wsp:rsid wsp:val=&quot;00304E76&quot;/&gt;&lt;wsp:rsid wsp:val=&quot;00305381&quot;/&gt;&lt;wsp:rsid wsp:val=&quot;003058BB&quot;/&gt;&lt;wsp:rsid wsp:val=&quot;00306096&quot;/&gt;&lt;wsp:rsid wsp:val=&quot;003061F1&quot;/&gt;&lt;wsp:rsid wsp:val=&quot;003064B8&quot;/&gt;&lt;wsp:rsid wsp:val=&quot;003066C9&quot;/&gt;&lt;wsp:rsid wsp:val=&quot;003069ED&quot;/&gt;&lt;wsp:rsid wsp:val=&quot;003070C2&quot;/&gt;&lt;wsp:rsid wsp:val=&quot;00307A1D&quot;/&gt;&lt;wsp:rsid wsp:val=&quot;00307B2A&quot;/&gt;&lt;wsp:rsid wsp:val=&quot;00307E14&quot;/&gt;&lt;wsp:rsid wsp:val=&quot;00311451&quot;/&gt;&lt;wsp:rsid wsp:val=&quot;00311E22&quot;/&gt;&lt;wsp:rsid wsp:val=&quot;00312064&quot;/&gt;&lt;wsp:rsid wsp:val=&quot;0031225F&quot;/&gt;&lt;wsp:rsid wsp:val=&quot;003127A4&quot;/&gt;&lt;wsp:rsid wsp:val=&quot;003129AF&quot;/&gt;&lt;wsp:rsid wsp:val=&quot;00313B90&quot;/&gt;&lt;wsp:rsid wsp:val=&quot;00313D97&quot;/&gt;&lt;wsp:rsid wsp:val=&quot;0031408A&quot;/&gt;&lt;wsp:rsid wsp:val=&quot;00314373&quot;/&gt;&lt;wsp:rsid wsp:val=&quot;00314D50&quot;/&gt;&lt;wsp:rsid wsp:val=&quot;0031534E&quot;/&gt;&lt;wsp:rsid wsp:val=&quot;003153AA&quot;/&gt;&lt;wsp:rsid wsp:val=&quot;00315558&quot;/&gt;&lt;wsp:rsid wsp:val=&quot;0031582E&quot;/&gt;&lt;wsp:rsid wsp:val=&quot;00315C11&quot;/&gt;&lt;wsp:rsid wsp:val=&quot;00316175&quot;/&gt;&lt;wsp:rsid wsp:val=&quot;00316672&quot;/&gt;&lt;wsp:rsid wsp:val=&quot;00316881&quot;/&gt;&lt;wsp:rsid wsp:val=&quot;00316ED2&quot;/&gt;&lt;wsp:rsid wsp:val=&quot;00316F51&quot;/&gt;&lt;wsp:rsid wsp:val=&quot;00317048&quot;/&gt;&lt;wsp:rsid wsp:val=&quot;003170E1&quot;/&gt;&lt;wsp:rsid wsp:val=&quot;00317678&quot;/&gt;&lt;wsp:rsid wsp:val=&quot;0031787C&quot;/&gt;&lt;wsp:rsid wsp:val=&quot;00317A8C&quot;/&gt;&lt;wsp:rsid wsp:val=&quot;00317B4E&quot;/&gt;&lt;wsp:rsid wsp:val=&quot;00317BBD&quot;/&gt;&lt;wsp:rsid wsp:val=&quot;00317C0F&quot;/&gt;&lt;wsp:rsid wsp:val=&quot;00317F2E&quot;/&gt;&lt;wsp:rsid wsp:val=&quot;00320517&quot;/&gt;&lt;wsp:rsid wsp:val=&quot;00320667&quot;/&gt;&lt;wsp:rsid wsp:val=&quot;003206EE&quot;/&gt;&lt;wsp:rsid wsp:val=&quot;003208AB&quot;/&gt;&lt;wsp:rsid wsp:val=&quot;00320E7E&quot;/&gt;&lt;wsp:rsid wsp:val=&quot;00321278&quot;/&gt;&lt;wsp:rsid wsp:val=&quot;00321A74&quot;/&gt;&lt;wsp:rsid wsp:val=&quot;0032297F&quot;/&gt;&lt;wsp:rsid wsp:val=&quot;00322D0E&quot;/&gt;&lt;wsp:rsid wsp:val=&quot;00322E5A&quot;/&gt;&lt;wsp:rsid wsp:val=&quot;0032348E&quot;/&gt;&lt;wsp:rsid wsp:val=&quot;00323875&quot;/&gt;&lt;wsp:rsid wsp:val=&quot;00323EFC&quot;/&gt;&lt;wsp:rsid wsp:val=&quot;00323F72&quot;/&gt;&lt;wsp:rsid wsp:val=&quot;003241A2&quot;/&gt;&lt;wsp:rsid wsp:val=&quot;003245A2&quot;/&gt;&lt;wsp:rsid wsp:val=&quot;00326107&quot;/&gt;&lt;wsp:rsid wsp:val=&quot;00326496&quot;/&gt;&lt;wsp:rsid wsp:val=&quot;00326868&quot;/&gt;&lt;wsp:rsid wsp:val=&quot;00326C51&quot;/&gt;&lt;wsp:rsid wsp:val=&quot;003272C2&quot;/&gt;&lt;wsp:rsid wsp:val=&quot;00327705&quot;/&gt;&lt;wsp:rsid wsp:val=&quot;00327D26&quot;/&gt;&lt;wsp:rsid wsp:val=&quot;00330064&quot;/&gt;&lt;wsp:rsid wsp:val=&quot;003300EF&quot;/&gt;&lt;wsp:rsid wsp:val=&quot;00331760&quot;/&gt;&lt;wsp:rsid wsp:val=&quot;00331956&quot;/&gt;&lt;wsp:rsid wsp:val=&quot;00331F61&quot;/&gt;&lt;wsp:rsid wsp:val=&quot;003324CD&quot;/&gt;&lt;wsp:rsid wsp:val=&quot;0033252B&quot;/&gt;&lt;wsp:rsid wsp:val=&quot;003339D2&quot;/&gt;&lt;wsp:rsid wsp:val=&quot;00333BE7&quot;/&gt;&lt;wsp:rsid wsp:val=&quot;00333D92&quot;/&gt;&lt;wsp:rsid wsp:val=&quot;0033499D&quot;/&gt;&lt;wsp:rsid wsp:val=&quot;00334D17&quot;/&gt;&lt;wsp:rsid wsp:val=&quot;00335407&quot;/&gt;&lt;wsp:rsid wsp:val=&quot;00335AED&quot;/&gt;&lt;wsp:rsid wsp:val=&quot;00336F24&quot;/&gt;&lt;wsp:rsid wsp:val=&quot;00336F60&quot;/&gt;&lt;wsp:rsid wsp:val=&quot;003370CA&quot;/&gt;&lt;wsp:rsid wsp:val=&quot;0033710F&quot;/&gt;&lt;wsp:rsid wsp:val=&quot;003379A2&quot;/&gt;&lt;wsp:rsid wsp:val=&quot;00340DEA&quot;/&gt;&lt;wsp:rsid wsp:val=&quot;003410CC&quot;/&gt;&lt;wsp:rsid wsp:val=&quot;00341338&quot;/&gt;&lt;wsp:rsid wsp:val=&quot;0034169C&quot;/&gt;&lt;wsp:rsid wsp:val=&quot;00342A0B&quot;/&gt;&lt;wsp:rsid wsp:val=&quot;00342B14&quot;/&gt;&lt;wsp:rsid wsp:val=&quot;00343344&quot;/&gt;&lt;wsp:rsid wsp:val=&quot;003436B7&quot;/&gt;&lt;wsp:rsid wsp:val=&quot;00343B2F&quot;/&gt;&lt;wsp:rsid wsp:val=&quot;00343CD2&quot;/&gt;&lt;wsp:rsid wsp:val=&quot;00343F0B&quot;/&gt;&lt;wsp:rsid wsp:val=&quot;003444BC&quot;/&gt;&lt;wsp:rsid wsp:val=&quot;0034468A&quot;/&gt;&lt;wsp:rsid wsp:val=&quot;00344B81&quot;/&gt;&lt;wsp:rsid wsp:val=&quot;0034501A&quot;/&gt;&lt;wsp:rsid wsp:val=&quot;0034503E&quot;/&gt;&lt;wsp:rsid wsp:val=&quot;00345049&quot;/&gt;&lt;wsp:rsid wsp:val=&quot;0034582E&quot;/&gt;&lt;wsp:rsid wsp:val=&quot;003463C4&quot;/&gt;&lt;wsp:rsid wsp:val=&quot;00346C07&quot;/&gt;&lt;wsp:rsid wsp:val=&quot;00346CFA&quot;/&gt;&lt;wsp:rsid wsp:val=&quot;00346DE1&quot;/&gt;&lt;wsp:rsid wsp:val=&quot;00346F8F&quot;/&gt;&lt;wsp:rsid wsp:val=&quot;003472ED&quot;/&gt;&lt;wsp:rsid wsp:val=&quot;00347B4E&quot;/&gt;&lt;wsp:rsid wsp:val=&quot;00347D12&quot;/&gt;&lt;wsp:rsid wsp:val=&quot;00347DD4&quot;/&gt;&lt;wsp:rsid wsp:val=&quot;00347FE0&quot;/&gt;&lt;wsp:rsid wsp:val=&quot;003504FA&quot;/&gt;&lt;wsp:rsid wsp:val=&quot;00350E89&quot;/&gt;&lt;wsp:rsid wsp:val=&quot;00351514&quot;/&gt;&lt;wsp:rsid wsp:val=&quot;00351693&quot;/&gt;&lt;wsp:rsid wsp:val=&quot;0035177A&quot;/&gt;&lt;wsp:rsid wsp:val=&quot;00351797&quot;/&gt;&lt;wsp:rsid wsp:val=&quot;003519DE&quot;/&gt;&lt;wsp:rsid wsp:val=&quot;00351C31&quot;/&gt;&lt;wsp:rsid wsp:val=&quot;003522B5&quot;/&gt;&lt;wsp:rsid wsp:val=&quot;00352472&quot;/&gt;&lt;wsp:rsid wsp:val=&quot;00352A20&quot;/&gt;&lt;wsp:rsid wsp:val=&quot;00352B14&quot;/&gt;&lt;wsp:rsid wsp:val=&quot;00352E27&quot;/&gt;&lt;wsp:rsid wsp:val=&quot;0035415C&quot;/&gt;&lt;wsp:rsid wsp:val=&quot;0035420A&quot;/&gt;&lt;wsp:rsid wsp:val=&quot;00354239&quot;/&gt;&lt;wsp:rsid wsp:val=&quot;00354343&quot;/&gt;&lt;wsp:rsid wsp:val=&quot;003551D7&quot;/&gt;&lt;wsp:rsid wsp:val=&quot;00355B00&quot;/&gt;&lt;wsp:rsid wsp:val=&quot;003561AE&quot;/&gt;&lt;wsp:rsid wsp:val=&quot;0035633E&quot;/&gt;&lt;wsp:rsid wsp:val=&quot;00356DDF&quot;/&gt;&lt;wsp:rsid wsp:val=&quot;00356E78&quot;/&gt;&lt;wsp:rsid wsp:val=&quot;00357020&quot;/&gt;&lt;wsp:rsid wsp:val=&quot;0035728C&quot;/&gt;&lt;wsp:rsid wsp:val=&quot;003576FA&quot;/&gt;&lt;wsp:rsid wsp:val=&quot;00357E2F&quot;/&gt;&lt;wsp:rsid wsp:val=&quot;0036032C&quot;/&gt;&lt;wsp:rsid wsp:val=&quot;003605B7&quot;/&gt;&lt;wsp:rsid wsp:val=&quot;0036062F&quot;/&gt;&lt;wsp:rsid wsp:val=&quot;003611C0&quot;/&gt;&lt;wsp:rsid wsp:val=&quot;0036249D&quot;/&gt;&lt;wsp:rsid wsp:val=&quot;00362758&quot;/&gt;&lt;wsp:rsid wsp:val=&quot;003628FC&quot;/&gt;&lt;wsp:rsid wsp:val=&quot;00362969&quot;/&gt;&lt;wsp:rsid wsp:val=&quot;00362F3B&quot;/&gt;&lt;wsp:rsid wsp:val=&quot;003631AE&quot;/&gt;&lt;wsp:rsid wsp:val=&quot;00363456&quot;/&gt;&lt;wsp:rsid wsp:val=&quot;00363FC6&quot;/&gt;&lt;wsp:rsid wsp:val=&quot;0036456B&quot;/&gt;&lt;wsp:rsid wsp:val=&quot;0036473B&quot;/&gt;&lt;wsp:rsid wsp:val=&quot;00365258&quot;/&gt;&lt;wsp:rsid wsp:val=&quot;003656FE&quot;/&gt;&lt;wsp:rsid wsp:val=&quot;00365884&quot;/&gt;&lt;wsp:rsid wsp:val=&quot;003659BD&quot;/&gt;&lt;wsp:rsid wsp:val=&quot;003659D0&quot;/&gt;&lt;wsp:rsid wsp:val=&quot;00366197&quot;/&gt;&lt;wsp:rsid wsp:val=&quot;00366634&quot;/&gt;&lt;wsp:rsid wsp:val=&quot;00366705&quot;/&gt;&lt;wsp:rsid wsp:val=&quot;003676DA&quot;/&gt;&lt;wsp:rsid wsp:val=&quot;00367787&quot;/&gt;&lt;wsp:rsid wsp:val=&quot;00367AA4&quot;/&gt;&lt;wsp:rsid wsp:val=&quot;00367D8C&quot;/&gt;&lt;wsp:rsid wsp:val=&quot;00367F0D&quot;/&gt;&lt;wsp:rsid wsp:val=&quot;00370A6D&quot;/&gt;&lt;wsp:rsid wsp:val=&quot;003710C6&quot;/&gt;&lt;wsp:rsid wsp:val=&quot;003713C8&quot;/&gt;&lt;wsp:rsid wsp:val=&quot;00371A86&quot;/&gt;&lt;wsp:rsid wsp:val=&quot;003725C6&quot;/&gt;&lt;wsp:rsid wsp:val=&quot;00372944&quot;/&gt;&lt;wsp:rsid wsp:val=&quot;0037295C&quot;/&gt;&lt;wsp:rsid wsp:val=&quot;0037320C&quot;/&gt;&lt;wsp:rsid wsp:val=&quot;0037332E&quot;/&gt;&lt;wsp:rsid wsp:val=&quot;003736A1&quot;/&gt;&lt;wsp:rsid wsp:val=&quot;0037384D&quot;/&gt;&lt;wsp:rsid wsp:val=&quot;0037389B&quot;/&gt;&lt;wsp:rsid wsp:val=&quot;003739E1&quot;/&gt;&lt;wsp:rsid wsp:val=&quot;00374983&quot;/&gt;&lt;wsp:rsid wsp:val=&quot;00374EBA&quot;/&gt;&lt;wsp:rsid wsp:val=&quot;00375523&quot;/&gt;&lt;wsp:rsid wsp:val=&quot;00375E75&quot;/&gt;&lt;wsp:rsid wsp:val=&quot;003762A1&quot;/&gt;&lt;wsp:rsid wsp:val=&quot;00377079&quot;/&gt;&lt;wsp:rsid wsp:val=&quot;003772D7&quot;/&gt;&lt;wsp:rsid wsp:val=&quot;003774A5&quot;/&gt;&lt;wsp:rsid wsp:val=&quot;003775BF&quot;/&gt;&lt;wsp:rsid wsp:val=&quot;003776F6&quot;/&gt;&lt;wsp:rsid wsp:val=&quot;0037774F&quot;/&gt;&lt;wsp:rsid wsp:val=&quot;003777BC&quot;/&gt;&lt;wsp:rsid wsp:val=&quot;00377B7C&quot;/&gt;&lt;wsp:rsid wsp:val=&quot;00377CD1&quot;/&gt;&lt;wsp:rsid wsp:val=&quot;00380B06&quot;/&gt;&lt;wsp:rsid wsp:val=&quot;00380D26&quot;/&gt;&lt;wsp:rsid wsp:val=&quot;00381612&quot;/&gt;&lt;wsp:rsid wsp:val=&quot;003817C1&quot;/&gt;&lt;wsp:rsid wsp:val=&quot;00381B76&quot;/&gt;&lt;wsp:rsid wsp:val=&quot;00381E18&quot;/&gt;&lt;wsp:rsid wsp:val=&quot;003820F1&quot;/&gt;&lt;wsp:rsid wsp:val=&quot;00382F07&quot;/&gt;&lt;wsp:rsid wsp:val=&quot;00383007&quot;/&gt;&lt;wsp:rsid wsp:val=&quot;0038339D&quot;/&gt;&lt;wsp:rsid wsp:val=&quot;0038343F&quot;/&gt;&lt;wsp:rsid wsp:val=&quot;00383A5A&quot;/&gt;&lt;wsp:rsid wsp:val=&quot;00384442&quot;/&gt;&lt;wsp:rsid wsp:val=&quot;003849D9&quot;/&gt;&lt;wsp:rsid wsp:val=&quot;00385364&quot;/&gt;&lt;wsp:rsid wsp:val=&quot;0038682B&quot;/&gt;&lt;wsp:rsid wsp:val=&quot;00386992&quot;/&gt;&lt;wsp:rsid wsp:val=&quot;00386AE5&quot;/&gt;&lt;wsp:rsid wsp:val=&quot;00387BF3&quot;/&gt;&lt;wsp:rsid wsp:val=&quot;00387DCC&quot;/&gt;&lt;wsp:rsid wsp:val=&quot;0039001B&quot;/&gt;&lt;wsp:rsid wsp:val=&quot;0039059B&quot;/&gt;&lt;wsp:rsid wsp:val=&quot;00390F40&quot;/&gt;&lt;wsp:rsid wsp:val=&quot;00390F79&quot;/&gt;&lt;wsp:rsid wsp:val=&quot;00391288&quot;/&gt;&lt;wsp:rsid wsp:val=&quot;0039183A&quot;/&gt;&lt;wsp:rsid wsp:val=&quot;00391A9A&quot;/&gt;&lt;wsp:rsid wsp:val=&quot;0039282C&quot;/&gt;&lt;wsp:rsid wsp:val=&quot;00392980&quot;/&gt;&lt;wsp:rsid wsp:val=&quot;0039326A&quot;/&gt;&lt;wsp:rsid wsp:val=&quot;003933E7&quot;/&gt;&lt;wsp:rsid wsp:val=&quot;00393DD1&quot;/&gt;&lt;wsp:rsid wsp:val=&quot;0039447A&quot;/&gt;&lt;wsp:rsid wsp:val=&quot;0039494A&quot;/&gt;&lt;wsp:rsid wsp:val=&quot;00395164&quot;/&gt;&lt;wsp:rsid wsp:val=&quot;00395536&quot;/&gt;&lt;wsp:rsid wsp:val=&quot;0039585B&quot;/&gt;&lt;wsp:rsid wsp:val=&quot;00396085&quot;/&gt;&lt;wsp:rsid wsp:val=&quot;00396284&quot;/&gt;&lt;wsp:rsid wsp:val=&quot;0039687B&quot;/&gt;&lt;wsp:rsid wsp:val=&quot;0039715F&quot;/&gt;&lt;wsp:rsid wsp:val=&quot;00397161&quot;/&gt;&lt;wsp:rsid wsp:val=&quot;0039727C&quot;/&gt;&lt;wsp:rsid wsp:val=&quot;003A0192&quot;/&gt;&lt;wsp:rsid wsp:val=&quot;003A036B&quot;/&gt;&lt;wsp:rsid wsp:val=&quot;003A03E9&quot;/&gt;&lt;wsp:rsid wsp:val=&quot;003A0410&quot;/&gt;&lt;wsp:rsid wsp:val=&quot;003A0F30&quot;/&gt;&lt;wsp:rsid wsp:val=&quot;003A174D&quot;/&gt;&lt;wsp:rsid wsp:val=&quot;003A2CD6&quot;/&gt;&lt;wsp:rsid wsp:val=&quot;003A2D7A&quot;/&gt;&lt;wsp:rsid wsp:val=&quot;003A2FE4&quot;/&gt;&lt;wsp:rsid wsp:val=&quot;003A3009&quot;/&gt;&lt;wsp:rsid wsp:val=&quot;003A304E&quot;/&gt;&lt;wsp:rsid wsp:val=&quot;003A323F&quot;/&gt;&lt;wsp:rsid wsp:val=&quot;003A34C1&quot;/&gt;&lt;wsp:rsid wsp:val=&quot;003A35A1&quot;/&gt;&lt;wsp:rsid wsp:val=&quot;003A3967&quot;/&gt;&lt;wsp:rsid wsp:val=&quot;003A3FF6&quot;/&gt;&lt;wsp:rsid wsp:val=&quot;003A417D&quot;/&gt;&lt;wsp:rsid wsp:val=&quot;003A5896&quot;/&gt;&lt;wsp:rsid wsp:val=&quot;003A66C7&quot;/&gt;&lt;wsp:rsid wsp:val=&quot;003A6D58&quot;/&gt;&lt;wsp:rsid wsp:val=&quot;003A77AB&quot;/&gt;&lt;wsp:rsid wsp:val=&quot;003A7DC1&quot;/&gt;&lt;wsp:rsid wsp:val=&quot;003A7E7F&quot;/&gt;&lt;wsp:rsid wsp:val=&quot;003B05A7&quot;/&gt;&lt;wsp:rsid wsp:val=&quot;003B05C7&quot;/&gt;&lt;wsp:rsid wsp:val=&quot;003B05DD&quot;/&gt;&lt;wsp:rsid wsp:val=&quot;003B05FF&quot;/&gt;&lt;wsp:rsid wsp:val=&quot;003B07BB&quot;/&gt;&lt;wsp:rsid wsp:val=&quot;003B13D0&quot;/&gt;&lt;wsp:rsid wsp:val=&quot;003B1734&quot;/&gt;&lt;wsp:rsid wsp:val=&quot;003B1E97&quot;/&gt;&lt;wsp:rsid wsp:val=&quot;003B2B22&quot;/&gt;&lt;wsp:rsid wsp:val=&quot;003B2E8E&quot;/&gt;&lt;wsp:rsid wsp:val=&quot;003B3127&quot;/&gt;&lt;wsp:rsid wsp:val=&quot;003B32BA&quot;/&gt;&lt;wsp:rsid wsp:val=&quot;003B32CA&quot;/&gt;&lt;wsp:rsid wsp:val=&quot;003B32FB&quot;/&gt;&lt;wsp:rsid wsp:val=&quot;003B3A53&quot;/&gt;&lt;wsp:rsid wsp:val=&quot;003B4022&quot;/&gt;&lt;wsp:rsid wsp:val=&quot;003B4436&quot;/&gt;&lt;wsp:rsid wsp:val=&quot;003B5136&quot;/&gt;&lt;wsp:rsid wsp:val=&quot;003B60AF&quot;/&gt;&lt;wsp:rsid wsp:val=&quot;003B69F4&quot;/&gt;&lt;wsp:rsid wsp:val=&quot;003B717B&quot;/&gt;&lt;wsp:rsid wsp:val=&quot;003C01FD&quot;/&gt;&lt;wsp:rsid wsp:val=&quot;003C04D5&quot;/&gt;&lt;wsp:rsid wsp:val=&quot;003C0B24&quot;/&gt;&lt;wsp:rsid wsp:val=&quot;003C0D40&quot;/&gt;&lt;wsp:rsid wsp:val=&quot;003C0FB2&quot;/&gt;&lt;wsp:rsid wsp:val=&quot;003C26F8&quot;/&gt;&lt;wsp:rsid wsp:val=&quot;003C353C&quot;/&gt;&lt;wsp:rsid wsp:val=&quot;003C35F7&quot;/&gt;&lt;wsp:rsid wsp:val=&quot;003C3A3A&quot;/&gt;&lt;wsp:rsid wsp:val=&quot;003C49D7&quot;/&gt;&lt;wsp:rsid wsp:val=&quot;003C571C&quot;/&gt;&lt;wsp:rsid wsp:val=&quot;003C57EB&quot;/&gt;&lt;wsp:rsid wsp:val=&quot;003C6407&quot;/&gt;&lt;wsp:rsid wsp:val=&quot;003C6445&quot;/&gt;&lt;wsp:rsid wsp:val=&quot;003C6934&quot;/&gt;&lt;wsp:rsid wsp:val=&quot;003C6D5C&quot;/&gt;&lt;wsp:rsid wsp:val=&quot;003C6DE1&quot;/&gt;&lt;wsp:rsid wsp:val=&quot;003C6E6F&quot;/&gt;&lt;wsp:rsid wsp:val=&quot;003C74C7&quot;/&gt;&lt;wsp:rsid wsp:val=&quot;003C77A8&quot;/&gt;&lt;wsp:rsid wsp:val=&quot;003C78E5&quot;/&gt;&lt;wsp:rsid wsp:val=&quot;003D014A&quot;/&gt;&lt;wsp:rsid wsp:val=&quot;003D0211&quot;/&gt;&lt;wsp:rsid wsp:val=&quot;003D075C&quot;/&gt;&lt;wsp:rsid wsp:val=&quot;003D0854&quot;/&gt;&lt;wsp:rsid wsp:val=&quot;003D0FBF&quot;/&gt;&lt;wsp:rsid wsp:val=&quot;003D1600&quot;/&gt;&lt;wsp:rsid wsp:val=&quot;003D1863&quot;/&gt;&lt;wsp:rsid wsp:val=&quot;003D1A23&quot;/&gt;&lt;wsp:rsid wsp:val=&quot;003D219E&quot;/&gt;&lt;wsp:rsid wsp:val=&quot;003D2D07&quot;/&gt;&lt;wsp:rsid wsp:val=&quot;003D3650&quot;/&gt;&lt;wsp:rsid wsp:val=&quot;003D3931&quot;/&gt;&lt;wsp:rsid wsp:val=&quot;003D3A49&quot;/&gt;&lt;wsp:rsid wsp:val=&quot;003D3A99&quot;/&gt;&lt;wsp:rsid wsp:val=&quot;003D3E89&quot;/&gt;&lt;wsp:rsid wsp:val=&quot;003D42AB&quot;/&gt;&lt;wsp:rsid wsp:val=&quot;003D4410&quot;/&gt;&lt;wsp:rsid wsp:val=&quot;003D4F96&quot;/&gt;&lt;wsp:rsid wsp:val=&quot;003D5F46&quot;/&gt;&lt;wsp:rsid wsp:val=&quot;003D5FD3&quot;/&gt;&lt;wsp:rsid wsp:val=&quot;003D64A3&quot;/&gt;&lt;wsp:rsid wsp:val=&quot;003D65FE&quot;/&gt;&lt;wsp:rsid wsp:val=&quot;003D67D9&quot;/&gt;&lt;wsp:rsid wsp:val=&quot;003D6885&quot;/&gt;&lt;wsp:rsid wsp:val=&quot;003D6D1B&quot;/&gt;&lt;wsp:rsid wsp:val=&quot;003D7B92&quot;/&gt;&lt;wsp:rsid wsp:val=&quot;003E1D3B&quot;/&gt;&lt;wsp:rsid wsp:val=&quot;003E2454&quot;/&gt;&lt;wsp:rsid wsp:val=&quot;003E32FC&quot;/&gt;&lt;wsp:rsid wsp:val=&quot;003E3601&quot;/&gt;&lt;wsp:rsid wsp:val=&quot;003E3BF1&quot;/&gt;&lt;wsp:rsid wsp:val=&quot;003E3E55&quot;/&gt;&lt;wsp:rsid wsp:val=&quot;003E4381&quot;/&gt;&lt;wsp:rsid wsp:val=&quot;003E4415&quot;/&gt;&lt;wsp:rsid wsp:val=&quot;003E444C&quot;/&gt;&lt;wsp:rsid wsp:val=&quot;003E5017&quot;/&gt;&lt;wsp:rsid wsp:val=&quot;003E506C&quot;/&gt;&lt;wsp:rsid wsp:val=&quot;003E60C0&quot;/&gt;&lt;wsp:rsid wsp:val=&quot;003E68D1&quot;/&gt;&lt;wsp:rsid wsp:val=&quot;003E6A7F&quot;/&gt;&lt;wsp:rsid wsp:val=&quot;003E6B0E&quot;/&gt;&lt;wsp:rsid wsp:val=&quot;003E6F73&quot;/&gt;&lt;wsp:rsid wsp:val=&quot;003E6F96&quot;/&gt;&lt;wsp:rsid wsp:val=&quot;003E7AA6&quot;/&gt;&lt;wsp:rsid wsp:val=&quot;003E7B2A&quot;/&gt;&lt;wsp:rsid wsp:val=&quot;003F01DE&quot;/&gt;&lt;wsp:rsid wsp:val=&quot;003F0B5E&quot;/&gt;&lt;wsp:rsid wsp:val=&quot;003F0EB8&quot;/&gt;&lt;wsp:rsid wsp:val=&quot;003F1743&quot;/&gt;&lt;wsp:rsid wsp:val=&quot;003F2061&quot;/&gt;&lt;wsp:rsid wsp:val=&quot;003F216E&quot;/&gt;&lt;wsp:rsid wsp:val=&quot;003F24D8&quot;/&gt;&lt;wsp:rsid wsp:val=&quot;003F2979&quot;/&gt;&lt;wsp:rsid wsp:val=&quot;003F2A72&quot;/&gt;&lt;wsp:rsid wsp:val=&quot;003F3559&quot;/&gt;&lt;wsp:rsid wsp:val=&quot;003F397D&quot;/&gt;&lt;wsp:rsid wsp:val=&quot;003F4446&quot;/&gt;&lt;wsp:rsid wsp:val=&quot;003F4944&quot;/&gt;&lt;wsp:rsid wsp:val=&quot;003F4C02&quot;/&gt;&lt;wsp:rsid wsp:val=&quot;003F4F44&quot;/&gt;&lt;wsp:rsid wsp:val=&quot;003F65CA&quot;/&gt;&lt;wsp:rsid wsp:val=&quot;003F6669&quot;/&gt;&lt;wsp:rsid wsp:val=&quot;003F674E&quot;/&gt;&lt;wsp:rsid wsp:val=&quot;003F6AC2&quot;/&gt;&lt;wsp:rsid wsp:val=&quot;003F6B88&quot;/&gt;&lt;wsp:rsid wsp:val=&quot;003F7323&quot;/&gt;&lt;wsp:rsid wsp:val=&quot;003F7C18&quot;/&gt;&lt;wsp:rsid wsp:val=&quot;003F7E5F&quot;/&gt;&lt;wsp:rsid wsp:val=&quot;00400107&quot;/&gt;&lt;wsp:rsid wsp:val=&quot;004007C2&quot;/&gt;&lt;wsp:rsid wsp:val=&quot;00400835&quot;/&gt;&lt;wsp:rsid wsp:val=&quot;0040096A&quot;/&gt;&lt;wsp:rsid wsp:val=&quot;004009EA&quot;/&gt;&lt;wsp:rsid wsp:val=&quot;00400AF5&quot;/&gt;&lt;wsp:rsid wsp:val=&quot;00400EDC&quot;/&gt;&lt;wsp:rsid wsp:val=&quot;00400EEA&quot;/&gt;&lt;wsp:rsid wsp:val=&quot;0040106C&quot;/&gt;&lt;wsp:rsid wsp:val=&quot;00401D42&quot;/&gt;&lt;wsp:rsid wsp:val=&quot;004024B3&quot;/&gt;&lt;wsp:rsid wsp:val=&quot;00402B99&quot;/&gt;&lt;wsp:rsid wsp:val=&quot;00402C7B&quot;/&gt;&lt;wsp:rsid wsp:val=&quot;00402D5A&quot;/&gt;&lt;wsp:rsid wsp:val=&quot;0040316B&quot;/&gt;&lt;wsp:rsid wsp:val=&quot;00404247&quot;/&gt;&lt;wsp:rsid wsp:val=&quot;00404294&quot;/&gt;&lt;wsp:rsid wsp:val=&quot;004044A1&quot;/&gt;&lt;wsp:rsid wsp:val=&quot;004045B5&quot;/&gt;&lt;wsp:rsid wsp:val=&quot;00404DBD&quot;/&gt;&lt;wsp:rsid wsp:val=&quot;00404DEE&quot;/&gt;&lt;wsp:rsid wsp:val=&quot;00405A4F&quot;/&gt;&lt;wsp:rsid wsp:val=&quot;00405F50&quot;/&gt;&lt;wsp:rsid wsp:val=&quot;004060DB&quot;/&gt;&lt;wsp:rsid wsp:val=&quot;0040704B&quot;/&gt;&lt;wsp:rsid wsp:val=&quot;004079A0&quot;/&gt;&lt;wsp:rsid wsp:val=&quot;00407B0B&quot;/&gt;&lt;wsp:rsid wsp:val=&quot;00407CC0&quot;/&gt;&lt;wsp:rsid wsp:val=&quot;00407DD0&quot;/&gt;&lt;wsp:rsid wsp:val=&quot;00410419&quot;/&gt;&lt;wsp:rsid wsp:val=&quot;00410CAF&quot;/&gt;&lt;wsp:rsid wsp:val=&quot;004112A0&quot;/&gt;&lt;wsp:rsid wsp:val=&quot;00411B52&quot;/&gt;&lt;wsp:rsid wsp:val=&quot;00411CDF&quot;/&gt;&lt;wsp:rsid wsp:val=&quot;00412E0C&quot;/&gt;&lt;wsp:rsid wsp:val=&quot;0041307B&quot;/&gt;&lt;wsp:rsid wsp:val=&quot;004130C9&quot;/&gt;&lt;wsp:rsid wsp:val=&quot;004132EF&quot;/&gt;&lt;wsp:rsid wsp:val=&quot;00413EFC&quot;/&gt;&lt;wsp:rsid wsp:val=&quot;00413F5C&quot;/&gt;&lt;wsp:rsid wsp:val=&quot;00414048&quot;/&gt;&lt;wsp:rsid wsp:val=&quot;0041406F&quot;/&gt;&lt;wsp:rsid wsp:val=&quot;00414321&quot;/&gt;&lt;wsp:rsid wsp:val=&quot;00414916&quot;/&gt;&lt;wsp:rsid wsp:val=&quot;00414D06&quot;/&gt;&lt;wsp:rsid wsp:val=&quot;00415993&quot;/&gt;&lt;wsp:rsid wsp:val=&quot;00415E78&quot;/&gt;&lt;wsp:rsid wsp:val=&quot;0041631E&quot;/&gt;&lt;wsp:rsid wsp:val=&quot;004169AB&quot;/&gt;&lt;wsp:rsid wsp:val=&quot;00417052&quot;/&gt;&lt;wsp:rsid wsp:val=&quot;004201F3&quot;/&gt;&lt;wsp:rsid wsp:val=&quot;00420857&quot;/&gt;&lt;wsp:rsid wsp:val=&quot;00420BC5&quot;/&gt;&lt;wsp:rsid wsp:val=&quot;00420E3B&quot;/&gt;&lt;wsp:rsid wsp:val=&quot;004211FE&quot;/&gt;&lt;wsp:rsid wsp:val=&quot;00422422&quot;/&gt;&lt;wsp:rsid wsp:val=&quot;00422DE0&quot;/&gt;&lt;wsp:rsid wsp:val=&quot;004231C3&quot;/&gt;&lt;wsp:rsid wsp:val=&quot;00423878&quot;/&gt;&lt;wsp:rsid wsp:val=&quot;00423A46&quot;/&gt;&lt;wsp:rsid wsp:val=&quot;00424287&quot;/&gt;&lt;wsp:rsid wsp:val=&quot;0042429D&quot;/&gt;&lt;wsp:rsid wsp:val=&quot;004245FE&quot;/&gt;&lt;wsp:rsid wsp:val=&quot;00424E08&quot;/&gt;&lt;wsp:rsid wsp:val=&quot;00425A5B&quot;/&gt;&lt;wsp:rsid wsp:val=&quot;00425FF7&quot;/&gt;&lt;wsp:rsid wsp:val=&quot;004260EF&quot;/&gt;&lt;wsp:rsid wsp:val=&quot;00426BDC&quot;/&gt;&lt;wsp:rsid wsp:val=&quot;00426F32&quot;/&gt;&lt;wsp:rsid wsp:val=&quot;0042707B&quot;/&gt;&lt;wsp:rsid wsp:val=&quot;0042748E&quot;/&gt;&lt;wsp:rsid wsp:val=&quot;0042773D&quot;/&gt;&lt;wsp:rsid wsp:val=&quot;00427BD8&quot;/&gt;&lt;wsp:rsid wsp:val=&quot;00427F36&quot;/&gt;&lt;wsp:rsid wsp:val=&quot;00430F60&quot;/&gt;&lt;wsp:rsid wsp:val=&quot;00431036&quot;/&gt;&lt;wsp:rsid wsp:val=&quot;004312A0&quot;/&gt;&lt;wsp:rsid wsp:val=&quot;00431608&quot;/&gt;&lt;wsp:rsid wsp:val=&quot;0043197D&quot;/&gt;&lt;wsp:rsid wsp:val=&quot;0043289F&quot;/&gt;&lt;wsp:rsid wsp:val=&quot;00433AE7&quot;/&gt;&lt;wsp:rsid wsp:val=&quot;00433C07&quot;/&gt;&lt;wsp:rsid wsp:val=&quot;004342AB&quot;/&gt;&lt;wsp:rsid wsp:val=&quot;00434C50&quot;/&gt;&lt;wsp:rsid wsp:val=&quot;0043500A&quot;/&gt;&lt;wsp:rsid wsp:val=&quot;004358FD&quot;/&gt;&lt;wsp:rsid wsp:val=&quot;004359FF&quot;/&gt;&lt;wsp:rsid wsp:val=&quot;00435A77&quot;/&gt;&lt;wsp:rsid wsp:val=&quot;00435C7A&quot;/&gt;&lt;wsp:rsid wsp:val=&quot;004360C1&quot;/&gt;&lt;wsp:rsid wsp:val=&quot;004367CE&quot;/&gt;&lt;wsp:rsid wsp:val=&quot;00436BB8&quot;/&gt;&lt;wsp:rsid wsp:val=&quot;004376CD&quot;/&gt;&lt;wsp:rsid wsp:val=&quot;00437A27&quot;/&gt;&lt;wsp:rsid wsp:val=&quot;004400D7&quot;/&gt;&lt;wsp:rsid wsp:val=&quot;00440655&quot;/&gt;&lt;wsp:rsid wsp:val=&quot;0044144F&quot;/&gt;&lt;wsp:rsid wsp:val=&quot;0044173D&quot;/&gt;&lt;wsp:rsid wsp:val=&quot;00441812&quot;/&gt;&lt;wsp:rsid wsp:val=&quot;004421D6&quot;/&gt;&lt;wsp:rsid wsp:val=&quot;0044222C&quot;/&gt;&lt;wsp:rsid wsp:val=&quot;00442560&quot;/&gt;&lt;wsp:rsid wsp:val=&quot;00442E6E&quot;/&gt;&lt;wsp:rsid wsp:val=&quot;0044302C&quot;/&gt;&lt;wsp:rsid wsp:val=&quot;00444528&quot;/&gt;&lt;wsp:rsid wsp:val=&quot;00444B86&quot;/&gt;&lt;wsp:rsid wsp:val=&quot;004459FF&quot;/&gt;&lt;wsp:rsid wsp:val=&quot;00445A7A&quot;/&gt;&lt;wsp:rsid wsp:val=&quot;00446E75&quot;/&gt;&lt;wsp:rsid wsp:val=&quot;00447566&quot;/&gt;&lt;wsp:rsid wsp:val=&quot;004475AE&quot;/&gt;&lt;wsp:rsid wsp:val=&quot;0045054D&quot;/&gt;&lt;wsp:rsid wsp:val=&quot;00450938&quot;/&gt;&lt;wsp:rsid wsp:val=&quot;00450BE8&quot;/&gt;&lt;wsp:rsid wsp:val=&quot;00450F16&quot;/&gt;&lt;wsp:rsid wsp:val=&quot;00451501&quot;/&gt;&lt;wsp:rsid wsp:val=&quot;00451D9B&quot;/&gt;&lt;wsp:rsid wsp:val=&quot;00452229&quot;/&gt;&lt;wsp:rsid wsp:val=&quot;00452FFB&quot;/&gt;&lt;wsp:rsid wsp:val=&quot;00453778&quot;/&gt;&lt;wsp:rsid wsp:val=&quot;0045398A&quot;/&gt;&lt;wsp:rsid wsp:val=&quot;00453A0F&quot;/&gt;&lt;wsp:rsid wsp:val=&quot;004542B8&quot;/&gt;&lt;wsp:rsid wsp:val=&quot;004548D2&quot;/&gt;&lt;wsp:rsid wsp:val=&quot;0045551A&quot;/&gt;&lt;wsp:rsid wsp:val=&quot;00455599&quot;/&gt;&lt;wsp:rsid wsp:val=&quot;0045596A&quot;/&gt;&lt;wsp:rsid wsp:val=&quot;00457ACC&quot;/&gt;&lt;wsp:rsid wsp:val=&quot;00457B62&quot;/&gt;&lt;wsp:rsid wsp:val=&quot;00457B91&quot;/&gt;&lt;wsp:rsid wsp:val=&quot;00457CD6&quot;/&gt;&lt;wsp:rsid wsp:val=&quot;004601BF&quot;/&gt;&lt;wsp:rsid wsp:val=&quot;00460A1E&quot;/&gt;&lt;wsp:rsid wsp:val=&quot;00460D12&quot;/&gt;&lt;wsp:rsid wsp:val=&quot;0046107C&quot;/&gt;&lt;wsp:rsid wsp:val=&quot;00461F86&quot;/&gt;&lt;wsp:rsid wsp:val=&quot;00462000&quot;/&gt;&lt;wsp:rsid wsp:val=&quot;00462157&quot;/&gt;&lt;wsp:rsid wsp:val=&quot;004623EB&quot;/&gt;&lt;wsp:rsid wsp:val=&quot;004627E2&quot;/&gt;&lt;wsp:rsid wsp:val=&quot;0046284B&quot;/&gt;&lt;wsp:rsid wsp:val=&quot;004629E4&quot;/&gt;&lt;wsp:rsid wsp:val=&quot;00462E31&quot;/&gt;&lt;wsp:rsid wsp:val=&quot;00463117&quot;/&gt;&lt;wsp:rsid wsp:val=&quot;004633B6&quot;/&gt;&lt;wsp:rsid wsp:val=&quot;004637AE&quot;/&gt;&lt;wsp:rsid wsp:val=&quot;00463B8A&quot;/&gt;&lt;wsp:rsid wsp:val=&quot;00463C38&quot;/&gt;&lt;wsp:rsid wsp:val=&quot;0046440D&quot;/&gt;&lt;wsp:rsid wsp:val=&quot;00464FE9&quot;/&gt;&lt;wsp:rsid wsp:val=&quot;00465301&quot;/&gt;&lt;wsp:rsid wsp:val=&quot;0046559C&quot;/&gt;&lt;wsp:rsid wsp:val=&quot;004656B8&quot;/&gt;&lt;wsp:rsid wsp:val=&quot;0046588D&quot;/&gt;&lt;wsp:rsid wsp:val=&quot;00465AA1&quot;/&gt;&lt;wsp:rsid wsp:val=&quot;00465CD4&quot;/&gt;&lt;wsp:rsid wsp:val=&quot;004663BE&quot;/&gt;&lt;wsp:rsid wsp:val=&quot;004664CC&quot;/&gt;&lt;wsp:rsid wsp:val=&quot;00466541&quot;/&gt;&lt;wsp:rsid wsp:val=&quot;004665A7&quot;/&gt;&lt;wsp:rsid wsp:val=&quot;00467FDE&quot;/&gt;&lt;wsp:rsid wsp:val=&quot;004703F1&quot;/&gt;&lt;wsp:rsid wsp:val=&quot;0047070C&quot;/&gt;&lt;wsp:rsid wsp:val=&quot;00470C44&quot;/&gt;&lt;wsp:rsid wsp:val=&quot;00470EFE&quot;/&gt;&lt;wsp:rsid wsp:val=&quot;00471041&quot;/&gt;&lt;wsp:rsid wsp:val=&quot;00471351&quot;/&gt;&lt;wsp:rsid wsp:val=&quot;004722FE&quot;/&gt;&lt;wsp:rsid wsp:val=&quot;00472EF7&quot;/&gt;&lt;wsp:rsid wsp:val=&quot;004736C3&quot;/&gt;&lt;wsp:rsid wsp:val=&quot;00473C85&quot;/&gt;&lt;wsp:rsid wsp:val=&quot;0047418C&quot;/&gt;&lt;wsp:rsid wsp:val=&quot;0047449A&quot;/&gt;&lt;wsp:rsid wsp:val=&quot;004748B2&quot;/&gt;&lt;wsp:rsid wsp:val=&quot;00474957&quot;/&gt;&lt;wsp:rsid wsp:val=&quot;00474D9A&quot;/&gt;&lt;wsp:rsid wsp:val=&quot;00474F85&quot;/&gt;&lt;wsp:rsid wsp:val=&quot;00475646&quot;/&gt;&lt;wsp:rsid wsp:val=&quot;0047568C&quot;/&gt;&lt;wsp:rsid wsp:val=&quot;00475CA8&quot;/&gt;&lt;wsp:rsid wsp:val=&quot;00476098&quot;/&gt;&lt;wsp:rsid wsp:val=&quot;004762DA&quot;/&gt;&lt;wsp:rsid wsp:val=&quot;00476FFE&quot;/&gt;&lt;wsp:rsid wsp:val=&quot;00477055&quot;/&gt;&lt;wsp:rsid wsp:val=&quot;004771A3&quot;/&gt;&lt;wsp:rsid wsp:val=&quot;004810D5&quot;/&gt;&lt;wsp:rsid wsp:val=&quot;00481408&quot;/&gt;&lt;wsp:rsid wsp:val=&quot;00481411&quot;/&gt;&lt;wsp:rsid wsp:val=&quot;00481760&quot;/&gt;&lt;wsp:rsid wsp:val=&quot;00481965&quot;/&gt;&lt;wsp:rsid wsp:val=&quot;0048228D&quot;/&gt;&lt;wsp:rsid wsp:val=&quot;00482B2C&quot;/&gt;&lt;wsp:rsid wsp:val=&quot;004836B1&quot;/&gt;&lt;wsp:rsid wsp:val=&quot;004836F5&quot;/&gt;&lt;wsp:rsid wsp:val=&quot;00483B48&quot;/&gt;&lt;wsp:rsid wsp:val=&quot;00483E03&quot;/&gt;&lt;wsp:rsid wsp:val=&quot;00483F7C&quot;/&gt;&lt;wsp:rsid wsp:val=&quot;004840C2&quot;/&gt;&lt;wsp:rsid wsp:val=&quot;004845A7&quot;/&gt;&lt;wsp:rsid wsp:val=&quot;00484959&quot;/&gt;&lt;wsp:rsid wsp:val=&quot;00484987&quot;/&gt;&lt;wsp:rsid wsp:val=&quot;00485136&quot;/&gt;&lt;wsp:rsid wsp:val=&quot;004851EA&quot;/&gt;&lt;wsp:rsid wsp:val=&quot;0048553F&quot;/&gt;&lt;wsp:rsid wsp:val=&quot;004857FC&quot;/&gt;&lt;wsp:rsid wsp:val=&quot;00485E3D&quot;/&gt;&lt;wsp:rsid wsp:val=&quot;004868BD&quot;/&gt;&lt;wsp:rsid wsp:val=&quot;00486A15&quot;/&gt;&lt;wsp:rsid wsp:val=&quot;00486B6F&quot;/&gt;&lt;wsp:rsid wsp:val=&quot;0048710C&quot;/&gt;&lt;wsp:rsid wsp:val=&quot;004871E7&quot;/&gt;&lt;wsp:rsid wsp:val=&quot;004874C5&quot;/&gt;&lt;wsp:rsid wsp:val=&quot;0048767F&quot;/&gt;&lt;wsp:rsid wsp:val=&quot;004900AB&quot;/&gt;&lt;wsp:rsid wsp:val=&quot;004906D9&quot;/&gt;&lt;wsp:rsid wsp:val=&quot;0049164C&quot;/&gt;&lt;wsp:rsid wsp:val=&quot;004919E5&quot;/&gt;&lt;wsp:rsid wsp:val=&quot;00492275&quot;/&gt;&lt;wsp:rsid wsp:val=&quot;00492397&quot;/&gt;&lt;wsp:rsid wsp:val=&quot;0049261E&quot;/&gt;&lt;wsp:rsid wsp:val=&quot;00492792&quot;/&gt;&lt;wsp:rsid wsp:val=&quot;00493815&quot;/&gt;&lt;wsp:rsid wsp:val=&quot;004938AD&quot;/&gt;&lt;wsp:rsid wsp:val=&quot;0049422B&quot;/&gt;&lt;wsp:rsid wsp:val=&quot;004943A8&quot;/&gt;&lt;wsp:rsid wsp:val=&quot;004945C1&quot;/&gt;&lt;wsp:rsid wsp:val=&quot;00494F77&quot;/&gt;&lt;wsp:rsid wsp:val=&quot;00494FDA&quot;/&gt;&lt;wsp:rsid wsp:val=&quot;00495801&quot;/&gt;&lt;wsp:rsid wsp:val=&quot;00495BAC&quot;/&gt;&lt;wsp:rsid wsp:val=&quot;00495D57&quot;/&gt;&lt;wsp:rsid wsp:val=&quot;00496263&quot;/&gt;&lt;wsp:rsid wsp:val=&quot;004962A3&quot;/&gt;&lt;wsp:rsid wsp:val=&quot;0049677D&quot;/&gt;&lt;wsp:rsid wsp:val=&quot;00496B9D&quot;/&gt;&lt;wsp:rsid wsp:val=&quot;00496D28&quot;/&gt;&lt;wsp:rsid wsp:val=&quot;00496DC1&quot;/&gt;&lt;wsp:rsid wsp:val=&quot;00496DD2&quot;/&gt;&lt;wsp:rsid wsp:val=&quot;00497E46&quot;/&gt;&lt;wsp:rsid wsp:val=&quot;004A0279&quot;/&gt;&lt;wsp:rsid wsp:val=&quot;004A0299&quot;/&gt;&lt;wsp:rsid wsp:val=&quot;004A03D4&quot;/&gt;&lt;wsp:rsid wsp:val=&quot;004A159F&quot;/&gt;&lt;wsp:rsid wsp:val=&quot;004A1ED6&quot;/&gt;&lt;wsp:rsid wsp:val=&quot;004A205B&quot;/&gt;&lt;wsp:rsid wsp:val=&quot;004A219D&quot;/&gt;&lt;wsp:rsid wsp:val=&quot;004A248E&quot;/&gt;&lt;wsp:rsid wsp:val=&quot;004A25EB&quot;/&gt;&lt;wsp:rsid wsp:val=&quot;004A26EE&quot;/&gt;&lt;wsp:rsid wsp:val=&quot;004A29AE&quot;/&gt;&lt;wsp:rsid wsp:val=&quot;004A2AB4&quot;/&gt;&lt;wsp:rsid wsp:val=&quot;004A2B6E&quot;/&gt;&lt;wsp:rsid wsp:val=&quot;004A2E58&quot;/&gt;&lt;wsp:rsid wsp:val=&quot;004A2EB8&quot;/&gt;&lt;wsp:rsid wsp:val=&quot;004A31CA&quot;/&gt;&lt;wsp:rsid wsp:val=&quot;004A3387&quot;/&gt;&lt;wsp:rsid wsp:val=&quot;004A38E2&quot;/&gt;&lt;wsp:rsid wsp:val=&quot;004A3B28&quot;/&gt;&lt;wsp:rsid wsp:val=&quot;004A3C38&quot;/&gt;&lt;wsp:rsid wsp:val=&quot;004A427D&quot;/&gt;&lt;wsp:rsid wsp:val=&quot;004A4733&quot;/&gt;&lt;wsp:rsid wsp:val=&quot;004A4ADC&quot;/&gt;&lt;wsp:rsid wsp:val=&quot;004A5023&quot;/&gt;&lt;wsp:rsid wsp:val=&quot;004A5E72&quot;/&gt;&lt;wsp:rsid wsp:val=&quot;004A69A6&quot;/&gt;&lt;wsp:rsid wsp:val=&quot;004A70F9&quot;/&gt;&lt;wsp:rsid wsp:val=&quot;004A75AC&quot;/&gt;&lt;wsp:rsid wsp:val=&quot;004A7983&quot;/&gt;&lt;wsp:rsid wsp:val=&quot;004A7A03&quot;/&gt;&lt;wsp:rsid wsp:val=&quot;004B07DA&quot;/&gt;&lt;wsp:rsid wsp:val=&quot;004B0D95&quot;/&gt;&lt;wsp:rsid wsp:val=&quot;004B0F48&quot;/&gt;&lt;wsp:rsid wsp:val=&quot;004B165E&quot;/&gt;&lt;wsp:rsid wsp:val=&quot;004B1E42&quot;/&gt;&lt;wsp:rsid wsp:val=&quot;004B2259&quot;/&gt;&lt;wsp:rsid wsp:val=&quot;004B24D0&quot;/&gt;&lt;wsp:rsid wsp:val=&quot;004B34A1&quot;/&gt;&lt;wsp:rsid wsp:val=&quot;004B360E&quot;/&gt;&lt;wsp:rsid wsp:val=&quot;004B3A3E&quot;/&gt;&lt;wsp:rsid wsp:val=&quot;004B3B8D&quot;/&gt;&lt;wsp:rsid wsp:val=&quot;004B3F3F&quot;/&gt;&lt;wsp:rsid wsp:val=&quot;004B4092&quot;/&gt;&lt;wsp:rsid wsp:val=&quot;004B4816&quot;/&gt;&lt;wsp:rsid wsp:val=&quot;004B4C8C&quot;/&gt;&lt;wsp:rsid wsp:val=&quot;004B4FC8&quot;/&gt;&lt;wsp:rsid wsp:val=&quot;004B50A9&quot;/&gt;&lt;wsp:rsid wsp:val=&quot;004B58C6&quot;/&gt;&lt;wsp:rsid wsp:val=&quot;004B5994&quot;/&gt;&lt;wsp:rsid wsp:val=&quot;004B6268&quot;/&gt;&lt;wsp:rsid wsp:val=&quot;004B66CF&quot;/&gt;&lt;wsp:rsid wsp:val=&quot;004B6740&quot;/&gt;&lt;wsp:rsid wsp:val=&quot;004B6B04&quot;/&gt;&lt;wsp:rsid wsp:val=&quot;004B6C86&quot;/&gt;&lt;wsp:rsid wsp:val=&quot;004B6E4A&quot;/&gt;&lt;wsp:rsid wsp:val=&quot;004B72C6&quot;/&gt;&lt;wsp:rsid wsp:val=&quot;004B7514&quot;/&gt;&lt;wsp:rsid wsp:val=&quot;004B76F7&quot;/&gt;&lt;wsp:rsid wsp:val=&quot;004B79CF&quot;/&gt;&lt;wsp:rsid wsp:val=&quot;004B7B24&quot;/&gt;&lt;wsp:rsid wsp:val=&quot;004C093C&quot;/&gt;&lt;wsp:rsid wsp:val=&quot;004C0FE3&quot;/&gt;&lt;wsp:rsid wsp:val=&quot;004C105E&quot;/&gt;&lt;wsp:rsid wsp:val=&quot;004C14C3&quot;/&gt;&lt;wsp:rsid wsp:val=&quot;004C176D&quot;/&gt;&lt;wsp:rsid wsp:val=&quot;004C188F&quot;/&gt;&lt;wsp:rsid wsp:val=&quot;004C19B8&quot;/&gt;&lt;wsp:rsid wsp:val=&quot;004C1BE3&quot;/&gt;&lt;wsp:rsid wsp:val=&quot;004C1BEA&quot;/&gt;&lt;wsp:rsid wsp:val=&quot;004C28A8&quot;/&gt;&lt;wsp:rsid wsp:val=&quot;004C2D37&quot;/&gt;&lt;wsp:rsid wsp:val=&quot;004C3374&quot;/&gt;&lt;wsp:rsid wsp:val=&quot;004C37A6&quot;/&gt;&lt;wsp:rsid wsp:val=&quot;004C3D7E&quot;/&gt;&lt;wsp:rsid wsp:val=&quot;004C3E25&quot;/&gt;&lt;wsp:rsid wsp:val=&quot;004C3F60&quot;/&gt;&lt;wsp:rsid wsp:val=&quot;004C42A2&quot;/&gt;&lt;wsp:rsid wsp:val=&quot;004C43C0&quot;/&gt;&lt;wsp:rsid wsp:val=&quot;004C43E8&quot;/&gt;&lt;wsp:rsid wsp:val=&quot;004C4B4E&quot;/&gt;&lt;wsp:rsid wsp:val=&quot;004C4CA8&quot;/&gt;&lt;wsp:rsid wsp:val=&quot;004C4D7D&quot;/&gt;&lt;wsp:rsid wsp:val=&quot;004C4D9F&quot;/&gt;&lt;wsp:rsid wsp:val=&quot;004C507A&quot;/&gt;&lt;wsp:rsid wsp:val=&quot;004C5662&quot;/&gt;&lt;wsp:rsid wsp:val=&quot;004C5A3F&quot;/&gt;&lt;wsp:rsid wsp:val=&quot;004C60DB&quot;/&gt;&lt;wsp:rsid wsp:val=&quot;004C6AFF&quot;/&gt;&lt;wsp:rsid wsp:val=&quot;004C6B82&quot;/&gt;&lt;wsp:rsid wsp:val=&quot;004C71E5&quot;/&gt;&lt;wsp:rsid wsp:val=&quot;004C75F4&quot;/&gt;&lt;wsp:rsid wsp:val=&quot;004C7794&quot;/&gt;&lt;wsp:rsid wsp:val=&quot;004D02DF&quot;/&gt;&lt;wsp:rsid wsp:val=&quot;004D0737&quot;/&gt;&lt;wsp:rsid wsp:val=&quot;004D101C&quot;/&gt;&lt;wsp:rsid wsp:val=&quot;004D1543&quot;/&gt;&lt;wsp:rsid wsp:val=&quot;004D1D7E&quot;/&gt;&lt;wsp:rsid wsp:val=&quot;004D2B4B&quot;/&gt;&lt;wsp:rsid wsp:val=&quot;004D2B67&quot;/&gt;&lt;wsp:rsid wsp:val=&quot;004D2CF9&quot;/&gt;&lt;wsp:rsid wsp:val=&quot;004D30C8&quot;/&gt;&lt;wsp:rsid wsp:val=&quot;004D3191&quot;/&gt;&lt;wsp:rsid wsp:val=&quot;004D31BF&quot;/&gt;&lt;wsp:rsid wsp:val=&quot;004D379D&quot;/&gt;&lt;wsp:rsid wsp:val=&quot;004D397C&quot;/&gt;&lt;wsp:rsid wsp:val=&quot;004D4108&quot;/&gt;&lt;wsp:rsid wsp:val=&quot;004D436C&quot;/&gt;&lt;wsp:rsid wsp:val=&quot;004D4593&quot;/&gt;&lt;wsp:rsid wsp:val=&quot;004D471C&quot;/&gt;&lt;wsp:rsid wsp:val=&quot;004D4725&quot;/&gt;&lt;wsp:rsid wsp:val=&quot;004D4DE8&quot;/&gt;&lt;wsp:rsid wsp:val=&quot;004D579E&quot;/&gt;&lt;wsp:rsid wsp:val=&quot;004D5B0D&quot;/&gt;&lt;wsp:rsid wsp:val=&quot;004D61D6&quot;/&gt;&lt;wsp:rsid wsp:val=&quot;004D68B1&quot;/&gt;&lt;wsp:rsid wsp:val=&quot;004D6DD6&quot;/&gt;&lt;wsp:rsid wsp:val=&quot;004D76BC&quot;/&gt;&lt;wsp:rsid wsp:val=&quot;004D7A0A&quot;/&gt;&lt;wsp:rsid wsp:val=&quot;004D7AE6&quot;/&gt;&lt;wsp:rsid wsp:val=&quot;004E059E&quot;/&gt;&lt;wsp:rsid wsp:val=&quot;004E1531&quot;/&gt;&lt;wsp:rsid wsp:val=&quot;004E1C24&quot;/&gt;&lt;wsp:rsid wsp:val=&quot;004E276C&quot;/&gt;&lt;wsp:rsid wsp:val=&quot;004E2FF3&quot;/&gt;&lt;wsp:rsid wsp:val=&quot;004E3D03&quot;/&gt;&lt;wsp:rsid wsp:val=&quot;004E4BA9&quot;/&gt;&lt;wsp:rsid wsp:val=&quot;004E4D02&quot;/&gt;&lt;wsp:rsid wsp:val=&quot;004E4F9B&quot;/&gt;&lt;wsp:rsid wsp:val=&quot;004E5A94&quot;/&gt;&lt;wsp:rsid wsp:val=&quot;004E5CFB&quot;/&gt;&lt;wsp:rsid wsp:val=&quot;004E5EC6&quot;/&gt;&lt;wsp:rsid wsp:val=&quot;004E618C&quot;/&gt;&lt;wsp:rsid wsp:val=&quot;004E65A0&quot;/&gt;&lt;wsp:rsid wsp:val=&quot;004E6738&quot;/&gt;&lt;wsp:rsid wsp:val=&quot;004E6992&quot;/&gt;&lt;wsp:rsid wsp:val=&quot;004E6E4A&quot;/&gt;&lt;wsp:rsid wsp:val=&quot;004E7563&quot;/&gt;&lt;wsp:rsid wsp:val=&quot;004F0EDA&quot;/&gt;&lt;wsp:rsid wsp:val=&quot;004F110F&quot;/&gt;&lt;wsp:rsid wsp:val=&quot;004F1393&quot;/&gt;&lt;wsp:rsid wsp:val=&quot;004F1B89&quot;/&gt;&lt;wsp:rsid wsp:val=&quot;004F1BA1&quot;/&gt;&lt;wsp:rsid wsp:val=&quot;004F1D14&quot;/&gt;&lt;wsp:rsid wsp:val=&quot;004F2076&quot;/&gt;&lt;wsp:rsid wsp:val=&quot;004F2150&quot;/&gt;&lt;wsp:rsid wsp:val=&quot;004F222D&quot;/&gt;&lt;wsp:rsid wsp:val=&quot;004F252F&quot;/&gt;&lt;wsp:rsid wsp:val=&quot;004F276B&quot;/&gt;&lt;wsp:rsid wsp:val=&quot;004F27EC&quot;/&gt;&lt;wsp:rsid wsp:val=&quot;004F2ED8&quot;/&gt;&lt;wsp:rsid wsp:val=&quot;004F3978&quot;/&gt;&lt;wsp:rsid wsp:val=&quot;004F3A53&quot;/&gt;&lt;wsp:rsid wsp:val=&quot;004F3BA1&quot;/&gt;&lt;wsp:rsid wsp:val=&quot;004F3F3E&quot;/&gt;&lt;wsp:rsid wsp:val=&quot;004F40BC&quot;/&gt;&lt;wsp:rsid wsp:val=&quot;004F431C&quot;/&gt;&lt;wsp:rsid wsp:val=&quot;004F43A0&quot;/&gt;&lt;wsp:rsid wsp:val=&quot;004F447B&quot;/&gt;&lt;wsp:rsid wsp:val=&quot;004F4680&quot;/&gt;&lt;wsp:rsid wsp:val=&quot;004F4787&quot;/&gt;&lt;wsp:rsid wsp:val=&quot;004F50F5&quot;/&gt;&lt;wsp:rsid wsp:val=&quot;004F5246&quot;/&gt;&lt;wsp:rsid wsp:val=&quot;004F53D9&quot;/&gt;&lt;wsp:rsid wsp:val=&quot;004F62C1&quot;/&gt;&lt;wsp:rsid wsp:val=&quot;004F696E&quot;/&gt;&lt;wsp:rsid wsp:val=&quot;004F6A4F&quot;/&gt;&lt;wsp:rsid wsp:val=&quot;004F6FF7&quot;/&gt;&lt;wsp:rsid wsp:val=&quot;004F7309&quot;/&gt;&lt;wsp:rsid wsp:val=&quot;004F73C8&quot;/&gt;&lt;wsp:rsid wsp:val=&quot;004F74B1&quot;/&gt;&lt;wsp:rsid wsp:val=&quot;004F7667&quot;/&gt;&lt;wsp:rsid wsp:val=&quot;004F7691&quot;/&gt;&lt;wsp:rsid wsp:val=&quot;004F76F9&quot;/&gt;&lt;wsp:rsid wsp:val=&quot;004F7802&quot;/&gt;&lt;wsp:rsid wsp:val=&quot;004F7996&quot;/&gt;&lt;wsp:rsid wsp:val=&quot;004F7F5B&quot;/&gt;&lt;wsp:rsid wsp:val=&quot;005008EF&quot;/&gt;&lt;wsp:rsid wsp:val=&quot;00501012&quot;/&gt;&lt;wsp:rsid wsp:val=&quot;005019E2&quot;/&gt;&lt;wsp:rsid wsp:val=&quot;005027B0&quot;/&gt;&lt;wsp:rsid wsp:val=&quot;0050302B&quot;/&gt;&lt;wsp:rsid wsp:val=&quot;005031AE&quot;/&gt;&lt;wsp:rsid wsp:val=&quot;0050343F&quot;/&gt;&lt;wsp:rsid wsp:val=&quot;005036F4&quot;/&gt;&lt;wsp:rsid wsp:val=&quot;00503B2F&quot;/&gt;&lt;wsp:rsid wsp:val=&quot;00503B72&quot;/&gt;&lt;wsp:rsid wsp:val=&quot;005045BE&quot;/&gt;&lt;wsp:rsid wsp:val=&quot;005051E1&quot;/&gt;&lt;wsp:rsid wsp:val=&quot;0050522E&quot;/&gt;&lt;wsp:rsid wsp:val=&quot;005053A7&quot;/&gt;&lt;wsp:rsid wsp:val=&quot;00505475&quot;/&gt;&lt;wsp:rsid wsp:val=&quot;00505697&quot;/&gt;&lt;wsp:rsid wsp:val=&quot;00506956&quot;/&gt;&lt;wsp:rsid wsp:val=&quot;00506B66&quot;/&gt;&lt;wsp:rsid wsp:val=&quot;00506CE7&quot;/&gt;&lt;wsp:rsid wsp:val=&quot;00506EF7&quot;/&gt;&lt;wsp:rsid wsp:val=&quot;00507656&quot;/&gt;&lt;wsp:rsid wsp:val=&quot;0050778C&quot;/&gt;&lt;wsp:rsid wsp:val=&quot;00507A6C&quot;/&gt;&lt;wsp:rsid wsp:val=&quot;00507DB6&quot;/&gt;&lt;wsp:rsid wsp:val=&quot;005106E7&quot;/&gt;&lt;wsp:rsid wsp:val=&quot;00510DB0&quot;/&gt;&lt;wsp:rsid wsp:val=&quot;00512960&quot;/&gt;&lt;wsp:rsid wsp:val=&quot;00512E5E&quot;/&gt;&lt;wsp:rsid wsp:val=&quot;0051337F&quot;/&gt;&lt;wsp:rsid wsp:val=&quot;005147E0&quot;/&gt;&lt;wsp:rsid wsp:val=&quot;00514850&quot;/&gt;&lt;wsp:rsid wsp:val=&quot;005159CF&quot;/&gt;&lt;wsp:rsid wsp:val=&quot;00515B68&quot;/&gt;&lt;wsp:rsid wsp:val=&quot;00515D3F&quot;/&gt;&lt;wsp:rsid wsp:val=&quot;00516458&quot;/&gt;&lt;wsp:rsid wsp:val=&quot;00516CD7&quot;/&gt;&lt;wsp:rsid wsp:val=&quot;00516F53&quot;/&gt;&lt;wsp:rsid wsp:val=&quot;00516FF3&quot;/&gt;&lt;wsp:rsid wsp:val=&quot;00517A02&quot;/&gt;&lt;wsp:rsid wsp:val=&quot;00517B8B&quot;/&gt;&lt;wsp:rsid wsp:val=&quot;00517C72&quot;/&gt;&lt;wsp:rsid wsp:val=&quot;00517D93&quot;/&gt;&lt;wsp:rsid wsp:val=&quot;005202B9&quot;/&gt;&lt;wsp:rsid wsp:val=&quot;005216B0&quot;/&gt;&lt;wsp:rsid wsp:val=&quot;0052175C&quot;/&gt;&lt;wsp:rsid wsp:val=&quot;0052181C&quot;/&gt;&lt;wsp:rsid wsp:val=&quot;00521D97&quot;/&gt;&lt;wsp:rsid wsp:val=&quot;0052200F&quot;/&gt;&lt;wsp:rsid wsp:val=&quot;005221F9&quot;/&gt;&lt;wsp:rsid wsp:val=&quot;00522983&quot;/&gt;&lt;wsp:rsid wsp:val=&quot;005230F3&quot;/&gt;&lt;wsp:rsid wsp:val=&quot;00523498&quot;/&gt;&lt;wsp:rsid wsp:val=&quot;0052377E&quot;/&gt;&lt;wsp:rsid wsp:val=&quot;00524AB8&quot;/&gt;&lt;wsp:rsid wsp:val=&quot;005259A8&quot;/&gt;&lt;wsp:rsid wsp:val=&quot;00525F7C&quot;/&gt;&lt;wsp:rsid wsp:val=&quot;00526402&quot;/&gt;&lt;wsp:rsid wsp:val=&quot;0052708F&quot;/&gt;&lt;wsp:rsid wsp:val=&quot;0052781A&quot;/&gt;&lt;wsp:rsid wsp:val=&quot;00527F6A&quot;/&gt;&lt;wsp:rsid wsp:val=&quot;005305F3&quot;/&gt;&lt;wsp:rsid wsp:val=&quot;00530F44&quot;/&gt;&lt;wsp:rsid wsp:val=&quot;00531050&quot;/&gt;&lt;wsp:rsid wsp:val=&quot;005317FA&quot;/&gt;&lt;wsp:rsid wsp:val=&quot;005319BA&quot;/&gt;&lt;wsp:rsid wsp:val=&quot;00531E19&quot;/&gt;&lt;wsp:rsid wsp:val=&quot;005321B6&quot;/&gt;&lt;wsp:rsid wsp:val=&quot;005324F9&quot;/&gt;&lt;wsp:rsid wsp:val=&quot;00532E48&quot;/&gt;&lt;wsp:rsid wsp:val=&quot;0053307C&quot;/&gt;&lt;wsp:rsid wsp:val=&quot;005331AF&quot;/&gt;&lt;wsp:rsid wsp:val=&quot;005346A7&quot;/&gt;&lt;wsp:rsid wsp:val=&quot;00535054&quot;/&gt;&lt;wsp:rsid wsp:val=&quot;005352AD&quot;/&gt;&lt;wsp:rsid wsp:val=&quot;005352E3&quot;/&gt;&lt;wsp:rsid wsp:val=&quot;0053550D&quot;/&gt;&lt;wsp:rsid wsp:val=&quot;0053579F&quot;/&gt;&lt;wsp:rsid wsp:val=&quot;00535817&quot;/&gt;&lt;wsp:rsid wsp:val=&quot;00535933&quot;/&gt;&lt;wsp:rsid wsp:val=&quot;005365D4&quot;/&gt;&lt;wsp:rsid wsp:val=&quot;00536ABA&quot;/&gt;&lt;wsp:rsid wsp:val=&quot;00536F40&quot;/&gt;&lt;wsp:rsid wsp:val=&quot;005372C1&quot;/&gt;&lt;wsp:rsid wsp:val=&quot;00537E9E&quot;/&gt;&lt;wsp:rsid wsp:val=&quot;00540AD7&quot;/&gt;&lt;wsp:rsid wsp:val=&quot;00541753&quot;/&gt;&lt;wsp:rsid wsp:val=&quot;0054191D&quot;/&gt;&lt;wsp:rsid wsp:val=&quot;00541CCA&quot;/&gt;&lt;wsp:rsid wsp:val=&quot;00541D44&quot;/&gt;&lt;wsp:rsid wsp:val=&quot;0054203D&quot;/&gt;&lt;wsp:rsid wsp:val=&quot;005421D4&quot;/&gt;&lt;wsp:rsid wsp:val=&quot;00542906&quot;/&gt;&lt;wsp:rsid wsp:val=&quot;0054293A&quot;/&gt;&lt;wsp:rsid wsp:val=&quot;00543570&quot;/&gt;&lt;wsp:rsid wsp:val=&quot;005437AD&quot;/&gt;&lt;wsp:rsid wsp:val=&quot;00543924&quot;/&gt;&lt;wsp:rsid wsp:val=&quot;00543E5C&quot;/&gt;&lt;wsp:rsid wsp:val=&quot;00544B40&quot;/&gt;&lt;wsp:rsid wsp:val=&quot;00544C21&quot;/&gt;&lt;wsp:rsid wsp:val=&quot;00544FDD&quot;/&gt;&lt;wsp:rsid wsp:val=&quot;00545153&quot;/&gt;&lt;wsp:rsid wsp:val=&quot;0054538D&quot;/&gt;&lt;wsp:rsid wsp:val=&quot;005457C5&quot;/&gt;&lt;wsp:rsid wsp:val=&quot;005458E3&quot;/&gt;&lt;wsp:rsid wsp:val=&quot;00545A4D&quot;/&gt;&lt;wsp:rsid wsp:val=&quot;00545D67&quot;/&gt;&lt;wsp:rsid wsp:val=&quot;005460C6&quot;/&gt;&lt;wsp:rsid wsp:val=&quot;00547443&quot;/&gt;&lt;wsp:rsid wsp:val=&quot;0055079F&quot;/&gt;&lt;wsp:rsid wsp:val=&quot;00550A3A&quot;/&gt;&lt;wsp:rsid wsp:val=&quot;00550AA3&quot;/&gt;&lt;wsp:rsid wsp:val=&quot;00550BBE&quot;/&gt;&lt;wsp:rsid wsp:val=&quot;005520FD&quot;/&gt;&lt;wsp:rsid wsp:val=&quot;005524F6&quot;/&gt;&lt;wsp:rsid wsp:val=&quot;00552A21&quot;/&gt;&lt;wsp:rsid wsp:val=&quot;005531AB&quot;/&gt;&lt;wsp:rsid wsp:val=&quot;00553A9E&quot;/&gt;&lt;wsp:rsid wsp:val=&quot;00553D22&quot;/&gt;&lt;wsp:rsid wsp:val=&quot;00554258&quot;/&gt;&lt;wsp:rsid wsp:val=&quot;00554C01&quot;/&gt;&lt;wsp:rsid wsp:val=&quot;00554D02&quot;/&gt;&lt;wsp:rsid wsp:val=&quot;00554E4A&quot;/&gt;&lt;wsp:rsid wsp:val=&quot;00554FC9&quot;/&gt;&lt;wsp:rsid wsp:val=&quot;00555518&quot;/&gt;&lt;wsp:rsid wsp:val=&quot;00556818&quot;/&gt;&lt;wsp:rsid wsp:val=&quot;00556EC1&quot;/&gt;&lt;wsp:rsid wsp:val=&quot;00557610&quot;/&gt;&lt;wsp:rsid wsp:val=&quot;00560114&quot;/&gt;&lt;wsp:rsid wsp:val=&quot;005601E8&quot;/&gt;&lt;wsp:rsid wsp:val=&quot;005603EA&quot;/&gt;&lt;wsp:rsid wsp:val=&quot;005607F6&quot;/&gt;&lt;wsp:rsid wsp:val=&quot;00560D2A&quot;/&gt;&lt;wsp:rsid wsp:val=&quot;00560DCA&quot;/&gt;&lt;wsp:rsid wsp:val=&quot;005611AD&quot;/&gt;&lt;wsp:rsid wsp:val=&quot;0056141B&quot;/&gt;&lt;wsp:rsid wsp:val=&quot;0056154E&quot;/&gt;&lt;wsp:rsid wsp:val=&quot;00561B3E&quot;/&gt;&lt;wsp:rsid wsp:val=&quot;00562285&quot;/&gt;&lt;wsp:rsid wsp:val=&quot;00562517&quot;/&gt;&lt;wsp:rsid wsp:val=&quot;00562DCF&quot;/&gt;&lt;wsp:rsid wsp:val=&quot;00562E0A&quot;/&gt;&lt;wsp:rsid wsp:val=&quot;00563556&quot;/&gt;&lt;wsp:rsid wsp:val=&quot;005635FC&quot;/&gt;&lt;wsp:rsid wsp:val=&quot;005642B8&quot;/&gt;&lt;wsp:rsid wsp:val=&quot;0056495D&quot;/&gt;&lt;wsp:rsid wsp:val=&quot;00565A79&quot;/&gt;&lt;wsp:rsid wsp:val=&quot;00565BBE&quot;/&gt;&lt;wsp:rsid wsp:val=&quot;00565FA9&quot;/&gt;&lt;wsp:rsid wsp:val=&quot;0056629C&quot;/&gt;&lt;wsp:rsid wsp:val=&quot;00566519&quot;/&gt;&lt;wsp:rsid wsp:val=&quot;0056657E&quot;/&gt;&lt;wsp:rsid wsp:val=&quot;005665EB&quot;/&gt;&lt;wsp:rsid wsp:val=&quot;005668BE&quot;/&gt;&lt;wsp:rsid wsp:val=&quot;00566AFF&quot;/&gt;&lt;wsp:rsid wsp:val=&quot;00566E6F&quot;/&gt;&lt;wsp:rsid wsp:val=&quot;005670E9&quot;/&gt;&lt;wsp:rsid wsp:val=&quot;00567866&quot;/&gt;&lt;wsp:rsid wsp:val=&quot;00567BFA&quot;/&gt;&lt;wsp:rsid wsp:val=&quot;00570BAD&quot;/&gt;&lt;wsp:rsid wsp:val=&quot;0057107A&quot;/&gt;&lt;wsp:rsid wsp:val=&quot;00571514&quot;/&gt;&lt;wsp:rsid wsp:val=&quot;005717D4&quot;/&gt;&lt;wsp:rsid wsp:val=&quot;00571C4D&quot;/&gt;&lt;wsp:rsid wsp:val=&quot;00571E47&quot;/&gt;&lt;wsp:rsid wsp:val=&quot;0057286F&quot;/&gt;&lt;wsp:rsid wsp:val=&quot;00572C6A&quot;/&gt;&lt;wsp:rsid wsp:val=&quot;00573012&quot;/&gt;&lt;wsp:rsid wsp:val=&quot;0057339E&quot;/&gt;&lt;wsp:rsid wsp:val=&quot;00573AD0&quot;/&gt;&lt;wsp:rsid wsp:val=&quot;0057411E&quot;/&gt;&lt;wsp:rsid wsp:val=&quot;005742D4&quot;/&gt;&lt;wsp:rsid wsp:val=&quot;0057470E&quot;/&gt;&lt;wsp:rsid wsp:val=&quot;00574D29&quot;/&gt;&lt;wsp:rsid wsp:val=&quot;00575651&quot;/&gt;&lt;wsp:rsid wsp:val=&quot;00575868&quot;/&gt;&lt;wsp:rsid wsp:val=&quot;00575972&quot;/&gt;&lt;wsp:rsid wsp:val=&quot;00575F99&quot;/&gt;&lt;wsp:rsid wsp:val=&quot;00576218&quot;/&gt;&lt;wsp:rsid wsp:val=&quot;00576268&quot;/&gt;&lt;wsp:rsid wsp:val=&quot;00576451&quot;/&gt;&lt;wsp:rsid wsp:val=&quot;005766E8&quot;/&gt;&lt;wsp:rsid wsp:val=&quot;00576796&quot;/&gt;&lt;wsp:rsid wsp:val=&quot;0057719D&quot;/&gt;&lt;wsp:rsid wsp:val=&quot;005774D2&quot;/&gt;&lt;wsp:rsid wsp:val=&quot;00577EA7&quot;/&gt;&lt;wsp:rsid wsp:val=&quot;00577F89&quot;/&gt;&lt;wsp:rsid wsp:val=&quot;00577FD4&quot;/&gt;&lt;wsp:rsid wsp:val=&quot;00580470&quot;/&gt;&lt;wsp:rsid wsp:val=&quot;005816D8&quot;/&gt;&lt;wsp:rsid wsp:val=&quot;005817B6&quot;/&gt;&lt;wsp:rsid wsp:val=&quot;005817B8&quot;/&gt;&lt;wsp:rsid wsp:val=&quot;005818E2&quot;/&gt;&lt;wsp:rsid wsp:val=&quot;00581A75&quot;/&gt;&lt;wsp:rsid wsp:val=&quot;00581B4F&quot;/&gt;&lt;wsp:rsid wsp:val=&quot;00581DE5&quot;/&gt;&lt;wsp:rsid wsp:val=&quot;00581E6B&quot;/&gt;&lt;wsp:rsid wsp:val=&quot;005823AA&quot;/&gt;&lt;wsp:rsid wsp:val=&quot;00582A71&quot;/&gt;&lt;wsp:rsid wsp:val=&quot;00582C4F&quot;/&gt;&lt;wsp:rsid wsp:val=&quot;00583071&quot;/&gt;&lt;wsp:rsid wsp:val=&quot;00583413&quot;/&gt;&lt;wsp:rsid wsp:val=&quot;0058389D&quot;/&gt;&lt;wsp:rsid wsp:val=&quot;00583E01&quot;/&gt;&lt;wsp:rsid wsp:val=&quot;00585962&quot;/&gt;&lt;wsp:rsid wsp:val=&quot;00586086&quot;/&gt;&lt;wsp:rsid wsp:val=&quot;0058640B&quot;/&gt;&lt;wsp:rsid wsp:val=&quot;0058677E&quot;/&gt;&lt;wsp:rsid wsp:val=&quot;00586F7A&quot;/&gt;&lt;wsp:rsid wsp:val=&quot;005871B8&quot;/&gt;&lt;wsp:rsid wsp:val=&quot;00587DF9&quot;/&gt;&lt;wsp:rsid wsp:val=&quot;00587F78&quot;/&gt;&lt;wsp:rsid wsp:val=&quot;00590569&quot;/&gt;&lt;wsp:rsid wsp:val=&quot;0059124A&quot;/&gt;&lt;wsp:rsid wsp:val=&quot;00591A3B&quot;/&gt;&lt;wsp:rsid wsp:val=&quot;00592339&quot;/&gt;&lt;wsp:rsid wsp:val=&quot;005925F4&quot;/&gt;&lt;wsp:rsid wsp:val=&quot;0059300F&quot;/&gt;&lt;wsp:rsid wsp:val=&quot;005935B8&quot;/&gt;&lt;wsp:rsid wsp:val=&quot;00593CFA&quot;/&gt;&lt;wsp:rsid wsp:val=&quot;00594064&quot;/&gt;&lt;wsp:rsid wsp:val=&quot;0059440B&quot;/&gt;&lt;wsp:rsid wsp:val=&quot;00594884&quot;/&gt;&lt;wsp:rsid wsp:val=&quot;00594B7A&quot;/&gt;&lt;wsp:rsid wsp:val=&quot;00594BF4&quot;/&gt;&lt;wsp:rsid wsp:val=&quot;00594CBB&quot;/&gt;&lt;wsp:rsid wsp:val=&quot;00594EAE&quot;/&gt;&lt;wsp:rsid wsp:val=&quot;0059523E&quot;/&gt;&lt;wsp:rsid wsp:val=&quot;00595548&quot;/&gt;&lt;wsp:rsid wsp:val=&quot;0059560F&quot;/&gt;&lt;wsp:rsid wsp:val=&quot;00596318&quot;/&gt;&lt;wsp:rsid wsp:val=&quot;00596BE2&quot;/&gt;&lt;wsp:rsid wsp:val=&quot;00596D1A&quot;/&gt;&lt;wsp:rsid wsp:val=&quot;005A06DB&quot;/&gt;&lt;wsp:rsid wsp:val=&quot;005A0A75&quot;/&gt;&lt;wsp:rsid wsp:val=&quot;005A0D74&quot;/&gt;&lt;wsp:rsid wsp:val=&quot;005A14CF&quot;/&gt;&lt;wsp:rsid wsp:val=&quot;005A1548&quot;/&gt;&lt;wsp:rsid wsp:val=&quot;005A1AC0&quot;/&gt;&lt;wsp:rsid wsp:val=&quot;005A1D93&quot;/&gt;&lt;wsp:rsid wsp:val=&quot;005A2037&quot;/&gt;&lt;wsp:rsid wsp:val=&quot;005A3930&quot;/&gt;&lt;wsp:rsid wsp:val=&quot;005A3B0B&quot;/&gt;&lt;wsp:rsid wsp:val=&quot;005A3B5D&quot;/&gt;&lt;wsp:rsid wsp:val=&quot;005A40AF&quot;/&gt;&lt;wsp:rsid wsp:val=&quot;005A447C&quot;/&gt;&lt;wsp:rsid wsp:val=&quot;005A4666&quot;/&gt;&lt;wsp:rsid wsp:val=&quot;005A4C97&quot;/&gt;&lt;wsp:rsid wsp:val=&quot;005A5539&quot;/&gt;&lt;wsp:rsid wsp:val=&quot;005A556D&quot;/&gt;&lt;wsp:rsid wsp:val=&quot;005A59C2&quot;/&gt;&lt;wsp:rsid wsp:val=&quot;005A62CC&quot;/&gt;&lt;wsp:rsid wsp:val=&quot;005A66D5&quot;/&gt;&lt;wsp:rsid wsp:val=&quot;005A73E7&quot;/&gt;&lt;wsp:rsid wsp:val=&quot;005A74C1&quot;/&gt;&lt;wsp:rsid wsp:val=&quot;005A78DC&quot;/&gt;&lt;wsp:rsid wsp:val=&quot;005A798B&quot;/&gt;&lt;wsp:rsid wsp:val=&quot;005A7C61&quot;/&gt;&lt;wsp:rsid wsp:val=&quot;005B0151&quot;/&gt;&lt;wsp:rsid wsp:val=&quot;005B0161&quot;/&gt;&lt;wsp:rsid wsp:val=&quot;005B0666&quot;/&gt;&lt;wsp:rsid wsp:val=&quot;005B0A12&quot;/&gt;&lt;wsp:rsid wsp:val=&quot;005B0BCC&quot;/&gt;&lt;wsp:rsid wsp:val=&quot;005B0F41&quot;/&gt;&lt;wsp:rsid wsp:val=&quot;005B16F8&quot;/&gt;&lt;wsp:rsid wsp:val=&quot;005B183A&quot;/&gt;&lt;wsp:rsid wsp:val=&quot;005B1FC4&quot;/&gt;&lt;wsp:rsid wsp:val=&quot;005B24F7&quot;/&gt;&lt;wsp:rsid wsp:val=&quot;005B2E38&quot;/&gt;&lt;wsp:rsid wsp:val=&quot;005B2F22&quot;/&gt;&lt;wsp:rsid wsp:val=&quot;005B30B5&quot;/&gt;&lt;wsp:rsid wsp:val=&quot;005B35EC&quot;/&gt;&lt;wsp:rsid wsp:val=&quot;005B388D&quot;/&gt;&lt;wsp:rsid wsp:val=&quot;005B3F5E&quot;/&gt;&lt;wsp:rsid wsp:val=&quot;005B405E&quot;/&gt;&lt;wsp:rsid wsp:val=&quot;005B4E94&quot;/&gt;&lt;wsp:rsid wsp:val=&quot;005B502B&quot;/&gt;&lt;wsp:rsid wsp:val=&quot;005B50D3&quot;/&gt;&lt;wsp:rsid wsp:val=&quot;005B5E70&quot;/&gt;&lt;wsp:rsid wsp:val=&quot;005B5F2B&quot;/&gt;&lt;wsp:rsid wsp:val=&quot;005B60B8&quot;/&gt;&lt;wsp:rsid wsp:val=&quot;005B68AE&quot;/&gt;&lt;wsp:rsid wsp:val=&quot;005B68EA&quot;/&gt;&lt;wsp:rsid wsp:val=&quot;005B6BF2&quot;/&gt;&lt;wsp:rsid wsp:val=&quot;005B6D8C&quot;/&gt;&lt;wsp:rsid wsp:val=&quot;005B7923&quot;/&gt;&lt;wsp:rsid wsp:val=&quot;005B7F18&quot;/&gt;&lt;wsp:rsid wsp:val=&quot;005C0526&quot;/&gt;&lt;wsp:rsid wsp:val=&quot;005C053C&quot;/&gt;&lt;wsp:rsid wsp:val=&quot;005C0982&quot;/&gt;&lt;wsp:rsid wsp:val=&quot;005C09B0&quot;/&gt;&lt;wsp:rsid wsp:val=&quot;005C0AB6&quot;/&gt;&lt;wsp:rsid wsp:val=&quot;005C0E12&quot;/&gt;&lt;wsp:rsid wsp:val=&quot;005C10B7&quot;/&gt;&lt;wsp:rsid wsp:val=&quot;005C1BBF&quot;/&gt;&lt;wsp:rsid wsp:val=&quot;005C225B&quot;/&gt;&lt;wsp:rsid wsp:val=&quot;005C2A6B&quot;/&gt;&lt;wsp:rsid wsp:val=&quot;005C2C66&quot;/&gt;&lt;wsp:rsid wsp:val=&quot;005C2E45&quot;/&gt;&lt;wsp:rsid wsp:val=&quot;005C3437&quot;/&gt;&lt;wsp:rsid wsp:val=&quot;005C3869&quot;/&gt;&lt;wsp:rsid wsp:val=&quot;005C38A4&quot;/&gt;&lt;wsp:rsid wsp:val=&quot;005C3B1B&quot;/&gt;&lt;wsp:rsid wsp:val=&quot;005C462D&quot;/&gt;&lt;wsp:rsid wsp:val=&quot;005C4F55&quot;/&gt;&lt;wsp:rsid wsp:val=&quot;005C68CB&quot;/&gt;&lt;wsp:rsid wsp:val=&quot;005C6901&quot;/&gt;&lt;wsp:rsid wsp:val=&quot;005C6A0A&quot;/&gt;&lt;wsp:rsid wsp:val=&quot;005C6FC8&quot;/&gt;&lt;wsp:rsid wsp:val=&quot;005C71C8&quot;/&gt;&lt;wsp:rsid wsp:val=&quot;005C787D&quot;/&gt;&lt;wsp:rsid wsp:val=&quot;005C7C25&quot;/&gt;&lt;wsp:rsid wsp:val=&quot;005C7ED2&quot;/&gt;&lt;wsp:rsid wsp:val=&quot;005D0099&quot;/&gt;&lt;wsp:rsid wsp:val=&quot;005D038D&quot;/&gt;&lt;wsp:rsid wsp:val=&quot;005D14BF&quot;/&gt;&lt;wsp:rsid wsp:val=&quot;005D18DE&quot;/&gt;&lt;wsp:rsid wsp:val=&quot;005D1910&quot;/&gt;&lt;wsp:rsid wsp:val=&quot;005D24D5&quot;/&gt;&lt;wsp:rsid wsp:val=&quot;005D344E&quot;/&gt;&lt;wsp:rsid wsp:val=&quot;005D4699&quot;/&gt;&lt;wsp:rsid wsp:val=&quot;005D46C1&quot;/&gt;&lt;wsp:rsid wsp:val=&quot;005D4DB4&quot;/&gt;&lt;wsp:rsid wsp:val=&quot;005D5123&quot;/&gt;&lt;wsp:rsid wsp:val=&quot;005D5961&quot;/&gt;&lt;wsp:rsid wsp:val=&quot;005D5BB0&quot;/&gt;&lt;wsp:rsid wsp:val=&quot;005D5C9C&quot;/&gt;&lt;wsp:rsid wsp:val=&quot;005D5F1D&quot;/&gt;&lt;wsp:rsid wsp:val=&quot;005D6BA8&quot;/&gt;&lt;wsp:rsid wsp:val=&quot;005D710E&quot;/&gt;&lt;wsp:rsid wsp:val=&quot;005D7793&quot;/&gt;&lt;wsp:rsid wsp:val=&quot;005D7A29&quot;/&gt;&lt;wsp:rsid wsp:val=&quot;005E00EA&quot;/&gt;&lt;wsp:rsid wsp:val=&quot;005E03C5&quot;/&gt;&lt;wsp:rsid wsp:val=&quot;005E04D6&quot;/&gt;&lt;wsp:rsid wsp:val=&quot;005E062B&quot;/&gt;&lt;wsp:rsid wsp:val=&quot;005E08F1&quot;/&gt;&lt;wsp:rsid wsp:val=&quot;005E0A65&quot;/&gt;&lt;wsp:rsid wsp:val=&quot;005E1779&quot;/&gt;&lt;wsp:rsid wsp:val=&quot;005E1782&quot;/&gt;&lt;wsp:rsid wsp:val=&quot;005E1930&quot;/&gt;&lt;wsp:rsid wsp:val=&quot;005E194B&quot;/&gt;&lt;wsp:rsid wsp:val=&quot;005E1F27&quot;/&gt;&lt;wsp:rsid wsp:val=&quot;005E2307&quot;/&gt;&lt;wsp:rsid wsp:val=&quot;005E241D&quot;/&gt;&lt;wsp:rsid wsp:val=&quot;005E2846&quot;/&gt;&lt;wsp:rsid wsp:val=&quot;005E2AB3&quot;/&gt;&lt;wsp:rsid wsp:val=&quot;005E3228&quot;/&gt;&lt;wsp:rsid wsp:val=&quot;005E3AB2&quot;/&gt;&lt;wsp:rsid wsp:val=&quot;005E3DC5&quot;/&gt;&lt;wsp:rsid wsp:val=&quot;005E3F50&quot;/&gt;&lt;wsp:rsid wsp:val=&quot;005E3FBA&quot;/&gt;&lt;wsp:rsid wsp:val=&quot;005E4E35&quot;/&gt;&lt;wsp:rsid wsp:val=&quot;005E505C&quot;/&gt;&lt;wsp:rsid wsp:val=&quot;005E5167&quot;/&gt;&lt;wsp:rsid wsp:val=&quot;005E59C4&quot;/&gt;&lt;wsp:rsid wsp:val=&quot;005E734E&quot;/&gt;&lt;wsp:rsid wsp:val=&quot;005E7354&quot;/&gt;&lt;wsp:rsid wsp:val=&quot;005E76EC&quot;/&gt;&lt;wsp:rsid wsp:val=&quot;005E7DC1&quot;/&gt;&lt;wsp:rsid wsp:val=&quot;005F0A42&quot;/&gt;&lt;wsp:rsid wsp:val=&quot;005F0B58&quot;/&gt;&lt;wsp:rsid wsp:val=&quot;005F15DD&quot;/&gt;&lt;wsp:rsid wsp:val=&quot;005F18DF&quot;/&gt;&lt;wsp:rsid wsp:val=&quot;005F202C&quot;/&gt;&lt;wsp:rsid wsp:val=&quot;005F24C6&quot;/&gt;&lt;wsp:rsid wsp:val=&quot;005F2F1B&quot;/&gt;&lt;wsp:rsid wsp:val=&quot;005F3032&quot;/&gt;&lt;wsp:rsid wsp:val=&quot;005F3269&quot;/&gt;&lt;wsp:rsid wsp:val=&quot;005F3283&quot;/&gt;&lt;wsp:rsid wsp:val=&quot;005F3949&quot;/&gt;&lt;wsp:rsid wsp:val=&quot;005F496E&quot;/&gt;&lt;wsp:rsid wsp:val=&quot;005F4ABE&quot;/&gt;&lt;wsp:rsid wsp:val=&quot;005F5820&quot;/&gt;&lt;wsp:rsid wsp:val=&quot;005F65BC&quot;/&gt;&lt;wsp:rsid wsp:val=&quot;005F65D2&quot;/&gt;&lt;wsp:rsid wsp:val=&quot;005F7634&quot;/&gt;&lt;wsp:rsid wsp:val=&quot;005F77A7&quot;/&gt;&lt;wsp:rsid wsp:val=&quot;005F7D6F&quot;/&gt;&lt;wsp:rsid wsp:val=&quot;00600A64&quot;/&gt;&lt;wsp:rsid wsp:val=&quot;00600C27&quot;/&gt;&lt;wsp:rsid wsp:val=&quot;0060130D&quot;/&gt;&lt;wsp:rsid wsp:val=&quot;00601614&quot;/&gt;&lt;wsp:rsid wsp:val=&quot;00601D88&quot;/&gt;&lt;wsp:rsid wsp:val=&quot;00602218&quot;/&gt;&lt;wsp:rsid wsp:val=&quot;00602ED0&quot;/&gt;&lt;wsp:rsid wsp:val=&quot;00603052&quot;/&gt;&lt;wsp:rsid wsp:val=&quot;00603101&quot;/&gt;&lt;wsp:rsid wsp:val=&quot;006033D9&quot;/&gt;&lt;wsp:rsid wsp:val=&quot;00603637&quot;/&gt;&lt;wsp:rsid wsp:val=&quot;00603650&quot;/&gt;&lt;wsp:rsid wsp:val=&quot;00603886&quot;/&gt;&lt;wsp:rsid wsp:val=&quot;00603C5D&quot;/&gt;&lt;wsp:rsid wsp:val=&quot;00603FBB&quot;/&gt;&lt;wsp:rsid wsp:val=&quot;00604425&quot;/&gt;&lt;wsp:rsid wsp:val=&quot;00604E8A&quot;/&gt;&lt;wsp:rsid wsp:val=&quot;00605C71&quot;/&gt;&lt;wsp:rsid wsp:val=&quot;006071D1&quot;/&gt;&lt;wsp:rsid wsp:val=&quot;006073D9&quot;/&gt;&lt;wsp:rsid wsp:val=&quot;00607844&quot;/&gt;&lt;wsp:rsid wsp:val=&quot;0060796C&quot;/&gt;&lt;wsp:rsid wsp:val=&quot;00610556&quot;/&gt;&lt;wsp:rsid wsp:val=&quot;00610894&quot;/&gt;&lt;wsp:rsid wsp:val=&quot;00610F60&quot;/&gt;&lt;wsp:rsid wsp:val=&quot;00611100&quot;/&gt;&lt;wsp:rsid wsp:val=&quot;00611194&quot;/&gt;&lt;wsp:rsid wsp:val=&quot;006113DE&quot;/&gt;&lt;wsp:rsid wsp:val=&quot;006115EF&quot;/&gt;&lt;wsp:rsid wsp:val=&quot;0061163E&quot;/&gt;&lt;wsp:rsid wsp:val=&quot;0061172C&quot;/&gt;&lt;wsp:rsid wsp:val=&quot;006118E9&quot;/&gt;&lt;wsp:rsid wsp:val=&quot;00612316&quot;/&gt;&lt;wsp:rsid wsp:val=&quot;006124C1&quot;/&gt;&lt;wsp:rsid wsp:val=&quot;00612CB0&quot;/&gt;&lt;wsp:rsid wsp:val=&quot;00612EF3&quot;/&gt;&lt;wsp:rsid wsp:val=&quot;00613D92&quot;/&gt;&lt;wsp:rsid wsp:val=&quot;00615592&quot;/&gt;&lt;wsp:rsid wsp:val=&quot;006155AA&quot;/&gt;&lt;wsp:rsid wsp:val=&quot;00615DC5&quot;/&gt;&lt;wsp:rsid wsp:val=&quot;00615F90&quot;/&gt;&lt;wsp:rsid wsp:val=&quot;0061709E&quot;/&gt;&lt;wsp:rsid wsp:val=&quot;006174DC&quot;/&gt;&lt;wsp:rsid wsp:val=&quot;00617790&quot;/&gt;&lt;wsp:rsid wsp:val=&quot;0062097F&quot;/&gt;&lt;wsp:rsid wsp:val=&quot;00621165&quot;/&gt;&lt;wsp:rsid wsp:val=&quot;00621DB5&quot;/&gt;&lt;wsp:rsid wsp:val=&quot;00624500&quot;/&gt;&lt;wsp:rsid wsp:val=&quot;00624644&quot;/&gt;&lt;wsp:rsid wsp:val=&quot;00624808&quot;/&gt;&lt;wsp:rsid wsp:val=&quot;0062487B&quot;/&gt;&lt;wsp:rsid wsp:val=&quot;00624934&quot;/&gt;&lt;wsp:rsid wsp:val=&quot;00624EB0&quot;/&gt;&lt;wsp:rsid wsp:val=&quot;006250EE&quot;/&gt;&lt;wsp:rsid wsp:val=&quot;0062562C&quot;/&gt;&lt;wsp:rsid wsp:val=&quot;00625A38&quot;/&gt;&lt;wsp:rsid wsp:val=&quot;00625BFE&quot;/&gt;&lt;wsp:rsid wsp:val=&quot;00625D28&quot;/&gt;&lt;wsp:rsid wsp:val=&quot;00626211&quot;/&gt;&lt;wsp:rsid wsp:val=&quot;006269F9&quot;/&gt;&lt;wsp:rsid wsp:val=&quot;00626B45&quot;/&gt;&lt;wsp:rsid wsp:val=&quot;0062714E&quot;/&gt;&lt;wsp:rsid wsp:val=&quot;00627295&quot;/&gt;&lt;wsp:rsid wsp:val=&quot;00627DE3&quot;/&gt;&lt;wsp:rsid wsp:val=&quot;0063024B&quot;/&gt;&lt;wsp:rsid wsp:val=&quot;00630691&quot;/&gt;&lt;wsp:rsid wsp:val=&quot;00631A79&quot;/&gt;&lt;wsp:rsid wsp:val=&quot;00631D1B&quot;/&gt;&lt;wsp:rsid wsp:val=&quot;00631DA6&quot;/&gt;&lt;wsp:rsid wsp:val=&quot;00631E2A&quot;/&gt;&lt;wsp:rsid wsp:val=&quot;006320DF&quot;/&gt;&lt;wsp:rsid wsp:val=&quot;00632161&quot;/&gt;&lt;wsp:rsid wsp:val=&quot;006329BD&quot;/&gt;&lt;wsp:rsid wsp:val=&quot;00632BF7&quot;/&gt;&lt;wsp:rsid wsp:val=&quot;00634445&quot;/&gt;&lt;wsp:rsid wsp:val=&quot;00634E2A&quot;/&gt;&lt;wsp:rsid wsp:val=&quot;00634E7D&quot;/&gt;&lt;wsp:rsid wsp:val=&quot;00635927&quot;/&gt;&lt;wsp:rsid wsp:val=&quot;006365B8&quot;/&gt;&lt;wsp:rsid wsp:val=&quot;00637394&quot;/&gt;&lt;wsp:rsid wsp:val=&quot;00637814&quot;/&gt;&lt;wsp:rsid wsp:val=&quot;0064044E&quot;/&gt;&lt;wsp:rsid wsp:val=&quot;006406A3&quot;/&gt;&lt;wsp:rsid wsp:val=&quot;006406B8&quot;/&gt;&lt;wsp:rsid wsp:val=&quot;0064130E&quot;/&gt;&lt;wsp:rsid wsp:val=&quot;00641735&quot;/&gt;&lt;wsp:rsid wsp:val=&quot;00641905&quot;/&gt;&lt;wsp:rsid wsp:val=&quot;00641A19&quot;/&gt;&lt;wsp:rsid wsp:val=&quot;00641D4B&quot;/&gt;&lt;wsp:rsid wsp:val=&quot;00642177&quot;/&gt;&lt;wsp:rsid wsp:val=&quot;00642443&quot;/&gt;&lt;wsp:rsid wsp:val=&quot;00642BF8&quot;/&gt;&lt;wsp:rsid wsp:val=&quot;00642FD5&quot;/&gt;&lt;wsp:rsid wsp:val=&quot;006430AA&quot;/&gt;&lt;wsp:rsid wsp:val=&quot;0064370D&quot;/&gt;&lt;wsp:rsid wsp:val=&quot;006448A0&quot;/&gt;&lt;wsp:rsid wsp:val=&quot;00645BC7&quot;/&gt;&lt;wsp:rsid wsp:val=&quot;00645E22&quot;/&gt;&lt;wsp:rsid wsp:val=&quot;006460FA&quot;/&gt;&lt;wsp:rsid wsp:val=&quot;0064619C&quot;/&gt;&lt;wsp:rsid wsp:val=&quot;00646522&quot;/&gt;&lt;wsp:rsid wsp:val=&quot;00646AB1&quot;/&gt;&lt;wsp:rsid wsp:val=&quot;00646EE5&quot;/&gt;&lt;wsp:rsid wsp:val=&quot;006470B4&quot;/&gt;&lt;wsp:rsid wsp:val=&quot;006473E8&quot;/&gt;&lt;wsp:rsid wsp:val=&quot;006479D9&quot;/&gt;&lt;wsp:rsid wsp:val=&quot;00647E03&quot;/&gt;&lt;wsp:rsid wsp:val=&quot;0065025D&quot;/&gt;&lt;wsp:rsid wsp:val=&quot;006505D0&quot;/&gt;&lt;wsp:rsid wsp:val=&quot;006509E8&quot;/&gt;&lt;wsp:rsid wsp:val=&quot;006510CF&quot;/&gt;&lt;wsp:rsid wsp:val=&quot;006513F0&quot;/&gt;&lt;wsp:rsid wsp:val=&quot;006515B2&quot;/&gt;&lt;wsp:rsid wsp:val=&quot;0065172D&quot;/&gt;&lt;wsp:rsid wsp:val=&quot;00651751&quot;/&gt;&lt;wsp:rsid wsp:val=&quot;00651F99&quot;/&gt;&lt;wsp:rsid wsp:val=&quot;006523C3&quot;/&gt;&lt;wsp:rsid wsp:val=&quot;0065244B&quot;/&gt;&lt;wsp:rsid wsp:val=&quot;006536C5&quot;/&gt;&lt;wsp:rsid wsp:val=&quot;00653B23&quot;/&gt;&lt;wsp:rsid wsp:val=&quot;00653F22&quot;/&gt;&lt;wsp:rsid wsp:val=&quot;00654420&quot;/&gt;&lt;wsp:rsid wsp:val=&quot;00654EDC&quot;/&gt;&lt;wsp:rsid wsp:val=&quot;006550A8&quot;/&gt;&lt;wsp:rsid wsp:val=&quot;00655EB9&quot;/&gt;&lt;wsp:rsid wsp:val=&quot;00655FE2&quot;/&gt;&lt;wsp:rsid wsp:val=&quot;00656CBE&quot;/&gt;&lt;wsp:rsid wsp:val=&quot;00656E2E&quot;/&gt;&lt;wsp:rsid wsp:val=&quot;00656F10&quot;/&gt;&lt;wsp:rsid wsp:val=&quot;00657066&quot;/&gt;&lt;wsp:rsid wsp:val=&quot;00657094&quot;/&gt;&lt;wsp:rsid wsp:val=&quot;006570F7&quot;/&gt;&lt;wsp:rsid wsp:val=&quot;0065725F&quot;/&gt;&lt;wsp:rsid wsp:val=&quot;006577D2&quot;/&gt;&lt;wsp:rsid wsp:val=&quot;00657AEE&quot;/&gt;&lt;wsp:rsid wsp:val=&quot;00657CDB&quot;/&gt;&lt;wsp:rsid wsp:val=&quot;00660094&quot;/&gt;&lt;wsp:rsid wsp:val=&quot;00660DCE&quot;/&gt;&lt;wsp:rsid wsp:val=&quot;006615D0&quot;/&gt;&lt;wsp:rsid wsp:val=&quot;00661890&quot;/&gt;&lt;wsp:rsid wsp:val=&quot;00662A17&quot;/&gt;&lt;wsp:rsid wsp:val=&quot;00662D05&quot;/&gt;&lt;wsp:rsid wsp:val=&quot;00662D0A&quot;/&gt;&lt;wsp:rsid wsp:val=&quot;00662D7A&quot;/&gt;&lt;wsp:rsid wsp:val=&quot;006645B4&quot;/&gt;&lt;wsp:rsid wsp:val=&quot;0066492E&quot;/&gt;&lt;wsp:rsid wsp:val=&quot;006660AD&quot;/&gt;&lt;wsp:rsid wsp:val=&quot;0066697E&quot;/&gt;&lt;wsp:rsid wsp:val=&quot;00670026&quot;/&gt;&lt;wsp:rsid wsp:val=&quot;00670384&quot;/&gt;&lt;wsp:rsid wsp:val=&quot;006704FA&quot;/&gt;&lt;wsp:rsid wsp:val=&quot;00672BE5&quot;/&gt;&lt;wsp:rsid wsp:val=&quot;00672C94&quot;/&gt;&lt;wsp:rsid wsp:val=&quot;00672E5D&quot;/&gt;&lt;wsp:rsid wsp:val=&quot;0067363C&quot;/&gt;&lt;wsp:rsid wsp:val=&quot;006736CD&quot;/&gt;&lt;wsp:rsid wsp:val=&quot;0067372B&quot;/&gt;&lt;wsp:rsid wsp:val=&quot;0067383B&quot;/&gt;&lt;wsp:rsid wsp:val=&quot;006739E3&quot;/&gt;&lt;wsp:rsid wsp:val=&quot;00673C9F&quot;/&gt;&lt;wsp:rsid wsp:val=&quot;00674788&quot;/&gt;&lt;wsp:rsid wsp:val=&quot;006748EE&quot;/&gt;&lt;wsp:rsid wsp:val=&quot;0067492D&quot;/&gt;&lt;wsp:rsid wsp:val=&quot;00674AC1&quot;/&gt;&lt;wsp:rsid wsp:val=&quot;00674B99&quot;/&gt;&lt;wsp:rsid wsp:val=&quot;0067611F&quot;/&gt;&lt;wsp:rsid wsp:val=&quot;00676315&quot;/&gt;&lt;wsp:rsid wsp:val=&quot;0067664A&quot;/&gt;&lt;wsp:rsid wsp:val=&quot;00676E91&quot;/&gt;&lt;wsp:rsid wsp:val=&quot;00677708&quot;/&gt;&lt;wsp:rsid wsp:val=&quot;006779FD&quot;/&gt;&lt;wsp:rsid wsp:val=&quot;006804DF&quot;/&gt;&lt;wsp:rsid wsp:val=&quot;0068089A&quot;/&gt;&lt;wsp:rsid wsp:val=&quot;0068148B&quot;/&gt;&lt;wsp:rsid wsp:val=&quot;006817E6&quot;/&gt;&lt;wsp:rsid wsp:val=&quot;006819DC&quot;/&gt;&lt;wsp:rsid wsp:val=&quot;00681A31&quot;/&gt;&lt;wsp:rsid wsp:val=&quot;00681B59&quot;/&gt;&lt;wsp:rsid wsp:val=&quot;00682161&quot;/&gt;&lt;wsp:rsid wsp:val=&quot;006821DF&quot;/&gt;&lt;wsp:rsid wsp:val=&quot;006825B7&quot;/&gt;&lt;wsp:rsid wsp:val=&quot;00682B51&quot;/&gt;&lt;wsp:rsid wsp:val=&quot;00683718&quot;/&gt;&lt;wsp:rsid wsp:val=&quot;00684582&quot;/&gt;&lt;wsp:rsid wsp:val=&quot;0068495E&quot;/&gt;&lt;wsp:rsid wsp:val=&quot;00684BA4&quot;/&gt;&lt;wsp:rsid wsp:val=&quot;00686A5B&quot;/&gt;&lt;wsp:rsid wsp:val=&quot;00686B56&quot;/&gt;&lt;wsp:rsid wsp:val=&quot;00686C09&quot;/&gt;&lt;wsp:rsid wsp:val=&quot;00687115&quot;/&gt;&lt;wsp:rsid wsp:val=&quot;006902FC&quot;/&gt;&lt;wsp:rsid wsp:val=&quot;006906B5&quot;/&gt;&lt;wsp:rsid wsp:val=&quot;0069086E&quot;/&gt;&lt;wsp:rsid wsp:val=&quot;0069107C&quot;/&gt;&lt;wsp:rsid wsp:val=&quot;00691891&quot;/&gt;&lt;wsp:rsid wsp:val=&quot;006920D9&quot;/&gt;&lt;wsp:rsid wsp:val=&quot;0069245F&quot;/&gt;&lt;wsp:rsid wsp:val=&quot;0069282B&quot;/&gt;&lt;wsp:rsid wsp:val=&quot;00692DFC&quot;/&gt;&lt;wsp:rsid wsp:val=&quot;00693CAA&quot;/&gt;&lt;wsp:rsid wsp:val=&quot;00693F24&quot;/&gt;&lt;wsp:rsid wsp:val=&quot;006940EC&quot;/&gt;&lt;wsp:rsid wsp:val=&quot;006944F8&quot;/&gt;&lt;wsp:rsid wsp:val=&quot;00694571&quot;/&gt;&lt;wsp:rsid wsp:val=&quot;00694D83&quot;/&gt;&lt;wsp:rsid wsp:val=&quot;0069513E&quot;/&gt;&lt;wsp:rsid wsp:val=&quot;00695276&quot;/&gt;&lt;wsp:rsid wsp:val=&quot;00695B7E&quot;/&gt;&lt;wsp:rsid wsp:val=&quot;00695F61&quot;/&gt;&lt;wsp:rsid wsp:val=&quot;006960FA&quot;/&gt;&lt;wsp:rsid wsp:val=&quot;0069632B&quot;/&gt;&lt;wsp:rsid wsp:val=&quot;006967F2&quot;/&gt;&lt;wsp:rsid wsp:val=&quot;00696B3C&quot;/&gt;&lt;wsp:rsid wsp:val=&quot;00697C4C&quot;/&gt;&lt;wsp:rsid wsp:val=&quot;006A01E7&quot;/&gt;&lt;wsp:rsid wsp:val=&quot;006A0BD1&quot;/&gt;&lt;wsp:rsid wsp:val=&quot;006A0EBB&quot;/&gt;&lt;wsp:rsid wsp:val=&quot;006A30C8&quot;/&gt;&lt;wsp:rsid wsp:val=&quot;006A3427&quot;/&gt;&lt;wsp:rsid wsp:val=&quot;006A3DC7&quot;/&gt;&lt;wsp:rsid wsp:val=&quot;006A3FCD&quot;/&gt;&lt;wsp:rsid wsp:val=&quot;006A400B&quot;/&gt;&lt;wsp:rsid wsp:val=&quot;006A411C&quot;/&gt;&lt;wsp:rsid wsp:val=&quot;006A44DA&quot;/&gt;&lt;wsp:rsid wsp:val=&quot;006A4773&quot;/&gt;&lt;wsp:rsid wsp:val=&quot;006A4934&quot;/&gt;&lt;wsp:rsid wsp:val=&quot;006A4B21&quot;/&gt;&lt;wsp:rsid wsp:val=&quot;006A4FBD&quot;/&gt;&lt;wsp:rsid wsp:val=&quot;006A5395&quot;/&gt;&lt;wsp:rsid wsp:val=&quot;006A5624&quot;/&gt;&lt;wsp:rsid wsp:val=&quot;006A5CC9&quot;/&gt;&lt;wsp:rsid wsp:val=&quot;006A6372&quot;/&gt;&lt;wsp:rsid wsp:val=&quot;006A6EBB&quot;/&gt;&lt;wsp:rsid wsp:val=&quot;006A7DA9&quot;/&gt;&lt;wsp:rsid wsp:val=&quot;006B02AF&quot;/&gt;&lt;wsp:rsid wsp:val=&quot;006B0CA2&quot;/&gt;&lt;wsp:rsid wsp:val=&quot;006B0F37&quot;/&gt;&lt;wsp:rsid wsp:val=&quot;006B1081&quot;/&gt;&lt;wsp:rsid wsp:val=&quot;006B15B7&quot;/&gt;&lt;wsp:rsid wsp:val=&quot;006B2BDA&quot;/&gt;&lt;wsp:rsid wsp:val=&quot;006B3754&quot;/&gt;&lt;wsp:rsid wsp:val=&quot;006B3B32&quot;/&gt;&lt;wsp:rsid wsp:val=&quot;006B3EA0&quot;/&gt;&lt;wsp:rsid wsp:val=&quot;006B4ADB&quot;/&gt;&lt;wsp:rsid wsp:val=&quot;006B4B58&quot;/&gt;&lt;wsp:rsid wsp:val=&quot;006B4B7F&quot;/&gt;&lt;wsp:rsid wsp:val=&quot;006B4CD9&quot;/&gt;&lt;wsp:rsid wsp:val=&quot;006B531E&quot;/&gt;&lt;wsp:rsid wsp:val=&quot;006B570F&quot;/&gt;&lt;wsp:rsid wsp:val=&quot;006B603E&quot;/&gt;&lt;wsp:rsid wsp:val=&quot;006B6382&quot;/&gt;&lt;wsp:rsid wsp:val=&quot;006B689E&quot;/&gt;&lt;wsp:rsid wsp:val=&quot;006B7EB3&quot;/&gt;&lt;wsp:rsid wsp:val=&quot;006C00B1&quot;/&gt;&lt;wsp:rsid wsp:val=&quot;006C0539&quot;/&gt;&lt;wsp:rsid wsp:val=&quot;006C14FE&quot;/&gt;&lt;wsp:rsid wsp:val=&quot;006C15D5&quot;/&gt;&lt;wsp:rsid wsp:val=&quot;006C20D2&quot;/&gt;&lt;wsp:rsid wsp:val=&quot;006C21D0&quot;/&gt;&lt;wsp:rsid wsp:val=&quot;006C24A6&quot;/&gt;&lt;wsp:rsid wsp:val=&quot;006C2543&quot;/&gt;&lt;wsp:rsid wsp:val=&quot;006C2608&quot;/&gt;&lt;wsp:rsid wsp:val=&quot;006C2DCE&quot;/&gt;&lt;wsp:rsid wsp:val=&quot;006C3631&quot;/&gt;&lt;wsp:rsid wsp:val=&quot;006C3650&quot;/&gt;&lt;wsp:rsid wsp:val=&quot;006C378A&quot;/&gt;&lt;wsp:rsid wsp:val=&quot;006C3B1B&quot;/&gt;&lt;wsp:rsid wsp:val=&quot;006C3B1C&quot;/&gt;&lt;wsp:rsid wsp:val=&quot;006C3F7B&quot;/&gt;&lt;wsp:rsid wsp:val=&quot;006C4BDE&quot;/&gt;&lt;wsp:rsid wsp:val=&quot;006C4C32&quot;/&gt;&lt;wsp:rsid wsp:val=&quot;006C4C72&quot;/&gt;&lt;wsp:rsid wsp:val=&quot;006C536F&quot;/&gt;&lt;wsp:rsid wsp:val=&quot;006C5D9B&quot;/&gt;&lt;wsp:rsid wsp:val=&quot;006C5FDA&quot;/&gt;&lt;wsp:rsid wsp:val=&quot;006C60F5&quot;/&gt;&lt;wsp:rsid wsp:val=&quot;006C6586&quot;/&gt;&lt;wsp:rsid wsp:val=&quot;006C69F0&quot;/&gt;&lt;wsp:rsid wsp:val=&quot;006C6A68&quot;/&gt;&lt;wsp:rsid wsp:val=&quot;006C6B68&quot;/&gt;&lt;wsp:rsid wsp:val=&quot;006C6BDB&quot;/&gt;&lt;wsp:rsid wsp:val=&quot;006C75E9&quot;/&gt;&lt;wsp:rsid wsp:val=&quot;006D01E9&quot;/&gt;&lt;wsp:rsid wsp:val=&quot;006D0522&quot;/&gt;&lt;wsp:rsid wsp:val=&quot;006D11FA&quot;/&gt;&lt;wsp:rsid wsp:val=&quot;006D1707&quot;/&gt;&lt;wsp:rsid wsp:val=&quot;006D1901&quot;/&gt;&lt;wsp:rsid wsp:val=&quot;006D1A02&quot;/&gt;&lt;wsp:rsid wsp:val=&quot;006D1EE2&quot;/&gt;&lt;wsp:rsid wsp:val=&quot;006D1FCF&quot;/&gt;&lt;wsp:rsid wsp:val=&quot;006D2C03&quot;/&gt;&lt;wsp:rsid wsp:val=&quot;006D2EB4&quot;/&gt;&lt;wsp:rsid wsp:val=&quot;006D306F&quot;/&gt;&lt;wsp:rsid wsp:val=&quot;006D3645&quot;/&gt;&lt;wsp:rsid wsp:val=&quot;006D36F9&quot;/&gt;&lt;wsp:rsid wsp:val=&quot;006D3D81&quot;/&gt;&lt;wsp:rsid wsp:val=&quot;006D3F33&quot;/&gt;&lt;wsp:rsid wsp:val=&quot;006D5822&quot;/&gt;&lt;wsp:rsid wsp:val=&quot;006D619D&quot;/&gt;&lt;wsp:rsid wsp:val=&quot;006D64FD&quot;/&gt;&lt;wsp:rsid wsp:val=&quot;006D65ED&quot;/&gt;&lt;wsp:rsid wsp:val=&quot;006D6A30&quot;/&gt;&lt;wsp:rsid wsp:val=&quot;006D6A61&quot;/&gt;&lt;wsp:rsid wsp:val=&quot;006D6A73&quot;/&gt;&lt;wsp:rsid wsp:val=&quot;006D73E7&quot;/&gt;&lt;wsp:rsid wsp:val=&quot;006D7654&quot;/&gt;&lt;wsp:rsid wsp:val=&quot;006D7701&quot;/&gt;&lt;wsp:rsid wsp:val=&quot;006D7DC8&quot;/&gt;&lt;wsp:rsid wsp:val=&quot;006E0753&quot;/&gt;&lt;wsp:rsid wsp:val=&quot;006E0B65&quot;/&gt;&lt;wsp:rsid wsp:val=&quot;006E0E67&quot;/&gt;&lt;wsp:rsid wsp:val=&quot;006E1492&quot;/&gt;&lt;wsp:rsid wsp:val=&quot;006E230D&quot;/&gt;&lt;wsp:rsid wsp:val=&quot;006E2C90&quot;/&gt;&lt;wsp:rsid wsp:val=&quot;006E30F4&quot;/&gt;&lt;wsp:rsid wsp:val=&quot;006E3D0F&quot;/&gt;&lt;wsp:rsid wsp:val=&quot;006E3F75&quot;/&gt;&lt;wsp:rsid wsp:val=&quot;006E426D&quot;/&gt;&lt;wsp:rsid wsp:val=&quot;006E4432&quot;/&gt;&lt;wsp:rsid wsp:val=&quot;006E458B&quot;/&gt;&lt;wsp:rsid wsp:val=&quot;006E5EBA&quot;/&gt;&lt;wsp:rsid wsp:val=&quot;006E644C&quot;/&gt;&lt;wsp:rsid wsp:val=&quot;006E6490&quot;/&gt;&lt;wsp:rsid wsp:val=&quot;006E6741&quot;/&gt;&lt;wsp:rsid wsp:val=&quot;006E694E&quot;/&gt;&lt;wsp:rsid wsp:val=&quot;006E6A4E&quot;/&gt;&lt;wsp:rsid wsp:val=&quot;006E6DCF&quot;/&gt;&lt;wsp:rsid wsp:val=&quot;006E6F11&quot;/&gt;&lt;wsp:rsid wsp:val=&quot;006E7211&quot;/&gt;&lt;wsp:rsid wsp:val=&quot;006F08D6&quot;/&gt;&lt;wsp:rsid wsp:val=&quot;006F0F8B&quot;/&gt;&lt;wsp:rsid wsp:val=&quot;006F1010&quot;/&gt;&lt;wsp:rsid wsp:val=&quot;006F11E6&quot;/&gt;&lt;wsp:rsid wsp:val=&quot;006F1AB9&quot;/&gt;&lt;wsp:rsid wsp:val=&quot;006F1D6B&quot;/&gt;&lt;wsp:rsid wsp:val=&quot;006F1E8C&quot;/&gt;&lt;wsp:rsid wsp:val=&quot;006F2B78&quot;/&gt;&lt;wsp:rsid wsp:val=&quot;006F3877&quot;/&gt;&lt;wsp:rsid wsp:val=&quot;006F38C5&quot;/&gt;&lt;wsp:rsid wsp:val=&quot;006F3B68&quot;/&gt;&lt;wsp:rsid wsp:val=&quot;006F3E3C&quot;/&gt;&lt;wsp:rsid wsp:val=&quot;006F4065&quot;/&gt;&lt;wsp:rsid wsp:val=&quot;006F4066&quot;/&gt;&lt;wsp:rsid wsp:val=&quot;006F4227&quot;/&gt;&lt;wsp:rsid wsp:val=&quot;006F43FF&quot;/&gt;&lt;wsp:rsid wsp:val=&quot;006F4493&quot;/&gt;&lt;wsp:rsid wsp:val=&quot;006F4674&quot;/&gt;&lt;wsp:rsid wsp:val=&quot;006F4832&quot;/&gt;&lt;wsp:rsid wsp:val=&quot;006F4DFB&quot;/&gt;&lt;wsp:rsid wsp:val=&quot;006F51BD&quot;/&gt;&lt;wsp:rsid wsp:val=&quot;006F56B3&quot;/&gt;&lt;wsp:rsid wsp:val=&quot;006F5D1F&quot;/&gt;&lt;wsp:rsid wsp:val=&quot;006F68A2&quot;/&gt;&lt;wsp:rsid wsp:val=&quot;006F6D48&quot;/&gt;&lt;wsp:rsid wsp:val=&quot;006F6DE0&quot;/&gt;&lt;wsp:rsid wsp:val=&quot;00700170&quot;/&gt;&lt;wsp:rsid wsp:val=&quot;00700335&quot;/&gt;&lt;wsp:rsid wsp:val=&quot;0070061E&quot;/&gt;&lt;wsp:rsid wsp:val=&quot;00700626&quot;/&gt;&lt;wsp:rsid wsp:val=&quot;00700A96&quot;/&gt;&lt;wsp:rsid wsp:val=&quot;00700CD7&quot;/&gt;&lt;wsp:rsid wsp:val=&quot;00702E49&quot;/&gt;&lt;wsp:rsid wsp:val=&quot;00703329&quot;/&gt;&lt;wsp:rsid wsp:val=&quot;00703565&quot;/&gt;&lt;wsp:rsid wsp:val=&quot;007039E8&quot;/&gt;&lt;wsp:rsid wsp:val=&quot;007040D8&quot;/&gt;&lt;wsp:rsid wsp:val=&quot;0070560C&quot;/&gt;&lt;wsp:rsid wsp:val=&quot;00705CC4&quot;/&gt;&lt;wsp:rsid wsp:val=&quot;00705F12&quot;/&gt;&lt;wsp:rsid wsp:val=&quot;00705FA2&quot;/&gt;&lt;wsp:rsid wsp:val=&quot;0070626C&quot;/&gt;&lt;wsp:rsid wsp:val=&quot;007065BA&quot;/&gt;&lt;wsp:rsid wsp:val=&quot;00706857&quot;/&gt;&lt;wsp:rsid wsp:val=&quot;00706B68&quot;/&gt;&lt;wsp:rsid wsp:val=&quot;00706BBA&quot;/&gt;&lt;wsp:rsid wsp:val=&quot;007075B5&quot;/&gt;&lt;wsp:rsid wsp:val=&quot;00707989&quot;/&gt;&lt;wsp:rsid wsp:val=&quot;00710277&quot;/&gt;&lt;wsp:rsid wsp:val=&quot;00710633&quot;/&gt;&lt;wsp:rsid wsp:val=&quot;00710E8C&quot;/&gt;&lt;wsp:rsid wsp:val=&quot;00710F1E&quot;/&gt;&lt;wsp:rsid wsp:val=&quot;00711B4E&quot;/&gt;&lt;wsp:rsid wsp:val=&quot;0071388B&quot;/&gt;&lt;wsp:rsid wsp:val=&quot;00713930&quot;/&gt;&lt;wsp:rsid wsp:val=&quot;007140C0&quot;/&gt;&lt;wsp:rsid wsp:val=&quot;00714710&quot;/&gt;&lt;wsp:rsid wsp:val=&quot;007147CB&quot;/&gt;&lt;wsp:rsid wsp:val=&quot;00714CA2&quot;/&gt;&lt;wsp:rsid wsp:val=&quot;00715174&quot;/&gt;&lt;wsp:rsid wsp:val=&quot;00715267&quot;/&gt;&lt;wsp:rsid wsp:val=&quot;00715720&quot;/&gt;&lt;wsp:rsid wsp:val=&quot;00715A65&quot;/&gt;&lt;wsp:rsid wsp:val=&quot;00715DC5&quot;/&gt;&lt;wsp:rsid wsp:val=&quot;00716492&quot;/&gt;&lt;wsp:rsid wsp:val=&quot;00716583&quot;/&gt;&lt;wsp:rsid wsp:val=&quot;0071683B&quot;/&gt;&lt;wsp:rsid wsp:val=&quot;00716EC1&quot;/&gt;&lt;wsp:rsid wsp:val=&quot;00717936&quot;/&gt;&lt;wsp:rsid wsp:val=&quot;00717F9A&quot;/&gt;&lt;wsp:rsid wsp:val=&quot;007200F1&quot;/&gt;&lt;wsp:rsid wsp:val=&quot;00720217&quot;/&gt;&lt;wsp:rsid wsp:val=&quot;00720386&quot;/&gt;&lt;wsp:rsid wsp:val=&quot;007206FD&quot;/&gt;&lt;wsp:rsid wsp:val=&quot;007209C1&quot;/&gt;&lt;wsp:rsid wsp:val=&quot;00720C9F&quot;/&gt;&lt;wsp:rsid wsp:val=&quot;00720D41&quot;/&gt;&lt;wsp:rsid wsp:val=&quot;0072101D&quot;/&gt;&lt;wsp:rsid wsp:val=&quot;007211CB&quot;/&gt;&lt;wsp:rsid wsp:val=&quot;00721499&quot;/&gt;&lt;wsp:rsid wsp:val=&quot;00721797&quot;/&gt;&lt;wsp:rsid wsp:val=&quot;007218AE&quot;/&gt;&lt;wsp:rsid wsp:val=&quot;007222A1&quot;/&gt;&lt;wsp:rsid wsp:val=&quot;0072350B&quot;/&gt;&lt;wsp:rsid wsp:val=&quot;00723ABC&quot;/&gt;&lt;wsp:rsid wsp:val=&quot;00723B64&quot;/&gt;&lt;wsp:rsid wsp:val=&quot;00724F55&quot;/&gt;&lt;wsp:rsid wsp:val=&quot;00724FB9&quot;/&gt;&lt;wsp:rsid wsp:val=&quot;00726304&quot;/&gt;&lt;wsp:rsid wsp:val=&quot;0072633F&quot;/&gt;&lt;wsp:rsid wsp:val=&quot;00726EDE&quot;/&gt;&lt;wsp:rsid wsp:val=&quot;00727422&quot;/&gt;&lt;wsp:rsid wsp:val=&quot;00727E66&quot;/&gt;&lt;wsp:rsid wsp:val=&quot;00730572&quot;/&gt;&lt;wsp:rsid wsp:val=&quot;00730768&quot;/&gt;&lt;wsp:rsid wsp:val=&quot;00730974&quot;/&gt;&lt;wsp:rsid wsp:val=&quot;00730F4A&quot;/&gt;&lt;wsp:rsid wsp:val=&quot;007322D7&quot;/&gt;&lt;wsp:rsid wsp:val=&quot;0073238C&quot;/&gt;&lt;wsp:rsid wsp:val=&quot;007328B9&quot;/&gt;&lt;wsp:rsid wsp:val=&quot;00733112&quot;/&gt;&lt;wsp:rsid wsp:val=&quot;00733117&quot;/&gt;&lt;wsp:rsid wsp:val=&quot;0073349A&quot;/&gt;&lt;wsp:rsid wsp:val=&quot;00733D5D&quot;/&gt;&lt;wsp:rsid wsp:val=&quot;0073407E&quot;/&gt;&lt;wsp:rsid wsp:val=&quot;0073416A&quot;/&gt;&lt;wsp:rsid wsp:val=&quot;0073485F&quot;/&gt;&lt;wsp:rsid wsp:val=&quot;00734929&quot;/&gt;&lt;wsp:rsid wsp:val=&quot;007352F1&quot;/&gt;&lt;wsp:rsid wsp:val=&quot;00736558&quot;/&gt;&lt;wsp:rsid wsp:val=&quot;00736875&quot;/&gt;&lt;wsp:rsid wsp:val=&quot;00737146&quot;/&gt;&lt;wsp:rsid wsp:val=&quot;007371D0&quot;/&gt;&lt;wsp:rsid wsp:val=&quot;00737223&quot;/&gt;&lt;wsp:rsid wsp:val=&quot;0073724A&quot;/&gt;&lt;wsp:rsid wsp:val=&quot;00737424&quot;/&gt;&lt;wsp:rsid wsp:val=&quot;007402CA&quot;/&gt;&lt;wsp:rsid wsp:val=&quot;00740530&quot;/&gt;&lt;wsp:rsid wsp:val=&quot;007405D4&quot;/&gt;&lt;wsp:rsid wsp:val=&quot;00740699&quot;/&gt;&lt;wsp:rsid wsp:val=&quot;00740786&quot;/&gt;&lt;wsp:rsid wsp:val=&quot;007409C8&quot;/&gt;&lt;wsp:rsid wsp:val=&quot;00741206&quot;/&gt;&lt;wsp:rsid wsp:val=&quot;00741281&quot;/&gt;&lt;wsp:rsid wsp:val=&quot;007420EA&quot;/&gt;&lt;wsp:rsid wsp:val=&quot;007427FD&quot;/&gt;&lt;wsp:rsid wsp:val=&quot;00742B7E&quot;/&gt;&lt;wsp:rsid wsp:val=&quot;00742CBC&quot;/&gt;&lt;wsp:rsid wsp:val=&quot;00742D39&quot;/&gt;&lt;wsp:rsid wsp:val=&quot;0074331D&quot;/&gt;&lt;wsp:rsid wsp:val=&quot;0074348C&quot;/&gt;&lt;wsp:rsid wsp:val=&quot;0074363D&quot;/&gt;&lt;wsp:rsid wsp:val=&quot;00743987&quot;/&gt;&lt;wsp:rsid wsp:val=&quot;007439DC&quot;/&gt;&lt;wsp:rsid wsp:val=&quot;00743D4F&quot;/&gt;&lt;wsp:rsid wsp:val=&quot;00743EB2&quot;/&gt;&lt;wsp:rsid wsp:val=&quot;0074462E&quot;/&gt;&lt;wsp:rsid wsp:val=&quot;0074558B&quot;/&gt;&lt;wsp:rsid wsp:val=&quot;00745775&quot;/&gt;&lt;wsp:rsid wsp:val=&quot;00745AA5&quot;/&gt;&lt;wsp:rsid wsp:val=&quot;00745CCA&quot;/&gt;&lt;wsp:rsid wsp:val=&quot;00745D2A&quot;/&gt;&lt;wsp:rsid wsp:val=&quot;00746362&quot;/&gt;&lt;wsp:rsid wsp:val=&quot;007464C4&quot;/&gt;&lt;wsp:rsid wsp:val=&quot;00746C01&quot;/&gt;&lt;wsp:rsid wsp:val=&quot;00746D6D&quot;/&gt;&lt;wsp:rsid wsp:val=&quot;00747251&quot;/&gt;&lt;wsp:rsid wsp:val=&quot;007475BF&quot;/&gt;&lt;wsp:rsid wsp:val=&quot;007477F7&quot;/&gt;&lt;wsp:rsid wsp:val=&quot;0075007B&quot;/&gt;&lt;wsp:rsid wsp:val=&quot;00750248&quot;/&gt;&lt;wsp:rsid wsp:val=&quot;0075062D&quot;/&gt;&lt;wsp:rsid wsp:val=&quot;00750959&quot;/&gt;&lt;wsp:rsid wsp:val=&quot;00750A43&quot;/&gt;&lt;wsp:rsid wsp:val=&quot;00750CB2&quot;/&gt;&lt;wsp:rsid wsp:val=&quot;00751FE8&quot;/&gt;&lt;wsp:rsid wsp:val=&quot;00752625&quot;/&gt;&lt;wsp:rsid wsp:val=&quot;0075268C&quot;/&gt;&lt;wsp:rsid wsp:val=&quot;00752910&quot;/&gt;&lt;wsp:rsid wsp:val=&quot;00752DE4&quot;/&gt;&lt;wsp:rsid wsp:val=&quot;0075306C&quot;/&gt;&lt;wsp:rsid wsp:val=&quot;007532D2&quot;/&gt;&lt;wsp:rsid wsp:val=&quot;00753402&quot;/&gt;&lt;wsp:rsid wsp:val=&quot;00753614&quot;/&gt;&lt;wsp:rsid wsp:val=&quot;00753655&quot;/&gt;&lt;wsp:rsid wsp:val=&quot;0075388F&quot;/&gt;&lt;wsp:rsid wsp:val=&quot;00753CEE&quot;/&gt;&lt;wsp:rsid wsp:val=&quot;00753EA4&quot;/&gt;&lt;wsp:rsid wsp:val=&quot;007545E6&quot;/&gt;&lt;wsp:rsid wsp:val=&quot;0075468F&quot;/&gt;&lt;wsp:rsid wsp:val=&quot;00754729&quot;/&gt;&lt;wsp:rsid wsp:val=&quot;00754C1C&quot;/&gt;&lt;wsp:rsid wsp:val=&quot;0075504B&quot;/&gt;&lt;wsp:rsid wsp:val=&quot;0075551B&quot;/&gt;&lt;wsp:rsid wsp:val=&quot;0075580D&quot;/&gt;&lt;wsp:rsid wsp:val=&quot;00756C14&quot;/&gt;&lt;wsp:rsid wsp:val=&quot;00756F68&quot;/&gt;&lt;wsp:rsid wsp:val=&quot;00757199&quot;/&gt;&lt;wsp:rsid wsp:val=&quot;00757547&quot;/&gt;&lt;wsp:rsid wsp:val=&quot;0075778C&quot;/&gt;&lt;wsp:rsid wsp:val=&quot;007578F9&quot;/&gt;&lt;wsp:rsid wsp:val=&quot;0076018F&quot;/&gt;&lt;wsp:rsid wsp:val=&quot;00760351&quot;/&gt;&lt;wsp:rsid wsp:val=&quot;007604A5&quot;/&gt;&lt;wsp:rsid wsp:val=&quot;0076063B&quot;/&gt;&lt;wsp:rsid wsp:val=&quot;007606FA&quot;/&gt;&lt;wsp:rsid wsp:val=&quot;0076098B&quot;/&gt;&lt;wsp:rsid wsp:val=&quot;00760BCB&quot;/&gt;&lt;wsp:rsid wsp:val=&quot;007611D4&quot;/&gt;&lt;wsp:rsid wsp:val=&quot;00761534&quot;/&gt;&lt;wsp:rsid wsp:val=&quot;00761572&quot;/&gt;&lt;wsp:rsid wsp:val=&quot;00761C2D&quot;/&gt;&lt;wsp:rsid wsp:val=&quot;007627FD&quot;/&gt;&lt;wsp:rsid wsp:val=&quot;00762AB0&quot;/&gt;&lt;wsp:rsid wsp:val=&quot;00762D84&quot;/&gt;&lt;wsp:rsid wsp:val=&quot;00762D9D&quot;/&gt;&lt;wsp:rsid wsp:val=&quot;00762E4B&quot;/&gt;&lt;wsp:rsid wsp:val=&quot;00762E8E&quot;/&gt;&lt;wsp:rsid wsp:val=&quot;007631EC&quot;/&gt;&lt;wsp:rsid wsp:val=&quot;0076353D&quot;/&gt;&lt;wsp:rsid wsp:val=&quot;00764536&quot;/&gt;&lt;wsp:rsid wsp:val=&quot;00764751&quot;/&gt;&lt;wsp:rsid wsp:val=&quot;00764BCB&quot;/&gt;&lt;wsp:rsid wsp:val=&quot;00764D18&quot;/&gt;&lt;wsp:rsid wsp:val=&quot;00764DC2&quot;/&gt;&lt;wsp:rsid wsp:val=&quot;00764EF2&quot;/&gt;&lt;wsp:rsid wsp:val=&quot;0076519B&quot;/&gt;&lt;wsp:rsid wsp:val=&quot;007657E2&quot;/&gt;&lt;wsp:rsid wsp:val=&quot;00765A5F&quot;/&gt;&lt;wsp:rsid wsp:val=&quot;0076653B&quot;/&gt;&lt;wsp:rsid wsp:val=&quot;00767D54&quot;/&gt;&lt;wsp:rsid wsp:val=&quot;00770061&quot;/&gt;&lt;wsp:rsid wsp:val=&quot;00770980&quot;/&gt;&lt;wsp:rsid wsp:val=&quot;00770A68&quot;/&gt;&lt;wsp:rsid wsp:val=&quot;00770CDD&quot;/&gt;&lt;wsp:rsid wsp:val=&quot;00771027&quot;/&gt;&lt;wsp:rsid wsp:val=&quot;00771143&quot;/&gt;&lt;wsp:rsid wsp:val=&quot;007711B8&quot;/&gt;&lt;wsp:rsid wsp:val=&quot;00771650&quot;/&gt;&lt;wsp:rsid wsp:val=&quot;00772309&quot;/&gt;&lt;wsp:rsid wsp:val=&quot;007724D1&quot;/&gt;&lt;wsp:rsid wsp:val=&quot;007732EA&quot;/&gt;&lt;wsp:rsid wsp:val=&quot;00773507&quot;/&gt;&lt;wsp:rsid wsp:val=&quot;00773A8D&quot;/&gt;&lt;wsp:rsid wsp:val=&quot;00773DB2&quot;/&gt;&lt;wsp:rsid wsp:val=&quot;00773E3B&quot;/&gt;&lt;wsp:rsid wsp:val=&quot;00774369&quot;/&gt;&lt;wsp:rsid wsp:val=&quot;007747DF&quot;/&gt;&lt;wsp:rsid wsp:val=&quot;0077544F&quot;/&gt;&lt;wsp:rsid wsp:val=&quot;007762EA&quot;/&gt;&lt;wsp:rsid wsp:val=&quot;00776503&quot;/&gt;&lt;wsp:rsid wsp:val=&quot;00776A5F&quot;/&gt;&lt;wsp:rsid wsp:val=&quot;00776AF4&quot;/&gt;&lt;wsp:rsid wsp:val=&quot;00776D36&quot;/&gt;&lt;wsp:rsid wsp:val=&quot;00776DC4&quot;/&gt;&lt;wsp:rsid wsp:val=&quot;00776E16&quot;/&gt;&lt;wsp:rsid wsp:val=&quot;00777113&quot;/&gt;&lt;wsp:rsid wsp:val=&quot;0077735E&quot;/&gt;&lt;wsp:rsid wsp:val=&quot;0077742E&quot;/&gt;&lt;wsp:rsid wsp:val=&quot;00777976&quot;/&gt;&lt;wsp:rsid wsp:val=&quot;00777AB3&quot;/&gt;&lt;wsp:rsid wsp:val=&quot;00780BA9&quot;/&gt;&lt;wsp:rsid wsp:val=&quot;00780DE7&quot;/&gt;&lt;wsp:rsid wsp:val=&quot;00781370&quot;/&gt;&lt;wsp:rsid wsp:val=&quot;00781ACF&quot;/&gt;&lt;wsp:rsid wsp:val=&quot;00781B93&quot;/&gt;&lt;wsp:rsid wsp:val=&quot;00782022&quot;/&gt;&lt;wsp:rsid wsp:val=&quot;00782939&quot;/&gt;&lt;wsp:rsid wsp:val=&quot;00782D9F&quot;/&gt;&lt;wsp:rsid wsp:val=&quot;00782DCE&quot;/&gt;&lt;wsp:rsid wsp:val=&quot;00782ECE&quot;/&gt;&lt;wsp:rsid wsp:val=&quot;00783BBE&quot;/&gt;&lt;wsp:rsid wsp:val=&quot;00783FEC&quot;/&gt;&lt;wsp:rsid wsp:val=&quot;007850A0&quot;/&gt;&lt;wsp:rsid wsp:val=&quot;00785739&quot;/&gt;&lt;wsp:rsid wsp:val=&quot;00785C34&quot;/&gt;&lt;wsp:rsid wsp:val=&quot;00785CCD&quot;/&gt;&lt;wsp:rsid wsp:val=&quot;00785DC6&quot;/&gt;&lt;wsp:rsid wsp:val=&quot;00785F23&quot;/&gt;&lt;wsp:rsid wsp:val=&quot;007864D2&quot;/&gt;&lt;wsp:rsid wsp:val=&quot;00786CE7&quot;/&gt;&lt;wsp:rsid wsp:val=&quot;00786DA6&quot;/&gt;&lt;wsp:rsid wsp:val=&quot;00786EDB&quot;/&gt;&lt;wsp:rsid wsp:val=&quot;007875D7&quot;/&gt;&lt;wsp:rsid wsp:val=&quot;0079015B&quot;/&gt;&lt;wsp:rsid wsp:val=&quot;00790556&quot;/&gt;&lt;wsp:rsid wsp:val=&quot;00790768&quot;/&gt;&lt;wsp:rsid wsp:val=&quot;00790D81&quot;/&gt;&lt;wsp:rsid wsp:val=&quot;0079107E&quot;/&gt;&lt;wsp:rsid wsp:val=&quot;007913D2&quot;/&gt;&lt;wsp:rsid wsp:val=&quot;007914FE&quot;/&gt;&lt;wsp:rsid wsp:val=&quot;00791FE1&quot;/&gt;&lt;wsp:rsid wsp:val=&quot;0079216B&quot;/&gt;&lt;wsp:rsid wsp:val=&quot;0079216D&quot;/&gt;&lt;wsp:rsid wsp:val=&quot;00792A32&quot;/&gt;&lt;wsp:rsid wsp:val=&quot;00792D20&quot;/&gt;&lt;wsp:rsid wsp:val=&quot;00793617&quot;/&gt;&lt;wsp:rsid wsp:val=&quot;00793880&quot;/&gt;&lt;wsp:rsid wsp:val=&quot;00794699&quot;/&gt;&lt;wsp:rsid wsp:val=&quot;00794D71&quot;/&gt;&lt;wsp:rsid wsp:val=&quot;00794DE3&quot;/&gt;&lt;wsp:rsid wsp:val=&quot;00795052&quot;/&gt;&lt;wsp:rsid wsp:val=&quot;00795238&quot;/&gt;&lt;wsp:rsid wsp:val=&quot;007958EE&quot;/&gt;&lt;wsp:rsid wsp:val=&quot;007959F3&quot;/&gt;&lt;wsp:rsid wsp:val=&quot;00795A34&quot;/&gt;&lt;wsp:rsid wsp:val=&quot;00795AD0&quot;/&gt;&lt;wsp:rsid wsp:val=&quot;00795E11&quot;/&gt;&lt;wsp:rsid wsp:val=&quot;00796D53&quot;/&gt;&lt;wsp:rsid wsp:val=&quot;007977ED&quot;/&gt;&lt;wsp:rsid wsp:val=&quot;007A14BD&quot;/&gt;&lt;wsp:rsid wsp:val=&quot;007A1716&quot;/&gt;&lt;wsp:rsid wsp:val=&quot;007A1C8B&quot;/&gt;&lt;wsp:rsid wsp:val=&quot;007A1D6C&quot;/&gt;&lt;wsp:rsid wsp:val=&quot;007A2A17&quot;/&gt;&lt;wsp:rsid wsp:val=&quot;007A2FAF&quot;/&gt;&lt;wsp:rsid wsp:val=&quot;007A38CA&quot;/&gt;&lt;wsp:rsid wsp:val=&quot;007A3D3A&quot;/&gt;&lt;wsp:rsid wsp:val=&quot;007A4742&quot;/&gt;&lt;wsp:rsid wsp:val=&quot;007A5596&quot;/&gt;&lt;wsp:rsid wsp:val=&quot;007A5677&quot;/&gt;&lt;wsp:rsid wsp:val=&quot;007A60E5&quot;/&gt;&lt;wsp:rsid wsp:val=&quot;007A614E&quot;/&gt;&lt;wsp:rsid wsp:val=&quot;007A6482&quot;/&gt;&lt;wsp:rsid wsp:val=&quot;007A6C9F&quot;/&gt;&lt;wsp:rsid wsp:val=&quot;007A70A7&quot;/&gt;&lt;wsp:rsid wsp:val=&quot;007A73B1&quot;/&gt;&lt;wsp:rsid wsp:val=&quot;007A7877&quot;/&gt;&lt;wsp:rsid wsp:val=&quot;007A7DAA&quot;/&gt;&lt;wsp:rsid wsp:val=&quot;007B04C9&quot;/&gt;&lt;wsp:rsid wsp:val=&quot;007B10F2&quot;/&gt;&lt;wsp:rsid wsp:val=&quot;007B1277&quot;/&gt;&lt;wsp:rsid wsp:val=&quot;007B18CE&quot;/&gt;&lt;wsp:rsid wsp:val=&quot;007B1D9C&quot;/&gt;&lt;wsp:rsid wsp:val=&quot;007B2314&quot;/&gt;&lt;wsp:rsid wsp:val=&quot;007B31FB&quot;/&gt;&lt;wsp:rsid wsp:val=&quot;007B3459&quot;/&gt;&lt;wsp:rsid wsp:val=&quot;007B348D&quot;/&gt;&lt;wsp:rsid wsp:val=&quot;007B3D68&quot;/&gt;&lt;wsp:rsid wsp:val=&quot;007B3FA8&quot;/&gt;&lt;wsp:rsid wsp:val=&quot;007B4E3B&quot;/&gt;&lt;wsp:rsid wsp:val=&quot;007B4ED2&quot;/&gt;&lt;wsp:rsid wsp:val=&quot;007B508B&quot;/&gt;&lt;wsp:rsid wsp:val=&quot;007B56B9&quot;/&gt;&lt;wsp:rsid wsp:val=&quot;007B5E99&quot;/&gt;&lt;wsp:rsid wsp:val=&quot;007B64C2&quot;/&gt;&lt;wsp:rsid wsp:val=&quot;007B65F1&quot;/&gt;&lt;wsp:rsid wsp:val=&quot;007B726A&quot;/&gt;&lt;wsp:rsid wsp:val=&quot;007B7712&quot;/&gt;&lt;wsp:rsid wsp:val=&quot;007B7ADD&quot;/&gt;&lt;wsp:rsid wsp:val=&quot;007B7E8B&quot;/&gt;&lt;wsp:rsid wsp:val=&quot;007C03C7&quot;/&gt;&lt;wsp:rsid wsp:val=&quot;007C1BD6&quot;/&gt;&lt;wsp:rsid wsp:val=&quot;007C1BD9&quot;/&gt;&lt;wsp:rsid wsp:val=&quot;007C1EC9&quot;/&gt;&lt;wsp:rsid wsp:val=&quot;007C2226&quot;/&gt;&lt;wsp:rsid wsp:val=&quot;007C2374&quot;/&gt;&lt;wsp:rsid wsp:val=&quot;007C2F48&quot;/&gt;&lt;wsp:rsid wsp:val=&quot;007C3403&quot;/&gt;&lt;wsp:rsid wsp:val=&quot;007C36C6&quot;/&gt;&lt;wsp:rsid wsp:val=&quot;007C3BA4&quot;/&gt;&lt;wsp:rsid wsp:val=&quot;007C3E91&quot;/&gt;&lt;wsp:rsid wsp:val=&quot;007C5333&quot;/&gt;&lt;wsp:rsid wsp:val=&quot;007C53C3&quot;/&gt;&lt;wsp:rsid wsp:val=&quot;007C573F&quot;/&gt;&lt;wsp:rsid wsp:val=&quot;007C5BB3&quot;/&gt;&lt;wsp:rsid wsp:val=&quot;007C5D02&quot;/&gt;&lt;wsp:rsid wsp:val=&quot;007C5F06&quot;/&gt;&lt;wsp:rsid wsp:val=&quot;007C6CD3&quot;/&gt;&lt;wsp:rsid wsp:val=&quot;007C74B5&quot;/&gt;&lt;wsp:rsid wsp:val=&quot;007C75D9&quot;/&gt;&lt;wsp:rsid wsp:val=&quot;007C781A&quot;/&gt;&lt;wsp:rsid wsp:val=&quot;007D03C7&quot;/&gt;&lt;wsp:rsid wsp:val=&quot;007D0568&quot;/&gt;&lt;wsp:rsid wsp:val=&quot;007D07D5&quot;/&gt;&lt;wsp:rsid wsp:val=&quot;007D0895&quot;/&gt;&lt;wsp:rsid wsp:val=&quot;007D1075&quot;/&gt;&lt;wsp:rsid wsp:val=&quot;007D1990&quot;/&gt;&lt;wsp:rsid wsp:val=&quot;007D1CFD&quot;/&gt;&lt;wsp:rsid wsp:val=&quot;007D1F75&quot;/&gt;&lt;wsp:rsid wsp:val=&quot;007D2CAB&quot;/&gt;&lt;wsp:rsid wsp:val=&quot;007D38BA&quot;/&gt;&lt;wsp:rsid wsp:val=&quot;007D3CC2&quot;/&gt;&lt;wsp:rsid wsp:val=&quot;007D4FF9&quot;/&gt;&lt;wsp:rsid wsp:val=&quot;007D512B&quot;/&gt;&lt;wsp:rsid wsp:val=&quot;007D51B6&quot;/&gt;&lt;wsp:rsid wsp:val=&quot;007D52D0&quot;/&gt;&lt;wsp:rsid wsp:val=&quot;007D53B3&quot;/&gt;&lt;wsp:rsid wsp:val=&quot;007D550E&quot;/&gt;&lt;wsp:rsid wsp:val=&quot;007D653B&quot;/&gt;&lt;wsp:rsid wsp:val=&quot;007D731F&quot;/&gt;&lt;wsp:rsid wsp:val=&quot;007D7DF0&quot;/&gt;&lt;wsp:rsid wsp:val=&quot;007E00E3&quot;/&gt;&lt;wsp:rsid wsp:val=&quot;007E048A&quot;/&gt;&lt;wsp:rsid wsp:val=&quot;007E0621&quot;/&gt;&lt;wsp:rsid wsp:val=&quot;007E06BF&quot;/&gt;&lt;wsp:rsid wsp:val=&quot;007E09E5&quot;/&gt;&lt;wsp:rsid wsp:val=&quot;007E0A06&quot;/&gt;&lt;wsp:rsid wsp:val=&quot;007E113B&quot;/&gt;&lt;wsp:rsid wsp:val=&quot;007E116E&quot;/&gt;&lt;wsp:rsid wsp:val=&quot;007E1A18&quot;/&gt;&lt;wsp:rsid wsp:val=&quot;007E1B4D&quot;/&gt;&lt;wsp:rsid wsp:val=&quot;007E1DED&quot;/&gt;&lt;wsp:rsid wsp:val=&quot;007E1F59&quot;/&gt;&lt;wsp:rsid wsp:val=&quot;007E220C&quot;/&gt;&lt;wsp:rsid wsp:val=&quot;007E22C5&quot;/&gt;&lt;wsp:rsid wsp:val=&quot;007E2984&quot;/&gt;&lt;wsp:rsid wsp:val=&quot;007E2BEC&quot;/&gt;&lt;wsp:rsid wsp:val=&quot;007E2CC1&quot;/&gt;&lt;wsp:rsid wsp:val=&quot;007E444F&quot;/&gt;&lt;wsp:rsid wsp:val=&quot;007E6187&quot;/&gt;&lt;wsp:rsid wsp:val=&quot;007E6B0D&quot;/&gt;&lt;wsp:rsid wsp:val=&quot;007E6EBB&quot;/&gt;&lt;wsp:rsid wsp:val=&quot;007E79FE&quot;/&gt;&lt;wsp:rsid wsp:val=&quot;007E7D24&quot;/&gt;&lt;wsp:rsid wsp:val=&quot;007F07A1&quot;/&gt;&lt;wsp:rsid wsp:val=&quot;007F08B7&quot;/&gt;&lt;wsp:rsid wsp:val=&quot;007F0918&quot;/&gt;&lt;wsp:rsid wsp:val=&quot;007F09BD&quot;/&gt;&lt;wsp:rsid wsp:val=&quot;007F1418&quot;/&gt;&lt;wsp:rsid wsp:val=&quot;007F2F14&quot;/&gt;&lt;wsp:rsid wsp:val=&quot;007F3041&quot;/&gt;&lt;wsp:rsid wsp:val=&quot;007F3062&quot;/&gt;&lt;wsp:rsid wsp:val=&quot;007F319D&quot;/&gt;&lt;wsp:rsid wsp:val=&quot;007F3826&quot;/&gt;&lt;wsp:rsid wsp:val=&quot;007F3979&quot;/&gt;&lt;wsp:rsid wsp:val=&quot;007F3C99&quot;/&gt;&lt;wsp:rsid wsp:val=&quot;007F3CCB&quot;/&gt;&lt;wsp:rsid wsp:val=&quot;007F3E7C&quot;/&gt;&lt;wsp:rsid wsp:val=&quot;007F4025&quot;/&gt;&lt;wsp:rsid wsp:val=&quot;007F408C&quot;/&gt;&lt;wsp:rsid wsp:val=&quot;007F483F&quot;/&gt;&lt;wsp:rsid wsp:val=&quot;007F4A71&quot;/&gt;&lt;wsp:rsid wsp:val=&quot;007F4AC4&quot;/&gt;&lt;wsp:rsid wsp:val=&quot;007F509B&quot;/&gt;&lt;wsp:rsid wsp:val=&quot;007F5130&quot;/&gt;&lt;wsp:rsid wsp:val=&quot;007F541C&quot;/&gt;&lt;wsp:rsid wsp:val=&quot;007F5445&quot;/&gt;&lt;wsp:rsid wsp:val=&quot;007F5718&quot;/&gt;&lt;wsp:rsid wsp:val=&quot;007F58B6&quot;/&gt;&lt;wsp:rsid wsp:val=&quot;007F60CF&quot;/&gt;&lt;wsp:rsid wsp:val=&quot;007F6179&quot;/&gt;&lt;wsp:rsid wsp:val=&quot;007F6AB3&quot;/&gt;&lt;wsp:rsid wsp:val=&quot;007F6AEF&quot;/&gt;&lt;wsp:rsid wsp:val=&quot;007F70F9&quot;/&gt;&lt;wsp:rsid wsp:val=&quot;007F7248&quot;/&gt;&lt;wsp:rsid wsp:val=&quot;00800E28&quot;/&gt;&lt;wsp:rsid wsp:val=&quot;00801D8E&quot;/&gt;&lt;wsp:rsid wsp:val=&quot;0080306C&quot;/&gt;&lt;wsp:rsid wsp:val=&quot;0080321F&quot;/&gt;&lt;wsp:rsid wsp:val=&quot;00803C27&quot;/&gt;&lt;wsp:rsid wsp:val=&quot;00803DEF&quot;/&gt;&lt;wsp:rsid wsp:val=&quot;00803EAB&quot;/&gt;&lt;wsp:rsid wsp:val=&quot;00804F26&quot;/&gt;&lt;wsp:rsid wsp:val=&quot;0080516C&quot;/&gt;&lt;wsp:rsid wsp:val=&quot;00805832&quot;/&gt;&lt;wsp:rsid wsp:val=&quot;00805C24&quot;/&gt;&lt;wsp:rsid wsp:val=&quot;00805CF3&quot;/&gt;&lt;wsp:rsid wsp:val=&quot;00805D54&quot;/&gt;&lt;wsp:rsid wsp:val=&quot;008065F8&quot;/&gt;&lt;wsp:rsid wsp:val=&quot;008066FD&quot;/&gt;&lt;wsp:rsid wsp:val=&quot;0080680A&quot;/&gt;&lt;wsp:rsid wsp:val=&quot;00806937&quot;/&gt;&lt;wsp:rsid wsp:val=&quot;00806E17&quot;/&gt;&lt;wsp:rsid wsp:val=&quot;00807128&quot;/&gt;&lt;wsp:rsid wsp:val=&quot;008072AE&quot;/&gt;&lt;wsp:rsid wsp:val=&quot;0080735D&quot;/&gt;&lt;wsp:rsid wsp:val=&quot;00807749&quot;/&gt;&lt;wsp:rsid wsp:val=&quot;008077E7&quot;/&gt;&lt;wsp:rsid wsp:val=&quot;0081012F&quot;/&gt;&lt;wsp:rsid wsp:val=&quot;00810424&quot;/&gt;&lt;wsp:rsid wsp:val=&quot;00810CC9&quot;/&gt;&lt;wsp:rsid wsp:val=&quot;008111BF&quot;/&gt;&lt;wsp:rsid wsp:val=&quot;0081135F&quot;/&gt;&lt;wsp:rsid wsp:val=&quot;00811826&quot;/&gt;&lt;wsp:rsid wsp:val=&quot;00811A4F&quot;/&gt;&lt;wsp:rsid wsp:val=&quot;00812488&quot;/&gt;&lt;wsp:rsid wsp:val=&quot;008127B7&quot;/&gt;&lt;wsp:rsid wsp:val=&quot;00812823&quot;/&gt;&lt;wsp:rsid wsp:val=&quot;00812CFC&quot;/&gt;&lt;wsp:rsid wsp:val=&quot;00813D17&quot;/&gt;&lt;wsp:rsid wsp:val=&quot;008141F4&quot;/&gt;&lt;wsp:rsid wsp:val=&quot;00814442&quot;/&gt;&lt;wsp:rsid wsp:val=&quot;008146D7&quot;/&gt;&lt;wsp:rsid wsp:val=&quot;00814904&quot;/&gt;&lt;wsp:rsid wsp:val=&quot;0081495C&quot;/&gt;&lt;wsp:rsid wsp:val=&quot;00816769&quot;/&gt;&lt;wsp:rsid wsp:val=&quot;00816F12&quot;/&gt;&lt;wsp:rsid wsp:val=&quot;0081754C&quot;/&gt;&lt;wsp:rsid wsp:val=&quot;0081783D&quot;/&gt;&lt;wsp:rsid wsp:val=&quot;00817C9E&quot;/&gt;&lt;wsp:rsid wsp:val=&quot;00820495&quot;/&gt;&lt;wsp:rsid wsp:val=&quot;00820B66&quot;/&gt;&lt;wsp:rsid wsp:val=&quot;00820BAE&quot;/&gt;&lt;wsp:rsid wsp:val=&quot;00820CFD&quot;/&gt;&lt;wsp:rsid wsp:val=&quot;008210F0&quot;/&gt;&lt;wsp:rsid wsp:val=&quot;0082123F&quot;/&gt;&lt;wsp:rsid wsp:val=&quot;0082181E&quot;/&gt;&lt;wsp:rsid wsp:val=&quot;00821F14&quot;/&gt;&lt;wsp:rsid wsp:val=&quot;00821FBA&quot;/&gt;&lt;wsp:rsid wsp:val=&quot;00822033&quot;/&gt;&lt;wsp:rsid wsp:val=&quot;00822B49&quot;/&gt;&lt;wsp:rsid wsp:val=&quot;00823678&quot;/&gt;&lt;wsp:rsid wsp:val=&quot;00823758&quot;/&gt;&lt;wsp:rsid wsp:val=&quot;00823EB3&quot;/&gt;&lt;wsp:rsid wsp:val=&quot;00824302&quot;/&gt;&lt;wsp:rsid wsp:val=&quot;00824963&quot;/&gt;&lt;wsp:rsid wsp:val=&quot;00824A35&quot;/&gt;&lt;wsp:rsid wsp:val=&quot;0082547F&quot;/&gt;&lt;wsp:rsid wsp:val=&quot;0082597A&quot;/&gt;&lt;wsp:rsid wsp:val=&quot;00825E72&quot;/&gt;&lt;wsp:rsid wsp:val=&quot;00826273&quot;/&gt;&lt;wsp:rsid wsp:val=&quot;008263BB&quot;/&gt;&lt;wsp:rsid wsp:val=&quot;00826C7B&quot;/&gt;&lt;wsp:rsid wsp:val=&quot;00827091&quot;/&gt;&lt;wsp:rsid wsp:val=&quot;0082713B&quot;/&gt;&lt;wsp:rsid wsp:val=&quot;00827205&quot;/&gt;&lt;wsp:rsid wsp:val=&quot;0082759B&quot;/&gt;&lt;wsp:rsid wsp:val=&quot;0082778C&quot;/&gt;&lt;wsp:rsid wsp:val=&quot;00827A84&quot;/&gt;&lt;wsp:rsid wsp:val=&quot;00827D12&quot;/&gt;&lt;wsp:rsid wsp:val=&quot;00830A9D&quot;/&gt;&lt;wsp:rsid wsp:val=&quot;00831607&quot;/&gt;&lt;wsp:rsid wsp:val=&quot;008316AE&quot;/&gt;&lt;wsp:rsid wsp:val=&quot;00832740&quot;/&gt;&lt;wsp:rsid wsp:val=&quot;00832901&quot;/&gt;&lt;wsp:rsid wsp:val=&quot;00832B5F&quot;/&gt;&lt;wsp:rsid wsp:val=&quot;00832E50&quot;/&gt;&lt;wsp:rsid wsp:val=&quot;00832E66&quot;/&gt;&lt;wsp:rsid wsp:val=&quot;00832F69&quot;/&gt;&lt;wsp:rsid wsp:val=&quot;008334D8&quot;/&gt;&lt;wsp:rsid wsp:val=&quot;00833529&quot;/&gt;&lt;wsp:rsid wsp:val=&quot;008335D0&quot;/&gt;&lt;wsp:rsid wsp:val=&quot;00834221&quot;/&gt;&lt;wsp:rsid wsp:val=&quot;0083443F&quot;/&gt;&lt;wsp:rsid wsp:val=&quot;00834769&quot;/&gt;&lt;wsp:rsid wsp:val=&quot;00834A94&quot;/&gt;&lt;wsp:rsid wsp:val=&quot;0083594A&quot;/&gt;&lt;wsp:rsid wsp:val=&quot;00835F46&quot;/&gt;&lt;wsp:rsid wsp:val=&quot;00836207&quot;/&gt;&lt;wsp:rsid wsp:val=&quot;008362F7&quot;/&gt;&lt;wsp:rsid wsp:val=&quot;00836410&quot;/&gt;&lt;wsp:rsid wsp:val=&quot;008364C8&quot;/&gt;&lt;wsp:rsid wsp:val=&quot;0083681B&quot;/&gt;&lt;wsp:rsid wsp:val=&quot;00836C39&quot;/&gt;&lt;wsp:rsid wsp:val=&quot;00836D90&quot;/&gt;&lt;wsp:rsid wsp:val=&quot;00837964&quot;/&gt;&lt;wsp:rsid wsp:val=&quot;00837BEB&quot;/&gt;&lt;wsp:rsid wsp:val=&quot;00837C72&quot;/&gt;&lt;wsp:rsid wsp:val=&quot;00840CFB&quot;/&gt;&lt;wsp:rsid wsp:val=&quot;008411D9&quot;/&gt;&lt;wsp:rsid wsp:val=&quot;00841747&quot;/&gt;&lt;wsp:rsid wsp:val=&quot;00842E02&quot;/&gt;&lt;wsp:rsid wsp:val=&quot;00842E1C&quot;/&gt;&lt;wsp:rsid wsp:val=&quot;0084311D&quot;/&gt;&lt;wsp:rsid wsp:val=&quot;00843359&quot;/&gt;&lt;wsp:rsid wsp:val=&quot;00843DF1&quot;/&gt;&lt;wsp:rsid wsp:val=&quot;00844792&quot;/&gt;&lt;wsp:rsid wsp:val=&quot;00844FF9&quot;/&gt;&lt;wsp:rsid wsp:val=&quot;0084518F&quot;/&gt;&lt;wsp:rsid wsp:val=&quot;0084538F&quot;/&gt;&lt;wsp:rsid wsp:val=&quot;00845EAA&quot;/&gt;&lt;wsp:rsid wsp:val=&quot;008462BF&quot;/&gt;&lt;wsp:rsid wsp:val=&quot;008467F6&quot;/&gt;&lt;wsp:rsid wsp:val=&quot;00846F8A&quot;/&gt;&lt;wsp:rsid wsp:val=&quot;008472D7&quot;/&gt;&lt;wsp:rsid wsp:val=&quot;00847D9C&quot;/&gt;&lt;wsp:rsid wsp:val=&quot;00847F43&quot;/&gt;&lt;wsp:rsid wsp:val=&quot;00850059&quot;/&gt;&lt;wsp:rsid wsp:val=&quot;00850B2A&quot;/&gt;&lt;wsp:rsid wsp:val=&quot;00850E0C&quot;/&gt;&lt;wsp:rsid wsp:val=&quot;008513CC&quot;/&gt;&lt;wsp:rsid wsp:val=&quot;0085180A&quot;/&gt;&lt;wsp:rsid wsp:val=&quot;00851AEF&quot;/&gt;&lt;wsp:rsid wsp:val=&quot;00851CB6&quot;/&gt;&lt;wsp:rsid wsp:val=&quot;00851E31&quot;/&gt;&lt;wsp:rsid wsp:val=&quot;008521D0&quot;/&gt;&lt;wsp:rsid wsp:val=&quot;008523B4&quot;/&gt;&lt;wsp:rsid wsp:val=&quot;00852499&quot;/&gt;&lt;wsp:rsid wsp:val=&quot;0085275C&quot;/&gt;&lt;wsp:rsid wsp:val=&quot;00852A49&quot;/&gt;&lt;wsp:rsid wsp:val=&quot;00852B78&quot;/&gt;&lt;wsp:rsid wsp:val=&quot;00853607&quot;/&gt;&lt;wsp:rsid wsp:val=&quot;008536B9&quot;/&gt;&lt;wsp:rsid wsp:val=&quot;008537F4&quot;/&gt;&lt;wsp:rsid wsp:val=&quot;00853890&quot;/&gt;&lt;wsp:rsid wsp:val=&quot;008541F7&quot;/&gt;&lt;wsp:rsid wsp:val=&quot;00854848&quot;/&gt;&lt;wsp:rsid wsp:val=&quot;00854AED&quot;/&gt;&lt;wsp:rsid wsp:val=&quot;00855BE0&quot;/&gt;&lt;wsp:rsid wsp:val=&quot;00856A07&quot;/&gt;&lt;wsp:rsid wsp:val=&quot;00856E24&quot;/&gt;&lt;wsp:rsid wsp:val=&quot;008573AC&quot;/&gt;&lt;wsp:rsid wsp:val=&quot;008577D1&quot;/&gt;&lt;wsp:rsid wsp:val=&quot;00857822&quot;/&gt;&lt;wsp:rsid wsp:val=&quot;008579E5&quot;/&gt;&lt;wsp:rsid wsp:val=&quot;00860366&quot;/&gt;&lt;wsp:rsid wsp:val=&quot;00860B15&quot;/&gt;&lt;wsp:rsid wsp:val=&quot;008615A8&quot;/&gt;&lt;wsp:rsid wsp:val=&quot;00861723&quot;/&gt;&lt;wsp:rsid wsp:val=&quot;00862156&quot;/&gt;&lt;wsp:rsid wsp:val=&quot;008621E7&quot;/&gt;&lt;wsp:rsid wsp:val=&quot;00863000&quot;/&gt;&lt;wsp:rsid wsp:val=&quot;008634AF&quot;/&gt;&lt;wsp:rsid wsp:val=&quot;00864477&quot;/&gt;&lt;wsp:rsid wsp:val=&quot;0086482D&quot;/&gt;&lt;wsp:rsid wsp:val=&quot;00865179&quot;/&gt;&lt;wsp:rsid wsp:val=&quot;008652E2&quot;/&gt;&lt;wsp:rsid wsp:val=&quot;00865671&quot;/&gt;&lt;wsp:rsid wsp:val=&quot;00865BE0&quot;/&gt;&lt;wsp:rsid wsp:val=&quot;00865C69&quot;/&gt;&lt;wsp:rsid wsp:val=&quot;00866095&quot;/&gt;&lt;wsp:rsid wsp:val=&quot;008666B3&quot;/&gt;&lt;wsp:rsid wsp:val=&quot;00866A08&quot;/&gt;&lt;wsp:rsid wsp:val=&quot;008673C3&quot;/&gt;&lt;wsp:rsid wsp:val=&quot;008673EA&quot;/&gt;&lt;wsp:rsid wsp:val=&quot;008675E4&quot;/&gt;&lt;wsp:rsid wsp:val=&quot;00867968&quot;/&gt;&lt;wsp:rsid wsp:val=&quot;00867A7C&quot;/&gt;&lt;wsp:rsid wsp:val=&quot;00870008&quot;/&gt;&lt;wsp:rsid wsp:val=&quot;00870BC4&quot;/&gt;&lt;wsp:rsid wsp:val=&quot;00871C6F&quot;/&gt;&lt;wsp:rsid wsp:val=&quot;00871EEE&quot;/&gt;&lt;wsp:rsid wsp:val=&quot;00872023&quot;/&gt;&lt;wsp:rsid wsp:val=&quot;00872339&quot;/&gt;&lt;wsp:rsid wsp:val=&quot;00872391&quot;/&gt;&lt;wsp:rsid wsp:val=&quot;008725BE&quot;/&gt;&lt;wsp:rsid wsp:val=&quot;00872A3A&quot;/&gt;&lt;wsp:rsid wsp:val=&quot;00873854&quot;/&gt;&lt;wsp:rsid wsp:val=&quot;00873C34&quot;/&gt;&lt;wsp:rsid wsp:val=&quot;008746AC&quot;/&gt;&lt;wsp:rsid wsp:val=&quot;00874A63&quot;/&gt;&lt;wsp:rsid wsp:val=&quot;00875713&quot;/&gt;&lt;wsp:rsid wsp:val=&quot;00876076&quot;/&gt;&lt;wsp:rsid wsp:val=&quot;008760F3&quot;/&gt;&lt;wsp:rsid wsp:val=&quot;0087629B&quot;/&gt;&lt;wsp:rsid wsp:val=&quot;00876318&quot;/&gt;&lt;wsp:rsid wsp:val=&quot;00876776&quot;/&gt;&lt;wsp:rsid wsp:val=&quot;00876AC9&quot;/&gt;&lt;wsp:rsid wsp:val=&quot;008774C3&quot;/&gt;&lt;wsp:rsid wsp:val=&quot;008802DC&quot;/&gt;&lt;wsp:rsid wsp:val=&quot;008803BC&quot;/&gt;&lt;wsp:rsid wsp:val=&quot;00880632&quot;/&gt;&lt;wsp:rsid wsp:val=&quot;008807DD&quot;/&gt;&lt;wsp:rsid wsp:val=&quot;00880D4B&quot;/&gt;&lt;wsp:rsid wsp:val=&quot;008811C8&quot;/&gt;&lt;wsp:rsid wsp:val=&quot;0088135C&quot;/&gt;&lt;wsp:rsid wsp:val=&quot;0088170C&quot;/&gt;&lt;wsp:rsid wsp:val=&quot;00881D0D&quot;/&gt;&lt;wsp:rsid wsp:val=&quot;00881EEF&quot;/&gt;&lt;wsp:rsid wsp:val=&quot;00882406&quot;/&gt;&lt;wsp:rsid wsp:val=&quot;00882A96&quot;/&gt;&lt;wsp:rsid wsp:val=&quot;0088354E&quot;/&gt;&lt;wsp:rsid wsp:val=&quot;0088460A&quot;/&gt;&lt;wsp:rsid wsp:val=&quot;00884C5D&quot;/&gt;&lt;wsp:rsid wsp:val=&quot;00884DF1&quot;/&gt;&lt;wsp:rsid wsp:val=&quot;00885CD7&quot;/&gt;&lt;wsp:rsid wsp:val=&quot;00885EE6&quot;/&gt;&lt;wsp:rsid wsp:val=&quot;008865B3&quot;/&gt;&lt;wsp:rsid wsp:val=&quot;00886747&quot;/&gt;&lt;wsp:rsid wsp:val=&quot;00886BD9&quot;/&gt;&lt;wsp:rsid wsp:val=&quot;008875B5&quot;/&gt;&lt;wsp:rsid wsp:val=&quot;008875C5&quot;/&gt;&lt;wsp:rsid wsp:val=&quot;00887F43&quot;/&gt;&lt;wsp:rsid wsp:val=&quot;00890769&quot;/&gt;&lt;wsp:rsid wsp:val=&quot;00891C43&quot;/&gt;&lt;wsp:rsid wsp:val=&quot;00891DF4&quot;/&gt;&lt;wsp:rsid wsp:val=&quot;0089216F&quot;/&gt;&lt;wsp:rsid wsp:val=&quot;00892B9D&quot;/&gt;&lt;wsp:rsid wsp:val=&quot;00892CEF&quot;/&gt;&lt;wsp:rsid wsp:val=&quot;00892D09&quot;/&gt;&lt;wsp:rsid wsp:val=&quot;0089303A&quot;/&gt;&lt;wsp:rsid wsp:val=&quot;008936D6&quot;/&gt;&lt;wsp:rsid wsp:val=&quot;00893862&quot;/&gt;&lt;wsp:rsid wsp:val=&quot;00893DFD&quot;/&gt;&lt;wsp:rsid wsp:val=&quot;00894212&quot;/&gt;&lt;wsp:rsid wsp:val=&quot;008944A6&quot;/&gt;&lt;wsp:rsid wsp:val=&quot;00894AA7&quot;/&gt;&lt;wsp:rsid wsp:val=&quot;00894B43&quot;/&gt;&lt;wsp:rsid wsp:val=&quot;00894D96&quot;/&gt;&lt;wsp:rsid wsp:val=&quot;00895459&quot;/&gt;&lt;wsp:rsid wsp:val=&quot;008960B8&quot;/&gt;&lt;wsp:rsid wsp:val=&quot;008962EC&quot;/&gt;&lt;wsp:rsid wsp:val=&quot;008964D2&quot;/&gt;&lt;wsp:rsid wsp:val=&quot;008968DA&quot;/&gt;&lt;wsp:rsid wsp:val=&quot;00896C10&quot;/&gt;&lt;wsp:rsid wsp:val=&quot;00897388&quot;/&gt;&lt;wsp:rsid wsp:val=&quot;008979EA&quot;/&gt;&lt;wsp:rsid wsp:val=&quot;008A0389&quot;/&gt;&lt;wsp:rsid wsp:val=&quot;008A0C8D&quot;/&gt;&lt;wsp:rsid wsp:val=&quot;008A153F&quot;/&gt;&lt;wsp:rsid wsp:val=&quot;008A15C6&quot;/&gt;&lt;wsp:rsid wsp:val=&quot;008A17D5&quot;/&gt;&lt;wsp:rsid wsp:val=&quot;008A2159&quot;/&gt;&lt;wsp:rsid wsp:val=&quot;008A252E&quot;/&gt;&lt;wsp:rsid wsp:val=&quot;008A28C4&quot;/&gt;&lt;wsp:rsid wsp:val=&quot;008A2944&quot;/&gt;&lt;wsp:rsid wsp:val=&quot;008A2EA3&quot;/&gt;&lt;wsp:rsid wsp:val=&quot;008A32AB&quot;/&gt;&lt;wsp:rsid wsp:val=&quot;008A33FD&quot;/&gt;&lt;wsp:rsid wsp:val=&quot;008A34F0&quot;/&gt;&lt;wsp:rsid wsp:val=&quot;008A3DAD&quot;/&gt;&lt;wsp:rsid wsp:val=&quot;008A43E5&quot;/&gt;&lt;wsp:rsid wsp:val=&quot;008A51F3&quot;/&gt;&lt;wsp:rsid wsp:val=&quot;008A5283&quot;/&gt;&lt;wsp:rsid wsp:val=&quot;008A5469&quot;/&gt;&lt;wsp:rsid wsp:val=&quot;008A55A5&quot;/&gt;&lt;wsp:rsid wsp:val=&quot;008A56DD&quot;/&gt;&lt;wsp:rsid wsp:val=&quot;008A5894&quot;/&gt;&lt;wsp:rsid wsp:val=&quot;008A5CAD&quot;/&gt;&lt;wsp:rsid wsp:val=&quot;008A646C&quot;/&gt;&lt;wsp:rsid wsp:val=&quot;008A65DB&quot;/&gt;&lt;wsp:rsid wsp:val=&quot;008A689A&quot;/&gt;&lt;wsp:rsid wsp:val=&quot;008A7705&quot;/&gt;&lt;wsp:rsid wsp:val=&quot;008B0635&quot;/&gt;&lt;wsp:rsid wsp:val=&quot;008B0A4D&quot;/&gt;&lt;wsp:rsid wsp:val=&quot;008B182F&quot;/&gt;&lt;wsp:rsid wsp:val=&quot;008B1C96&quot;/&gt;&lt;wsp:rsid wsp:val=&quot;008B233F&quot;/&gt;&lt;wsp:rsid wsp:val=&quot;008B2689&quot;/&gt;&lt;wsp:rsid wsp:val=&quot;008B2911&quot;/&gt;&lt;wsp:rsid wsp:val=&quot;008B2EBE&quot;/&gt;&lt;wsp:rsid wsp:val=&quot;008B3653&quot;/&gt;&lt;wsp:rsid wsp:val=&quot;008B3C9E&quot;/&gt;&lt;wsp:rsid wsp:val=&quot;008B408F&quot;/&gt;&lt;wsp:rsid wsp:val=&quot;008B42FF&quot;/&gt;&lt;wsp:rsid wsp:val=&quot;008B430F&quot;/&gt;&lt;wsp:rsid wsp:val=&quot;008B49E9&quot;/&gt;&lt;wsp:rsid wsp:val=&quot;008B4A2F&quot;/&gt;&lt;wsp:rsid wsp:val=&quot;008B547C&quot;/&gt;&lt;wsp:rsid wsp:val=&quot;008B5605&quot;/&gt;&lt;wsp:rsid wsp:val=&quot;008B610F&quot;/&gt;&lt;wsp:rsid wsp:val=&quot;008B64DE&quot;/&gt;&lt;wsp:rsid wsp:val=&quot;008B650C&quot;/&gt;&lt;wsp:rsid wsp:val=&quot;008B6A7D&quot;/&gt;&lt;wsp:rsid wsp:val=&quot;008B78FD&quot;/&gt;&lt;wsp:rsid wsp:val=&quot;008B7940&quot;/&gt;&lt;wsp:rsid wsp:val=&quot;008B7B36&quot;/&gt;&lt;wsp:rsid wsp:val=&quot;008C0060&quot;/&gt;&lt;wsp:rsid wsp:val=&quot;008C0847&quot;/&gt;&lt;wsp:rsid wsp:val=&quot;008C1494&quot;/&gt;&lt;wsp:rsid wsp:val=&quot;008C1739&quot;/&gt;&lt;wsp:rsid wsp:val=&quot;008C205F&quot;/&gt;&lt;wsp:rsid wsp:val=&quot;008C22A4&quot;/&gt;&lt;wsp:rsid wsp:val=&quot;008C23EE&quot;/&gt;&lt;wsp:rsid wsp:val=&quot;008C2593&quot;/&gt;&lt;wsp:rsid wsp:val=&quot;008C265A&quot;/&gt;&lt;wsp:rsid wsp:val=&quot;008C37BA&quot;/&gt;&lt;wsp:rsid wsp:val=&quot;008C3B9E&quot;/&gt;&lt;wsp:rsid wsp:val=&quot;008C3CC2&quot;/&gt;&lt;wsp:rsid wsp:val=&quot;008C3E8D&quot;/&gt;&lt;wsp:rsid wsp:val=&quot;008C418A&quot;/&gt;&lt;wsp:rsid wsp:val=&quot;008C4D22&quot;/&gt;&lt;wsp:rsid wsp:val=&quot;008C4D83&quot;/&gt;&lt;wsp:rsid wsp:val=&quot;008C631B&quot;/&gt;&lt;wsp:rsid wsp:val=&quot;008C66A9&quot;/&gt;&lt;wsp:rsid wsp:val=&quot;008C6A82&quot;/&gt;&lt;wsp:rsid wsp:val=&quot;008C6BF6&quot;/&gt;&lt;wsp:rsid wsp:val=&quot;008C7B47&quot;/&gt;&lt;wsp:rsid wsp:val=&quot;008C7C9C&quot;/&gt;&lt;wsp:rsid wsp:val=&quot;008D0E02&quot;/&gt;&lt;wsp:rsid wsp:val=&quot;008D13B0&quot;/&gt;&lt;wsp:rsid wsp:val=&quot;008D1555&quot;/&gt;&lt;wsp:rsid wsp:val=&quot;008D232B&quot;/&gt;&lt;wsp:rsid wsp:val=&quot;008D2AEE&quot;/&gt;&lt;wsp:rsid wsp:val=&quot;008D2C87&quot;/&gt;&lt;wsp:rsid wsp:val=&quot;008D4B8F&quot;/&gt;&lt;wsp:rsid wsp:val=&quot;008D5D94&quot;/&gt;&lt;wsp:rsid wsp:val=&quot;008D6077&quot;/&gt;&lt;wsp:rsid wsp:val=&quot;008D67BC&quot;/&gt;&lt;wsp:rsid wsp:val=&quot;008D67FB&quot;/&gt;&lt;wsp:rsid wsp:val=&quot;008D690E&quot;/&gt;&lt;wsp:rsid wsp:val=&quot;008D6C92&quot;/&gt;&lt;wsp:rsid wsp:val=&quot;008D74CE&quot;/&gt;&lt;wsp:rsid wsp:val=&quot;008D7686&quot;/&gt;&lt;wsp:rsid wsp:val=&quot;008D76B1&quot;/&gt;&lt;wsp:rsid wsp:val=&quot;008D7B2D&quot;/&gt;&lt;wsp:rsid wsp:val=&quot;008D7E49&quot;/&gt;&lt;wsp:rsid wsp:val=&quot;008D7FAB&quot;/&gt;&lt;wsp:rsid wsp:val=&quot;008E0051&quot;/&gt;&lt;wsp:rsid wsp:val=&quot;008E036D&quot;/&gt;&lt;wsp:rsid wsp:val=&quot;008E05BA&quot;/&gt;&lt;wsp:rsid wsp:val=&quot;008E0A04&quot;/&gt;&lt;wsp:rsid wsp:val=&quot;008E170B&quot;/&gt;&lt;wsp:rsid wsp:val=&quot;008E1D26&quot;/&gt;&lt;wsp:rsid wsp:val=&quot;008E1E2E&quot;/&gt;&lt;wsp:rsid wsp:val=&quot;008E2BB2&quot;/&gt;&lt;wsp:rsid wsp:val=&quot;008E2E5F&quot;/&gt;&lt;wsp:rsid wsp:val=&quot;008E3141&quot;/&gt;&lt;wsp:rsid wsp:val=&quot;008E43F6&quot;/&gt;&lt;wsp:rsid wsp:val=&quot;008E4F6C&quot;/&gt;&lt;wsp:rsid wsp:val=&quot;008E5349&quot;/&gt;&lt;wsp:rsid wsp:val=&quot;008E53B6&quot;/&gt;&lt;wsp:rsid wsp:val=&quot;008E53FC&quot;/&gt;&lt;wsp:rsid wsp:val=&quot;008E568F&quot;/&gt;&lt;wsp:rsid wsp:val=&quot;008E571B&quot;/&gt;&lt;wsp:rsid wsp:val=&quot;008E66FD&quot;/&gt;&lt;wsp:rsid wsp:val=&quot;008E69DE&quot;/&gt;&lt;wsp:rsid wsp:val=&quot;008E6DF1&quot;/&gt;&lt;wsp:rsid wsp:val=&quot;008E7195&quot;/&gt;&lt;wsp:rsid wsp:val=&quot;008E757C&quot;/&gt;&lt;wsp:rsid wsp:val=&quot;008E7DAA&quot;/&gt;&lt;wsp:rsid wsp:val=&quot;008F04FB&quot;/&gt;&lt;wsp:rsid wsp:val=&quot;008F1F35&quot;/&gt;&lt;wsp:rsid wsp:val=&quot;008F214D&quot;/&gt;&lt;wsp:rsid wsp:val=&quot;008F221C&quot;/&gt;&lt;wsp:rsid wsp:val=&quot;008F25F4&quot;/&gt;&lt;wsp:rsid wsp:val=&quot;008F2960&quot;/&gt;&lt;wsp:rsid wsp:val=&quot;008F35A4&quot;/&gt;&lt;wsp:rsid wsp:val=&quot;008F3832&quot;/&gt;&lt;wsp:rsid wsp:val=&quot;008F3833&quot;/&gt;&lt;wsp:rsid wsp:val=&quot;008F3975&quot;/&gt;&lt;wsp:rsid wsp:val=&quot;008F3D49&quot;/&gt;&lt;wsp:rsid wsp:val=&quot;008F4295&quot;/&gt;&lt;wsp:rsid wsp:val=&quot;008F4374&quot;/&gt;&lt;wsp:rsid wsp:val=&quot;008F4603&quot;/&gt;&lt;wsp:rsid wsp:val=&quot;008F52E6&quot;/&gt;&lt;wsp:rsid wsp:val=&quot;008F541B&quot;/&gt;&lt;wsp:rsid wsp:val=&quot;008F57D0&quot;/&gt;&lt;wsp:rsid wsp:val=&quot;008F6F57&quot;/&gt;&lt;wsp:rsid wsp:val=&quot;008F78DD&quot;/&gt;&lt;wsp:rsid wsp:val=&quot;008F7918&quot;/&gt;&lt;wsp:rsid wsp:val=&quot;008F7CD6&quot;/&gt;&lt;wsp:rsid wsp:val=&quot;00900083&quot;/&gt;&lt;wsp:rsid wsp:val=&quot;0090076C&quot;/&gt;&lt;wsp:rsid wsp:val=&quot;00900D65&quot;/&gt;&lt;wsp:rsid wsp:val=&quot;0090119D&quot;/&gt;&lt;wsp:rsid wsp:val=&quot;009011D1&quot;/&gt;&lt;wsp:rsid wsp:val=&quot;00901A00&quot;/&gt;&lt;wsp:rsid wsp:val=&quot;00902522&quot;/&gt;&lt;wsp:rsid wsp:val=&quot;00902588&quot;/&gt;&lt;wsp:rsid wsp:val=&quot;009032A3&quot;/&gt;&lt;wsp:rsid wsp:val=&quot;00903341&quot;/&gt;&lt;wsp:rsid wsp:val=&quot;00903C48&quot;/&gt;&lt;wsp:rsid wsp:val=&quot;00904670&quot;/&gt;&lt;wsp:rsid wsp:val=&quot;009046E9&quot;/&gt;&lt;wsp:rsid wsp:val=&quot;009049BC&quot;/&gt;&lt;wsp:rsid wsp:val=&quot;009060D5&quot;/&gt;&lt;wsp:rsid wsp:val=&quot;009066D8&quot;/&gt;&lt;wsp:rsid wsp:val=&quot;00906D8D&quot;/&gt;&lt;wsp:rsid wsp:val=&quot;00906FD8&quot;/&gt;&lt;wsp:rsid wsp:val=&quot;009073A0&quot;/&gt;&lt;wsp:rsid wsp:val=&quot;00907E2E&quot;/&gt;&lt;wsp:rsid wsp:val=&quot;00907E53&quot;/&gt;&lt;wsp:rsid wsp:val=&quot;0091054F&quot;/&gt;&lt;wsp:rsid wsp:val=&quot;00910D1F&quot;/&gt;&lt;wsp:rsid wsp:val=&quot;00911433&quot;/&gt;&lt;wsp:rsid wsp:val=&quot;00911452&quot;/&gt;&lt;wsp:rsid wsp:val=&quot;009124A0&quot;/&gt;&lt;wsp:rsid wsp:val=&quot;009125D3&quot;/&gt;&lt;wsp:rsid wsp:val=&quot;00912813&quot;/&gt;&lt;wsp:rsid wsp:val=&quot;00912A13&quot;/&gt;&lt;wsp:rsid wsp:val=&quot;00912A89&quot;/&gt;&lt;wsp:rsid wsp:val=&quot;0091350B&quot;/&gt;&lt;wsp:rsid wsp:val=&quot;009135F4&quot;/&gt;&lt;wsp:rsid wsp:val=&quot;00913747&quot;/&gt;&lt;wsp:rsid wsp:val=&quot;0091377D&quot;/&gt;&lt;wsp:rsid wsp:val=&quot;00913ABD&quot;/&gt;&lt;wsp:rsid wsp:val=&quot;00914080&quot;/&gt;&lt;wsp:rsid wsp:val=&quot;009146FA&quot;/&gt;&lt;wsp:rsid wsp:val=&quot;0091474F&quot;/&gt;&lt;wsp:rsid wsp:val=&quot;00914955&quot;/&gt;&lt;wsp:rsid wsp:val=&quot;00914E7B&quot;/&gt;&lt;wsp:rsid wsp:val=&quot;00914ED0&quot;/&gt;&lt;wsp:rsid wsp:val=&quot;0091515D&quot;/&gt;&lt;wsp:rsid wsp:val=&quot;00915348&quot;/&gt;&lt;wsp:rsid wsp:val=&quot;00915569&quot;/&gt;&lt;wsp:rsid wsp:val=&quot;00916AAB&quot;/&gt;&lt;wsp:rsid wsp:val=&quot;0091703F&quot;/&gt;&lt;wsp:rsid wsp:val=&quot;0091749D&quot;/&gt;&lt;wsp:rsid wsp:val=&quot;00917526&quot;/&gt;&lt;wsp:rsid wsp:val=&quot;0092017A&quot;/&gt;&lt;wsp:rsid wsp:val=&quot;00920880&quot;/&gt;&lt;wsp:rsid wsp:val=&quot;00920C5C&quot;/&gt;&lt;wsp:rsid wsp:val=&quot;00921F48&quot;/&gt;&lt;wsp:rsid wsp:val=&quot;0092201D&quot;/&gt;&lt;wsp:rsid wsp:val=&quot;009222A2&quot;/&gt;&lt;wsp:rsid wsp:val=&quot;009224A8&quot;/&gt;&lt;wsp:rsid wsp:val=&quot;00922C80&quot;/&gt;&lt;wsp:rsid wsp:val=&quot;00922D74&quot;/&gt;&lt;wsp:rsid wsp:val=&quot;00923A47&quot;/&gt;&lt;wsp:rsid wsp:val=&quot;00923BF4&quot;/&gt;&lt;wsp:rsid wsp:val=&quot;00923D09&quot;/&gt;&lt;wsp:rsid wsp:val=&quot;00923E79&quot;/&gt;&lt;wsp:rsid wsp:val=&quot;00923FA1&quot;/&gt;&lt;wsp:rsid wsp:val=&quot;00924C08&quot;/&gt;&lt;wsp:rsid wsp:val=&quot;00924F6E&quot;/&gt;&lt;wsp:rsid wsp:val=&quot;00925090&quot;/&gt;&lt;wsp:rsid wsp:val=&quot;009254A4&quot;/&gt;&lt;wsp:rsid wsp:val=&quot;00926A90&quot;/&gt;&lt;wsp:rsid wsp:val=&quot;00926C76&quot;/&gt;&lt;wsp:rsid wsp:val=&quot;00926DC2&quot;/&gt;&lt;wsp:rsid wsp:val=&quot;00926E78&quot;/&gt;&lt;wsp:rsid wsp:val=&quot;00926F68&quot;/&gt;&lt;wsp:rsid wsp:val=&quot;009279C8&quot;/&gt;&lt;wsp:rsid wsp:val=&quot;00927A5A&quot;/&gt;&lt;wsp:rsid wsp:val=&quot;00927B17&quot;/&gt;&lt;wsp:rsid wsp:val=&quot;00927BD8&quot;/&gt;&lt;wsp:rsid wsp:val=&quot;0093074A&quot;/&gt;&lt;wsp:rsid wsp:val=&quot;00930825&quot;/&gt;&lt;wsp:rsid wsp:val=&quot;0093087E&quot;/&gt;&lt;wsp:rsid wsp:val=&quot;00930D82&quot;/&gt;&lt;wsp:rsid wsp:val=&quot;00931D4E&quot;/&gt;&lt;wsp:rsid wsp:val=&quot;009324CB&quot;/&gt;&lt;wsp:rsid wsp:val=&quot;00932615&quot;/&gt;&lt;wsp:rsid wsp:val=&quot;009327A9&quot;/&gt;&lt;wsp:rsid wsp:val=&quot;00932C77&quot;/&gt;&lt;wsp:rsid wsp:val=&quot;00932E6F&quot;/&gt;&lt;wsp:rsid wsp:val=&quot;009331E6&quot;/&gt;&lt;wsp:rsid wsp:val=&quot;00933590&quot;/&gt;&lt;wsp:rsid wsp:val=&quot;0093416B&quot;/&gt;&lt;wsp:rsid wsp:val=&quot;00934387&quot;/&gt;&lt;wsp:rsid wsp:val=&quot;0093444B&quot;/&gt;&lt;wsp:rsid wsp:val=&quot;0093491F&quot;/&gt;&lt;wsp:rsid wsp:val=&quot;00934AC8&quot;/&gt;&lt;wsp:rsid wsp:val=&quot;00934B83&quot;/&gt;&lt;wsp:rsid wsp:val=&quot;009357D2&quot;/&gt;&lt;wsp:rsid wsp:val=&quot;00936C4D&quot;/&gt;&lt;wsp:rsid wsp:val=&quot;00936D45&quot;/&gt;&lt;wsp:rsid wsp:val=&quot;00936DDC&quot;/&gt;&lt;wsp:rsid wsp:val=&quot;00936E00&quot;/&gt;&lt;wsp:rsid wsp:val=&quot;0093702E&quot;/&gt;&lt;wsp:rsid wsp:val=&quot;009370F3&quot;/&gt;&lt;wsp:rsid wsp:val=&quot;0093719A&quot;/&gt;&lt;wsp:rsid wsp:val=&quot;00937415&quot;/&gt;&lt;wsp:rsid wsp:val=&quot;00937BB8&quot;/&gt;&lt;wsp:rsid wsp:val=&quot;00937D0F&quot;/&gt;&lt;wsp:rsid wsp:val=&quot;009403FB&quot;/&gt;&lt;wsp:rsid wsp:val=&quot;0094095F&quot;/&gt;&lt;wsp:rsid wsp:val=&quot;00940B71&quot;/&gt;&lt;wsp:rsid wsp:val=&quot;00940B84&quot;/&gt;&lt;wsp:rsid wsp:val=&quot;0094146B&quot;/&gt;&lt;wsp:rsid wsp:val=&quot;009417C7&quot;/&gt;&lt;wsp:rsid wsp:val=&quot;0094187F&quot;/&gt;&lt;wsp:rsid wsp:val=&quot;00941BAC&quot;/&gt;&lt;wsp:rsid wsp:val=&quot;00941D1F&quot;/&gt;&lt;wsp:rsid wsp:val=&quot;00942134&quot;/&gt;&lt;wsp:rsid wsp:val=&quot;0094249A&quot;/&gt;&lt;wsp:rsid wsp:val=&quot;0094268E&quot;/&gt;&lt;wsp:rsid wsp:val=&quot;009432A6&quot;/&gt;&lt;wsp:rsid wsp:val=&quot;009439A1&quot;/&gt;&lt;wsp:rsid wsp:val=&quot;00943C4B&quot;/&gt;&lt;wsp:rsid wsp:val=&quot;00945046&quot;/&gt;&lt;wsp:rsid wsp:val=&quot;00945610&quot;/&gt;&lt;wsp:rsid wsp:val=&quot;009458A3&quot;/&gt;&lt;wsp:rsid wsp:val=&quot;00945DC5&quot;/&gt;&lt;wsp:rsid wsp:val=&quot;0094633C&quot;/&gt;&lt;wsp:rsid wsp:val=&quot;00946514&quot;/&gt;&lt;wsp:rsid wsp:val=&quot;00946F3D&quot;/&gt;&lt;wsp:rsid wsp:val=&quot;00947281&quot;/&gt;&lt;wsp:rsid wsp:val=&quot;00947457&quot;/&gt;&lt;wsp:rsid wsp:val=&quot;00947A20&quot;/&gt;&lt;wsp:rsid wsp:val=&quot;00947E31&quot;/&gt;&lt;wsp:rsid wsp:val=&quot;0095005A&quot;/&gt;&lt;wsp:rsid wsp:val=&quot;00950599&quot;/&gt;&lt;wsp:rsid wsp:val=&quot;009506A9&quot;/&gt;&lt;wsp:rsid wsp:val=&quot;00950EAB&quot;/&gt;&lt;wsp:rsid wsp:val=&quot;00950FEF&quot;/&gt;&lt;wsp:rsid wsp:val=&quot;0095132C&quot;/&gt;&lt;wsp:rsid wsp:val=&quot;009518BC&quot;/&gt;&lt;wsp:rsid wsp:val=&quot;00951C4E&quot;/&gt;&lt;wsp:rsid wsp:val=&quot;00952075&quot;/&gt;&lt;wsp:rsid wsp:val=&quot;0095235F&quot;/&gt;&lt;wsp:rsid wsp:val=&quot;009527CD&quot;/&gt;&lt;wsp:rsid wsp:val=&quot;009532BC&quot;/&gt;&lt;wsp:rsid wsp:val=&quot;009537BF&quot;/&gt;&lt;wsp:rsid wsp:val=&quot;009544B2&quot;/&gt;&lt;wsp:rsid wsp:val=&quot;009548CD&quot;/&gt;&lt;wsp:rsid wsp:val=&quot;0095527C&quot;/&gt;&lt;wsp:rsid wsp:val=&quot;009555AD&quot;/&gt;&lt;wsp:rsid wsp:val=&quot;009560D0&quot;/&gt;&lt;wsp:rsid wsp:val=&quot;00956B16&quot;/&gt;&lt;wsp:rsid wsp:val=&quot;00957D5D&quot;/&gt;&lt;wsp:rsid wsp:val=&quot;00960245&quot;/&gt;&lt;wsp:rsid wsp:val=&quot;00960F2F&quot;/&gt;&lt;wsp:rsid wsp:val=&quot;0096142E&quot;/&gt;&lt;wsp:rsid wsp:val=&quot;00962288&quot;/&gt;&lt;wsp:rsid wsp:val=&quot;00962651&quot;/&gt;&lt;wsp:rsid wsp:val=&quot;00962BAB&quot;/&gt;&lt;wsp:rsid wsp:val=&quot;00962E54&quot;/&gt;&lt;wsp:rsid wsp:val=&quot;00963021&quot;/&gt;&lt;wsp:rsid wsp:val=&quot;0096303F&quot;/&gt;&lt;wsp:rsid wsp:val=&quot;00963E42&quot;/&gt;&lt;wsp:rsid wsp:val=&quot;00963F3D&quot;/&gt;&lt;wsp:rsid wsp:val=&quot;009642F0&quot;/&gt;&lt;wsp:rsid wsp:val=&quot;009647F5&quot;/&gt;&lt;wsp:rsid wsp:val=&quot;0096491B&quot;/&gt;&lt;wsp:rsid wsp:val=&quot;009651CB&quot;/&gt;&lt;wsp:rsid wsp:val=&quot;009652AD&quot;/&gt;&lt;wsp:rsid wsp:val=&quot;00965F01&quot;/&gt;&lt;wsp:rsid wsp:val=&quot;00967787&quot;/&gt;&lt;wsp:rsid wsp:val=&quot;00970100&quot;/&gt;&lt;wsp:rsid wsp:val=&quot;0097091C&quot;/&gt;&lt;wsp:rsid wsp:val=&quot;009709D1&quot;/&gt;&lt;wsp:rsid wsp:val=&quot;00972499&quot;/&gt;&lt;wsp:rsid wsp:val=&quot;00972D2C&quot;/&gt;&lt;wsp:rsid wsp:val=&quot;00972D34&quot;/&gt;&lt;wsp:rsid wsp:val=&quot;00972D90&quot;/&gt;&lt;wsp:rsid wsp:val=&quot;009733DA&quot;/&gt;&lt;wsp:rsid wsp:val=&quot;009735B1&quot;/&gt;&lt;wsp:rsid wsp:val=&quot;0097365E&quot;/&gt;&lt;wsp:rsid wsp:val=&quot;00973846&quot;/&gt;&lt;wsp:rsid wsp:val=&quot;00973B1E&quot;/&gt;&lt;wsp:rsid wsp:val=&quot;0097413C&quot;/&gt;&lt;wsp:rsid wsp:val=&quot;0097442D&quot;/&gt;&lt;wsp:rsid wsp:val=&quot;00974932&quot;/&gt;&lt;wsp:rsid wsp:val=&quot;009751ED&quot;/&gt;&lt;wsp:rsid wsp:val=&quot;0097525A&quot;/&gt;&lt;wsp:rsid wsp:val=&quot;00975661&quot;/&gt;&lt;wsp:rsid wsp:val=&quot;00975AA8&quot;/&gt;&lt;wsp:rsid wsp:val=&quot;00976239&quot;/&gt;&lt;wsp:rsid wsp:val=&quot;00976597&quot;/&gt;&lt;wsp:rsid wsp:val=&quot;00976603&quot;/&gt;&lt;wsp:rsid wsp:val=&quot;00976F3B&quot;/&gt;&lt;wsp:rsid wsp:val=&quot;00976FB4&quot;/&gt;&lt;wsp:rsid wsp:val=&quot;00977664&quot;/&gt;&lt;wsp:rsid wsp:val=&quot;00977742&quot;/&gt;&lt;wsp:rsid wsp:val=&quot;00977A5D&quot;/&gt;&lt;wsp:rsid wsp:val=&quot;00977EF5&quot;/&gt;&lt;wsp:rsid wsp:val=&quot;00980A67&quot;/&gt;&lt;wsp:rsid wsp:val=&quot;00980EC4&quot;/&gt;&lt;wsp:rsid wsp:val=&quot;009812CB&quot;/&gt;&lt;wsp:rsid wsp:val=&quot;009816B5&quot;/&gt;&lt;wsp:rsid wsp:val=&quot;00981C11&quot;/&gt;&lt;wsp:rsid wsp:val=&quot;009823B8&quot;/&gt;&lt;wsp:rsid wsp:val=&quot;0098267B&quot;/&gt;&lt;wsp:rsid wsp:val=&quot;00982939&quot;/&gt;&lt;wsp:rsid wsp:val=&quot;00982A36&quot;/&gt;&lt;wsp:rsid wsp:val=&quot;00982AD9&quot;/&gt;&lt;wsp:rsid wsp:val=&quot;009831E9&quot;/&gt;&lt;wsp:rsid wsp:val=&quot;0098377F&quot;/&gt;&lt;wsp:rsid wsp:val=&quot;00983E6A&quot;/&gt;&lt;wsp:rsid wsp:val=&quot;00983EFF&quot;/&gt;&lt;wsp:rsid wsp:val=&quot;009841E7&quot;/&gt;&lt;wsp:rsid wsp:val=&quot;00984982&quot;/&gt;&lt;wsp:rsid wsp:val=&quot;00984988&quot;/&gt;&lt;wsp:rsid wsp:val=&quot;009849E9&quot;/&gt;&lt;wsp:rsid wsp:val=&quot;00985309&quot;/&gt;&lt;wsp:rsid wsp:val=&quot;0098565C&quot;/&gt;&lt;wsp:rsid wsp:val=&quot;00985AA0&quot;/&gt;&lt;wsp:rsid wsp:val=&quot;009861CA&quot;/&gt;&lt;wsp:rsid wsp:val=&quot;00986BDB&quot;/&gt;&lt;wsp:rsid wsp:val=&quot;00986E0C&quot;/&gt;&lt;wsp:rsid wsp:val=&quot;009872F2&quot;/&gt;&lt;wsp:rsid wsp:val=&quot;009873EA&quot;/&gt;&lt;wsp:rsid wsp:val=&quot;00987926&quot;/&gt;&lt;wsp:rsid wsp:val=&quot;009900E4&quot;/&gt;&lt;wsp:rsid wsp:val=&quot;00990137&quot;/&gt;&lt;wsp:rsid wsp:val=&quot;00990178&quot;/&gt;&lt;wsp:rsid wsp:val=&quot;009905DA&quot;/&gt;&lt;wsp:rsid wsp:val=&quot;00990715&quot;/&gt;&lt;wsp:rsid wsp:val=&quot;00990DD8&quot;/&gt;&lt;wsp:rsid wsp:val=&quot;00991528&quot;/&gt;&lt;wsp:rsid wsp:val=&quot;00991B7E&quot;/&gt;&lt;wsp:rsid wsp:val=&quot;00991CBB&quot;/&gt;&lt;wsp:rsid wsp:val=&quot;00991DE3&quot;/&gt;&lt;wsp:rsid wsp:val=&quot;00992096&quot;/&gt;&lt;wsp:rsid wsp:val=&quot;00993370&quot;/&gt;&lt;wsp:rsid wsp:val=&quot;00993CA9&quot;/&gt;&lt;wsp:rsid wsp:val=&quot;00995115&quot;/&gt;&lt;wsp:rsid wsp:val=&quot;00995423&quot;/&gt;&lt;wsp:rsid wsp:val=&quot;0099588C&quot;/&gt;&lt;wsp:rsid wsp:val=&quot;009962D6&quot;/&gt;&lt;wsp:rsid wsp:val=&quot;00996AEF&quot;/&gt;&lt;wsp:rsid wsp:val=&quot;00996D2D&quot;/&gt;&lt;wsp:rsid wsp:val=&quot;00997116&quot;/&gt;&lt;wsp:rsid wsp:val=&quot;009975D6&quot;/&gt;&lt;wsp:rsid wsp:val=&quot;00997800&quot;/&gt;&lt;wsp:rsid wsp:val=&quot;009A0232&quot;/&gt;&lt;wsp:rsid wsp:val=&quot;009A04F9&quot;/&gt;&lt;wsp:rsid wsp:val=&quot;009A095C&quot;/&gt;&lt;wsp:rsid wsp:val=&quot;009A0AA3&quot;/&gt;&lt;wsp:rsid wsp:val=&quot;009A0C64&quot;/&gt;&lt;wsp:rsid wsp:val=&quot;009A1A68&quot;/&gt;&lt;wsp:rsid wsp:val=&quot;009A1C98&quot;/&gt;&lt;wsp:rsid wsp:val=&quot;009A1FD5&quot;/&gt;&lt;wsp:rsid wsp:val=&quot;009A20A4&quot;/&gt;&lt;wsp:rsid wsp:val=&quot;009A25FF&quot;/&gt;&lt;wsp:rsid wsp:val=&quot;009A2836&quot;/&gt;&lt;wsp:rsid wsp:val=&quot;009A31C6&quot;/&gt;&lt;wsp:rsid wsp:val=&quot;009A31E9&quot;/&gt;&lt;wsp:rsid wsp:val=&quot;009A3203&quot;/&gt;&lt;wsp:rsid wsp:val=&quot;009A367C&quot;/&gt;&lt;wsp:rsid wsp:val=&quot;009A3823&quot;/&gt;&lt;wsp:rsid wsp:val=&quot;009A3BCF&quot;/&gt;&lt;wsp:rsid wsp:val=&quot;009A472E&quot;/&gt;&lt;wsp:rsid wsp:val=&quot;009A506C&quot;/&gt;&lt;wsp:rsid wsp:val=&quot;009A5655&quot;/&gt;&lt;wsp:rsid wsp:val=&quot;009A577C&quot;/&gt;&lt;wsp:rsid wsp:val=&quot;009A57DD&quot;/&gt;&lt;wsp:rsid wsp:val=&quot;009A586D&quot;/&gt;&lt;wsp:rsid wsp:val=&quot;009A5C08&quot;/&gt;&lt;wsp:rsid wsp:val=&quot;009A63AE&quot;/&gt;&lt;wsp:rsid wsp:val=&quot;009A711E&quot;/&gt;&lt;wsp:rsid wsp:val=&quot;009A781C&quot;/&gt;&lt;wsp:rsid wsp:val=&quot;009A7BD6&quot;/&gt;&lt;wsp:rsid wsp:val=&quot;009B0409&quot;/&gt;&lt;wsp:rsid wsp:val=&quot;009B06E3&quot;/&gt;&lt;wsp:rsid wsp:val=&quot;009B0A27&quot;/&gt;&lt;wsp:rsid wsp:val=&quot;009B0EE3&quot;/&gt;&lt;wsp:rsid wsp:val=&quot;009B1178&quot;/&gt;&lt;wsp:rsid wsp:val=&quot;009B18E9&quot;/&gt;&lt;wsp:rsid wsp:val=&quot;009B2565&quot;/&gt;&lt;wsp:rsid wsp:val=&quot;009B2C77&quot;/&gt;&lt;wsp:rsid wsp:val=&quot;009B3545&quot;/&gt;&lt;wsp:rsid wsp:val=&quot;009B42A1&quot;/&gt;&lt;wsp:rsid wsp:val=&quot;009B5125&quot;/&gt;&lt;wsp:rsid wsp:val=&quot;009B5132&quot;/&gt;&lt;wsp:rsid wsp:val=&quot;009B5B0F&quot;/&gt;&lt;wsp:rsid wsp:val=&quot;009B5CD0&quot;/&gt;&lt;wsp:rsid wsp:val=&quot;009B74B7&quot;/&gt;&lt;wsp:rsid wsp:val=&quot;009B7CA8&quot;/&gt;&lt;wsp:rsid wsp:val=&quot;009C0053&quot;/&gt;&lt;wsp:rsid wsp:val=&quot;009C0181&quot;/&gt;&lt;wsp:rsid wsp:val=&quot;009C0ECD&quot;/&gt;&lt;wsp:rsid wsp:val=&quot;009C15C2&quot;/&gt;&lt;wsp:rsid wsp:val=&quot;009C2217&quot;/&gt;&lt;wsp:rsid wsp:val=&quot;009C2ECC&quot;/&gt;&lt;wsp:rsid wsp:val=&quot;009C369F&quot;/&gt;&lt;wsp:rsid wsp:val=&quot;009C3F12&quot;/&gt;&lt;wsp:rsid wsp:val=&quot;009C42FA&quot;/&gt;&lt;wsp:rsid wsp:val=&quot;009C4A18&quot;/&gt;&lt;wsp:rsid wsp:val=&quot;009C4C3D&quot;/&gt;&lt;wsp:rsid wsp:val=&quot;009C4E2C&quot;/&gt;&lt;wsp:rsid wsp:val=&quot;009C5BD2&quot;/&gt;&lt;wsp:rsid wsp:val=&quot;009C6618&quot;/&gt;&lt;wsp:rsid wsp:val=&quot;009C661A&quot;/&gt;&lt;wsp:rsid wsp:val=&quot;009C73E0&quot;/&gt;&lt;wsp:rsid wsp:val=&quot;009D02B7&quot;/&gt;&lt;wsp:rsid wsp:val=&quot;009D0508&quot;/&gt;&lt;wsp:rsid wsp:val=&quot;009D0A84&quot;/&gt;&lt;wsp:rsid wsp:val=&quot;009D1163&quot;/&gt;&lt;wsp:rsid wsp:val=&quot;009D2233&quot;/&gt;&lt;wsp:rsid wsp:val=&quot;009D2743&quot;/&gt;&lt;wsp:rsid wsp:val=&quot;009D30F4&quot;/&gt;&lt;wsp:rsid wsp:val=&quot;009D330A&quot;/&gt;&lt;wsp:rsid wsp:val=&quot;009D34F0&quot;/&gt;&lt;wsp:rsid wsp:val=&quot;009D35E3&quot;/&gt;&lt;wsp:rsid wsp:val=&quot;009D419B&quot;/&gt;&lt;wsp:rsid wsp:val=&quot;009D41C4&quot;/&gt;&lt;wsp:rsid wsp:val=&quot;009D4DA2&quot;/&gt;&lt;wsp:rsid wsp:val=&quot;009D582B&quot;/&gt;&lt;wsp:rsid wsp:val=&quot;009D58F2&quot;/&gt;&lt;wsp:rsid wsp:val=&quot;009D5E64&quot;/&gt;&lt;wsp:rsid wsp:val=&quot;009D5E7E&quot;/&gt;&lt;wsp:rsid wsp:val=&quot;009D5F68&quot;/&gt;&lt;wsp:rsid wsp:val=&quot;009D6112&quot;/&gt;&lt;wsp:rsid wsp:val=&quot;009D6223&quot;/&gt;&lt;wsp:rsid wsp:val=&quot;009D653D&quot;/&gt;&lt;wsp:rsid wsp:val=&quot;009D73F3&quot;/&gt;&lt;wsp:rsid wsp:val=&quot;009D7EA6&quot;/&gt;&lt;wsp:rsid wsp:val=&quot;009E08CA&quot;/&gt;&lt;wsp:rsid wsp:val=&quot;009E0B6E&quot;/&gt;&lt;wsp:rsid wsp:val=&quot;009E1431&quot;/&gt;&lt;wsp:rsid wsp:val=&quot;009E197F&quot;/&gt;&lt;wsp:rsid wsp:val=&quot;009E19C3&quot;/&gt;&lt;wsp:rsid wsp:val=&quot;009E2097&quot;/&gt;&lt;wsp:rsid wsp:val=&quot;009E25A5&quot;/&gt;&lt;wsp:rsid wsp:val=&quot;009E2A76&quot;/&gt;&lt;wsp:rsid wsp:val=&quot;009E2B4D&quot;/&gt;&lt;wsp:rsid wsp:val=&quot;009E2BC1&quot;/&gt;&lt;wsp:rsid wsp:val=&quot;009E2C84&quot;/&gt;&lt;wsp:rsid wsp:val=&quot;009E2D05&quot;/&gt;&lt;wsp:rsid wsp:val=&quot;009E3079&quot;/&gt;&lt;wsp:rsid wsp:val=&quot;009E3FB9&quot;/&gt;&lt;wsp:rsid wsp:val=&quot;009E3FEE&quot;/&gt;&lt;wsp:rsid wsp:val=&quot;009E4093&quot;/&gt;&lt;wsp:rsid wsp:val=&quot;009E4131&quot;/&gt;&lt;wsp:rsid wsp:val=&quot;009E4163&quot;/&gt;&lt;wsp:rsid wsp:val=&quot;009E4813&quot;/&gt;&lt;wsp:rsid wsp:val=&quot;009E4827&quot;/&gt;&lt;wsp:rsid wsp:val=&quot;009E5A1F&quot;/&gt;&lt;wsp:rsid wsp:val=&quot;009E62C0&quot;/&gt;&lt;wsp:rsid wsp:val=&quot;009E6E51&quot;/&gt;&lt;wsp:rsid wsp:val=&quot;009E71C6&quot;/&gt;&lt;wsp:rsid wsp:val=&quot;009E764A&quot;/&gt;&lt;wsp:rsid wsp:val=&quot;009F0C00&quot;/&gt;&lt;wsp:rsid wsp:val=&quot;009F0C4A&quot;/&gt;&lt;wsp:rsid wsp:val=&quot;009F0EDC&quot;/&gt;&lt;wsp:rsid wsp:val=&quot;009F0F8E&quot;/&gt;&lt;wsp:rsid wsp:val=&quot;009F1093&quot;/&gt;&lt;wsp:rsid wsp:val=&quot;009F1822&quot;/&gt;&lt;wsp:rsid wsp:val=&quot;009F1CB4&quot;/&gt;&lt;wsp:rsid wsp:val=&quot;009F24DC&quot;/&gt;&lt;wsp:rsid wsp:val=&quot;009F2873&quot;/&gt;&lt;wsp:rsid wsp:val=&quot;009F2944&quot;/&gt;&lt;wsp:rsid wsp:val=&quot;009F2D93&quot;/&gt;&lt;wsp:rsid wsp:val=&quot;009F34EA&quot;/&gt;&lt;wsp:rsid wsp:val=&quot;009F363E&quot;/&gt;&lt;wsp:rsid wsp:val=&quot;009F4063&quot;/&gt;&lt;wsp:rsid wsp:val=&quot;009F4599&quot;/&gt;&lt;wsp:rsid wsp:val=&quot;009F4942&quot;/&gt;&lt;wsp:rsid wsp:val=&quot;009F4ACD&quot;/&gt;&lt;wsp:rsid wsp:val=&quot;009F567C&quot;/&gt;&lt;wsp:rsid wsp:val=&quot;009F62EC&quot;/&gt;&lt;wsp:rsid wsp:val=&quot;009F64AF&quot;/&gt;&lt;wsp:rsid wsp:val=&quot;009F7634&quot;/&gt;&lt;wsp:rsid wsp:val=&quot;009F7C62&quot;/&gt;&lt;wsp:rsid wsp:val=&quot;00A00FDF&quot;/&gt;&lt;wsp:rsid wsp:val=&quot;00A01107&quot;/&gt;&lt;wsp:rsid wsp:val=&quot;00A0161D&quot;/&gt;&lt;wsp:rsid wsp:val=&quot;00A01E7F&quot;/&gt;&lt;wsp:rsid wsp:val=&quot;00A0230C&quot;/&gt;&lt;wsp:rsid wsp:val=&quot;00A04B6A&quot;/&gt;&lt;wsp:rsid wsp:val=&quot;00A04B9D&quot;/&gt;&lt;wsp:rsid wsp:val=&quot;00A05279&quot;/&gt;&lt;wsp:rsid wsp:val=&quot;00A052A7&quot;/&gt;&lt;wsp:rsid wsp:val=&quot;00A0539E&quot;/&gt;&lt;wsp:rsid wsp:val=&quot;00A056A6&quot;/&gt;&lt;wsp:rsid wsp:val=&quot;00A0587D&quot;/&gt;&lt;wsp:rsid wsp:val=&quot;00A05F02&quot;/&gt;&lt;wsp:rsid wsp:val=&quot;00A06840&quot;/&gt;&lt;wsp:rsid wsp:val=&quot;00A074AE&quot;/&gt;&lt;wsp:rsid wsp:val=&quot;00A07915&quot;/&gt;&lt;wsp:rsid wsp:val=&quot;00A0797B&quot;/&gt;&lt;wsp:rsid wsp:val=&quot;00A07D66&quot;/&gt;&lt;wsp:rsid wsp:val=&quot;00A10799&quot;/&gt;&lt;wsp:rsid wsp:val=&quot;00A10937&quot;/&gt;&lt;wsp:rsid wsp:val=&quot;00A10B2A&quot;/&gt;&lt;wsp:rsid wsp:val=&quot;00A11CAE&quot;/&gt;&lt;wsp:rsid wsp:val=&quot;00A12065&quot;/&gt;&lt;wsp:rsid wsp:val=&quot;00A12793&quot;/&gt;&lt;wsp:rsid wsp:val=&quot;00A127C7&quot;/&gt;&lt;wsp:rsid wsp:val=&quot;00A13C94&quot;/&gt;&lt;wsp:rsid wsp:val=&quot;00A14079&quot;/&gt;&lt;wsp:rsid wsp:val=&quot;00A14229&quot;/&gt;&lt;wsp:rsid wsp:val=&quot;00A146E2&quot;/&gt;&lt;wsp:rsid wsp:val=&quot;00A14C9B&quot;/&gt;&lt;wsp:rsid wsp:val=&quot;00A153F0&quot;/&gt;&lt;wsp:rsid wsp:val=&quot;00A15748&quot;/&gt;&lt;wsp:rsid wsp:val=&quot;00A16195&quot;/&gt;&lt;wsp:rsid wsp:val=&quot;00A16206&quot;/&gt;&lt;wsp:rsid wsp:val=&quot;00A16D6B&quot;/&gt;&lt;wsp:rsid wsp:val=&quot;00A17385&quot;/&gt;&lt;wsp:rsid wsp:val=&quot;00A17EAE&quot;/&gt;&lt;wsp:rsid wsp:val=&quot;00A206A3&quot;/&gt;&lt;wsp:rsid wsp:val=&quot;00A206B4&quot;/&gt;&lt;wsp:rsid wsp:val=&quot;00A20A5F&quot;/&gt;&lt;wsp:rsid wsp:val=&quot;00A2103E&quot;/&gt;&lt;wsp:rsid wsp:val=&quot;00A21579&quot;/&gt;&lt;wsp:rsid wsp:val=&quot;00A218E3&quot;/&gt;&lt;wsp:rsid wsp:val=&quot;00A2251B&quot;/&gt;&lt;wsp:rsid wsp:val=&quot;00A2278D&quot;/&gt;&lt;wsp:rsid wsp:val=&quot;00A227EC&quot;/&gt;&lt;wsp:rsid wsp:val=&quot;00A22A9D&quot;/&gt;&lt;wsp:rsid wsp:val=&quot;00A22CAD&quot;/&gt;&lt;wsp:rsid wsp:val=&quot;00A22CFB&quot;/&gt;&lt;wsp:rsid wsp:val=&quot;00A230A6&quot;/&gt;&lt;wsp:rsid wsp:val=&quot;00A24EB5&quot;/&gt;&lt;wsp:rsid wsp:val=&quot;00A250E8&quot;/&gt;&lt;wsp:rsid wsp:val=&quot;00A25506&quot;/&gt;&lt;wsp:rsid wsp:val=&quot;00A2685F&quot;/&gt;&lt;wsp:rsid wsp:val=&quot;00A2686B&quot;/&gt;&lt;wsp:rsid wsp:val=&quot;00A26FA0&quot;/&gt;&lt;wsp:rsid wsp:val=&quot;00A27246&quot;/&gt;&lt;wsp:rsid wsp:val=&quot;00A27C88&quot;/&gt;&lt;wsp:rsid wsp:val=&quot;00A301A0&quot;/&gt;&lt;wsp:rsid wsp:val=&quot;00A30845&quot;/&gt;&lt;wsp:rsid wsp:val=&quot;00A30C41&quot;/&gt;&lt;wsp:rsid wsp:val=&quot;00A30E99&quot;/&gt;&lt;wsp:rsid wsp:val=&quot;00A31689&quot;/&gt;&lt;wsp:rsid wsp:val=&quot;00A3177A&quot;/&gt;&lt;wsp:rsid wsp:val=&quot;00A32233&quot;/&gt;&lt;wsp:rsid wsp:val=&quot;00A3266E&quot;/&gt;&lt;wsp:rsid wsp:val=&quot;00A327C1&quot;/&gt;&lt;wsp:rsid wsp:val=&quot;00A32BDB&quot;/&gt;&lt;wsp:rsid wsp:val=&quot;00A32EDD&quot;/&gt;&lt;wsp:rsid wsp:val=&quot;00A32F29&quot;/&gt;&lt;wsp:rsid wsp:val=&quot;00A32FC8&quot;/&gt;&lt;wsp:rsid wsp:val=&quot;00A33DE9&quot;/&gt;&lt;wsp:rsid wsp:val=&quot;00A33FCA&quot;/&gt;&lt;wsp:rsid wsp:val=&quot;00A34E55&quot;/&gt;&lt;wsp:rsid wsp:val=&quot;00A350E6&quot;/&gt;&lt;wsp:rsid wsp:val=&quot;00A351BE&quot;/&gt;&lt;wsp:rsid wsp:val=&quot;00A3543C&quot;/&gt;&lt;wsp:rsid wsp:val=&quot;00A356FC&quot;/&gt;&lt;wsp:rsid wsp:val=&quot;00A3599E&quot;/&gt;&lt;wsp:rsid wsp:val=&quot;00A35DA0&quot;/&gt;&lt;wsp:rsid wsp:val=&quot;00A36085&quot;/&gt;&lt;wsp:rsid wsp:val=&quot;00A362E8&quot;/&gt;&lt;wsp:rsid wsp:val=&quot;00A370C3&quot;/&gt;&lt;wsp:rsid wsp:val=&quot;00A37625&quot;/&gt;&lt;wsp:rsid wsp:val=&quot;00A378CA&quot;/&gt;&lt;wsp:rsid wsp:val=&quot;00A37FA2&quot;/&gt;&lt;wsp:rsid wsp:val=&quot;00A4088D&quot;/&gt;&lt;wsp:rsid wsp:val=&quot;00A40A37&quot;/&gt;&lt;wsp:rsid wsp:val=&quot;00A40B75&quot;/&gt;&lt;wsp:rsid wsp:val=&quot;00A424AB&quot;/&gt;&lt;wsp:rsid wsp:val=&quot;00A42538&quot;/&gt;&lt;wsp:rsid wsp:val=&quot;00A42CC6&quot;/&gt;&lt;wsp:rsid wsp:val=&quot;00A433AA&quot;/&gt;&lt;wsp:rsid wsp:val=&quot;00A43773&quot;/&gt;&lt;wsp:rsid wsp:val=&quot;00A44050&quot;/&gt;&lt;wsp:rsid wsp:val=&quot;00A4457A&quot;/&gt;&lt;wsp:rsid wsp:val=&quot;00A44584&quot;/&gt;&lt;wsp:rsid wsp:val=&quot;00A447A1&quot;/&gt;&lt;wsp:rsid wsp:val=&quot;00A44AE5&quot;/&gt;&lt;wsp:rsid wsp:val=&quot;00A45E04&quot;/&gt;&lt;wsp:rsid wsp:val=&quot;00A461AC&quot;/&gt;&lt;wsp:rsid wsp:val=&quot;00A4698B&quot;/&gt;&lt;wsp:rsid wsp:val=&quot;00A46C90&quot;/&gt;&lt;wsp:rsid wsp:val=&quot;00A46DDC&quot;/&gt;&lt;wsp:rsid wsp:val=&quot;00A47A52&quot;/&gt;&lt;wsp:rsid wsp:val=&quot;00A47DA8&quot;/&gt;&lt;wsp:rsid wsp:val=&quot;00A5109E&quot;/&gt;&lt;wsp:rsid wsp:val=&quot;00A51AEC&quot;/&gt;&lt;wsp:rsid wsp:val=&quot;00A51C39&quot;/&gt;&lt;wsp:rsid wsp:val=&quot;00A51CDF&quot;/&gt;&lt;wsp:rsid wsp:val=&quot;00A52ACF&quot;/&gt;&lt;wsp:rsid wsp:val=&quot;00A52CA5&quot;/&gt;&lt;wsp:rsid wsp:val=&quot;00A52EF7&quot;/&gt;&lt;wsp:rsid wsp:val=&quot;00A530EE&quot;/&gt;&lt;wsp:rsid wsp:val=&quot;00A53AED&quot;/&gt;&lt;wsp:rsid wsp:val=&quot;00A53B5C&quot;/&gt;&lt;wsp:rsid wsp:val=&quot;00A53C3F&quot;/&gt;&lt;wsp:rsid wsp:val=&quot;00A53C90&quot;/&gt;&lt;wsp:rsid wsp:val=&quot;00A53C91&quot;/&gt;&lt;wsp:rsid wsp:val=&quot;00A543F1&quot;/&gt;&lt;wsp:rsid wsp:val=&quot;00A544D2&quot;/&gt;&lt;wsp:rsid wsp:val=&quot;00A548A9&quot;/&gt;&lt;wsp:rsid wsp:val=&quot;00A54AD6&quot;/&gt;&lt;wsp:rsid wsp:val=&quot;00A54C67&quot;/&gt;&lt;wsp:rsid wsp:val=&quot;00A55096&quot;/&gt;&lt;wsp:rsid wsp:val=&quot;00A551EF&quot;/&gt;&lt;wsp:rsid wsp:val=&quot;00A556A6&quot;/&gt;&lt;wsp:rsid wsp:val=&quot;00A556AD&quot;/&gt;&lt;wsp:rsid wsp:val=&quot;00A55DB8&quot;/&gt;&lt;wsp:rsid wsp:val=&quot;00A5612F&quot;/&gt;&lt;wsp:rsid wsp:val=&quot;00A56A19&quot;/&gt;&lt;wsp:rsid wsp:val=&quot;00A56EC5&quot;/&gt;&lt;wsp:rsid wsp:val=&quot;00A57792&quot;/&gt;&lt;wsp:rsid wsp:val=&quot;00A57A3B&quot;/&gt;&lt;wsp:rsid wsp:val=&quot;00A57E5F&quot;/&gt;&lt;wsp:rsid wsp:val=&quot;00A603DF&quot;/&gt;&lt;wsp:rsid wsp:val=&quot;00A607AA&quot;/&gt;&lt;wsp:rsid wsp:val=&quot;00A60C87&quot;/&gt;&lt;wsp:rsid wsp:val=&quot;00A610BF&quot;/&gt;&lt;wsp:rsid wsp:val=&quot;00A610D2&quot;/&gt;&lt;wsp:rsid wsp:val=&quot;00A611F0&quot;/&gt;&lt;wsp:rsid wsp:val=&quot;00A611F3&quot;/&gt;&lt;wsp:rsid wsp:val=&quot;00A61D2C&quot;/&gt;&lt;wsp:rsid wsp:val=&quot;00A62015&quot;/&gt;&lt;wsp:rsid wsp:val=&quot;00A622F5&quot;/&gt;&lt;wsp:rsid wsp:val=&quot;00A62374&quot;/&gt;&lt;wsp:rsid wsp:val=&quot;00A623FA&quot;/&gt;&lt;wsp:rsid wsp:val=&quot;00A62611&quot;/&gt;&lt;wsp:rsid wsp:val=&quot;00A62652&quot;/&gt;&lt;wsp:rsid wsp:val=&quot;00A62835&quot;/&gt;&lt;wsp:rsid wsp:val=&quot;00A63415&quot;/&gt;&lt;wsp:rsid wsp:val=&quot;00A63503&quot;/&gt;&lt;wsp:rsid wsp:val=&quot;00A635DC&quot;/&gt;&lt;wsp:rsid wsp:val=&quot;00A63AE5&quot;/&gt;&lt;wsp:rsid wsp:val=&quot;00A63C2A&quot;/&gt;&lt;wsp:rsid wsp:val=&quot;00A63CC8&quot;/&gt;&lt;wsp:rsid wsp:val=&quot;00A6537F&quot;/&gt;&lt;wsp:rsid wsp:val=&quot;00A6552A&quot;/&gt;&lt;wsp:rsid wsp:val=&quot;00A655FD&quot;/&gt;&lt;wsp:rsid wsp:val=&quot;00A65722&quot;/&gt;&lt;wsp:rsid wsp:val=&quot;00A66582&quot;/&gt;&lt;wsp:rsid wsp:val=&quot;00A669B3&quot;/&gt;&lt;wsp:rsid wsp:val=&quot;00A66E32&quot;/&gt;&lt;wsp:rsid wsp:val=&quot;00A672FE&quot;/&gt;&lt;wsp:rsid wsp:val=&quot;00A67372&quot;/&gt;&lt;wsp:rsid wsp:val=&quot;00A67759&quot;/&gt;&lt;wsp:rsid wsp:val=&quot;00A677E5&quot;/&gt;&lt;wsp:rsid wsp:val=&quot;00A6784F&quot;/&gt;&lt;wsp:rsid wsp:val=&quot;00A709BF&quot;/&gt;&lt;wsp:rsid wsp:val=&quot;00A71092&quot;/&gt;&lt;wsp:rsid wsp:val=&quot;00A71167&quot;/&gt;&lt;wsp:rsid wsp:val=&quot;00A7131D&quot;/&gt;&lt;wsp:rsid wsp:val=&quot;00A71320&quot;/&gt;&lt;wsp:rsid wsp:val=&quot;00A7178B&quot;/&gt;&lt;wsp:rsid wsp:val=&quot;00A71F04&quot;/&gt;&lt;wsp:rsid wsp:val=&quot;00A72686&quot;/&gt;&lt;wsp:rsid wsp:val=&quot;00A7291A&quot;/&gt;&lt;wsp:rsid wsp:val=&quot;00A72EEC&quot;/&gt;&lt;wsp:rsid wsp:val=&quot;00A735C9&quot;/&gt;&lt;wsp:rsid wsp:val=&quot;00A7517C&quot;/&gt;&lt;wsp:rsid wsp:val=&quot;00A75649&quot;/&gt;&lt;wsp:rsid wsp:val=&quot;00A7575D&quot;/&gt;&lt;wsp:rsid wsp:val=&quot;00A75838&quot;/&gt;&lt;wsp:rsid wsp:val=&quot;00A75D46&quot;/&gt;&lt;wsp:rsid wsp:val=&quot;00A75F3C&quot;/&gt;&lt;wsp:rsid wsp:val=&quot;00A7675C&quot;/&gt;&lt;wsp:rsid wsp:val=&quot;00A77762&quot;/&gt;&lt;wsp:rsid wsp:val=&quot;00A77BB6&quot;/&gt;&lt;wsp:rsid wsp:val=&quot;00A8034A&quot;/&gt;&lt;wsp:rsid wsp:val=&quot;00A80846&quot;/&gt;&lt;wsp:rsid wsp:val=&quot;00A80889&quot;/&gt;&lt;wsp:rsid wsp:val=&quot;00A8145B&quot;/&gt;&lt;wsp:rsid wsp:val=&quot;00A81DE3&quot;/&gt;&lt;wsp:rsid wsp:val=&quot;00A81EB8&quot;/&gt;&lt;wsp:rsid wsp:val=&quot;00A8207D&quot;/&gt;&lt;wsp:rsid wsp:val=&quot;00A82408&quot;/&gt;&lt;wsp:rsid wsp:val=&quot;00A82649&quot;/&gt;&lt;wsp:rsid wsp:val=&quot;00A82E06&quot;/&gt;&lt;wsp:rsid wsp:val=&quot;00A82E87&quot;/&gt;&lt;wsp:rsid wsp:val=&quot;00A83BBD&quot;/&gt;&lt;wsp:rsid wsp:val=&quot;00A84240&quot;/&gt;&lt;wsp:rsid wsp:val=&quot;00A84730&quot;/&gt;&lt;wsp:rsid wsp:val=&quot;00A8566B&quot;/&gt;&lt;wsp:rsid wsp:val=&quot;00A856D6&quot;/&gt;&lt;wsp:rsid wsp:val=&quot;00A860F7&quot;/&gt;&lt;wsp:rsid wsp:val=&quot;00A865C9&quot;/&gt;&lt;wsp:rsid wsp:val=&quot;00A86DB7&quot;/&gt;&lt;wsp:rsid wsp:val=&quot;00A87186&quot;/&gt;&lt;wsp:rsid wsp:val=&quot;00A87FDE&quot;/&gt;&lt;wsp:rsid wsp:val=&quot;00A90286&quot;/&gt;&lt;wsp:rsid wsp:val=&quot;00A906C6&quot;/&gt;&lt;wsp:rsid wsp:val=&quot;00A912C0&quot;/&gt;&lt;wsp:rsid wsp:val=&quot;00A913D0&quot;/&gt;&lt;wsp:rsid wsp:val=&quot;00A91E57&quot;/&gt;&lt;wsp:rsid wsp:val=&quot;00A92023&quot;/&gt;&lt;wsp:rsid wsp:val=&quot;00A92353&quot;/&gt;&lt;wsp:rsid wsp:val=&quot;00A92822&quot;/&gt;&lt;wsp:rsid wsp:val=&quot;00A92C52&quot;/&gt;&lt;wsp:rsid wsp:val=&quot;00A9314A&quot;/&gt;&lt;wsp:rsid wsp:val=&quot;00A9480D&quot;/&gt;&lt;wsp:rsid wsp:val=&quot;00A94B38&quot;/&gt;&lt;wsp:rsid wsp:val=&quot;00A95029&quot;/&gt;&lt;wsp:rsid wsp:val=&quot;00A9535D&quot;/&gt;&lt;wsp:rsid wsp:val=&quot;00A955DF&quot;/&gt;&lt;wsp:rsid wsp:val=&quot;00A957CB&quot;/&gt;&lt;wsp:rsid wsp:val=&quot;00A95EF7&quot;/&gt;&lt;wsp:rsid wsp:val=&quot;00A965F2&quot;/&gt;&lt;wsp:rsid wsp:val=&quot;00A96638&quot;/&gt;&lt;wsp:rsid wsp:val=&quot;00A9689B&quot;/&gt;&lt;wsp:rsid wsp:val=&quot;00A969C9&quot;/&gt;&lt;wsp:rsid wsp:val=&quot;00A96EFF&quot;/&gt;&lt;wsp:rsid wsp:val=&quot;00A97442&quot;/&gt;&lt;wsp:rsid wsp:val=&quot;00A9788C&quot;/&gt;&lt;wsp:rsid wsp:val=&quot;00A97E5E&quot;/&gt;&lt;wsp:rsid wsp:val=&quot;00AA0B5A&quot;/&gt;&lt;wsp:rsid wsp:val=&quot;00AA0C29&quot;/&gt;&lt;wsp:rsid wsp:val=&quot;00AA111C&quot;/&gt;&lt;wsp:rsid wsp:val=&quot;00AA11F3&quot;/&gt;&lt;wsp:rsid wsp:val=&quot;00AA1993&quot;/&gt;&lt;wsp:rsid wsp:val=&quot;00AA2021&quot;/&gt;&lt;wsp:rsid wsp:val=&quot;00AA21BA&quot;/&gt;&lt;wsp:rsid wsp:val=&quot;00AA22B1&quot;/&gt;&lt;wsp:rsid wsp:val=&quot;00AA2300&quot;/&gt;&lt;wsp:rsid wsp:val=&quot;00AA2D16&quot;/&gt;&lt;wsp:rsid wsp:val=&quot;00AA2DBF&quot;/&gt;&lt;wsp:rsid wsp:val=&quot;00AA3060&quot;/&gt;&lt;wsp:rsid wsp:val=&quot;00AA3826&quot;/&gt;&lt;wsp:rsid wsp:val=&quot;00AA383D&quot;/&gt;&lt;wsp:rsid wsp:val=&quot;00AA392C&quot;/&gt;&lt;wsp:rsid wsp:val=&quot;00AA3E54&quot;/&gt;&lt;wsp:rsid wsp:val=&quot;00AA466C&quot;/&gt;&lt;wsp:rsid wsp:val=&quot;00AA471B&quot;/&gt;&lt;wsp:rsid wsp:val=&quot;00AA4788&quot;/&gt;&lt;wsp:rsid wsp:val=&quot;00AA4D8F&quot;/&gt;&lt;wsp:rsid wsp:val=&quot;00AA4E26&quot;/&gt;&lt;wsp:rsid wsp:val=&quot;00AA627B&quot;/&gt;&lt;wsp:rsid wsp:val=&quot;00AA6AE8&quot;/&gt;&lt;wsp:rsid wsp:val=&quot;00AA6B9B&quot;/&gt;&lt;wsp:rsid wsp:val=&quot;00AA7874&quot;/&gt;&lt;wsp:rsid wsp:val=&quot;00AA7CC3&quot;/&gt;&lt;wsp:rsid wsp:val=&quot;00AB03A3&quot;/&gt;&lt;wsp:rsid wsp:val=&quot;00AB04A8&quot;/&gt;&lt;wsp:rsid wsp:val=&quot;00AB0626&quot;/&gt;&lt;wsp:rsid wsp:val=&quot;00AB0AA6&quot;/&gt;&lt;wsp:rsid wsp:val=&quot;00AB0AE1&quot;/&gt;&lt;wsp:rsid wsp:val=&quot;00AB0B08&quot;/&gt;&lt;wsp:rsid wsp:val=&quot;00AB0E89&quot;/&gt;&lt;wsp:rsid wsp:val=&quot;00AB1424&quot;/&gt;&lt;wsp:rsid wsp:val=&quot;00AB189A&quot;/&gt;&lt;wsp:rsid wsp:val=&quot;00AB1BD7&quot;/&gt;&lt;wsp:rsid wsp:val=&quot;00AB1D8F&quot;/&gt;&lt;wsp:rsid wsp:val=&quot;00AB2AF6&quot;/&gt;&lt;wsp:rsid wsp:val=&quot;00AB34D4&quot;/&gt;&lt;wsp:rsid wsp:val=&quot;00AB36FA&quot;/&gt;&lt;wsp:rsid wsp:val=&quot;00AB3A02&quot;/&gt;&lt;wsp:rsid wsp:val=&quot;00AB3DF3&quot;/&gt;&lt;wsp:rsid wsp:val=&quot;00AB3EE0&quot;/&gt;&lt;wsp:rsid wsp:val=&quot;00AB3F14&quot;/&gt;&lt;wsp:rsid wsp:val=&quot;00AB40E4&quot;/&gt;&lt;wsp:rsid wsp:val=&quot;00AB4416&quot;/&gt;&lt;wsp:rsid wsp:val=&quot;00AB4914&quot;/&gt;&lt;wsp:rsid wsp:val=&quot;00AB4A82&quot;/&gt;&lt;wsp:rsid wsp:val=&quot;00AB509D&quot;/&gt;&lt;wsp:rsid wsp:val=&quot;00AB5286&quot;/&gt;&lt;wsp:rsid wsp:val=&quot;00AB541C&quot;/&gt;&lt;wsp:rsid wsp:val=&quot;00AB567E&quot;/&gt;&lt;wsp:rsid wsp:val=&quot;00AB56A3&quot;/&gt;&lt;wsp:rsid wsp:val=&quot;00AB69D1&quot;/&gt;&lt;wsp:rsid wsp:val=&quot;00AB6A1E&quot;/&gt;&lt;wsp:rsid wsp:val=&quot;00AB6D52&quot;/&gt;&lt;wsp:rsid wsp:val=&quot;00AB6E87&quot;/&gt;&lt;wsp:rsid wsp:val=&quot;00AB7A0F&quot;/&gt;&lt;wsp:rsid wsp:val=&quot;00AB7B8A&quot;/&gt;&lt;wsp:rsid wsp:val=&quot;00AB7F12&quot;/&gt;&lt;wsp:rsid wsp:val=&quot;00AB7FD0&quot;/&gt;&lt;wsp:rsid wsp:val=&quot;00AC034E&quot;/&gt;&lt;wsp:rsid wsp:val=&quot;00AC0E84&quot;/&gt;&lt;wsp:rsid wsp:val=&quot;00AC0FB4&quot;/&gt;&lt;wsp:rsid wsp:val=&quot;00AC1098&quot;/&gt;&lt;wsp:rsid wsp:val=&quot;00AC1296&quot;/&gt;&lt;wsp:rsid wsp:val=&quot;00AC16B2&quot;/&gt;&lt;wsp:rsid wsp:val=&quot;00AC175B&quot;/&gt;&lt;wsp:rsid wsp:val=&quot;00AC1928&quot;/&gt;&lt;wsp:rsid wsp:val=&quot;00AC2056&quot;/&gt;&lt;wsp:rsid wsp:val=&quot;00AC21A7&quot;/&gt;&lt;wsp:rsid wsp:val=&quot;00AC21BF&quot;/&gt;&lt;wsp:rsid wsp:val=&quot;00AC230B&quot;/&gt;&lt;wsp:rsid wsp:val=&quot;00AC320A&quot;/&gt;&lt;wsp:rsid wsp:val=&quot;00AC33E1&quot;/&gt;&lt;wsp:rsid wsp:val=&quot;00AC3435&quot;/&gt;&lt;wsp:rsid wsp:val=&quot;00AC3479&quot;/&gt;&lt;wsp:rsid wsp:val=&quot;00AC36AB&quot;/&gt;&lt;wsp:rsid wsp:val=&quot;00AC36EC&quot;/&gt;&lt;wsp:rsid wsp:val=&quot;00AC3911&quot;/&gt;&lt;wsp:rsid wsp:val=&quot;00AC3A7F&quot;/&gt;&lt;wsp:rsid wsp:val=&quot;00AC3E57&quot;/&gt;&lt;wsp:rsid wsp:val=&quot;00AC4001&quot;/&gt;&lt;wsp:rsid wsp:val=&quot;00AC40D0&quot;/&gt;&lt;wsp:rsid wsp:val=&quot;00AC466F&quot;/&gt;&lt;wsp:rsid wsp:val=&quot;00AC4A56&quot;/&gt;&lt;wsp:rsid wsp:val=&quot;00AC4B16&quot;/&gt;&lt;wsp:rsid wsp:val=&quot;00AC5022&quot;/&gt;&lt;wsp:rsid wsp:val=&quot;00AC5143&quot;/&gt;&lt;wsp:rsid wsp:val=&quot;00AC54F6&quot;/&gt;&lt;wsp:rsid wsp:val=&quot;00AC66F2&quot;/&gt;&lt;wsp:rsid wsp:val=&quot;00AC683D&quot;/&gt;&lt;wsp:rsid wsp:val=&quot;00AC6841&quot;/&gt;&lt;wsp:rsid wsp:val=&quot;00AC6B20&quot;/&gt;&lt;wsp:rsid wsp:val=&quot;00AC6BA4&quot;/&gt;&lt;wsp:rsid wsp:val=&quot;00AC6C5B&quot;/&gt;&lt;wsp:rsid wsp:val=&quot;00AC6C5C&quot;/&gt;&lt;wsp:rsid wsp:val=&quot;00AC7324&quot;/&gt;&lt;wsp:rsid wsp:val=&quot;00AC7C2A&quot;/&gt;&lt;wsp:rsid wsp:val=&quot;00AD0509&quot;/&gt;&lt;wsp:rsid wsp:val=&quot;00AD08A3&quot;/&gt;&lt;wsp:rsid wsp:val=&quot;00AD0C6F&quot;/&gt;&lt;wsp:rsid wsp:val=&quot;00AD0E6D&quot;/&gt;&lt;wsp:rsid wsp:val=&quot;00AD1D70&quot;/&gt;&lt;wsp:rsid wsp:val=&quot;00AD1ED6&quot;/&gt;&lt;wsp:rsid wsp:val=&quot;00AD2158&quot;/&gt;&lt;wsp:rsid wsp:val=&quot;00AD2494&quot;/&gt;&lt;wsp:rsid wsp:val=&quot;00AD2C1B&quot;/&gt;&lt;wsp:rsid wsp:val=&quot;00AD2D00&quot;/&gt;&lt;wsp:rsid wsp:val=&quot;00AD2F3C&quot;/&gt;&lt;wsp:rsid wsp:val=&quot;00AD30D9&quot;/&gt;&lt;wsp:rsid wsp:val=&quot;00AD3BDD&quot;/&gt;&lt;wsp:rsid wsp:val=&quot;00AD4987&quot;/&gt;&lt;wsp:rsid wsp:val=&quot;00AD4F18&quot;/&gt;&lt;wsp:rsid wsp:val=&quot;00AD532E&quot;/&gt;&lt;wsp:rsid wsp:val=&quot;00AD5574&quot;/&gt;&lt;wsp:rsid wsp:val=&quot;00AD5F2A&quot;/&gt;&lt;wsp:rsid wsp:val=&quot;00AD60BB&quot;/&gt;&lt;wsp:rsid wsp:val=&quot;00AD6123&quot;/&gt;&lt;wsp:rsid wsp:val=&quot;00AE0557&quot;/&gt;&lt;wsp:rsid wsp:val=&quot;00AE0B29&quot;/&gt;&lt;wsp:rsid wsp:val=&quot;00AE0B9B&quot;/&gt;&lt;wsp:rsid wsp:val=&quot;00AE0E47&quot;/&gt;&lt;wsp:rsid wsp:val=&quot;00AE0EED&quot;/&gt;&lt;wsp:rsid wsp:val=&quot;00AE11CA&quot;/&gt;&lt;wsp:rsid wsp:val=&quot;00AE17FB&quot;/&gt;&lt;wsp:rsid wsp:val=&quot;00AE1BD7&quot;/&gt;&lt;wsp:rsid wsp:val=&quot;00AE1FF4&quot;/&gt;&lt;wsp:rsid wsp:val=&quot;00AE222B&quot;/&gt;&lt;wsp:rsid wsp:val=&quot;00AE26F2&quot;/&gt;&lt;wsp:rsid wsp:val=&quot;00AE2F6A&quot;/&gt;&lt;wsp:rsid wsp:val=&quot;00AE32B0&quot;/&gt;&lt;wsp:rsid wsp:val=&quot;00AE36C1&quot;/&gt;&lt;wsp:rsid wsp:val=&quot;00AE3A8E&quot;/&gt;&lt;wsp:rsid wsp:val=&quot;00AE3C03&quot;/&gt;&lt;wsp:rsid wsp:val=&quot;00AE3CA4&quot;/&gt;&lt;wsp:rsid wsp:val=&quot;00AE4590&quot;/&gt;&lt;wsp:rsid wsp:val=&quot;00AE46E5&quot;/&gt;&lt;wsp:rsid wsp:val=&quot;00AE4E83&quot;/&gt;&lt;wsp:rsid wsp:val=&quot;00AE5175&quot;/&gt;&lt;wsp:rsid wsp:val=&quot;00AE524C&quot;/&gt;&lt;wsp:rsid wsp:val=&quot;00AE5404&quot;/&gt;&lt;wsp:rsid wsp:val=&quot;00AE602B&quot;/&gt;&lt;wsp:rsid wsp:val=&quot;00AE7592&quot;/&gt;&lt;wsp:rsid wsp:val=&quot;00AE7D9A&quot;/&gt;&lt;wsp:rsid wsp:val=&quot;00AE7DAD&quot;/&gt;&lt;wsp:rsid wsp:val=&quot;00AE7DCF&quot;/&gt;&lt;wsp:rsid wsp:val=&quot;00AE7E23&quot;/&gt;&lt;wsp:rsid wsp:val=&quot;00AE7F29&quot;/&gt;&lt;wsp:rsid wsp:val=&quot;00AF04FE&quot;/&gt;&lt;wsp:rsid wsp:val=&quot;00AF080A&quot;/&gt;&lt;wsp:rsid wsp:val=&quot;00AF09FC&quot;/&gt;&lt;wsp:rsid wsp:val=&quot;00AF0A43&quot;/&gt;&lt;wsp:rsid wsp:val=&quot;00AF0E70&quot;/&gt;&lt;wsp:rsid wsp:val=&quot;00AF0F10&quot;/&gt;&lt;wsp:rsid wsp:val=&quot;00AF1249&quot;/&gt;&lt;wsp:rsid wsp:val=&quot;00AF167F&quot;/&gt;&lt;wsp:rsid wsp:val=&quot;00AF16F5&quot;/&gt;&lt;wsp:rsid wsp:val=&quot;00AF18B7&quot;/&gt;&lt;wsp:rsid wsp:val=&quot;00AF1D35&quot;/&gt;&lt;wsp:rsid wsp:val=&quot;00AF1E8F&quot;/&gt;&lt;wsp:rsid wsp:val=&quot;00AF1EE5&quot;/&gt;&lt;wsp:rsid wsp:val=&quot;00AF24A3&quot;/&gt;&lt;wsp:rsid wsp:val=&quot;00AF26D9&quot;/&gt;&lt;wsp:rsid wsp:val=&quot;00AF26F7&quot;/&gt;&lt;wsp:rsid wsp:val=&quot;00AF2FBD&quot;/&gt;&lt;wsp:rsid wsp:val=&quot;00AF330A&quot;/&gt;&lt;wsp:rsid wsp:val=&quot;00AF347F&quot;/&gt;&lt;wsp:rsid wsp:val=&quot;00AF35FB&quot;/&gt;&lt;wsp:rsid wsp:val=&quot;00AF391E&quot;/&gt;&lt;wsp:rsid wsp:val=&quot;00AF3E6B&quot;/&gt;&lt;wsp:rsid wsp:val=&quot;00AF3F63&quot;/&gt;&lt;wsp:rsid wsp:val=&quot;00AF3FFB&quot;/&gt;&lt;wsp:rsid wsp:val=&quot;00AF4507&quot;/&gt;&lt;wsp:rsid wsp:val=&quot;00AF453B&quot;/&gt;&lt;wsp:rsid wsp:val=&quot;00AF5859&quot;/&gt;&lt;wsp:rsid wsp:val=&quot;00AF5B41&quot;/&gt;&lt;wsp:rsid wsp:val=&quot;00AF63C0&quot;/&gt;&lt;wsp:rsid wsp:val=&quot;00AF68EB&quot;/&gt;&lt;wsp:rsid wsp:val=&quot;00AF732B&quot;/&gt;&lt;wsp:rsid wsp:val=&quot;00AF749A&quot;/&gt;&lt;wsp:rsid wsp:val=&quot;00AF7ED5&quot;/&gt;&lt;wsp:rsid wsp:val=&quot;00B000A3&quot;/&gt;&lt;wsp:rsid wsp:val=&quot;00B00341&quot;/&gt;&lt;wsp:rsid wsp:val=&quot;00B00644&quot;/&gt;&lt;wsp:rsid wsp:val=&quot;00B00680&quot;/&gt;&lt;wsp:rsid wsp:val=&quot;00B00E0F&quot;/&gt;&lt;wsp:rsid wsp:val=&quot;00B01791&quot;/&gt;&lt;wsp:rsid wsp:val=&quot;00B01851&quot;/&gt;&lt;wsp:rsid wsp:val=&quot;00B025DB&quot;/&gt;&lt;wsp:rsid wsp:val=&quot;00B02A43&quot;/&gt;&lt;wsp:rsid wsp:val=&quot;00B02C15&quot;/&gt;&lt;wsp:rsid wsp:val=&quot;00B03367&quot;/&gt;&lt;wsp:rsid wsp:val=&quot;00B037AB&quot;/&gt;&lt;wsp:rsid wsp:val=&quot;00B038D6&quot;/&gt;&lt;wsp:rsid wsp:val=&quot;00B0410F&quot;/&gt;&lt;wsp:rsid wsp:val=&quot;00B042E0&quot;/&gt;&lt;wsp:rsid wsp:val=&quot;00B04331&quot;/&gt;&lt;wsp:rsid wsp:val=&quot;00B04826&quot;/&gt;&lt;wsp:rsid wsp:val=&quot;00B0482D&quot;/&gt;&lt;wsp:rsid wsp:val=&quot;00B04E26&quot;/&gt;&lt;wsp:rsid wsp:val=&quot;00B05326&quot;/&gt;&lt;wsp:rsid wsp:val=&quot;00B05C3C&quot;/&gt;&lt;wsp:rsid wsp:val=&quot;00B0632D&quot;/&gt;&lt;wsp:rsid wsp:val=&quot;00B06456&quot;/&gt;&lt;wsp:rsid wsp:val=&quot;00B06ECC&quot;/&gt;&lt;wsp:rsid wsp:val=&quot;00B07562&quot;/&gt;&lt;wsp:rsid wsp:val=&quot;00B07A28&quot;/&gt;&lt;wsp:rsid wsp:val=&quot;00B07C76&quot;/&gt;&lt;wsp:rsid wsp:val=&quot;00B1003F&quot;/&gt;&lt;wsp:rsid wsp:val=&quot;00B1034C&quot;/&gt;&lt;wsp:rsid wsp:val=&quot;00B10350&quot;/&gt;&lt;wsp:rsid wsp:val=&quot;00B105DF&quot;/&gt;&lt;wsp:rsid wsp:val=&quot;00B1087F&quot;/&gt;&lt;wsp:rsid wsp:val=&quot;00B1094B&quot;/&gt;&lt;wsp:rsid wsp:val=&quot;00B10A5E&quot;/&gt;&lt;wsp:rsid wsp:val=&quot;00B10DF9&quot;/&gt;&lt;wsp:rsid wsp:val=&quot;00B11335&quot;/&gt;&lt;wsp:rsid wsp:val=&quot;00B11515&quot;/&gt;&lt;wsp:rsid wsp:val=&quot;00B12640&quot;/&gt;&lt;wsp:rsid wsp:val=&quot;00B128C1&quot;/&gt;&lt;wsp:rsid wsp:val=&quot;00B13361&quot;/&gt;&lt;wsp:rsid wsp:val=&quot;00B1377C&quot;/&gt;&lt;wsp:rsid wsp:val=&quot;00B13AAF&quot;/&gt;&lt;wsp:rsid wsp:val=&quot;00B14157&quot;/&gt;&lt;wsp:rsid wsp:val=&quot;00B141C7&quot;/&gt;&lt;wsp:rsid wsp:val=&quot;00B14577&quot;/&gt;&lt;wsp:rsid wsp:val=&quot;00B145E0&quot;/&gt;&lt;wsp:rsid wsp:val=&quot;00B14B90&quot;/&gt;&lt;wsp:rsid wsp:val=&quot;00B14D6F&quot;/&gt;&lt;wsp:rsid wsp:val=&quot;00B154D1&quot;/&gt;&lt;wsp:rsid wsp:val=&quot;00B15541&quot;/&gt;&lt;wsp:rsid wsp:val=&quot;00B1683F&quot;/&gt;&lt;wsp:rsid wsp:val=&quot;00B16EF0&quot;/&gt;&lt;wsp:rsid wsp:val=&quot;00B177CE&quot;/&gt;&lt;wsp:rsid wsp:val=&quot;00B20331&quot;/&gt;&lt;wsp:rsid wsp:val=&quot;00B206F2&quot;/&gt;&lt;wsp:rsid wsp:val=&quot;00B20C63&quot;/&gt;&lt;wsp:rsid wsp:val=&quot;00B20FBC&quot;/&gt;&lt;wsp:rsid wsp:val=&quot;00B2148D&quot;/&gt;&lt;wsp:rsid wsp:val=&quot;00B21A1D&quot;/&gt;&lt;wsp:rsid wsp:val=&quot;00B21C14&quot;/&gt;&lt;wsp:rsid wsp:val=&quot;00B21F6D&quot;/&gt;&lt;wsp:rsid wsp:val=&quot;00B221A9&quot;/&gt;&lt;wsp:rsid wsp:val=&quot;00B23336&quot;/&gt;&lt;wsp:rsid wsp:val=&quot;00B236AC&quot;/&gt;&lt;wsp:rsid wsp:val=&quot;00B23B96&quot;/&gt;&lt;wsp:rsid wsp:val=&quot;00B23EF4&quot;/&gt;&lt;wsp:rsid wsp:val=&quot;00B24A59&quot;/&gt;&lt;wsp:rsid wsp:val=&quot;00B24BC2&quot;/&gt;&lt;wsp:rsid wsp:val=&quot;00B24CC4&quot;/&gt;&lt;wsp:rsid wsp:val=&quot;00B257A9&quot;/&gt;&lt;wsp:rsid wsp:val=&quot;00B25EF5&quot;/&gt;&lt;wsp:rsid wsp:val=&quot;00B25F8F&quot;/&gt;&lt;wsp:rsid wsp:val=&quot;00B25FA4&quot;/&gt;&lt;wsp:rsid wsp:val=&quot;00B270E8&quot;/&gt;&lt;wsp:rsid wsp:val=&quot;00B27B91&quot;/&gt;&lt;wsp:rsid wsp:val=&quot;00B27D6A&quot;/&gt;&lt;wsp:rsid wsp:val=&quot;00B30472&quot;/&gt;&lt;wsp:rsid wsp:val=&quot;00B3056F&quot;/&gt;&lt;wsp:rsid wsp:val=&quot;00B314E9&quot;/&gt;&lt;wsp:rsid wsp:val=&quot;00B316A1&quot;/&gt;&lt;wsp:rsid wsp:val=&quot;00B31BB6&quot;/&gt;&lt;wsp:rsid wsp:val=&quot;00B31E15&quot;/&gt;&lt;wsp:rsid wsp:val=&quot;00B32938&quot;/&gt;&lt;wsp:rsid wsp:val=&quot;00B32D18&quot;/&gt;&lt;wsp:rsid wsp:val=&quot;00B336F0&quot;/&gt;&lt;wsp:rsid wsp:val=&quot;00B337D6&quot;/&gt;&lt;wsp:rsid wsp:val=&quot;00B3414D&quot;/&gt;&lt;wsp:rsid wsp:val=&quot;00B34A12&quot;/&gt;&lt;wsp:rsid wsp:val=&quot;00B353E8&quot;/&gt;&lt;wsp:rsid wsp:val=&quot;00B360F6&quot;/&gt;&lt;wsp:rsid wsp:val=&quot;00B361B9&quot;/&gt;&lt;wsp:rsid wsp:val=&quot;00B3662E&quot;/&gt;&lt;wsp:rsid wsp:val=&quot;00B37094&quot;/&gt;&lt;wsp:rsid wsp:val=&quot;00B3713C&quot;/&gt;&lt;wsp:rsid wsp:val=&quot;00B37550&quot;/&gt;&lt;wsp:rsid wsp:val=&quot;00B377DA&quot;/&gt;&lt;wsp:rsid wsp:val=&quot;00B37D2B&quot;/&gt;&lt;wsp:rsid wsp:val=&quot;00B40158&quot;/&gt;&lt;wsp:rsid wsp:val=&quot;00B40214&quot;/&gt;&lt;wsp:rsid wsp:val=&quot;00B40EC7&quot;/&gt;&lt;wsp:rsid wsp:val=&quot;00B4100B&quot;/&gt;&lt;wsp:rsid wsp:val=&quot;00B417E8&quot;/&gt;&lt;wsp:rsid wsp:val=&quot;00B4182A&quot;/&gt;&lt;wsp:rsid wsp:val=&quot;00B41BE6&quot;/&gt;&lt;wsp:rsid wsp:val=&quot;00B41EDE&quot;/&gt;&lt;wsp:rsid wsp:val=&quot;00B42386&quot;/&gt;&lt;wsp:rsid wsp:val=&quot;00B4245F&quot;/&gt;&lt;wsp:rsid wsp:val=&quot;00B42A3D&quot;/&gt;&lt;wsp:rsid wsp:val=&quot;00B43367&quot;/&gt;&lt;wsp:rsid wsp:val=&quot;00B4358C&quot;/&gt;&lt;wsp:rsid wsp:val=&quot;00B43B33&quot;/&gt;&lt;wsp:rsid wsp:val=&quot;00B43CE2&quot;/&gt;&lt;wsp:rsid wsp:val=&quot;00B44CA5&quot;/&gt;&lt;wsp:rsid wsp:val=&quot;00B45390&quot;/&gt;&lt;wsp:rsid wsp:val=&quot;00B453A4&quot;/&gt;&lt;wsp:rsid wsp:val=&quot;00B4544B&quot;/&gt;&lt;wsp:rsid wsp:val=&quot;00B45ADF&quot;/&gt;&lt;wsp:rsid wsp:val=&quot;00B45C15&quot;/&gt;&lt;wsp:rsid wsp:val=&quot;00B45F93&quot;/&gt;&lt;wsp:rsid wsp:val=&quot;00B4603D&quot;/&gt;&lt;wsp:rsid wsp:val=&quot;00B462E1&quot;/&gt;&lt;wsp:rsid wsp:val=&quot;00B46497&quot;/&gt;&lt;wsp:rsid wsp:val=&quot;00B46AEF&quot;/&gt;&lt;wsp:rsid wsp:val=&quot;00B4799A&quot;/&gt;&lt;wsp:rsid wsp:val=&quot;00B47E2C&quot;/&gt;&lt;wsp:rsid wsp:val=&quot;00B47FF3&quot;/&gt;&lt;wsp:rsid wsp:val=&quot;00B503C0&quot;/&gt;&lt;wsp:rsid wsp:val=&quot;00B50C28&quot;/&gt;&lt;wsp:rsid wsp:val=&quot;00B50C6C&quot;/&gt;&lt;wsp:rsid wsp:val=&quot;00B51E5D&quot;/&gt;&lt;wsp:rsid wsp:val=&quot;00B529D3&quot;/&gt;&lt;wsp:rsid wsp:val=&quot;00B53580&quot;/&gt;&lt;wsp:rsid wsp:val=&quot;00B535BC&quot;/&gt;&lt;wsp:rsid wsp:val=&quot;00B54423&quot;/&gt;&lt;wsp:rsid wsp:val=&quot;00B54CC4&quot;/&gt;&lt;wsp:rsid wsp:val=&quot;00B54D5F&quot;/&gt;&lt;wsp:rsid wsp:val=&quot;00B550CE&quot;/&gt;&lt;wsp:rsid wsp:val=&quot;00B55402&quot;/&gt;&lt;wsp:rsid wsp:val=&quot;00B55853&quot;/&gt;&lt;wsp:rsid wsp:val=&quot;00B55BC9&quot;/&gt;&lt;wsp:rsid wsp:val=&quot;00B55F75&quot;/&gt;&lt;wsp:rsid wsp:val=&quot;00B56247&quot;/&gt;&lt;wsp:rsid wsp:val=&quot;00B5681D&quot;/&gt;&lt;wsp:rsid wsp:val=&quot;00B56FA7&quot;/&gt;&lt;wsp:rsid wsp:val=&quot;00B5742A&quot;/&gt;&lt;wsp:rsid wsp:val=&quot;00B576D4&quot;/&gt;&lt;wsp:rsid wsp:val=&quot;00B577E5&quot;/&gt;&lt;wsp:rsid wsp:val=&quot;00B57D37&quot;/&gt;&lt;wsp:rsid wsp:val=&quot;00B57FD8&quot;/&gt;&lt;wsp:rsid wsp:val=&quot;00B6010B&quot;/&gt;&lt;wsp:rsid wsp:val=&quot;00B60248&quot;/&gt;&lt;wsp:rsid wsp:val=&quot;00B61459&quot;/&gt;&lt;wsp:rsid wsp:val=&quot;00B615F5&quot;/&gt;&lt;wsp:rsid wsp:val=&quot;00B61668&quot;/&gt;&lt;wsp:rsid wsp:val=&quot;00B622E5&quot;/&gt;&lt;wsp:rsid wsp:val=&quot;00B62AE8&quot;/&gt;&lt;wsp:rsid wsp:val=&quot;00B62D1A&quot;/&gt;&lt;wsp:rsid wsp:val=&quot;00B632A3&quot;/&gt;&lt;wsp:rsid wsp:val=&quot;00B63B45&quot;/&gt;&lt;wsp:rsid wsp:val=&quot;00B642F8&quot;/&gt;&lt;wsp:rsid wsp:val=&quot;00B644E8&quot;/&gt;&lt;wsp:rsid wsp:val=&quot;00B647F7&quot;/&gt;&lt;wsp:rsid wsp:val=&quot;00B6491D&quot;/&gt;&lt;wsp:rsid wsp:val=&quot;00B64F91&quot;/&gt;&lt;wsp:rsid wsp:val=&quot;00B65389&quot;/&gt;&lt;wsp:rsid wsp:val=&quot;00B657AD&quot;/&gt;&lt;wsp:rsid wsp:val=&quot;00B65C1D&quot;/&gt;&lt;wsp:rsid wsp:val=&quot;00B65CE9&quot;/&gt;&lt;wsp:rsid wsp:val=&quot;00B65D8F&quot;/&gt;&lt;wsp:rsid wsp:val=&quot;00B65EA8&quot;/&gt;&lt;wsp:rsid wsp:val=&quot;00B65F62&quot;/&gt;&lt;wsp:rsid wsp:val=&quot;00B66190&quot;/&gt;&lt;wsp:rsid wsp:val=&quot;00B66240&quot;/&gt;&lt;wsp:rsid wsp:val=&quot;00B66372&quot;/&gt;&lt;wsp:rsid wsp:val=&quot;00B6746F&quot;/&gt;&lt;wsp:rsid wsp:val=&quot;00B674A3&quot;/&gt;&lt;wsp:rsid wsp:val=&quot;00B678DD&quot;/&gt;&lt;wsp:rsid wsp:val=&quot;00B67B30&quot;/&gt;&lt;wsp:rsid wsp:val=&quot;00B7012B&quot;/&gt;&lt;wsp:rsid wsp:val=&quot;00B70B23&quot;/&gt;&lt;wsp:rsid wsp:val=&quot;00B70F58&quot;/&gt;&lt;wsp:rsid wsp:val=&quot;00B71419&quot;/&gt;&lt;wsp:rsid wsp:val=&quot;00B7155D&quot;/&gt;&lt;wsp:rsid wsp:val=&quot;00B716D3&quot;/&gt;&lt;wsp:rsid wsp:val=&quot;00B71B53&quot;/&gt;&lt;wsp:rsid wsp:val=&quot;00B73386&quot;/&gt;&lt;wsp:rsid wsp:val=&quot;00B73915&quot;/&gt;&lt;wsp:rsid wsp:val=&quot;00B73994&quot;/&gt;&lt;wsp:rsid wsp:val=&quot;00B741EE&quot;/&gt;&lt;wsp:rsid wsp:val=&quot;00B744EF&quot;/&gt;&lt;wsp:rsid wsp:val=&quot;00B74CB2&quot;/&gt;&lt;wsp:rsid wsp:val=&quot;00B74FD6&quot;/&gt;&lt;wsp:rsid wsp:val=&quot;00B7511A&quot;/&gt;&lt;wsp:rsid wsp:val=&quot;00B75661&quot;/&gt;&lt;wsp:rsid wsp:val=&quot;00B76588&quot;/&gt;&lt;wsp:rsid wsp:val=&quot;00B77617&quot;/&gt;&lt;wsp:rsid wsp:val=&quot;00B776BD&quot;/&gt;&lt;wsp:rsid wsp:val=&quot;00B7775B&quot;/&gt;&lt;wsp:rsid wsp:val=&quot;00B77B17&quot;/&gt;&lt;wsp:rsid wsp:val=&quot;00B77B98&quot;/&gt;&lt;wsp:rsid wsp:val=&quot;00B77E04&quot;/&gt;&lt;wsp:rsid wsp:val=&quot;00B8032E&quot;/&gt;&lt;wsp:rsid wsp:val=&quot;00B80F49&quot;/&gt;&lt;wsp:rsid wsp:val=&quot;00B8101D&quot;/&gt;&lt;wsp:rsid wsp:val=&quot;00B81543&quot;/&gt;&lt;wsp:rsid wsp:val=&quot;00B81E7F&quot;/&gt;&lt;wsp:rsid wsp:val=&quot;00B8284A&quot;/&gt;&lt;wsp:rsid wsp:val=&quot;00B828B0&quot;/&gt;&lt;wsp:rsid wsp:val=&quot;00B83130&quot;/&gt;&lt;wsp:rsid wsp:val=&quot;00B83551&quot;/&gt;&lt;wsp:rsid wsp:val=&quot;00B837BF&quot;/&gt;&lt;wsp:rsid wsp:val=&quot;00B84006&quot;/&gt;&lt;wsp:rsid wsp:val=&quot;00B84172&quot;/&gt;&lt;wsp:rsid wsp:val=&quot;00B84A64&quot;/&gt;&lt;wsp:rsid wsp:val=&quot;00B84DB3&quot;/&gt;&lt;wsp:rsid wsp:val=&quot;00B85AD2&quot;/&gt;&lt;wsp:rsid wsp:val=&quot;00B85BFC&quot;/&gt;&lt;wsp:rsid wsp:val=&quot;00B85CF1&quot;/&gt;&lt;wsp:rsid wsp:val=&quot;00B867B6&quot;/&gt;&lt;wsp:rsid wsp:val=&quot;00B86F6D&quot;/&gt;&lt;wsp:rsid wsp:val=&quot;00B874DB&quot;/&gt;&lt;wsp:rsid wsp:val=&quot;00B876BE&quot;/&gt;&lt;wsp:rsid wsp:val=&quot;00B877B9&quot;/&gt;&lt;wsp:rsid wsp:val=&quot;00B90129&quot;/&gt;&lt;wsp:rsid wsp:val=&quot;00B909DC&quot;/&gt;&lt;wsp:rsid wsp:val=&quot;00B90BF1&quot;/&gt;&lt;wsp:rsid wsp:val=&quot;00B91396&quot;/&gt;&lt;wsp:rsid wsp:val=&quot;00B91627&quot;/&gt;&lt;wsp:rsid wsp:val=&quot;00B91C99&quot;/&gt;&lt;wsp:rsid wsp:val=&quot;00B91E72&quot;/&gt;&lt;wsp:rsid wsp:val=&quot;00B920C6&quot;/&gt;&lt;wsp:rsid wsp:val=&quot;00B92161&quot;/&gt;&lt;wsp:rsid wsp:val=&quot;00B925DE&quot;/&gt;&lt;wsp:rsid wsp:val=&quot;00B926DB&quot;/&gt;&lt;wsp:rsid wsp:val=&quot;00B9280A&quot;/&gt;&lt;wsp:rsid wsp:val=&quot;00B9284D&quot;/&gt;&lt;wsp:rsid wsp:val=&quot;00B9338F&quot;/&gt;&lt;wsp:rsid wsp:val=&quot;00B937E3&quot;/&gt;&lt;wsp:rsid wsp:val=&quot;00B93A94&quot;/&gt;&lt;wsp:rsid wsp:val=&quot;00B94018&quot;/&gt;&lt;wsp:rsid wsp:val=&quot;00B94B59&quot;/&gt;&lt;wsp:rsid wsp:val=&quot;00B952A3&quot;/&gt;&lt;wsp:rsid wsp:val=&quot;00B9568B&quot;/&gt;&lt;wsp:rsid wsp:val=&quot;00B95CBF&quot;/&gt;&lt;wsp:rsid wsp:val=&quot;00B95D07&quot;/&gt;&lt;wsp:rsid wsp:val=&quot;00B95DE1&quot;/&gt;&lt;wsp:rsid wsp:val=&quot;00B95FBA&quot;/&gt;&lt;wsp:rsid wsp:val=&quot;00B96559&quot;/&gt;&lt;wsp:rsid wsp:val=&quot;00B97BE2&quot;/&gt;&lt;wsp:rsid wsp:val=&quot;00B97FEE&quot;/&gt;&lt;wsp:rsid wsp:val=&quot;00BA0187&quot;/&gt;&lt;wsp:rsid wsp:val=&quot;00BA0DE5&quot;/&gt;&lt;wsp:rsid wsp:val=&quot;00BA0EC1&quot;/&gt;&lt;wsp:rsid wsp:val=&quot;00BA10DD&quot;/&gt;&lt;wsp:rsid wsp:val=&quot;00BA1532&quot;/&gt;&lt;wsp:rsid wsp:val=&quot;00BA19A5&quot;/&gt;&lt;wsp:rsid wsp:val=&quot;00BA2F5F&quot;/&gt;&lt;wsp:rsid wsp:val=&quot;00BA3015&quot;/&gt;&lt;wsp:rsid wsp:val=&quot;00BA30A8&quot;/&gt;&lt;wsp:rsid wsp:val=&quot;00BA31A3&quot;/&gt;&lt;wsp:rsid wsp:val=&quot;00BA32E4&quot;/&gt;&lt;wsp:rsid wsp:val=&quot;00BA3A65&quot;/&gt;&lt;wsp:rsid wsp:val=&quot;00BA3C1F&quot;/&gt;&lt;wsp:rsid wsp:val=&quot;00BA3FA4&quot;/&gt;&lt;wsp:rsid wsp:val=&quot;00BA430C&quot;/&gt;&lt;wsp:rsid wsp:val=&quot;00BA4A71&quot;/&gt;&lt;wsp:rsid wsp:val=&quot;00BA4E6E&quot;/&gt;&lt;wsp:rsid wsp:val=&quot;00BA582E&quot;/&gt;&lt;wsp:rsid wsp:val=&quot;00BA5B1D&quot;/&gt;&lt;wsp:rsid wsp:val=&quot;00BA61AC&quot;/&gt;&lt;wsp:rsid wsp:val=&quot;00BA61EA&quot;/&gt;&lt;wsp:rsid wsp:val=&quot;00BA6209&quot;/&gt;&lt;wsp:rsid wsp:val=&quot;00BA6520&quot;/&gt;&lt;wsp:rsid wsp:val=&quot;00BA6FF1&quot;/&gt;&lt;wsp:rsid wsp:val=&quot;00BA7289&quot;/&gt;&lt;wsp:rsid wsp:val=&quot;00BA76C8&quot;/&gt;&lt;wsp:rsid wsp:val=&quot;00BA775A&quot;/&gt;&lt;wsp:rsid wsp:val=&quot;00BA7952&quot;/&gt;&lt;wsp:rsid wsp:val=&quot;00BA7A65&quot;/&gt;&lt;wsp:rsid wsp:val=&quot;00BA7C9B&quot;/&gt;&lt;wsp:rsid wsp:val=&quot;00BB0BFB&quot;/&gt;&lt;wsp:rsid wsp:val=&quot;00BB1645&quot;/&gt;&lt;wsp:rsid wsp:val=&quot;00BB1DCD&quot;/&gt;&lt;wsp:rsid wsp:val=&quot;00BB1E4A&quot;/&gt;&lt;wsp:rsid wsp:val=&quot;00BB1F9C&quot;/&gt;&lt;wsp:rsid wsp:val=&quot;00BB23AD&quot;/&gt;&lt;wsp:rsid wsp:val=&quot;00BB2D92&quot;/&gt;&lt;wsp:rsid wsp:val=&quot;00BB2E89&quot;/&gt;&lt;wsp:rsid wsp:val=&quot;00BB3635&quot;/&gt;&lt;wsp:rsid wsp:val=&quot;00BB408B&quot;/&gt;&lt;wsp:rsid wsp:val=&quot;00BB40D6&quot;/&gt;&lt;wsp:rsid wsp:val=&quot;00BB422B&quot;/&gt;&lt;wsp:rsid wsp:val=&quot;00BB4671&quot;/&gt;&lt;wsp:rsid wsp:val=&quot;00BB46A7&quot;/&gt;&lt;wsp:rsid wsp:val=&quot;00BB4F48&quot;/&gt;&lt;wsp:rsid wsp:val=&quot;00BB5023&quot;/&gt;&lt;wsp:rsid wsp:val=&quot;00BB56CC&quot;/&gt;&lt;wsp:rsid wsp:val=&quot;00BB57A1&quot;/&gt;&lt;wsp:rsid wsp:val=&quot;00BB593B&quot;/&gt;&lt;wsp:rsid wsp:val=&quot;00BB593D&quot;/&gt;&lt;wsp:rsid wsp:val=&quot;00BB5D3F&quot;/&gt;&lt;wsp:rsid wsp:val=&quot;00BB6547&quot;/&gt;&lt;wsp:rsid wsp:val=&quot;00BB711F&quot;/&gt;&lt;wsp:rsid wsp:val=&quot;00BB73A3&quot;/&gt;&lt;wsp:rsid wsp:val=&quot;00BB73EF&quot;/&gt;&lt;wsp:rsid wsp:val=&quot;00BB7B99&quot;/&gt;&lt;wsp:rsid wsp:val=&quot;00BB7C18&quot;/&gt;&lt;wsp:rsid wsp:val=&quot;00BC000B&quot;/&gt;&lt;wsp:rsid wsp:val=&quot;00BC013E&quot;/&gt;&lt;wsp:rsid wsp:val=&quot;00BC0376&quot;/&gt;&lt;wsp:rsid wsp:val=&quot;00BC0399&quot;/&gt;&lt;wsp:rsid wsp:val=&quot;00BC058D&quot;/&gt;&lt;wsp:rsid wsp:val=&quot;00BC1335&quot;/&gt;&lt;wsp:rsid wsp:val=&quot;00BC20F2&quot;/&gt;&lt;wsp:rsid wsp:val=&quot;00BC28F8&quot;/&gt;&lt;wsp:rsid wsp:val=&quot;00BC2F59&quot;/&gt;&lt;wsp:rsid wsp:val=&quot;00BC354B&quot;/&gt;&lt;wsp:rsid wsp:val=&quot;00BC3CFB&quot;/&gt;&lt;wsp:rsid wsp:val=&quot;00BC43C5&quot;/&gt;&lt;wsp:rsid wsp:val=&quot;00BC444F&quot;/&gt;&lt;wsp:rsid wsp:val=&quot;00BC458A&quot;/&gt;&lt;wsp:rsid wsp:val=&quot;00BC4A43&quot;/&gt;&lt;wsp:rsid wsp:val=&quot;00BC4C23&quot;/&gt;&lt;wsp:rsid wsp:val=&quot;00BC4DB5&quot;/&gt;&lt;wsp:rsid wsp:val=&quot;00BC4FDF&quot;/&gt;&lt;wsp:rsid wsp:val=&quot;00BC665F&quot;/&gt;&lt;wsp:rsid wsp:val=&quot;00BC70DE&quot;/&gt;&lt;wsp:rsid wsp:val=&quot;00BC7316&quot;/&gt;&lt;wsp:rsid wsp:val=&quot;00BC7445&quot;/&gt;&lt;wsp:rsid wsp:val=&quot;00BC78CD&quot;/&gt;&lt;wsp:rsid wsp:val=&quot;00BC7909&quot;/&gt;&lt;wsp:rsid wsp:val=&quot;00BD0D07&quot;/&gt;&lt;wsp:rsid wsp:val=&quot;00BD0DF4&quot;/&gt;&lt;wsp:rsid wsp:val=&quot;00BD186B&quot;/&gt;&lt;wsp:rsid wsp:val=&quot;00BD1A7C&quot;/&gt;&lt;wsp:rsid wsp:val=&quot;00BD2560&quot;/&gt;&lt;wsp:rsid wsp:val=&quot;00BD25A3&quot;/&gt;&lt;wsp:rsid wsp:val=&quot;00BD2671&quot;/&gt;&lt;wsp:rsid wsp:val=&quot;00BD2B45&quot;/&gt;&lt;wsp:rsid wsp:val=&quot;00BD2B74&quot;/&gt;&lt;wsp:rsid wsp:val=&quot;00BD36BD&quot;/&gt;&lt;wsp:rsid wsp:val=&quot;00BD44FB&quot;/&gt;&lt;wsp:rsid wsp:val=&quot;00BD4531&quot;/&gt;&lt;wsp:rsid wsp:val=&quot;00BD4676&quot;/&gt;&lt;wsp:rsid wsp:val=&quot;00BD4D93&quot;/&gt;&lt;wsp:rsid wsp:val=&quot;00BD4E74&quot;/&gt;&lt;wsp:rsid wsp:val=&quot;00BD5046&quot;/&gt;&lt;wsp:rsid wsp:val=&quot;00BD5313&quot;/&gt;&lt;wsp:rsid wsp:val=&quot;00BD5437&quot;/&gt;&lt;wsp:rsid wsp:val=&quot;00BD5F90&quot;/&gt;&lt;wsp:rsid wsp:val=&quot;00BD61BB&quot;/&gt;&lt;wsp:rsid wsp:val=&quot;00BD6624&quot;/&gt;&lt;wsp:rsid wsp:val=&quot;00BD6F2F&quot;/&gt;&lt;wsp:rsid wsp:val=&quot;00BD7086&quot;/&gt;&lt;wsp:rsid wsp:val=&quot;00BD7F8F&quot;/&gt;&lt;wsp:rsid wsp:val=&quot;00BE003F&quot;/&gt;&lt;wsp:rsid wsp:val=&quot;00BE020E&quot;/&gt;&lt;wsp:rsid wsp:val=&quot;00BE06D2&quot;/&gt;&lt;wsp:rsid wsp:val=&quot;00BE0E2C&quot;/&gt;&lt;wsp:rsid wsp:val=&quot;00BE1EFA&quot;/&gt;&lt;wsp:rsid wsp:val=&quot;00BE21BC&quot;/&gt;&lt;wsp:rsid wsp:val=&quot;00BE23FF&quot;/&gt;&lt;wsp:rsid wsp:val=&quot;00BE3124&quot;/&gt;&lt;wsp:rsid wsp:val=&quot;00BE371A&quot;/&gt;&lt;wsp:rsid wsp:val=&quot;00BE3921&quot;/&gt;&lt;wsp:rsid wsp:val=&quot;00BE4355&quot;/&gt;&lt;wsp:rsid wsp:val=&quot;00BE5156&quot;/&gt;&lt;wsp:rsid wsp:val=&quot;00BE5165&quot;/&gt;&lt;wsp:rsid wsp:val=&quot;00BE59D7&quot;/&gt;&lt;wsp:rsid wsp:val=&quot;00BE5A94&quot;/&gt;&lt;wsp:rsid wsp:val=&quot;00BE5C24&quot;/&gt;&lt;wsp:rsid wsp:val=&quot;00BE604F&quot;/&gt;&lt;wsp:rsid wsp:val=&quot;00BE63CC&quot;/&gt;&lt;wsp:rsid wsp:val=&quot;00BE6414&quot;/&gt;&lt;wsp:rsid wsp:val=&quot;00BE6840&quot;/&gt;&lt;wsp:rsid wsp:val=&quot;00BE6B3D&quot;/&gt;&lt;wsp:rsid wsp:val=&quot;00BE7026&quot;/&gt;&lt;wsp:rsid wsp:val=&quot;00BE70D6&quot;/&gt;&lt;wsp:rsid wsp:val=&quot;00BE74A9&quot;/&gt;&lt;wsp:rsid wsp:val=&quot;00BE7C5D&quot;/&gt;&lt;wsp:rsid wsp:val=&quot;00BF0D61&quot;/&gt;&lt;wsp:rsid wsp:val=&quot;00BF12EC&quot;/&gt;&lt;wsp:rsid wsp:val=&quot;00BF1572&quot;/&gt;&lt;wsp:rsid wsp:val=&quot;00BF1C5F&quot;/&gt;&lt;wsp:rsid wsp:val=&quot;00BF2102&quot;/&gt;&lt;wsp:rsid wsp:val=&quot;00BF21D2&quot;/&gt;&lt;wsp:rsid wsp:val=&quot;00BF26F8&quot;/&gt;&lt;wsp:rsid wsp:val=&quot;00BF2CD7&quot;/&gt;&lt;wsp:rsid wsp:val=&quot;00BF30BD&quot;/&gt;&lt;wsp:rsid wsp:val=&quot;00BF361C&quot;/&gt;&lt;wsp:rsid wsp:val=&quot;00BF365B&quot;/&gt;&lt;wsp:rsid wsp:val=&quot;00BF3753&quot;/&gt;&lt;wsp:rsid wsp:val=&quot;00BF37A1&quot;/&gt;&lt;wsp:rsid wsp:val=&quot;00BF37D8&quot;/&gt;&lt;wsp:rsid wsp:val=&quot;00BF3888&quot;/&gt;&lt;wsp:rsid wsp:val=&quot;00BF39A4&quot;/&gt;&lt;wsp:rsid wsp:val=&quot;00BF3A3B&quot;/&gt;&lt;wsp:rsid wsp:val=&quot;00BF5394&quot;/&gt;&lt;wsp:rsid wsp:val=&quot;00BF5541&quot;/&gt;&lt;wsp:rsid wsp:val=&quot;00BF60BC&quot;/&gt;&lt;wsp:rsid wsp:val=&quot;00BF6A75&quot;/&gt;&lt;wsp:rsid wsp:val=&quot;00BF6DDA&quot;/&gt;&lt;wsp:rsid wsp:val=&quot;00BF73D9&quot;/&gt;&lt;wsp:rsid wsp:val=&quot;00BF7413&quot;/&gt;&lt;wsp:rsid wsp:val=&quot;00BF7B6A&quot;/&gt;&lt;wsp:rsid wsp:val=&quot;00C00484&quot;/&gt;&lt;wsp:rsid wsp:val=&quot;00C008C3&quot;/&gt;&lt;wsp:rsid wsp:val=&quot;00C00B4C&quot;/&gt;&lt;wsp:rsid wsp:val=&quot;00C00BFF&quot;/&gt;&lt;wsp:rsid wsp:val=&quot;00C02003&quot;/&gt;&lt;wsp:rsid wsp:val=&quot;00C02161&quot;/&gt;&lt;wsp:rsid wsp:val=&quot;00C022B9&quot;/&gt;&lt;wsp:rsid wsp:val=&quot;00C02375&quot;/&gt;&lt;wsp:rsid wsp:val=&quot;00C0265F&quot;/&gt;&lt;wsp:rsid wsp:val=&quot;00C02AE7&quot;/&gt;&lt;wsp:rsid wsp:val=&quot;00C02E71&quot;/&gt;&lt;wsp:rsid wsp:val=&quot;00C0311F&quot;/&gt;&lt;wsp:rsid wsp:val=&quot;00C03BF3&quot;/&gt;&lt;wsp:rsid wsp:val=&quot;00C03FEF&quot;/&gt;&lt;wsp:rsid wsp:val=&quot;00C0426A&quot;/&gt;&lt;wsp:rsid wsp:val=&quot;00C042AC&quot;/&gt;&lt;wsp:rsid wsp:val=&quot;00C0441E&quot;/&gt;&lt;wsp:rsid wsp:val=&quot;00C0474E&quot;/&gt;&lt;wsp:rsid wsp:val=&quot;00C049DE&quot;/&gt;&lt;wsp:rsid wsp:val=&quot;00C04BC7&quot;/&gt;&lt;wsp:rsid wsp:val=&quot;00C053FD&quot;/&gt;&lt;wsp:rsid wsp:val=&quot;00C05A3B&quot;/&gt;&lt;wsp:rsid wsp:val=&quot;00C06230&quot;/&gt;&lt;wsp:rsid wsp:val=&quot;00C065C5&quot;/&gt;&lt;wsp:rsid wsp:val=&quot;00C0695B&quot;/&gt;&lt;wsp:rsid wsp:val=&quot;00C06BC5&quot;/&gt;&lt;wsp:rsid wsp:val=&quot;00C078DF&quot;/&gt;&lt;wsp:rsid wsp:val=&quot;00C100B4&quot;/&gt;&lt;wsp:rsid wsp:val=&quot;00C108B2&quot;/&gt;&lt;wsp:rsid wsp:val=&quot;00C109B6&quot;/&gt;&lt;wsp:rsid wsp:val=&quot;00C10E53&quot;/&gt;&lt;wsp:rsid wsp:val=&quot;00C1141F&quot;/&gt;&lt;wsp:rsid wsp:val=&quot;00C11C4E&quot;/&gt;&lt;wsp:rsid wsp:val=&quot;00C11D4C&quot;/&gt;&lt;wsp:rsid wsp:val=&quot;00C12034&quot;/&gt;&lt;wsp:rsid wsp:val=&quot;00C12624&quot;/&gt;&lt;wsp:rsid wsp:val=&quot;00C130EF&quot;/&gt;&lt;wsp:rsid wsp:val=&quot;00C13FA2&quot;/&gt;&lt;wsp:rsid wsp:val=&quot;00C147EF&quot;/&gt;&lt;wsp:rsid wsp:val=&quot;00C148CA&quot;/&gt;&lt;wsp:rsid wsp:val=&quot;00C14AA6&quot;/&gt;&lt;wsp:rsid wsp:val=&quot;00C1549C&quot;/&gt;&lt;wsp:rsid wsp:val=&quot;00C16C58&quot;/&gt;&lt;wsp:rsid wsp:val=&quot;00C16D80&quot;/&gt;&lt;wsp:rsid wsp:val=&quot;00C16F86&quot;/&gt;&lt;wsp:rsid wsp:val=&quot;00C173EC&quot;/&gt;&lt;wsp:rsid wsp:val=&quot;00C17561&quot;/&gt;&lt;wsp:rsid wsp:val=&quot;00C1789B&quot;/&gt;&lt;wsp:rsid wsp:val=&quot;00C203A0&quot;/&gt;&lt;wsp:rsid wsp:val=&quot;00C2112F&quot;/&gt;&lt;wsp:rsid wsp:val=&quot;00C21EF6&quot;/&gt;&lt;wsp:rsid wsp:val=&quot;00C2208E&quot;/&gt;&lt;wsp:rsid wsp:val=&quot;00C2213E&quot;/&gt;&lt;wsp:rsid wsp:val=&quot;00C221E2&quot;/&gt;&lt;wsp:rsid wsp:val=&quot;00C2222E&quot;/&gt;&lt;wsp:rsid wsp:val=&quot;00C22757&quot;/&gt;&lt;wsp:rsid wsp:val=&quot;00C23478&quot;/&gt;&lt;wsp:rsid wsp:val=&quot;00C23CC8&quot;/&gt;&lt;wsp:rsid wsp:val=&quot;00C241B0&quot;/&gt;&lt;wsp:rsid wsp:val=&quot;00C2470C&quot;/&gt;&lt;wsp:rsid wsp:val=&quot;00C247EE&quot;/&gt;&lt;wsp:rsid wsp:val=&quot;00C25377&quot;/&gt;&lt;wsp:rsid wsp:val=&quot;00C25945&quot;/&gt;&lt;wsp:rsid wsp:val=&quot;00C266B5&quot;/&gt;&lt;wsp:rsid wsp:val=&quot;00C266C5&quot;/&gt;&lt;wsp:rsid wsp:val=&quot;00C26715&quot;/&gt;&lt;wsp:rsid wsp:val=&quot;00C26954&quot;/&gt;&lt;wsp:rsid wsp:val=&quot;00C26BE7&quot;/&gt;&lt;wsp:rsid wsp:val=&quot;00C26F7E&quot;/&gt;&lt;wsp:rsid wsp:val=&quot;00C270ED&quot;/&gt;&lt;wsp:rsid wsp:val=&quot;00C278E3&quot;/&gt;&lt;wsp:rsid wsp:val=&quot;00C3177F&quot;/&gt;&lt;wsp:rsid wsp:val=&quot;00C31781&quot;/&gt;&lt;wsp:rsid wsp:val=&quot;00C317F6&quot;/&gt;&lt;wsp:rsid wsp:val=&quot;00C318BC&quot;/&gt;&lt;wsp:rsid wsp:val=&quot;00C319CB&quot;/&gt;&lt;wsp:rsid wsp:val=&quot;00C31DB9&quot;/&gt;&lt;wsp:rsid wsp:val=&quot;00C31DC4&quot;/&gt;&lt;wsp:rsid wsp:val=&quot;00C31E52&quot;/&gt;&lt;wsp:rsid wsp:val=&quot;00C32B45&quot;/&gt;&lt;wsp:rsid wsp:val=&quot;00C335FB&quot;/&gt;&lt;wsp:rsid wsp:val=&quot;00C33EE4&quot;/&gt;&lt;wsp:rsid wsp:val=&quot;00C346F8&quot;/&gt;&lt;wsp:rsid wsp:val=&quot;00C35066&quot;/&gt;&lt;wsp:rsid wsp:val=&quot;00C350CA&quot;/&gt;&lt;wsp:rsid wsp:val=&quot;00C354E3&quot;/&gt;&lt;wsp:rsid wsp:val=&quot;00C35631&quot;/&gt;&lt;wsp:rsid wsp:val=&quot;00C35AFA&quot;/&gt;&lt;wsp:rsid wsp:val=&quot;00C35C0D&quot;/&gt;&lt;wsp:rsid wsp:val=&quot;00C35E9C&quot;/&gt;&lt;wsp:rsid wsp:val=&quot;00C362E1&quot;/&gt;&lt;wsp:rsid wsp:val=&quot;00C3682A&quot;/&gt;&lt;wsp:rsid wsp:val=&quot;00C36DC1&quot;/&gt;&lt;wsp:rsid wsp:val=&quot;00C37A89&quot;/&gt;&lt;wsp:rsid wsp:val=&quot;00C37BF5&quot;/&gt;&lt;wsp:rsid wsp:val=&quot;00C37CEB&quot;/&gt;&lt;wsp:rsid wsp:val=&quot;00C37E52&quot;/&gt;&lt;wsp:rsid wsp:val=&quot;00C37FEE&quot;/&gt;&lt;wsp:rsid wsp:val=&quot;00C403D6&quot;/&gt;&lt;wsp:rsid wsp:val=&quot;00C40479&quot;/&gt;&lt;wsp:rsid wsp:val=&quot;00C4091F&quot;/&gt;&lt;wsp:rsid wsp:val=&quot;00C412CF&quot;/&gt;&lt;wsp:rsid wsp:val=&quot;00C427A0&quot;/&gt;&lt;wsp:rsid wsp:val=&quot;00C427D7&quot;/&gt;&lt;wsp:rsid wsp:val=&quot;00C42B67&quot;/&gt;&lt;wsp:rsid wsp:val=&quot;00C42F34&quot;/&gt;&lt;wsp:rsid wsp:val=&quot;00C42F4B&quot;/&gt;&lt;wsp:rsid wsp:val=&quot;00C43755&quot;/&gt;&lt;wsp:rsid wsp:val=&quot;00C440D4&quot;/&gt;&lt;wsp:rsid wsp:val=&quot;00C4459F&quot;/&gt;&lt;wsp:rsid wsp:val=&quot;00C44E92&quot;/&gt;&lt;wsp:rsid wsp:val=&quot;00C452E8&quot;/&gt;&lt;wsp:rsid wsp:val=&quot;00C45379&quot;/&gt;&lt;wsp:rsid wsp:val=&quot;00C45646&quot;/&gt;&lt;wsp:rsid wsp:val=&quot;00C45BD0&quot;/&gt;&lt;wsp:rsid wsp:val=&quot;00C45BD4&quot;/&gt;&lt;wsp:rsid wsp:val=&quot;00C45C8F&quot;/&gt;&lt;wsp:rsid wsp:val=&quot;00C45E52&quot;/&gt;&lt;wsp:rsid wsp:val=&quot;00C4629D&quot;/&gt;&lt;wsp:rsid wsp:val=&quot;00C46442&quot;/&gt;&lt;wsp:rsid wsp:val=&quot;00C46D02&quot;/&gt;&lt;wsp:rsid wsp:val=&quot;00C50005&quot;/&gt;&lt;wsp:rsid wsp:val=&quot;00C50331&quot;/&gt;&lt;wsp:rsid wsp:val=&quot;00C50E5F&quot;/&gt;&lt;wsp:rsid wsp:val=&quot;00C50F8D&quot;/&gt;&lt;wsp:rsid wsp:val=&quot;00C51ABA&quot;/&gt;&lt;wsp:rsid wsp:val=&quot;00C51EDF&quot;/&gt;&lt;wsp:rsid wsp:val=&quot;00C528EA&quot;/&gt;&lt;wsp:rsid wsp:val=&quot;00C52D39&quot;/&gt;&lt;wsp:rsid wsp:val=&quot;00C54194&quot;/&gt;&lt;wsp:rsid wsp:val=&quot;00C55066&quot;/&gt;&lt;wsp:rsid wsp:val=&quot;00C5618C&quot;/&gt;&lt;wsp:rsid wsp:val=&quot;00C568DD&quot;/&gt;&lt;wsp:rsid wsp:val=&quot;00C56B84&quot;/&gt;&lt;wsp:rsid wsp:val=&quot;00C57541&quot;/&gt;&lt;wsp:rsid wsp:val=&quot;00C57A64&quot;/&gt;&lt;wsp:rsid wsp:val=&quot;00C57D53&quot;/&gt;&lt;wsp:rsid wsp:val=&quot;00C57F28&quot;/&gt;&lt;wsp:rsid wsp:val=&quot;00C60740&quot;/&gt;&lt;wsp:rsid wsp:val=&quot;00C60A71&quot;/&gt;&lt;wsp:rsid wsp:val=&quot;00C60B3A&quot;/&gt;&lt;wsp:rsid wsp:val=&quot;00C62055&quot;/&gt;&lt;wsp:rsid wsp:val=&quot;00C6224C&quot;/&gt;&lt;wsp:rsid wsp:val=&quot;00C62734&quot;/&gt;&lt;wsp:rsid wsp:val=&quot;00C62846&quot;/&gt;&lt;wsp:rsid wsp:val=&quot;00C62F47&quot;/&gt;&lt;wsp:rsid wsp:val=&quot;00C63021&quot;/&gt;&lt;wsp:rsid wsp:val=&quot;00C638E5&quot;/&gt;&lt;wsp:rsid wsp:val=&quot;00C63B14&quot;/&gt;&lt;wsp:rsid wsp:val=&quot;00C64768&quot;/&gt;&lt;wsp:rsid wsp:val=&quot;00C64A76&quot;/&gt;&lt;wsp:rsid wsp:val=&quot;00C64BFD&quot;/&gt;&lt;wsp:rsid wsp:val=&quot;00C65BEF&quot;/&gt;&lt;wsp:rsid wsp:val=&quot;00C66281&quot;/&gt;&lt;wsp:rsid wsp:val=&quot;00C670A4&quot;/&gt;&lt;wsp:rsid wsp:val=&quot;00C675B8&quot;/&gt;&lt;wsp:rsid wsp:val=&quot;00C703BB&quot;/&gt;&lt;wsp:rsid wsp:val=&quot;00C70DBF&quot;/&gt;&lt;wsp:rsid wsp:val=&quot;00C70E15&quot;/&gt;&lt;wsp:rsid wsp:val=&quot;00C70F56&quot;/&gt;&lt;wsp:rsid wsp:val=&quot;00C70FFA&quot;/&gt;&lt;wsp:rsid wsp:val=&quot;00C713CD&quot;/&gt;&lt;wsp:rsid wsp:val=&quot;00C71440&quot;/&gt;&lt;wsp:rsid wsp:val=&quot;00C71935&quot;/&gt;&lt;wsp:rsid wsp:val=&quot;00C71BA5&quot;/&gt;&lt;wsp:rsid wsp:val=&quot;00C71CDB&quot;/&gt;&lt;wsp:rsid wsp:val=&quot;00C71EBE&quot;/&gt;&lt;wsp:rsid wsp:val=&quot;00C73BAB&quot;/&gt;&lt;wsp:rsid wsp:val=&quot;00C748B0&quot;/&gt;&lt;wsp:rsid wsp:val=&quot;00C75170&quot;/&gt;&lt;wsp:rsid wsp:val=&quot;00C752ED&quot;/&gt;&lt;wsp:rsid wsp:val=&quot;00C75502&quot;/&gt;&lt;wsp:rsid wsp:val=&quot;00C75742&quot;/&gt;&lt;wsp:rsid wsp:val=&quot;00C75D72&quot;/&gt;&lt;wsp:rsid wsp:val=&quot;00C76366&quot;/&gt;&lt;wsp:rsid wsp:val=&quot;00C7773C&quot;/&gt;&lt;wsp:rsid wsp:val=&quot;00C778BF&quot;/&gt;&lt;wsp:rsid wsp:val=&quot;00C779F6&quot;/&gt;&lt;wsp:rsid wsp:val=&quot;00C77C87&quot;/&gt;&lt;wsp:rsid wsp:val=&quot;00C80421&quot;/&gt;&lt;wsp:rsid wsp:val=&quot;00C8073C&quot;/&gt;&lt;wsp:rsid wsp:val=&quot;00C80CD9&quot;/&gt;&lt;wsp:rsid wsp:val=&quot;00C81B60&quot;/&gt;&lt;wsp:rsid wsp:val=&quot;00C82117&quot;/&gt;&lt;wsp:rsid wsp:val=&quot;00C82465&quot;/&gt;&lt;wsp:rsid wsp:val=&quot;00C83328&quot;/&gt;&lt;wsp:rsid wsp:val=&quot;00C836F7&quot;/&gt;&lt;wsp:rsid wsp:val=&quot;00C84624&quot;/&gt;&lt;wsp:rsid wsp:val=&quot;00C849B6&quot;/&gt;&lt;wsp:rsid wsp:val=&quot;00C853D1&quot;/&gt;&lt;wsp:rsid wsp:val=&quot;00C8599B&quot;/&gt;&lt;wsp:rsid wsp:val=&quot;00C859E1&quot;/&gt;&lt;wsp:rsid wsp:val=&quot;00C85F5E&quot;/&gt;&lt;wsp:rsid wsp:val=&quot;00C86033&quot;/&gt;&lt;wsp:rsid wsp:val=&quot;00C862C9&quot;/&gt;&lt;wsp:rsid wsp:val=&quot;00C86773&quot;/&gt;&lt;wsp:rsid wsp:val=&quot;00C86BA9&quot;/&gt;&lt;wsp:rsid wsp:val=&quot;00C86FEE&quot;/&gt;&lt;wsp:rsid wsp:val=&quot;00C87282&quot;/&gt;&lt;wsp:rsid wsp:val=&quot;00C87364&quot;/&gt;&lt;wsp:rsid wsp:val=&quot;00C874B2&quot;/&gt;&lt;wsp:rsid wsp:val=&quot;00C87C59&quot;/&gt;&lt;wsp:rsid wsp:val=&quot;00C87F36&quot;/&gt;&lt;wsp:rsid wsp:val=&quot;00C90651&quot;/&gt;&lt;wsp:rsid wsp:val=&quot;00C90BFE&quot;/&gt;&lt;wsp:rsid wsp:val=&quot;00C90CD5&quot;/&gt;&lt;wsp:rsid wsp:val=&quot;00C92252&quot;/&gt;&lt;wsp:rsid wsp:val=&quot;00C926DB&quot;/&gt;&lt;wsp:rsid wsp:val=&quot;00C933C3&quot;/&gt;&lt;wsp:rsid wsp:val=&quot;00C93799&quot;/&gt;&lt;wsp:rsid wsp:val=&quot;00C93EA8&quot;/&gt;&lt;wsp:rsid wsp:val=&quot;00C943DA&quot;/&gt;&lt;wsp:rsid wsp:val=&quot;00C94934&quot;/&gt;&lt;wsp:rsid wsp:val=&quot;00C94B0F&quot;/&gt;&lt;wsp:rsid wsp:val=&quot;00C94BE7&quot;/&gt;&lt;wsp:rsid wsp:val=&quot;00C94DD4&quot;/&gt;&lt;wsp:rsid wsp:val=&quot;00C9550B&quot;/&gt;&lt;wsp:rsid wsp:val=&quot;00C9632B&quot;/&gt;&lt;wsp:rsid wsp:val=&quot;00C9685B&quot;/&gt;&lt;wsp:rsid wsp:val=&quot;00C96CED&quot;/&gt;&lt;wsp:rsid wsp:val=&quot;00C9783D&quot;/&gt;&lt;wsp:rsid wsp:val=&quot;00CA05DF&quot;/&gt;&lt;wsp:rsid wsp:val=&quot;00CA0F68&quot;/&gt;&lt;wsp:rsid wsp:val=&quot;00CA1F83&quot;/&gt;&lt;wsp:rsid wsp:val=&quot;00CA2993&quot;/&gt;&lt;wsp:rsid wsp:val=&quot;00CA2D15&quot;/&gt;&lt;wsp:rsid wsp:val=&quot;00CA2F69&quot;/&gt;&lt;wsp:rsid wsp:val=&quot;00CA3291&quot;/&gt;&lt;wsp:rsid wsp:val=&quot;00CA332A&quot;/&gt;&lt;wsp:rsid wsp:val=&quot;00CA3BC0&quot;/&gt;&lt;wsp:rsid wsp:val=&quot;00CA3BD8&quot;/&gt;&lt;wsp:rsid wsp:val=&quot;00CA3CD1&quot;/&gt;&lt;wsp:rsid wsp:val=&quot;00CA5425&quot;/&gt;&lt;wsp:rsid wsp:val=&quot;00CA5489&quot;/&gt;&lt;wsp:rsid wsp:val=&quot;00CA5978&quot;/&gt;&lt;wsp:rsid wsp:val=&quot;00CA6036&quot;/&gt;&lt;wsp:rsid wsp:val=&quot;00CA6141&quot;/&gt;&lt;wsp:rsid wsp:val=&quot;00CA634D&quot;/&gt;&lt;wsp:rsid wsp:val=&quot;00CA65E8&quot;/&gt;&lt;wsp:rsid wsp:val=&quot;00CA6BCF&quot;/&gt;&lt;wsp:rsid wsp:val=&quot;00CA6F82&quot;/&gt;&lt;wsp:rsid wsp:val=&quot;00CA712E&quot;/&gt;&lt;wsp:rsid wsp:val=&quot;00CA749A&quot;/&gt;&lt;wsp:rsid wsp:val=&quot;00CA7985&quot;/&gt;&lt;wsp:rsid wsp:val=&quot;00CB0B0A&quot;/&gt;&lt;wsp:rsid wsp:val=&quot;00CB0B4B&quot;/&gt;&lt;wsp:rsid wsp:val=&quot;00CB0DA8&quot;/&gt;&lt;wsp:rsid wsp:val=&quot;00CB1FC3&quot;/&gt;&lt;wsp:rsid wsp:val=&quot;00CB274D&quot;/&gt;&lt;wsp:rsid wsp:val=&quot;00CB31BA&quot;/&gt;&lt;wsp:rsid wsp:val=&quot;00CB32BE&quot;/&gt;&lt;wsp:rsid wsp:val=&quot;00CB3D5A&quot;/&gt;&lt;wsp:rsid wsp:val=&quot;00CB401B&quot;/&gt;&lt;wsp:rsid wsp:val=&quot;00CB42B6&quot;/&gt;&lt;wsp:rsid wsp:val=&quot;00CB491B&quot;/&gt;&lt;wsp:rsid wsp:val=&quot;00CB55FC&quot;/&gt;&lt;wsp:rsid wsp:val=&quot;00CB5816&quot;/&gt;&lt;wsp:rsid wsp:val=&quot;00CB6917&quot;/&gt;&lt;wsp:rsid wsp:val=&quot;00CB6A3E&quot;/&gt;&lt;wsp:rsid wsp:val=&quot;00CB7170&quot;/&gt;&lt;wsp:rsid wsp:val=&quot;00CB73FF&quot;/&gt;&lt;wsp:rsid wsp:val=&quot;00CB77ED&quot;/&gt;&lt;wsp:rsid wsp:val=&quot;00CC0244&quot;/&gt;&lt;wsp:rsid wsp:val=&quot;00CC0403&quot;/&gt;&lt;wsp:rsid wsp:val=&quot;00CC0FFF&quot;/&gt;&lt;wsp:rsid wsp:val=&quot;00CC1610&quot;/&gt;&lt;wsp:rsid wsp:val=&quot;00CC22D3&quot;/&gt;&lt;wsp:rsid wsp:val=&quot;00CC2652&quot;/&gt;&lt;wsp:rsid wsp:val=&quot;00CC2C41&quot;/&gt;&lt;wsp:rsid wsp:val=&quot;00CC2C7B&quot;/&gt;&lt;wsp:rsid wsp:val=&quot;00CC2E66&quot;/&gt;&lt;wsp:rsid wsp:val=&quot;00CC3896&quot;/&gt;&lt;wsp:rsid wsp:val=&quot;00CC3F9E&quot;/&gt;&lt;wsp:rsid wsp:val=&quot;00CC4E98&quot;/&gt;&lt;wsp:rsid wsp:val=&quot;00CC512B&quot;/&gt;&lt;wsp:rsid wsp:val=&quot;00CC53E6&quot;/&gt;&lt;wsp:rsid wsp:val=&quot;00CC54D7&quot;/&gt;&lt;wsp:rsid wsp:val=&quot;00CC55B5&quot;/&gt;&lt;wsp:rsid wsp:val=&quot;00CC5E40&quot;/&gt;&lt;wsp:rsid wsp:val=&quot;00CC5E62&quot;/&gt;&lt;wsp:rsid wsp:val=&quot;00CC5EE5&quot;/&gt;&lt;wsp:rsid wsp:val=&quot;00CC6576&quot;/&gt;&lt;wsp:rsid wsp:val=&quot;00CC696E&quot;/&gt;&lt;wsp:rsid wsp:val=&quot;00CC6A69&quot;/&gt;&lt;wsp:rsid wsp:val=&quot;00CC6C54&quot;/&gt;&lt;wsp:rsid wsp:val=&quot;00CC7030&quot;/&gt;&lt;wsp:rsid wsp:val=&quot;00CC741B&quot;/&gt;&lt;wsp:rsid wsp:val=&quot;00CC7926&quot;/&gt;&lt;wsp:rsid wsp:val=&quot;00CD0A29&quot;/&gt;&lt;wsp:rsid wsp:val=&quot;00CD1281&quot;/&gt;&lt;wsp:rsid wsp:val=&quot;00CD19ED&quot;/&gt;&lt;wsp:rsid wsp:val=&quot;00CD1CE3&quot;/&gt;&lt;wsp:rsid wsp:val=&quot;00CD2074&quot;/&gt;&lt;wsp:rsid wsp:val=&quot;00CD213E&quot;/&gt;&lt;wsp:rsid wsp:val=&quot;00CD218F&quot;/&gt;&lt;wsp:rsid wsp:val=&quot;00CD2288&quot;/&gt;&lt;wsp:rsid wsp:val=&quot;00CD2DF9&quot;/&gt;&lt;wsp:rsid wsp:val=&quot;00CD3084&quot;/&gt;&lt;wsp:rsid wsp:val=&quot;00CD30FE&quot;/&gt;&lt;wsp:rsid wsp:val=&quot;00CD3692&quot;/&gt;&lt;wsp:rsid wsp:val=&quot;00CD3774&quot;/&gt;&lt;wsp:rsid wsp:val=&quot;00CD37CD&quot;/&gt;&lt;wsp:rsid wsp:val=&quot;00CD3B71&quot;/&gt;&lt;wsp:rsid wsp:val=&quot;00CD51CA&quot;/&gt;&lt;wsp:rsid wsp:val=&quot;00CD52E8&quot;/&gt;&lt;wsp:rsid wsp:val=&quot;00CD5CCE&quot;/&gt;&lt;wsp:rsid wsp:val=&quot;00CD5EED&quot;/&gt;&lt;wsp:rsid wsp:val=&quot;00CD6514&quot;/&gt;&lt;wsp:rsid wsp:val=&quot;00CD65A2&quot;/&gt;&lt;wsp:rsid wsp:val=&quot;00CD6637&quot;/&gt;&lt;wsp:rsid wsp:val=&quot;00CD66A4&quot;/&gt;&lt;wsp:rsid wsp:val=&quot;00CD694B&quot;/&gt;&lt;wsp:rsid wsp:val=&quot;00CD69E7&quot;/&gt;&lt;wsp:rsid wsp:val=&quot;00CD69E9&quot;/&gt;&lt;wsp:rsid wsp:val=&quot;00CD6A70&quot;/&gt;&lt;wsp:rsid wsp:val=&quot;00CD74D8&quot;/&gt;&lt;wsp:rsid wsp:val=&quot;00CD7999&quot;/&gt;&lt;wsp:rsid wsp:val=&quot;00CD7BF1&quot;/&gt;&lt;wsp:rsid wsp:val=&quot;00CE0AB2&quot;/&gt;&lt;wsp:rsid wsp:val=&quot;00CE0C16&quot;/&gt;&lt;wsp:rsid wsp:val=&quot;00CE0CA0&quot;/&gt;&lt;wsp:rsid wsp:val=&quot;00CE1CCE&quot;/&gt;&lt;wsp:rsid wsp:val=&quot;00CE21FB&quot;/&gt;&lt;wsp:rsid wsp:val=&quot;00CE376E&quot;/&gt;&lt;wsp:rsid wsp:val=&quot;00CE3866&quot;/&gt;&lt;wsp:rsid wsp:val=&quot;00CE399C&quot;/&gt;&lt;wsp:rsid wsp:val=&quot;00CE4C8A&quot;/&gt;&lt;wsp:rsid wsp:val=&quot;00CE4FD3&quot;/&gt;&lt;wsp:rsid wsp:val=&quot;00CE576A&quot;/&gt;&lt;wsp:rsid wsp:val=&quot;00CE5853&quot;/&gt;&lt;wsp:rsid wsp:val=&quot;00CE5BD9&quot;/&gt;&lt;wsp:rsid wsp:val=&quot;00CE5D8F&quot;/&gt;&lt;wsp:rsid wsp:val=&quot;00CE6025&quot;/&gt;&lt;wsp:rsid wsp:val=&quot;00CE6071&quot;/&gt;&lt;wsp:rsid wsp:val=&quot;00CE611F&quot;/&gt;&lt;wsp:rsid wsp:val=&quot;00CE61F5&quot;/&gt;&lt;wsp:rsid wsp:val=&quot;00CE6ABF&quot;/&gt;&lt;wsp:rsid wsp:val=&quot;00CE6BA9&quot;/&gt;&lt;wsp:rsid wsp:val=&quot;00CE6F0E&quot;/&gt;&lt;wsp:rsid wsp:val=&quot;00CE7151&quot;/&gt;&lt;wsp:rsid wsp:val=&quot;00CF09BF&quot;/&gt;&lt;wsp:rsid wsp:val=&quot;00CF1B2A&quot;/&gt;&lt;wsp:rsid wsp:val=&quot;00CF1CFA&quot;/&gt;&lt;wsp:rsid wsp:val=&quot;00CF22DE&quot;/&gt;&lt;wsp:rsid wsp:val=&quot;00CF2B49&quot;/&gt;&lt;wsp:rsid wsp:val=&quot;00CF2EA1&quot;/&gt;&lt;wsp:rsid wsp:val=&quot;00CF2FB9&quot;/&gt;&lt;wsp:rsid wsp:val=&quot;00CF31DC&quot;/&gt;&lt;wsp:rsid wsp:val=&quot;00CF3F30&quot;/&gt;&lt;wsp:rsid wsp:val=&quot;00CF3FEF&quot;/&gt;&lt;wsp:rsid wsp:val=&quot;00CF4B77&quot;/&gt;&lt;wsp:rsid wsp:val=&quot;00CF51DB&quot;/&gt;&lt;wsp:rsid wsp:val=&quot;00CF5B2E&quot;/&gt;&lt;wsp:rsid wsp:val=&quot;00CF5BDF&quot;/&gt;&lt;wsp:rsid wsp:val=&quot;00CF5D64&quot;/&gt;&lt;wsp:rsid wsp:val=&quot;00CF6B2C&quot;/&gt;&lt;wsp:rsid wsp:val=&quot;00CF7115&quot;/&gt;&lt;wsp:rsid wsp:val=&quot;00CF7996&quot;/&gt;&lt;wsp:rsid wsp:val=&quot;00D00238&quot;/&gt;&lt;wsp:rsid wsp:val=&quot;00D00DC6&quot;/&gt;&lt;wsp:rsid wsp:val=&quot;00D00EF3&quot;/&gt;&lt;wsp:rsid wsp:val=&quot;00D01224&quot;/&gt;&lt;wsp:rsid wsp:val=&quot;00D01783&quot;/&gt;&lt;wsp:rsid wsp:val=&quot;00D01B32&quot;/&gt;&lt;wsp:rsid wsp:val=&quot;00D01C6C&quot;/&gt;&lt;wsp:rsid wsp:val=&quot;00D01F24&quot;/&gt;&lt;wsp:rsid wsp:val=&quot;00D02011&quot;/&gt;&lt;wsp:rsid wsp:val=&quot;00D02109&quot;/&gt;&lt;wsp:rsid wsp:val=&quot;00D029A1&quot;/&gt;&lt;wsp:rsid wsp:val=&quot;00D02EE9&quot;/&gt;&lt;wsp:rsid wsp:val=&quot;00D0360E&quot;/&gt;&lt;wsp:rsid wsp:val=&quot;00D03C5C&quot;/&gt;&lt;wsp:rsid wsp:val=&quot;00D0458F&quot;/&gt;&lt;wsp:rsid wsp:val=&quot;00D0461D&quot;/&gt;&lt;wsp:rsid wsp:val=&quot;00D04749&quot;/&gt;&lt;wsp:rsid wsp:val=&quot;00D04A59&quot;/&gt;&lt;wsp:rsid wsp:val=&quot;00D0500A&quot;/&gt;&lt;wsp:rsid wsp:val=&quot;00D05301&quot;/&gt;&lt;wsp:rsid wsp:val=&quot;00D06BB5&quot;/&gt;&lt;wsp:rsid wsp:val=&quot;00D06C66&quot;/&gt;&lt;wsp:rsid wsp:val=&quot;00D0705E&quot;/&gt;&lt;wsp:rsid wsp:val=&quot;00D072B4&quot;/&gt;&lt;wsp:rsid wsp:val=&quot;00D07CA7&quot;/&gt;&lt;wsp:rsid wsp:val=&quot;00D1001E&quot;/&gt;&lt;wsp:rsid wsp:val=&quot;00D10129&quot;/&gt;&lt;wsp:rsid wsp:val=&quot;00D103C2&quot;/&gt;&lt;wsp:rsid wsp:val=&quot;00D1040B&quot;/&gt;&lt;wsp:rsid wsp:val=&quot;00D10740&quot;/&gt;&lt;wsp:rsid wsp:val=&quot;00D109E2&quot;/&gt;&lt;wsp:rsid wsp:val=&quot;00D10DD5&quot;/&gt;&lt;wsp:rsid wsp:val=&quot;00D10EA0&quot;/&gt;&lt;wsp:rsid wsp:val=&quot;00D10F30&quot;/&gt;&lt;wsp:rsid wsp:val=&quot;00D10F73&quot;/&gt;&lt;wsp:rsid wsp:val=&quot;00D12115&quot;/&gt;&lt;wsp:rsid wsp:val=&quot;00D1261E&quot;/&gt;&lt;wsp:rsid wsp:val=&quot;00D12AE5&quot;/&gt;&lt;wsp:rsid wsp:val=&quot;00D13184&quot;/&gt;&lt;wsp:rsid wsp:val=&quot;00D13CF7&quot;/&gt;&lt;wsp:rsid wsp:val=&quot;00D14195&quot;/&gt;&lt;wsp:rsid wsp:val=&quot;00D14A38&quot;/&gt;&lt;wsp:rsid wsp:val=&quot;00D14FDD&quot;/&gt;&lt;wsp:rsid wsp:val=&quot;00D1586E&quot;/&gt;&lt;wsp:rsid wsp:val=&quot;00D158B9&quot;/&gt;&lt;wsp:rsid wsp:val=&quot;00D15EFE&quot;/&gt;&lt;wsp:rsid wsp:val=&quot;00D1676A&quot;/&gt;&lt;wsp:rsid wsp:val=&quot;00D168FF&quot;/&gt;&lt;wsp:rsid wsp:val=&quot;00D16E18&quot;/&gt;&lt;wsp:rsid wsp:val=&quot;00D17550&quot;/&gt;&lt;wsp:rsid wsp:val=&quot;00D17560&quot;/&gt;&lt;wsp:rsid wsp:val=&quot;00D20CCA&quot;/&gt;&lt;wsp:rsid wsp:val=&quot;00D2117D&quot;/&gt;&lt;wsp:rsid wsp:val=&quot;00D21199&quot;/&gt;&lt;wsp:rsid wsp:val=&quot;00D215AC&quot;/&gt;&lt;wsp:rsid wsp:val=&quot;00D2209F&quot;/&gt;&lt;wsp:rsid wsp:val=&quot;00D222AA&quot;/&gt;&lt;wsp:rsid wsp:val=&quot;00D223CB&quot;/&gt;&lt;wsp:rsid wsp:val=&quot;00D228B5&quot;/&gt;&lt;wsp:rsid wsp:val=&quot;00D22C6A&quot;/&gt;&lt;wsp:rsid wsp:val=&quot;00D230DE&quot;/&gt;&lt;wsp:rsid wsp:val=&quot;00D23301&quot;/&gt;&lt;wsp:rsid wsp:val=&quot;00D238BE&quot;/&gt;&lt;wsp:rsid wsp:val=&quot;00D23DD5&quot;/&gt;&lt;wsp:rsid wsp:val=&quot;00D2415B&quot;/&gt;&lt;wsp:rsid wsp:val=&quot;00D249B8&quot;/&gt;&lt;wsp:rsid wsp:val=&quot;00D258A2&quot;/&gt;&lt;wsp:rsid wsp:val=&quot;00D262DE&quot;/&gt;&lt;wsp:rsid wsp:val=&quot;00D2643A&quot;/&gt;&lt;wsp:rsid wsp:val=&quot;00D268A0&quot;/&gt;&lt;wsp:rsid wsp:val=&quot;00D26C6B&quot;/&gt;&lt;wsp:rsid wsp:val=&quot;00D26E1A&quot;/&gt;&lt;wsp:rsid wsp:val=&quot;00D271FF&quot;/&gt;&lt;wsp:rsid wsp:val=&quot;00D27EA4&quot;/&gt;&lt;wsp:rsid wsp:val=&quot;00D30019&quot;/&gt;&lt;wsp:rsid wsp:val=&quot;00D306A9&quot;/&gt;&lt;wsp:rsid wsp:val=&quot;00D30D67&quot;/&gt;&lt;wsp:rsid wsp:val=&quot;00D31279&quot;/&gt;&lt;wsp:rsid wsp:val=&quot;00D31676&quot;/&gt;&lt;wsp:rsid wsp:val=&quot;00D321F1&quot;/&gt;&lt;wsp:rsid wsp:val=&quot;00D333CA&quot;/&gt;&lt;wsp:rsid wsp:val=&quot;00D33F76&quot;/&gt;&lt;wsp:rsid wsp:val=&quot;00D342D5&quot;/&gt;&lt;wsp:rsid wsp:val=&quot;00D3449C&quot;/&gt;&lt;wsp:rsid wsp:val=&quot;00D34AE0&quot;/&gt;&lt;wsp:rsid wsp:val=&quot;00D34C28&quot;/&gt;&lt;wsp:rsid wsp:val=&quot;00D34F95&quot;/&gt;&lt;wsp:rsid wsp:val=&quot;00D35492&quot;/&gt;&lt;wsp:rsid wsp:val=&quot;00D35C79&quot;/&gt;&lt;wsp:rsid wsp:val=&quot;00D3664E&quot;/&gt;&lt;wsp:rsid wsp:val=&quot;00D366C3&quot;/&gt;&lt;wsp:rsid wsp:val=&quot;00D36E16&quot;/&gt;&lt;wsp:rsid wsp:val=&quot;00D3707F&quot;/&gt;&lt;wsp:rsid wsp:val=&quot;00D371F3&quot;/&gt;&lt;wsp:rsid wsp:val=&quot;00D3739A&quot;/&gt;&lt;wsp:rsid wsp:val=&quot;00D375D0&quot;/&gt;&lt;wsp:rsid wsp:val=&quot;00D37749&quot;/&gt;&lt;wsp:rsid wsp:val=&quot;00D378EA&quot;/&gt;&lt;wsp:rsid wsp:val=&quot;00D405DB&quot;/&gt;&lt;wsp:rsid wsp:val=&quot;00D41606&quot;/&gt;&lt;wsp:rsid wsp:val=&quot;00D416BF&quot;/&gt;&lt;wsp:rsid wsp:val=&quot;00D4238F&quot;/&gt;&lt;wsp:rsid wsp:val=&quot;00D42C6A&quot;/&gt;&lt;wsp:rsid wsp:val=&quot;00D43761&quot;/&gt;&lt;wsp:rsid wsp:val=&quot;00D43F01&quot;/&gt;&lt;wsp:rsid wsp:val=&quot;00D440D6&quot;/&gt;&lt;wsp:rsid wsp:val=&quot;00D44A24&quot;/&gt;&lt;wsp:rsid wsp:val=&quot;00D44D03&quot;/&gt;&lt;wsp:rsid wsp:val=&quot;00D46052&quot;/&gt;&lt;wsp:rsid wsp:val=&quot;00D46A5A&quot;/&gt;&lt;wsp:rsid wsp:val=&quot;00D46C33&quot;/&gt;&lt;wsp:rsid wsp:val=&quot;00D46E0D&quot;/&gt;&lt;wsp:rsid wsp:val=&quot;00D47036&quot;/&gt;&lt;wsp:rsid wsp:val=&quot;00D476FA&quot;/&gt;&lt;wsp:rsid wsp:val=&quot;00D503B9&quot;/&gt;&lt;wsp:rsid wsp:val=&quot;00D503EA&quot;/&gt;&lt;wsp:rsid wsp:val=&quot;00D50EED&quot;/&gt;&lt;wsp:rsid wsp:val=&quot;00D51033&quot;/&gt;&lt;wsp:rsid wsp:val=&quot;00D51EDF&quot;/&gt;&lt;wsp:rsid wsp:val=&quot;00D520D5&quot;/&gt;&lt;wsp:rsid wsp:val=&quot;00D522B4&quot;/&gt;&lt;wsp:rsid wsp:val=&quot;00D523B6&quot;/&gt;&lt;wsp:rsid wsp:val=&quot;00D52513&quot;/&gt;&lt;wsp:rsid wsp:val=&quot;00D526CB&quot;/&gt;&lt;wsp:rsid wsp:val=&quot;00D528CE&quot;/&gt;&lt;wsp:rsid wsp:val=&quot;00D52A90&quot;/&gt;&lt;wsp:rsid wsp:val=&quot;00D52A94&quot;/&gt;&lt;wsp:rsid wsp:val=&quot;00D53085&quot;/&gt;&lt;wsp:rsid wsp:val=&quot;00D543FB&quot;/&gt;&lt;wsp:rsid wsp:val=&quot;00D5527B&quot;/&gt;&lt;wsp:rsid wsp:val=&quot;00D55EA7&quot;/&gt;&lt;wsp:rsid wsp:val=&quot;00D56130&quot;/&gt;&lt;wsp:rsid wsp:val=&quot;00D56EFA&quot;/&gt;&lt;wsp:rsid wsp:val=&quot;00D572BE&quot;/&gt;&lt;wsp:rsid wsp:val=&quot;00D5764C&quot;/&gt;&lt;wsp:rsid wsp:val=&quot;00D57B52&quot;/&gt;&lt;wsp:rsid wsp:val=&quot;00D60B33&quot;/&gt;&lt;wsp:rsid wsp:val=&quot;00D60B71&quot;/&gt;&lt;wsp:rsid wsp:val=&quot;00D60B7E&quot;/&gt;&lt;wsp:rsid wsp:val=&quot;00D611AF&quot;/&gt;&lt;wsp:rsid wsp:val=&quot;00D6135B&quot;/&gt;&lt;wsp:rsid wsp:val=&quot;00D617A8&quot;/&gt;&lt;wsp:rsid wsp:val=&quot;00D61E44&quot;/&gt;&lt;wsp:rsid wsp:val=&quot;00D62A06&quot;/&gt;&lt;wsp:rsid wsp:val=&quot;00D62C1A&quot;/&gt;&lt;wsp:rsid wsp:val=&quot;00D62F5E&quot;/&gt;&lt;wsp:rsid wsp:val=&quot;00D6377F&quot;/&gt;&lt;wsp:rsid wsp:val=&quot;00D64AED&quot;/&gt;&lt;wsp:rsid wsp:val=&quot;00D64CA7&quot;/&gt;&lt;wsp:rsid wsp:val=&quot;00D64DB1&quot;/&gt;&lt;wsp:rsid wsp:val=&quot;00D64E8D&quot;/&gt;&lt;wsp:rsid wsp:val=&quot;00D6501D&quot;/&gt;&lt;wsp:rsid wsp:val=&quot;00D65ADA&quot;/&gt;&lt;wsp:rsid wsp:val=&quot;00D66990&quot;/&gt;&lt;wsp:rsid wsp:val=&quot;00D66AA9&quot;/&gt;&lt;wsp:rsid wsp:val=&quot;00D66DC7&quot;/&gt;&lt;wsp:rsid wsp:val=&quot;00D67EB1&quot;/&gt;&lt;wsp:rsid wsp:val=&quot;00D67F1D&quot;/&gt;&lt;wsp:rsid wsp:val=&quot;00D70231&quot;/&gt;&lt;wsp:rsid wsp:val=&quot;00D70B1B&quot;/&gt;&lt;wsp:rsid wsp:val=&quot;00D70B59&quot;/&gt;&lt;wsp:rsid wsp:val=&quot;00D71152&quot;/&gt;&lt;wsp:rsid wsp:val=&quot;00D71913&quot;/&gt;&lt;wsp:rsid wsp:val=&quot;00D7193C&quot;/&gt;&lt;wsp:rsid wsp:val=&quot;00D71B3E&quot;/&gt;&lt;wsp:rsid wsp:val=&quot;00D7265F&quot;/&gt;&lt;wsp:rsid wsp:val=&quot;00D729F6&quot;/&gt;&lt;wsp:rsid wsp:val=&quot;00D729FA&quot;/&gt;&lt;wsp:rsid wsp:val=&quot;00D72BDA&quot;/&gt;&lt;wsp:rsid wsp:val=&quot;00D73677&quot;/&gt;&lt;wsp:rsid wsp:val=&quot;00D7389C&quot;/&gt;&lt;wsp:rsid wsp:val=&quot;00D74D59&quot;/&gt;&lt;wsp:rsid wsp:val=&quot;00D74DBC&quot;/&gt;&lt;wsp:rsid wsp:val=&quot;00D74DDD&quot;/&gt;&lt;wsp:rsid wsp:val=&quot;00D74E1A&quot;/&gt;&lt;wsp:rsid wsp:val=&quot;00D74E94&quot;/&gt;&lt;wsp:rsid wsp:val=&quot;00D75835&quot;/&gt;&lt;wsp:rsid wsp:val=&quot;00D75D47&quot;/&gt;&lt;wsp:rsid wsp:val=&quot;00D76048&quot;/&gt;&lt;wsp:rsid wsp:val=&quot;00D760E7&quot;/&gt;&lt;wsp:rsid wsp:val=&quot;00D762E8&quot;/&gt;&lt;wsp:rsid wsp:val=&quot;00D762EF&quot;/&gt;&lt;wsp:rsid wsp:val=&quot;00D76517&quot;/&gt;&lt;wsp:rsid wsp:val=&quot;00D76689&quot;/&gt;&lt;wsp:rsid wsp:val=&quot;00D766D2&quot;/&gt;&lt;wsp:rsid wsp:val=&quot;00D76919&quot;/&gt;&lt;wsp:rsid wsp:val=&quot;00D77E41&quot;/&gt;&lt;wsp:rsid wsp:val=&quot;00D77EE5&quot;/&gt;&lt;wsp:rsid wsp:val=&quot;00D8039A&quot;/&gt;&lt;wsp:rsid wsp:val=&quot;00D80913&quot;/&gt;&lt;wsp:rsid wsp:val=&quot;00D8099C&quot;/&gt;&lt;wsp:rsid wsp:val=&quot;00D81B99&quot;/&gt;&lt;wsp:rsid wsp:val=&quot;00D81FEC&quot;/&gt;&lt;wsp:rsid wsp:val=&quot;00D823EE&quot;/&gt;&lt;wsp:rsid wsp:val=&quot;00D82815&quot;/&gt;&lt;wsp:rsid wsp:val=&quot;00D82C31&quot;/&gt;&lt;wsp:rsid wsp:val=&quot;00D832A4&quot;/&gt;&lt;wsp:rsid wsp:val=&quot;00D8349C&quot;/&gt;&lt;wsp:rsid wsp:val=&quot;00D838AF&quot;/&gt;&lt;wsp:rsid wsp:val=&quot;00D84113&quot;/&gt;&lt;wsp:rsid wsp:val=&quot;00D84285&quot;/&gt;&lt;wsp:rsid wsp:val=&quot;00D84349&quot;/&gt;&lt;wsp:rsid wsp:val=&quot;00D84901&quot;/&gt;&lt;wsp:rsid wsp:val=&quot;00D8560C&quot;/&gt;&lt;wsp:rsid wsp:val=&quot;00D861CD&quot;/&gt;&lt;wsp:rsid wsp:val=&quot;00D8659C&quot;/&gt;&lt;wsp:rsid wsp:val=&quot;00D870F2&quot;/&gt;&lt;wsp:rsid wsp:val=&quot;00D87463&quot;/&gt;&lt;wsp:rsid wsp:val=&quot;00D87753&quot;/&gt;&lt;wsp:rsid wsp:val=&quot;00D87A65&quot;/&gt;&lt;wsp:rsid wsp:val=&quot;00D87E2C&quot;/&gt;&lt;wsp:rsid wsp:val=&quot;00D90202&quot;/&gt;&lt;wsp:rsid wsp:val=&quot;00D902F2&quot;/&gt;&lt;wsp:rsid wsp:val=&quot;00D90B88&quot;/&gt;&lt;wsp:rsid wsp:val=&quot;00D91448&quot;/&gt;&lt;wsp:rsid wsp:val=&quot;00D92263&quot;/&gt;&lt;wsp:rsid wsp:val=&quot;00D92855&quot;/&gt;&lt;wsp:rsid wsp:val=&quot;00D92C6B&quot;/&gt;&lt;wsp:rsid wsp:val=&quot;00D93D26&quot;/&gt;&lt;wsp:rsid wsp:val=&quot;00D94199&quot;/&gt;&lt;wsp:rsid wsp:val=&quot;00D956DD&quot;/&gt;&lt;wsp:rsid wsp:val=&quot;00D96206&quot;/&gt;&lt;wsp:rsid wsp:val=&quot;00D964F2&quot;/&gt;&lt;wsp:rsid wsp:val=&quot;00D96C27&quot;/&gt;&lt;wsp:rsid wsp:val=&quot;00D96EEC&quot;/&gt;&lt;wsp:rsid wsp:val=&quot;00D97034&quot;/&gt;&lt;wsp:rsid wsp:val=&quot;00D97574&quot;/&gt;&lt;wsp:rsid wsp:val=&quot;00D97F4E&quot;/&gt;&lt;wsp:rsid wsp:val=&quot;00DA0AFC&quot;/&gt;&lt;wsp:rsid wsp:val=&quot;00DA0B47&quot;/&gt;&lt;wsp:rsid wsp:val=&quot;00DA0BC9&quot;/&gt;&lt;wsp:rsid wsp:val=&quot;00DA0CD5&quot;/&gt;&lt;wsp:rsid wsp:val=&quot;00DA11A5&quot;/&gt;&lt;wsp:rsid wsp:val=&quot;00DA1871&quot;/&gt;&lt;wsp:rsid wsp:val=&quot;00DA1A41&quot;/&gt;&lt;wsp:rsid wsp:val=&quot;00DA20CD&quot;/&gt;&lt;wsp:rsid wsp:val=&quot;00DA21DD&quot;/&gt;&lt;wsp:rsid wsp:val=&quot;00DA2471&quot;/&gt;&lt;wsp:rsid wsp:val=&quot;00DA280C&quot;/&gt;&lt;wsp:rsid wsp:val=&quot;00DA2C4F&quot;/&gt;&lt;wsp:rsid wsp:val=&quot;00DA2E49&quot;/&gt;&lt;wsp:rsid wsp:val=&quot;00DA2E96&quot;/&gt;&lt;wsp:rsid wsp:val=&quot;00DA2EA7&quot;/&gt;&lt;wsp:rsid wsp:val=&quot;00DA2FE0&quot;/&gt;&lt;wsp:rsid wsp:val=&quot;00DA3027&quot;/&gt;&lt;wsp:rsid wsp:val=&quot;00DA32EB&quot;/&gt;&lt;wsp:rsid wsp:val=&quot;00DA337D&quot;/&gt;&lt;wsp:rsid wsp:val=&quot;00DA486E&quot;/&gt;&lt;wsp:rsid wsp:val=&quot;00DA512F&quot;/&gt;&lt;wsp:rsid wsp:val=&quot;00DA5201&quot;/&gt;&lt;wsp:rsid wsp:val=&quot;00DA54D4&quot;/&gt;&lt;wsp:rsid wsp:val=&quot;00DA5D21&quot;/&gt;&lt;wsp:rsid wsp:val=&quot;00DA617F&quot;/&gt;&lt;wsp:rsid wsp:val=&quot;00DA66B8&quot;/&gt;&lt;wsp:rsid wsp:val=&quot;00DA706A&quot;/&gt;&lt;wsp:rsid wsp:val=&quot;00DA72CF&quot;/&gt;&lt;wsp:rsid wsp:val=&quot;00DA734D&quot;/&gt;&lt;wsp:rsid wsp:val=&quot;00DA7727&quot;/&gt;&lt;wsp:rsid wsp:val=&quot;00DA78D0&quot;/&gt;&lt;wsp:rsid wsp:val=&quot;00DA7B02&quot;/&gt;&lt;wsp:rsid wsp:val=&quot;00DA7D0F&quot;/&gt;&lt;wsp:rsid wsp:val=&quot;00DB0281&quot;/&gt;&lt;wsp:rsid wsp:val=&quot;00DB03D0&quot;/&gt;&lt;wsp:rsid wsp:val=&quot;00DB0A6E&quot;/&gt;&lt;wsp:rsid wsp:val=&quot;00DB0D6F&quot;/&gt;&lt;wsp:rsid wsp:val=&quot;00DB1E42&quot;/&gt;&lt;wsp:rsid wsp:val=&quot;00DB1FB2&quot;/&gt;&lt;wsp:rsid wsp:val=&quot;00DB2616&quot;/&gt;&lt;wsp:rsid wsp:val=&quot;00DB2AD8&quot;/&gt;&lt;wsp:rsid wsp:val=&quot;00DB303C&quot;/&gt;&lt;wsp:rsid wsp:val=&quot;00DB31D4&quot;/&gt;&lt;wsp:rsid wsp:val=&quot;00DB34E0&quot;/&gt;&lt;wsp:rsid wsp:val=&quot;00DB4138&quot;/&gt;&lt;wsp:rsid wsp:val=&quot;00DB4491&quot;/&gt;&lt;wsp:rsid wsp:val=&quot;00DB4872&quot;/&gt;&lt;wsp:rsid wsp:val=&quot;00DB49C5&quot;/&gt;&lt;wsp:rsid wsp:val=&quot;00DB5001&quot;/&gt;&lt;wsp:rsid wsp:val=&quot;00DB589E&quot;/&gt;&lt;wsp:rsid wsp:val=&quot;00DB62A5&quot;/&gt;&lt;wsp:rsid wsp:val=&quot;00DB62A6&quot;/&gt;&lt;wsp:rsid wsp:val=&quot;00DB6606&quot;/&gt;&lt;wsp:rsid wsp:val=&quot;00DB6D36&quot;/&gt;&lt;wsp:rsid wsp:val=&quot;00DB7756&quot;/&gt;&lt;wsp:rsid wsp:val=&quot;00DB7784&quot;/&gt;&lt;wsp:rsid wsp:val=&quot;00DB7905&quot;/&gt;&lt;wsp:rsid wsp:val=&quot;00DB7A2A&quot;/&gt;&lt;wsp:rsid wsp:val=&quot;00DB7B75&quot;/&gt;&lt;wsp:rsid wsp:val=&quot;00DC0325&quot;/&gt;&lt;wsp:rsid wsp:val=&quot;00DC0A1C&quot;/&gt;&lt;wsp:rsid wsp:val=&quot;00DC169C&quot;/&gt;&lt;wsp:rsid wsp:val=&quot;00DC1922&quot;/&gt;&lt;wsp:rsid wsp:val=&quot;00DC2AED&quot;/&gt;&lt;wsp:rsid wsp:val=&quot;00DC3209&quot;/&gt;&lt;wsp:rsid wsp:val=&quot;00DC3548&quot;/&gt;&lt;wsp:rsid wsp:val=&quot;00DC3654&quot;/&gt;&lt;wsp:rsid wsp:val=&quot;00DC3CEF&quot;/&gt;&lt;wsp:rsid wsp:val=&quot;00DC40B0&quot;/&gt;&lt;wsp:rsid wsp:val=&quot;00DC4A31&quot;/&gt;&lt;wsp:rsid wsp:val=&quot;00DC4DEE&quot;/&gt;&lt;wsp:rsid wsp:val=&quot;00DC4F31&quot;/&gt;&lt;wsp:rsid wsp:val=&quot;00DC528E&quot;/&gt;&lt;wsp:rsid wsp:val=&quot;00DC54AC&quot;/&gt;&lt;wsp:rsid wsp:val=&quot;00DC5621&quot;/&gt;&lt;wsp:rsid wsp:val=&quot;00DC5AF4&quot;/&gt;&lt;wsp:rsid wsp:val=&quot;00DC6079&quot;/&gt;&lt;wsp:rsid wsp:val=&quot;00DC6567&quot;/&gt;&lt;wsp:rsid wsp:val=&quot;00DC692B&quot;/&gt;&lt;wsp:rsid wsp:val=&quot;00DC6977&quot;/&gt;&lt;wsp:rsid wsp:val=&quot;00DC6CD6&quot;/&gt;&lt;wsp:rsid wsp:val=&quot;00DC6DAF&quot;/&gt;&lt;wsp:rsid wsp:val=&quot;00DC6FFC&quot;/&gt;&lt;wsp:rsid wsp:val=&quot;00DC715F&quot;/&gt;&lt;wsp:rsid wsp:val=&quot;00DC7C84&quot;/&gt;&lt;wsp:rsid wsp:val=&quot;00DD00E1&quot;/&gt;&lt;wsp:rsid wsp:val=&quot;00DD0308&quot;/&gt;&lt;wsp:rsid wsp:val=&quot;00DD05E0&quot;/&gt;&lt;wsp:rsid wsp:val=&quot;00DD0BB7&quot;/&gt;&lt;wsp:rsid wsp:val=&quot;00DD0E63&quot;/&gt;&lt;wsp:rsid wsp:val=&quot;00DD1075&quot;/&gt;&lt;wsp:rsid wsp:val=&quot;00DD1586&quot;/&gt;&lt;wsp:rsid wsp:val=&quot;00DD1F25&quot;/&gt;&lt;wsp:rsid wsp:val=&quot;00DD258A&quot;/&gt;&lt;wsp:rsid wsp:val=&quot;00DD25DF&quot;/&gt;&lt;wsp:rsid wsp:val=&quot;00DD2ADC&quot;/&gt;&lt;wsp:rsid wsp:val=&quot;00DD2C56&quot;/&gt;&lt;wsp:rsid wsp:val=&quot;00DD2F38&quot;/&gt;&lt;wsp:rsid wsp:val=&quot;00DD39C8&quot;/&gt;&lt;wsp:rsid wsp:val=&quot;00DD4759&quot;/&gt;&lt;wsp:rsid wsp:val=&quot;00DD4A3C&quot;/&gt;&lt;wsp:rsid wsp:val=&quot;00DD4F3D&quot;/&gt;&lt;wsp:rsid wsp:val=&quot;00DD521B&quot;/&gt;&lt;wsp:rsid wsp:val=&quot;00DD5432&quot;/&gt;&lt;wsp:rsid wsp:val=&quot;00DD5BBC&quot;/&gt;&lt;wsp:rsid wsp:val=&quot;00DD60D4&quot;/&gt;&lt;wsp:rsid wsp:val=&quot;00DD736C&quot;/&gt;&lt;wsp:rsid wsp:val=&quot;00DD76FC&quot;/&gt;&lt;wsp:rsid wsp:val=&quot;00DD7B4A&quot;/&gt;&lt;wsp:rsid wsp:val=&quot;00DE0182&quot;/&gt;&lt;wsp:rsid wsp:val=&quot;00DE1999&quot;/&gt;&lt;wsp:rsid wsp:val=&quot;00DE1C00&quot;/&gt;&lt;wsp:rsid wsp:val=&quot;00DE2353&quot;/&gt;&lt;wsp:rsid wsp:val=&quot;00DE2665&quot;/&gt;&lt;wsp:rsid wsp:val=&quot;00DE278C&quot;/&gt;&lt;wsp:rsid wsp:val=&quot;00DE2CEC&quot;/&gt;&lt;wsp:rsid wsp:val=&quot;00DE2D9A&quot;/&gt;&lt;wsp:rsid wsp:val=&quot;00DE32DF&quot;/&gt;&lt;wsp:rsid wsp:val=&quot;00DE3400&quot;/&gt;&lt;wsp:rsid wsp:val=&quot;00DE3546&quot;/&gt;&lt;wsp:rsid wsp:val=&quot;00DE3CE4&quot;/&gt;&lt;wsp:rsid wsp:val=&quot;00DE3F26&quot;/&gt;&lt;wsp:rsid wsp:val=&quot;00DE429F&quot;/&gt;&lt;wsp:rsid wsp:val=&quot;00DE4733&quot;/&gt;&lt;wsp:rsid wsp:val=&quot;00DE5249&quot;/&gt;&lt;wsp:rsid wsp:val=&quot;00DE5A9C&quot;/&gt;&lt;wsp:rsid wsp:val=&quot;00DE5F92&quot;/&gt;&lt;wsp:rsid wsp:val=&quot;00DE620B&quot;/&gt;&lt;wsp:rsid wsp:val=&quot;00DE6CF2&quot;/&gt;&lt;wsp:rsid wsp:val=&quot;00DE7276&quot;/&gt;&lt;wsp:rsid wsp:val=&quot;00DF0C04&quot;/&gt;&lt;wsp:rsid wsp:val=&quot;00DF0F6D&quot;/&gt;&lt;wsp:rsid wsp:val=&quot;00DF13FD&quot;/&gt;&lt;wsp:rsid wsp:val=&quot;00DF1D30&quot;/&gt;&lt;wsp:rsid wsp:val=&quot;00DF1D9F&quot;/&gt;&lt;wsp:rsid wsp:val=&quot;00DF20DE&quot;/&gt;&lt;wsp:rsid wsp:val=&quot;00DF213A&quot;/&gt;&lt;wsp:rsid wsp:val=&quot;00DF2ED7&quot;/&gt;&lt;wsp:rsid wsp:val=&quot;00DF3311&quot;/&gt;&lt;wsp:rsid wsp:val=&quot;00DF337F&quot;/&gt;&lt;wsp:rsid wsp:val=&quot;00DF354A&quot;/&gt;&lt;wsp:rsid wsp:val=&quot;00DF45BC&quot;/&gt;&lt;wsp:rsid wsp:val=&quot;00DF4636&quot;/&gt;&lt;wsp:rsid wsp:val=&quot;00DF4698&quot;/&gt;&lt;wsp:rsid wsp:val=&quot;00DF478E&quot;/&gt;&lt;wsp:rsid wsp:val=&quot;00DF4BB2&quot;/&gt;&lt;wsp:rsid wsp:val=&quot;00DF4D7E&quot;/&gt;&lt;wsp:rsid wsp:val=&quot;00DF4EE2&quot;/&gt;&lt;wsp:rsid wsp:val=&quot;00DF5CB5&quot;/&gt;&lt;wsp:rsid wsp:val=&quot;00DF5FFE&quot;/&gt;&lt;wsp:rsid wsp:val=&quot;00DF6303&quot;/&gt;&lt;wsp:rsid wsp:val=&quot;00DF65F7&quot;/&gt;&lt;wsp:rsid wsp:val=&quot;00DF66AB&quot;/&gt;&lt;wsp:rsid wsp:val=&quot;00DF6820&quot;/&gt;&lt;wsp:rsid wsp:val=&quot;00DF6CDB&quot;/&gt;&lt;wsp:rsid wsp:val=&quot;00DF6D56&quot;/&gt;&lt;wsp:rsid wsp:val=&quot;00DF70D7&quot;/&gt;&lt;wsp:rsid wsp:val=&quot;00DF7A17&quot;/&gt;&lt;wsp:rsid wsp:val=&quot;00DF7AF3&quot;/&gt;&lt;wsp:rsid wsp:val=&quot;00DF7E57&quot;/&gt;&lt;wsp:rsid wsp:val=&quot;00DF7EDA&quot;/&gt;&lt;wsp:rsid wsp:val=&quot;00E00515&quot;/&gt;&lt;wsp:rsid wsp:val=&quot;00E011A8&quot;/&gt;&lt;wsp:rsid wsp:val=&quot;00E01436&quot;/&gt;&lt;wsp:rsid wsp:val=&quot;00E01975&quot;/&gt;&lt;wsp:rsid wsp:val=&quot;00E01A8C&quot;/&gt;&lt;wsp:rsid wsp:val=&quot;00E01B70&quot;/&gt;&lt;wsp:rsid wsp:val=&quot;00E01BFC&quot;/&gt;&lt;wsp:rsid wsp:val=&quot;00E01C05&quot;/&gt;&lt;wsp:rsid wsp:val=&quot;00E02292&quot;/&gt;&lt;wsp:rsid wsp:val=&quot;00E02581&quot;/&gt;&lt;wsp:rsid wsp:val=&quot;00E028D3&quot;/&gt;&lt;wsp:rsid wsp:val=&quot;00E02C39&quot;/&gt;&lt;wsp:rsid wsp:val=&quot;00E02DA9&quot;/&gt;&lt;wsp:rsid wsp:val=&quot;00E02FEA&quot;/&gt;&lt;wsp:rsid wsp:val=&quot;00E036E9&quot;/&gt;&lt;wsp:rsid wsp:val=&quot;00E03E72&quot;/&gt;&lt;wsp:rsid wsp:val=&quot;00E03FD4&quot;/&gt;&lt;wsp:rsid wsp:val=&quot;00E045BD&quot;/&gt;&lt;wsp:rsid wsp:val=&quot;00E04F65&quot;/&gt;&lt;wsp:rsid wsp:val=&quot;00E050A8&quot;/&gt;&lt;wsp:rsid wsp:val=&quot;00E057FE&quot;/&gt;&lt;wsp:rsid wsp:val=&quot;00E05A7B&quot;/&gt;&lt;wsp:rsid wsp:val=&quot;00E05C1C&quot;/&gt;&lt;wsp:rsid wsp:val=&quot;00E05C54&quot;/&gt;&lt;wsp:rsid wsp:val=&quot;00E05DBB&quot;/&gt;&lt;wsp:rsid wsp:val=&quot;00E060B7&quot;/&gt;&lt;wsp:rsid wsp:val=&quot;00E06579&quot;/&gt;&lt;wsp:rsid wsp:val=&quot;00E06777&quot;/&gt;&lt;wsp:rsid wsp:val=&quot;00E071DD&quot;/&gt;&lt;wsp:rsid wsp:val=&quot;00E07269&quot;/&gt;&lt;wsp:rsid wsp:val=&quot;00E0794A&quot;/&gt;&lt;wsp:rsid wsp:val=&quot;00E100F4&quot;/&gt;&lt;wsp:rsid wsp:val=&quot;00E10B0C&quot;/&gt;&lt;wsp:rsid wsp:val=&quot;00E10F47&quot;/&gt;&lt;wsp:rsid wsp:val=&quot;00E10F6C&quot;/&gt;&lt;wsp:rsid wsp:val=&quot;00E11274&quot;/&gt;&lt;wsp:rsid wsp:val=&quot;00E11398&quot;/&gt;&lt;wsp:rsid wsp:val=&quot;00E11AE8&quot;/&gt;&lt;wsp:rsid wsp:val=&quot;00E11EA2&quot;/&gt;&lt;wsp:rsid wsp:val=&quot;00E1218B&quot;/&gt;&lt;wsp:rsid wsp:val=&quot;00E121DA&quot;/&gt;&lt;wsp:rsid wsp:val=&quot;00E1277D&quot;/&gt;&lt;wsp:rsid wsp:val=&quot;00E13113&quot;/&gt;&lt;wsp:rsid wsp:val=&quot;00E13334&quot;/&gt;&lt;wsp:rsid wsp:val=&quot;00E13ADC&quot;/&gt;&lt;wsp:rsid wsp:val=&quot;00E13EE1&quot;/&gt;&lt;wsp:rsid wsp:val=&quot;00E140D1&quot;/&gt;&lt;wsp:rsid wsp:val=&quot;00E15621&quot;/&gt;&lt;wsp:rsid wsp:val=&quot;00E15877&quot;/&gt;&lt;wsp:rsid wsp:val=&quot;00E15C2D&quot;/&gt;&lt;wsp:rsid wsp:val=&quot;00E16461&quot;/&gt;&lt;wsp:rsid wsp:val=&quot;00E165BA&quot;/&gt;&lt;wsp:rsid wsp:val=&quot;00E165EE&quot;/&gt;&lt;wsp:rsid wsp:val=&quot;00E166BB&quot;/&gt;&lt;wsp:rsid wsp:val=&quot;00E16E0D&quot;/&gt;&lt;wsp:rsid wsp:val=&quot;00E16ED0&quot;/&gt;&lt;wsp:rsid wsp:val=&quot;00E178EE&quot;/&gt;&lt;wsp:rsid wsp:val=&quot;00E17958&quot;/&gt;&lt;wsp:rsid wsp:val=&quot;00E20191&quot;/&gt;&lt;wsp:rsid wsp:val=&quot;00E20806&quot;/&gt;&lt;wsp:rsid wsp:val=&quot;00E20956&quot;/&gt;&lt;wsp:rsid wsp:val=&quot;00E2097B&quot;/&gt;&lt;wsp:rsid wsp:val=&quot;00E20ED0&quot;/&gt;&lt;wsp:rsid wsp:val=&quot;00E2123B&quot;/&gt;&lt;wsp:rsid wsp:val=&quot;00E213AA&quot;/&gt;&lt;wsp:rsid wsp:val=&quot;00E2156A&quot;/&gt;&lt;wsp:rsid wsp:val=&quot;00E21795&quot;/&gt;&lt;wsp:rsid wsp:val=&quot;00E22191&quot;/&gt;&lt;wsp:rsid wsp:val=&quot;00E22241&quot;/&gt;&lt;wsp:rsid wsp:val=&quot;00E227F3&quot;/&gt;&lt;wsp:rsid wsp:val=&quot;00E228D3&quot;/&gt;&lt;wsp:rsid wsp:val=&quot;00E22B18&quot;/&gt;&lt;wsp:rsid wsp:val=&quot;00E22D2E&quot;/&gt;&lt;wsp:rsid wsp:val=&quot;00E22E47&quot;/&gt;&lt;wsp:rsid wsp:val=&quot;00E22F48&quot;/&gt;&lt;wsp:rsid wsp:val=&quot;00E22FB4&quot;/&gt;&lt;wsp:rsid wsp:val=&quot;00E235E7&quot;/&gt;&lt;wsp:rsid wsp:val=&quot;00E237F6&quot;/&gt;&lt;wsp:rsid wsp:val=&quot;00E24428&quot;/&gt;&lt;wsp:rsid wsp:val=&quot;00E24C65&quot;/&gt;&lt;wsp:rsid wsp:val=&quot;00E24E03&quot;/&gt;&lt;wsp:rsid wsp:val=&quot;00E24E3A&quot;/&gt;&lt;wsp:rsid wsp:val=&quot;00E250E8&quot;/&gt;&lt;wsp:rsid wsp:val=&quot;00E25218&quot;/&gt;&lt;wsp:rsid wsp:val=&quot;00E255E5&quot;/&gt;&lt;wsp:rsid wsp:val=&quot;00E256B9&quot;/&gt;&lt;wsp:rsid wsp:val=&quot;00E2585B&quot;/&gt;&lt;wsp:rsid wsp:val=&quot;00E25F1C&quot;/&gt;&lt;wsp:rsid wsp:val=&quot;00E25FD7&quot;/&gt;&lt;wsp:rsid wsp:val=&quot;00E260EA&quot;/&gt;&lt;wsp:rsid wsp:val=&quot;00E260FA&quot;/&gt;&lt;wsp:rsid wsp:val=&quot;00E26148&quot;/&gt;&lt;wsp:rsid wsp:val=&quot;00E2640D&quot;/&gt;&lt;wsp:rsid wsp:val=&quot;00E266CD&quot;/&gt;&lt;wsp:rsid wsp:val=&quot;00E26A5E&quot;/&gt;&lt;wsp:rsid wsp:val=&quot;00E26F84&quot;/&gt;&lt;wsp:rsid wsp:val=&quot;00E2721F&quot;/&gt;&lt;wsp:rsid wsp:val=&quot;00E27BB7&quot;/&gt;&lt;wsp:rsid wsp:val=&quot;00E30150&quot;/&gt;&lt;wsp:rsid wsp:val=&quot;00E304FB&quot;/&gt;&lt;wsp:rsid wsp:val=&quot;00E305DF&quot;/&gt;&lt;wsp:rsid wsp:val=&quot;00E3064C&quot;/&gt;&lt;wsp:rsid wsp:val=&quot;00E30936&quot;/&gt;&lt;wsp:rsid wsp:val=&quot;00E30AE1&quot;/&gt;&lt;wsp:rsid wsp:val=&quot;00E30DD1&quot;/&gt;&lt;wsp:rsid wsp:val=&quot;00E312D3&quot;/&gt;&lt;wsp:rsid wsp:val=&quot;00E31B59&quot;/&gt;&lt;wsp:rsid wsp:val=&quot;00E32A0A&quot;/&gt;&lt;wsp:rsid wsp:val=&quot;00E32A4E&quot;/&gt;&lt;wsp:rsid wsp:val=&quot;00E33904&quot;/&gt;&lt;wsp:rsid wsp:val=&quot;00E33DBB&quot;/&gt;&lt;wsp:rsid wsp:val=&quot;00E33EAE&quot;/&gt;&lt;wsp:rsid wsp:val=&quot;00E33EDA&quot;/&gt;&lt;wsp:rsid wsp:val=&quot;00E35513&quot;/&gt;&lt;wsp:rsid wsp:val=&quot;00E35FF9&quot;/&gt;&lt;wsp:rsid wsp:val=&quot;00E36334&quot;/&gt;&lt;wsp:rsid wsp:val=&quot;00E36C08&quot;/&gt;&lt;wsp:rsid wsp:val=&quot;00E370CD&quot;/&gt;&lt;wsp:rsid wsp:val=&quot;00E37150&quot;/&gt;&lt;wsp:rsid wsp:val=&quot;00E37BAB&quot;/&gt;&lt;wsp:rsid wsp:val=&quot;00E40E27&quot;/&gt;&lt;wsp:rsid wsp:val=&quot;00E40E7C&quot;/&gt;&lt;wsp:rsid wsp:val=&quot;00E4128D&quot;/&gt;&lt;wsp:rsid wsp:val=&quot;00E4136D&quot;/&gt;&lt;wsp:rsid wsp:val=&quot;00E413B5&quot;/&gt;&lt;wsp:rsid wsp:val=&quot;00E4142B&quot;/&gt;&lt;wsp:rsid wsp:val=&quot;00E4153E&quot;/&gt;&lt;wsp:rsid wsp:val=&quot;00E4376C&quot;/&gt;&lt;wsp:rsid wsp:val=&quot;00E44071&quot;/&gt;&lt;wsp:rsid wsp:val=&quot;00E44CBE&quot;/&gt;&lt;wsp:rsid wsp:val=&quot;00E44E97&quot;/&gt;&lt;wsp:rsid wsp:val=&quot;00E453A7&quot;/&gt;&lt;wsp:rsid wsp:val=&quot;00E453B1&quot;/&gt;&lt;wsp:rsid wsp:val=&quot;00E457C1&quot;/&gt;&lt;wsp:rsid wsp:val=&quot;00E4595B&quot;/&gt;&lt;wsp:rsid wsp:val=&quot;00E471B3&quot;/&gt;&lt;wsp:rsid wsp:val=&quot;00E4754D&quot;/&gt;&lt;wsp:rsid wsp:val=&quot;00E4784C&quot;/&gt;&lt;wsp:rsid wsp:val=&quot;00E47A8A&quot;/&gt;&lt;wsp:rsid wsp:val=&quot;00E50A99&quot;/&gt;&lt;wsp:rsid wsp:val=&quot;00E51B44&quot;/&gt;&lt;wsp:rsid wsp:val=&quot;00E51C8A&quot;/&gt;&lt;wsp:rsid wsp:val=&quot;00E51E98&quot;/&gt;&lt;wsp:rsid wsp:val=&quot;00E51F84&quot;/&gt;&lt;wsp:rsid wsp:val=&quot;00E530EF&quot;/&gt;&lt;wsp:rsid wsp:val=&quot;00E53AB6&quot;/&gt;&lt;wsp:rsid wsp:val=&quot;00E5464C&quot;/&gt;&lt;wsp:rsid wsp:val=&quot;00E54B97&quot;/&gt;&lt;wsp:rsid wsp:val=&quot;00E54C65&quot;/&gt;&lt;wsp:rsid wsp:val=&quot;00E550DF&quot;/&gt;&lt;wsp:rsid wsp:val=&quot;00E55200&quot;/&gt;&lt;wsp:rsid wsp:val=&quot;00E552F6&quot;/&gt;&lt;wsp:rsid wsp:val=&quot;00E5535D&quot;/&gt;&lt;wsp:rsid wsp:val=&quot;00E5539D&quot;/&gt;&lt;wsp:rsid wsp:val=&quot;00E556B0&quot;/&gt;&lt;wsp:rsid wsp:val=&quot;00E557B2&quot;/&gt;&lt;wsp:rsid wsp:val=&quot;00E55AF2&quot;/&gt;&lt;wsp:rsid wsp:val=&quot;00E55CAA&quot;/&gt;&lt;wsp:rsid wsp:val=&quot;00E55EA3&quot;/&gt;&lt;wsp:rsid wsp:val=&quot;00E56614&quot;/&gt;&lt;wsp:rsid wsp:val=&quot;00E57202&quot;/&gt;&lt;wsp:rsid wsp:val=&quot;00E5751F&quot;/&gt;&lt;wsp:rsid wsp:val=&quot;00E5753A&quot;/&gt;&lt;wsp:rsid wsp:val=&quot;00E602DD&quot;/&gt;&lt;wsp:rsid wsp:val=&quot;00E609F9&quot;/&gt;&lt;wsp:rsid wsp:val=&quot;00E61222&quot;/&gt;&lt;wsp:rsid wsp:val=&quot;00E61788&quot;/&gt;&lt;wsp:rsid wsp:val=&quot;00E6181C&quot;/&gt;&lt;wsp:rsid wsp:val=&quot;00E61C7F&quot;/&gt;&lt;wsp:rsid wsp:val=&quot;00E629A8&quot;/&gt;&lt;wsp:rsid wsp:val=&quot;00E62F4C&quot;/&gt;&lt;wsp:rsid wsp:val=&quot;00E6361F&quot;/&gt;&lt;wsp:rsid wsp:val=&quot;00E63889&quot;/&gt;&lt;wsp:rsid wsp:val=&quot;00E65295&quot;/&gt;&lt;wsp:rsid wsp:val=&quot;00E654CD&quot;/&gt;&lt;wsp:rsid wsp:val=&quot;00E65642&quot;/&gt;&lt;wsp:rsid wsp:val=&quot;00E65A60&quot;/&gt;&lt;wsp:rsid wsp:val=&quot;00E65BFC&quot;/&gt;&lt;wsp:rsid wsp:val=&quot;00E65DE0&quot;/&gt;&lt;wsp:rsid wsp:val=&quot;00E661F4&quot;/&gt;&lt;wsp:rsid wsp:val=&quot;00E67921&quot;/&gt;&lt;wsp:rsid wsp:val=&quot;00E67A81&quot;/&gt;&lt;wsp:rsid wsp:val=&quot;00E67E88&quot;/&gt;&lt;wsp:rsid wsp:val=&quot;00E705F2&quot;/&gt;&lt;wsp:rsid wsp:val=&quot;00E71329&quot;/&gt;&lt;wsp:rsid wsp:val=&quot;00E71370&quot;/&gt;&lt;wsp:rsid wsp:val=&quot;00E71989&quot;/&gt;&lt;wsp:rsid wsp:val=&quot;00E71E64&quot;/&gt;&lt;wsp:rsid wsp:val=&quot;00E7293E&quot;/&gt;&lt;wsp:rsid wsp:val=&quot;00E72B30&quot;/&gt;&lt;wsp:rsid wsp:val=&quot;00E730E8&quot;/&gt;&lt;wsp:rsid wsp:val=&quot;00E7331A&quot;/&gt;&lt;wsp:rsid wsp:val=&quot;00E73BC3&quot;/&gt;&lt;wsp:rsid wsp:val=&quot;00E74541&quot;/&gt;&lt;wsp:rsid wsp:val=&quot;00E74E9C&quot;/&gt;&lt;wsp:rsid wsp:val=&quot;00E76534&quot;/&gt;&lt;wsp:rsid wsp:val=&quot;00E76A71&quot;/&gt;&lt;wsp:rsid wsp:val=&quot;00E76F07&quot;/&gt;&lt;wsp:rsid wsp:val=&quot;00E77367&quot;/&gt;&lt;wsp:rsid wsp:val=&quot;00E7736B&quot;/&gt;&lt;wsp:rsid wsp:val=&quot;00E77491&quot;/&gt;&lt;wsp:rsid wsp:val=&quot;00E7783E&quot;/&gt;&lt;wsp:rsid wsp:val=&quot;00E80742&quot;/&gt;&lt;wsp:rsid wsp:val=&quot;00E8076A&quot;/&gt;&lt;wsp:rsid wsp:val=&quot;00E80E38&quot;/&gt;&lt;wsp:rsid wsp:val=&quot;00E81065&quot;/&gt;&lt;wsp:rsid wsp:val=&quot;00E81080&quot;/&gt;&lt;wsp:rsid wsp:val=&quot;00E8151B&quot;/&gt;&lt;wsp:rsid wsp:val=&quot;00E81D41&quot;/&gt;&lt;wsp:rsid wsp:val=&quot;00E81DE7&quot;/&gt;&lt;wsp:rsid wsp:val=&quot;00E8306E&quot;/&gt;&lt;wsp:rsid wsp:val=&quot;00E83392&quot;/&gt;&lt;wsp:rsid wsp:val=&quot;00E8358C&quot;/&gt;&lt;wsp:rsid wsp:val=&quot;00E83AB2&quot;/&gt;&lt;wsp:rsid wsp:val=&quot;00E83AD9&quot;/&gt;&lt;wsp:rsid wsp:val=&quot;00E842F3&quot;/&gt;&lt;wsp:rsid wsp:val=&quot;00E84594&quot;/&gt;&lt;wsp:rsid wsp:val=&quot;00E84708&quot;/&gt;&lt;wsp:rsid wsp:val=&quot;00E84D3F&quot;/&gt;&lt;wsp:rsid wsp:val=&quot;00E851E6&quot;/&gt;&lt;wsp:rsid wsp:val=&quot;00E8579F&quot;/&gt;&lt;wsp:rsid wsp:val=&quot;00E85A3C&quot;/&gt;&lt;wsp:rsid wsp:val=&quot;00E85DF9&quot;/&gt;&lt;wsp:rsid wsp:val=&quot;00E86904&quot;/&gt;&lt;wsp:rsid wsp:val=&quot;00E86CCA&quot;/&gt;&lt;wsp:rsid wsp:val=&quot;00E879D3&quot;/&gt;&lt;wsp:rsid wsp:val=&quot;00E87FB4&quot;/&gt;&lt;wsp:rsid wsp:val=&quot;00E901D0&quot;/&gt;&lt;wsp:rsid wsp:val=&quot;00E90708&quot;/&gt;&lt;wsp:rsid wsp:val=&quot;00E9070C&quot;/&gt;&lt;wsp:rsid wsp:val=&quot;00E9085E&quot;/&gt;&lt;wsp:rsid wsp:val=&quot;00E90D6E&quot;/&gt;&lt;wsp:rsid wsp:val=&quot;00E912EE&quot;/&gt;&lt;wsp:rsid wsp:val=&quot;00E914CD&quot;/&gt;&lt;wsp:rsid wsp:val=&quot;00E915CC&quot;/&gt;&lt;wsp:rsid wsp:val=&quot;00E91F68&quot;/&gt;&lt;wsp:rsid wsp:val=&quot;00E91F7C&quot;/&gt;&lt;wsp:rsid wsp:val=&quot;00E92949&quot;/&gt;&lt;wsp:rsid wsp:val=&quot;00E92BAF&quot;/&gt;&lt;wsp:rsid wsp:val=&quot;00E93270&quot;/&gt;&lt;wsp:rsid wsp:val=&quot;00E94296&quot;/&gt;&lt;wsp:rsid wsp:val=&quot;00E94607&quot;/&gt;&lt;wsp:rsid wsp:val=&quot;00E9471D&quot;/&gt;&lt;wsp:rsid wsp:val=&quot;00E94937&quot;/&gt;&lt;wsp:rsid wsp:val=&quot;00E94C77&quot;/&gt;&lt;wsp:rsid wsp:val=&quot;00E94DC9&quot;/&gt;&lt;wsp:rsid wsp:val=&quot;00E94F57&quot;/&gt;&lt;wsp:rsid wsp:val=&quot;00E94FDF&quot;/&gt;&lt;wsp:rsid wsp:val=&quot;00E9500A&quot;/&gt;&lt;wsp:rsid wsp:val=&quot;00E95855&quot;/&gt;&lt;wsp:rsid wsp:val=&quot;00E95A0B&quot;/&gt;&lt;wsp:rsid wsp:val=&quot;00E960CE&quot;/&gt;&lt;wsp:rsid wsp:val=&quot;00E960FF&quot;/&gt;&lt;wsp:rsid wsp:val=&quot;00E961CF&quot;/&gt;&lt;wsp:rsid wsp:val=&quot;00E96CED&quot;/&gt;&lt;wsp:rsid wsp:val=&quot;00E976F6&quot;/&gt;&lt;wsp:rsid wsp:val=&quot;00E9774A&quot;/&gt;&lt;wsp:rsid wsp:val=&quot;00E97C94&quot;/&gt;&lt;wsp:rsid wsp:val=&quot;00E97E5A&quot;/&gt;&lt;wsp:rsid wsp:val=&quot;00EA026C&quot;/&gt;&lt;wsp:rsid wsp:val=&quot;00EA1D2F&quot;/&gt;&lt;wsp:rsid wsp:val=&quot;00EA1F19&quot;/&gt;&lt;wsp:rsid wsp:val=&quot;00EA2C5B&quot;/&gt;&lt;wsp:rsid wsp:val=&quot;00EA32D8&quot;/&gt;&lt;wsp:rsid wsp:val=&quot;00EA33C2&quot;/&gt;&lt;wsp:rsid wsp:val=&quot;00EA351D&quot;/&gt;&lt;wsp:rsid wsp:val=&quot;00EA3EBC&quot;/&gt;&lt;wsp:rsid wsp:val=&quot;00EA4258&quot;/&gt;&lt;wsp:rsid wsp:val=&quot;00EA5058&quot;/&gt;&lt;wsp:rsid wsp:val=&quot;00EA5338&quot;/&gt;&lt;wsp:rsid wsp:val=&quot;00EA5509&quot;/&gt;&lt;wsp:rsid wsp:val=&quot;00EA567F&quot;/&gt;&lt;wsp:rsid wsp:val=&quot;00EA67CA&quot;/&gt;&lt;wsp:rsid wsp:val=&quot;00EB01A5&quot;/&gt;&lt;wsp:rsid wsp:val=&quot;00EB01EE&quot;/&gt;&lt;wsp:rsid wsp:val=&quot;00EB0AA1&quot;/&gt;&lt;wsp:rsid wsp:val=&quot;00EB0B79&quot;/&gt;&lt;wsp:rsid wsp:val=&quot;00EB16FA&quot;/&gt;&lt;wsp:rsid wsp:val=&quot;00EB1B40&quot;/&gt;&lt;wsp:rsid wsp:val=&quot;00EB1E5B&quot;/&gt;&lt;wsp:rsid wsp:val=&quot;00EB2223&quot;/&gt;&lt;wsp:rsid wsp:val=&quot;00EB22EF&quot;/&gt;&lt;wsp:rsid wsp:val=&quot;00EB234D&quot;/&gt;&lt;wsp:rsid wsp:val=&quot;00EB2676&quot;/&gt;&lt;wsp:rsid wsp:val=&quot;00EB2C53&quot;/&gt;&lt;wsp:rsid wsp:val=&quot;00EB2F62&quot;/&gt;&lt;wsp:rsid wsp:val=&quot;00EB3835&quot;/&gt;&lt;wsp:rsid wsp:val=&quot;00EB4476&quot;/&gt;&lt;wsp:rsid wsp:val=&quot;00EB4C66&quot;/&gt;&lt;wsp:rsid wsp:val=&quot;00EB52C2&quot;/&gt;&lt;wsp:rsid wsp:val=&quot;00EB54AC&quot;/&gt;&lt;wsp:rsid wsp:val=&quot;00EB5A3F&quot;/&gt;&lt;wsp:rsid wsp:val=&quot;00EB637D&quot;/&gt;&lt;wsp:rsid wsp:val=&quot;00EB6AEA&quot;/&gt;&lt;wsp:rsid wsp:val=&quot;00EB6B22&quot;/&gt;&lt;wsp:rsid wsp:val=&quot;00EB7452&quot;/&gt;&lt;wsp:rsid wsp:val=&quot;00EB74F7&quot;/&gt;&lt;wsp:rsid wsp:val=&quot;00EB7501&quot;/&gt;&lt;wsp:rsid wsp:val=&quot;00EB7B7A&quot;/&gt;&lt;wsp:rsid wsp:val=&quot;00EC015C&quot;/&gt;&lt;wsp:rsid wsp:val=&quot;00EC0796&quot;/&gt;&lt;wsp:rsid wsp:val=&quot;00EC0D2B&quot;/&gt;&lt;wsp:rsid wsp:val=&quot;00EC0FB3&quot;/&gt;&lt;wsp:rsid wsp:val=&quot;00EC102D&quot;/&gt;&lt;wsp:rsid wsp:val=&quot;00EC1C5B&quot;/&gt;&lt;wsp:rsid wsp:val=&quot;00EC1E78&quot;/&gt;&lt;wsp:rsid wsp:val=&quot;00EC2279&quot;/&gt;&lt;wsp:rsid wsp:val=&quot;00EC27C5&quot;/&gt;&lt;wsp:rsid wsp:val=&quot;00EC3C9E&quot;/&gt;&lt;wsp:rsid wsp:val=&quot;00EC3E18&quot;/&gt;&lt;wsp:rsid wsp:val=&quot;00EC3E1E&quot;/&gt;&lt;wsp:rsid wsp:val=&quot;00EC3E2C&quot;/&gt;&lt;wsp:rsid wsp:val=&quot;00EC43D3&quot;/&gt;&lt;wsp:rsid wsp:val=&quot;00EC4891&quot;/&gt;&lt;wsp:rsid wsp:val=&quot;00EC4B44&quot;/&gt;&lt;wsp:rsid wsp:val=&quot;00EC4D1F&quot;/&gt;&lt;wsp:rsid wsp:val=&quot;00EC6673&quot;/&gt;&lt;wsp:rsid wsp:val=&quot;00EC74D4&quot;/&gt;&lt;wsp:rsid wsp:val=&quot;00EC7AE9&quot;/&gt;&lt;wsp:rsid wsp:val=&quot;00EC7E81&quot;/&gt;&lt;wsp:rsid wsp:val=&quot;00ED0702&quot;/&gt;&lt;wsp:rsid wsp:val=&quot;00ED0904&quot;/&gt;&lt;wsp:rsid wsp:val=&quot;00ED0E0F&quot;/&gt;&lt;wsp:rsid wsp:val=&quot;00ED129E&quot;/&gt;&lt;wsp:rsid wsp:val=&quot;00ED13EF&quot;/&gt;&lt;wsp:rsid wsp:val=&quot;00ED1B04&quot;/&gt;&lt;wsp:rsid wsp:val=&quot;00ED27C3&quot;/&gt;&lt;wsp:rsid wsp:val=&quot;00ED28FF&quot;/&gt;&lt;wsp:rsid wsp:val=&quot;00ED2E1B&quot;/&gt;&lt;wsp:rsid wsp:val=&quot;00ED3496&quot;/&gt;&lt;wsp:rsid wsp:val=&quot;00ED3D22&quot;/&gt;&lt;wsp:rsid wsp:val=&quot;00ED417D&quot;/&gt;&lt;wsp:rsid wsp:val=&quot;00ED4790&quot;/&gt;&lt;wsp:rsid wsp:val=&quot;00ED5087&quot;/&gt;&lt;wsp:rsid wsp:val=&quot;00ED522B&quot;/&gt;&lt;wsp:rsid wsp:val=&quot;00ED544C&quot;/&gt;&lt;wsp:rsid wsp:val=&quot;00ED59B1&quot;/&gt;&lt;wsp:rsid wsp:val=&quot;00ED63FE&quot;/&gt;&lt;wsp:rsid wsp:val=&quot;00ED66B3&quot;/&gt;&lt;wsp:rsid wsp:val=&quot;00ED68FC&quot;/&gt;&lt;wsp:rsid wsp:val=&quot;00ED6BC5&quot;/&gt;&lt;wsp:rsid wsp:val=&quot;00ED6DA3&quot;/&gt;&lt;wsp:rsid wsp:val=&quot;00ED73B9&quot;/&gt;&lt;wsp:rsid wsp:val=&quot;00ED7595&quot;/&gt;&lt;wsp:rsid wsp:val=&quot;00ED7620&quot;/&gt;&lt;wsp:rsid wsp:val=&quot;00ED77C7&quot;/&gt;&lt;wsp:rsid wsp:val=&quot;00ED784D&quot;/&gt;&lt;wsp:rsid wsp:val=&quot;00ED7E7C&quot;/&gt;&lt;wsp:rsid wsp:val=&quot;00ED7EBC&quot;/&gt;&lt;wsp:rsid wsp:val=&quot;00EE00E1&quot;/&gt;&lt;wsp:rsid wsp:val=&quot;00EE0B2F&quot;/&gt;&lt;wsp:rsid wsp:val=&quot;00EE0F8D&quot;/&gt;&lt;wsp:rsid wsp:val=&quot;00EE136C&quot;/&gt;&lt;wsp:rsid wsp:val=&quot;00EE1886&quot;/&gt;&lt;wsp:rsid wsp:val=&quot;00EE1907&quot;/&gt;&lt;wsp:rsid wsp:val=&quot;00EE1D05&quot;/&gt;&lt;wsp:rsid wsp:val=&quot;00EE20E9&quot;/&gt;&lt;wsp:rsid wsp:val=&quot;00EE2CBE&quot;/&gt;&lt;wsp:rsid wsp:val=&quot;00EE2CDA&quot;/&gt;&lt;wsp:rsid wsp:val=&quot;00EE37A6&quot;/&gt;&lt;wsp:rsid wsp:val=&quot;00EE3F5B&quot;/&gt;&lt;wsp:rsid wsp:val=&quot;00EE509E&quot;/&gt;&lt;wsp:rsid wsp:val=&quot;00EE5C92&quot;/&gt;&lt;wsp:rsid wsp:val=&quot;00EE5E3D&quot;/&gt;&lt;wsp:rsid wsp:val=&quot;00EE6309&quot;/&gt;&lt;wsp:rsid wsp:val=&quot;00EE6D1B&quot;/&gt;&lt;wsp:rsid wsp:val=&quot;00EE6DE6&quot;/&gt;&lt;wsp:rsid wsp:val=&quot;00EE72DA&quot;/&gt;&lt;wsp:rsid wsp:val=&quot;00EE76F6&quot;/&gt;&lt;wsp:rsid wsp:val=&quot;00EE78F9&quot;/&gt;&lt;wsp:rsid wsp:val=&quot;00EE7DCA&quot;/&gt;&lt;wsp:rsid wsp:val=&quot;00EE7E16&quot;/&gt;&lt;wsp:rsid wsp:val=&quot;00EF1170&quot;/&gt;&lt;wsp:rsid wsp:val=&quot;00EF1741&quot;/&gt;&lt;wsp:rsid wsp:val=&quot;00EF19FC&quot;/&gt;&lt;wsp:rsid wsp:val=&quot;00EF1ED2&quot;/&gt;&lt;wsp:rsid wsp:val=&quot;00EF322D&quot;/&gt;&lt;wsp:rsid wsp:val=&quot;00EF3A83&quot;/&gt;&lt;wsp:rsid wsp:val=&quot;00EF3AAD&quot;/&gt;&lt;wsp:rsid wsp:val=&quot;00EF3C53&quot;/&gt;&lt;wsp:rsid wsp:val=&quot;00EF456F&quot;/&gt;&lt;wsp:rsid wsp:val=&quot;00EF4608&quot;/&gt;&lt;wsp:rsid wsp:val=&quot;00EF5FBE&quot;/&gt;&lt;wsp:rsid wsp:val=&quot;00EF70F4&quot;/&gt;&lt;wsp:rsid wsp:val=&quot;00EF7615&quot;/&gt;&lt;wsp:rsid wsp:val=&quot;00EF7924&quot;/&gt;&lt;wsp:rsid wsp:val=&quot;00EF7EEB&quot;/&gt;&lt;wsp:rsid wsp:val=&quot;00F00139&quot;/&gt;&lt;wsp:rsid wsp:val=&quot;00F0025F&quot;/&gt;&lt;wsp:rsid wsp:val=&quot;00F003C5&quot;/&gt;&lt;wsp:rsid wsp:val=&quot;00F012F4&quot;/&gt;&lt;wsp:rsid wsp:val=&quot;00F0170D&quot;/&gt;&lt;wsp:rsid wsp:val=&quot;00F02A0C&quot;/&gt;&lt;wsp:rsid wsp:val=&quot;00F02BC1&quot;/&gt;&lt;wsp:rsid wsp:val=&quot;00F03119&quot;/&gt;&lt;wsp:rsid wsp:val=&quot;00F0348C&quot;/&gt;&lt;wsp:rsid wsp:val=&quot;00F03DCF&quot;/&gt;&lt;wsp:rsid wsp:val=&quot;00F03FEC&quot;/&gt;&lt;wsp:rsid wsp:val=&quot;00F047DD&quot;/&gt;&lt;wsp:rsid wsp:val=&quot;00F04A7C&quot;/&gt;&lt;wsp:rsid wsp:val=&quot;00F04D10&quot;/&gt;&lt;wsp:rsid wsp:val=&quot;00F04F1F&quot;/&gt;&lt;wsp:rsid wsp:val=&quot;00F05C4A&quot;/&gt;&lt;wsp:rsid wsp:val=&quot;00F06AE0&quot;/&gt;&lt;wsp:rsid wsp:val=&quot;00F07021&quot;/&gt;&lt;wsp:rsid wsp:val=&quot;00F07036&quot;/&gt;&lt;wsp:rsid wsp:val=&quot;00F079D2&quot;/&gt;&lt;wsp:rsid wsp:val=&quot;00F07C4F&quot;/&gt;&lt;wsp:rsid wsp:val=&quot;00F10144&quot;/&gt;&lt;wsp:rsid wsp:val=&quot;00F1017B&quot;/&gt;&lt;wsp:rsid wsp:val=&quot;00F10A43&quot;/&gt;&lt;wsp:rsid wsp:val=&quot;00F10BB0&quot;/&gt;&lt;wsp:rsid wsp:val=&quot;00F111E6&quot;/&gt;&lt;wsp:rsid wsp:val=&quot;00F11A05&quot;/&gt;&lt;wsp:rsid wsp:val=&quot;00F11F2D&quot;/&gt;&lt;wsp:rsid wsp:val=&quot;00F120A8&quot;/&gt;&lt;wsp:rsid wsp:val=&quot;00F12607&quot;/&gt;&lt;wsp:rsid wsp:val=&quot;00F1275A&quot;/&gt;&lt;wsp:rsid wsp:val=&quot;00F127C8&quot;/&gt;&lt;wsp:rsid wsp:val=&quot;00F129F3&quot;/&gt;&lt;wsp:rsid wsp:val=&quot;00F12AED&quot;/&gt;&lt;wsp:rsid wsp:val=&quot;00F13705&quot;/&gt;&lt;wsp:rsid wsp:val=&quot;00F138F2&quot;/&gt;&lt;wsp:rsid wsp:val=&quot;00F13A51&quot;/&gt;&lt;wsp:rsid wsp:val=&quot;00F144D6&quot;/&gt;&lt;wsp:rsid wsp:val=&quot;00F14DF2&quot;/&gt;&lt;wsp:rsid wsp:val=&quot;00F14E9B&quot;/&gt;&lt;wsp:rsid wsp:val=&quot;00F151F5&quot;/&gt;&lt;wsp:rsid wsp:val=&quot;00F1532F&quot;/&gt;&lt;wsp:rsid wsp:val=&quot;00F16167&quot;/&gt;&lt;wsp:rsid wsp:val=&quot;00F161C4&quot;/&gt;&lt;wsp:rsid wsp:val=&quot;00F1631A&quot;/&gt;&lt;wsp:rsid wsp:val=&quot;00F1644F&quot;/&gt;&lt;wsp:rsid wsp:val=&quot;00F168A7&quot;/&gt;&lt;wsp:rsid wsp:val=&quot;00F1694B&quot;/&gt;&lt;wsp:rsid wsp:val=&quot;00F16DB6&quot;/&gt;&lt;wsp:rsid wsp:val=&quot;00F17122&quot;/&gt;&lt;wsp:rsid wsp:val=&quot;00F17274&quot;/&gt;&lt;wsp:rsid wsp:val=&quot;00F17410&quot;/&gt;&lt;wsp:rsid wsp:val=&quot;00F179D0&quot;/&gt;&lt;wsp:rsid wsp:val=&quot;00F179E1&quot;/&gt;&lt;wsp:rsid wsp:val=&quot;00F17D12&quot;/&gt;&lt;wsp:rsid wsp:val=&quot;00F203B8&quot;/&gt;&lt;wsp:rsid wsp:val=&quot;00F209A8&quot;/&gt;&lt;wsp:rsid wsp:val=&quot;00F20AE8&quot;/&gt;&lt;wsp:rsid wsp:val=&quot;00F210F3&quot;/&gt;&lt;wsp:rsid wsp:val=&quot;00F212E0&quot;/&gt;&lt;wsp:rsid wsp:val=&quot;00F213A0&quot;/&gt;&lt;wsp:rsid wsp:val=&quot;00F21434&quot;/&gt;&lt;wsp:rsid wsp:val=&quot;00F21ACB&quot;/&gt;&lt;wsp:rsid wsp:val=&quot;00F22B0A&quot;/&gt;&lt;wsp:rsid wsp:val=&quot;00F2318E&quot;/&gt;&lt;wsp:rsid wsp:val=&quot;00F23FAD&quot;/&gt;&lt;wsp:rsid wsp:val=&quot;00F25BCA&quot;/&gt;&lt;wsp:rsid wsp:val=&quot;00F25D19&quot;/&gt;&lt;wsp:rsid wsp:val=&quot;00F25D3E&quot;/&gt;&lt;wsp:rsid wsp:val=&quot;00F26151&quot;/&gt;&lt;wsp:rsid wsp:val=&quot;00F261FF&quot;/&gt;&lt;wsp:rsid wsp:val=&quot;00F26C12&quot;/&gt;&lt;wsp:rsid wsp:val=&quot;00F26D40&quot;/&gt;&lt;wsp:rsid wsp:val=&quot;00F26DE5&quot;/&gt;&lt;wsp:rsid wsp:val=&quot;00F26E9B&quot;/&gt;&lt;wsp:rsid wsp:val=&quot;00F26FC5&quot;/&gt;&lt;wsp:rsid wsp:val=&quot;00F27428&quot;/&gt;&lt;wsp:rsid wsp:val=&quot;00F276CF&quot;/&gt;&lt;wsp:rsid wsp:val=&quot;00F27F5B&quot;/&gt;&lt;wsp:rsid wsp:val=&quot;00F30057&quot;/&gt;&lt;wsp:rsid wsp:val=&quot;00F30113&quot;/&gt;&lt;wsp:rsid wsp:val=&quot;00F303FC&quot;/&gt;&lt;wsp:rsid wsp:val=&quot;00F305D4&quot;/&gt;&lt;wsp:rsid wsp:val=&quot;00F318EA&quot;/&gt;&lt;wsp:rsid wsp:val=&quot;00F31B64&quot;/&gt;&lt;wsp:rsid wsp:val=&quot;00F321DB&quot;/&gt;&lt;wsp:rsid wsp:val=&quot;00F32B74&quot;/&gt;&lt;wsp:rsid wsp:val=&quot;00F32C1A&quot;/&gt;&lt;wsp:rsid wsp:val=&quot;00F33119&quot;/&gt;&lt;wsp:rsid wsp:val=&quot;00F3323B&quot;/&gt;&lt;wsp:rsid wsp:val=&quot;00F3365C&quot;/&gt;&lt;wsp:rsid wsp:val=&quot;00F33C62&quot;/&gt;&lt;wsp:rsid wsp:val=&quot;00F34491&quot;/&gt;&lt;wsp:rsid wsp:val=&quot;00F3458D&quot;/&gt;&lt;wsp:rsid wsp:val=&quot;00F34A79&quot;/&gt;&lt;wsp:rsid wsp:val=&quot;00F34C74&quot;/&gt;&lt;wsp:rsid wsp:val=&quot;00F35253&quot;/&gt;&lt;wsp:rsid wsp:val=&quot;00F35303&quot;/&gt;&lt;wsp:rsid wsp:val=&quot;00F35627&quot;/&gt;&lt;wsp:rsid wsp:val=&quot;00F35659&quot;/&gt;&lt;wsp:rsid wsp:val=&quot;00F35AAA&quot;/&gt;&lt;wsp:rsid wsp:val=&quot;00F35F9D&quot;/&gt;&lt;wsp:rsid wsp:val=&quot;00F3615E&quot;/&gt;&lt;wsp:rsid wsp:val=&quot;00F361C5&quot;/&gt;&lt;wsp:rsid wsp:val=&quot;00F3669D&quot;/&gt;&lt;wsp:rsid wsp:val=&quot;00F3767A&quot;/&gt;&lt;wsp:rsid wsp:val=&quot;00F3779C&quot;/&gt;&lt;wsp:rsid wsp:val=&quot;00F414C8&quot;/&gt;&lt;wsp:rsid wsp:val=&quot;00F41ACC&quot;/&gt;&lt;wsp:rsid wsp:val=&quot;00F41AFB&quot;/&gt;&lt;wsp:rsid wsp:val=&quot;00F428C8&quot;/&gt;&lt;wsp:rsid wsp:val=&quot;00F431B3&quot;/&gt;&lt;wsp:rsid wsp:val=&quot;00F433B8&quot;/&gt;&lt;wsp:rsid wsp:val=&quot;00F4391C&quot;/&gt;&lt;wsp:rsid wsp:val=&quot;00F43F55&quot;/&gt;&lt;wsp:rsid wsp:val=&quot;00F445E2&quot;/&gt;&lt;wsp:rsid wsp:val=&quot;00F4550F&quot;/&gt;&lt;wsp:rsid wsp:val=&quot;00F45E60&quot;/&gt;&lt;wsp:rsid wsp:val=&quot;00F46106&quot;/&gt;&lt;wsp:rsid wsp:val=&quot;00F4625A&quot;/&gt;&lt;wsp:rsid wsp:val=&quot;00F469C2&quot;/&gt;&lt;wsp:rsid wsp:val=&quot;00F46FBB&quot;/&gt;&lt;wsp:rsid wsp:val=&quot;00F4710B&quot;/&gt;&lt;wsp:rsid wsp:val=&quot;00F477C9&quot;/&gt;&lt;wsp:rsid wsp:val=&quot;00F47958&quot;/&gt;&lt;wsp:rsid wsp:val=&quot;00F47A7F&quot;/&gt;&lt;wsp:rsid wsp:val=&quot;00F47CE9&quot;/&gt;&lt;wsp:rsid wsp:val=&quot;00F502FD&quot;/&gt;&lt;wsp:rsid wsp:val=&quot;00F503A7&quot;/&gt;&lt;wsp:rsid wsp:val=&quot;00F50673&quot;/&gt;&lt;wsp:rsid wsp:val=&quot;00F508D8&quot;/&gt;&lt;wsp:rsid wsp:val=&quot;00F50B1C&quot;/&gt;&lt;wsp:rsid wsp:val=&quot;00F51164&quot;/&gt;&lt;wsp:rsid wsp:val=&quot;00F51A53&quot;/&gt;&lt;wsp:rsid wsp:val=&quot;00F51EB3&quot;/&gt;&lt;wsp:rsid wsp:val=&quot;00F51F90&quot;/&gt;&lt;wsp:rsid wsp:val=&quot;00F52141&quot;/&gt;&lt;wsp:rsid wsp:val=&quot;00F52185&quot;/&gt;&lt;wsp:rsid wsp:val=&quot;00F52A6D&quot;/&gt;&lt;wsp:rsid wsp:val=&quot;00F5327D&quot;/&gt;&lt;wsp:rsid wsp:val=&quot;00F53CA9&quot;/&gt;&lt;wsp:rsid wsp:val=&quot;00F53E30&quot;/&gt;&lt;wsp:rsid wsp:val=&quot;00F5481D&quot;/&gt;&lt;wsp:rsid wsp:val=&quot;00F55101&quot;/&gt;&lt;wsp:rsid wsp:val=&quot;00F553A0&quot;/&gt;&lt;wsp:rsid wsp:val=&quot;00F55AA1&quot;/&gt;&lt;wsp:rsid wsp:val=&quot;00F55BFE&quot;/&gt;&lt;wsp:rsid wsp:val=&quot;00F56762&quot;/&gt;&lt;wsp:rsid wsp:val=&quot;00F567D8&quot;/&gt;&lt;wsp:rsid wsp:val=&quot;00F56CA6&quot;/&gt;&lt;wsp:rsid wsp:val=&quot;00F571DE&quot;/&gt;&lt;wsp:rsid wsp:val=&quot;00F57629&quot;/&gt;&lt;wsp:rsid wsp:val=&quot;00F57C0E&quot;/&gt;&lt;wsp:rsid wsp:val=&quot;00F603B8&quot;/&gt;&lt;wsp:rsid wsp:val=&quot;00F6054C&quot;/&gt;&lt;wsp:rsid wsp:val=&quot;00F6089D&quot;/&gt;&lt;wsp:rsid wsp:val=&quot;00F60977&quot;/&gt;&lt;wsp:rsid wsp:val=&quot;00F6124D&quot;/&gt;&lt;wsp:rsid wsp:val=&quot;00F6168E&quot;/&gt;&lt;wsp:rsid wsp:val=&quot;00F617DE&quot;/&gt;&lt;wsp:rsid wsp:val=&quot;00F618E5&quot;/&gt;&lt;wsp:rsid wsp:val=&quot;00F61919&quot;/&gt;&lt;wsp:rsid wsp:val=&quot;00F619D8&quot;/&gt;&lt;wsp:rsid wsp:val=&quot;00F6211D&quot;/&gt;&lt;wsp:rsid wsp:val=&quot;00F62A9A&quot;/&gt;&lt;wsp:rsid wsp:val=&quot;00F62B9B&quot;/&gt;&lt;wsp:rsid wsp:val=&quot;00F62EE2&quot;/&gt;&lt;wsp:rsid wsp:val=&quot;00F630B7&quot;/&gt;&lt;wsp:rsid wsp:val=&quot;00F63489&quot;/&gt;&lt;wsp:rsid wsp:val=&quot;00F634CF&quot;/&gt;&lt;wsp:rsid wsp:val=&quot;00F642BC&quot;/&gt;&lt;wsp:rsid wsp:val=&quot;00F64DD1&quot;/&gt;&lt;wsp:rsid wsp:val=&quot;00F65225&quot;/&gt;&lt;wsp:rsid wsp:val=&quot;00F657DB&quot;/&gt;&lt;wsp:rsid wsp:val=&quot;00F6628C&quot;/&gt;&lt;wsp:rsid wsp:val=&quot;00F6655F&quot;/&gt;&lt;wsp:rsid wsp:val=&quot;00F6669B&quot;/&gt;&lt;wsp:rsid wsp:val=&quot;00F67000&quot;/&gt;&lt;wsp:rsid wsp:val=&quot;00F67B51&quot;/&gt;&lt;wsp:rsid wsp:val=&quot;00F67E92&quot;/&gt;&lt;wsp:rsid wsp:val=&quot;00F70BE3&quot;/&gt;&lt;wsp:rsid wsp:val=&quot;00F70E87&quot;/&gt;&lt;wsp:rsid wsp:val=&quot;00F70E9B&quot;/&gt;&lt;wsp:rsid wsp:val=&quot;00F71204&quot;/&gt;&lt;wsp:rsid wsp:val=&quot;00F71894&quot;/&gt;&lt;wsp:rsid wsp:val=&quot;00F71D0E&quot;/&gt;&lt;wsp:rsid wsp:val=&quot;00F72FF5&quot;/&gt;&lt;wsp:rsid wsp:val=&quot;00F7309C&quot;/&gt;&lt;wsp:rsid wsp:val=&quot;00F73759&quot;/&gt;&lt;wsp:rsid wsp:val=&quot;00F73B87&quot;/&gt;&lt;wsp:rsid wsp:val=&quot;00F74599&quot;/&gt;&lt;wsp:rsid wsp:val=&quot;00F74B29&quot;/&gt;&lt;wsp:rsid wsp:val=&quot;00F74F0B&quot;/&gt;&lt;wsp:rsid wsp:val=&quot;00F74F68&quot;/&gt;&lt;wsp:rsid wsp:val=&quot;00F75032&quot;/&gt;&lt;wsp:rsid wsp:val=&quot;00F75744&quot;/&gt;&lt;wsp:rsid wsp:val=&quot;00F757E7&quot;/&gt;&lt;wsp:rsid wsp:val=&quot;00F758FB&quot;/&gt;&lt;wsp:rsid wsp:val=&quot;00F75D53&quot;/&gt;&lt;wsp:rsid wsp:val=&quot;00F761EF&quot;/&gt;&lt;wsp:rsid wsp:val=&quot;00F76330&quot;/&gt;&lt;wsp:rsid wsp:val=&quot;00F766E0&quot;/&gt;&lt;wsp:rsid wsp:val=&quot;00F76C27&quot;/&gt;&lt;wsp:rsid wsp:val=&quot;00F77564&quot;/&gt;&lt;wsp:rsid wsp:val=&quot;00F80109&quot;/&gt;&lt;wsp:rsid wsp:val=&quot;00F80D60&quot;/&gt;&lt;wsp:rsid wsp:val=&quot;00F811F8&quot;/&gt;&lt;wsp:rsid wsp:val=&quot;00F81CA2&quot;/&gt;&lt;wsp:rsid wsp:val=&quot;00F81DE4&quot;/&gt;&lt;wsp:rsid wsp:val=&quot;00F81E1F&quot;/&gt;&lt;wsp:rsid wsp:val=&quot;00F82813&quot;/&gt;&lt;wsp:rsid wsp:val=&quot;00F82A61&quot;/&gt;&lt;wsp:rsid wsp:val=&quot;00F82ABB&quot;/&gt;&lt;wsp:rsid wsp:val=&quot;00F84930&quot;/&gt;&lt;wsp:rsid wsp:val=&quot;00F84B1F&quot;/&gt;&lt;wsp:rsid wsp:val=&quot;00F84BC5&quot;/&gt;&lt;wsp:rsid wsp:val=&quot;00F8534E&quot;/&gt;&lt;wsp:rsid wsp:val=&quot;00F85445&quot;/&gt;&lt;wsp:rsid wsp:val=&quot;00F85DC9&quot;/&gt;&lt;wsp:rsid wsp:val=&quot;00F86368&quot;/&gt;&lt;wsp:rsid wsp:val=&quot;00F86B2D&quot;/&gt;&lt;wsp:rsid wsp:val=&quot;00F8734F&quot;/&gt;&lt;wsp:rsid wsp:val=&quot;00F87875&quot;/&gt;&lt;wsp:rsid wsp:val=&quot;00F87B63&quot;/&gt;&lt;wsp:rsid wsp:val=&quot;00F9065E&quot;/&gt;&lt;wsp:rsid wsp:val=&quot;00F9094E&quot;/&gt;&lt;wsp:rsid wsp:val=&quot;00F90EC1&quot;/&gt;&lt;wsp:rsid wsp:val=&quot;00F90FCB&quot;/&gt;&lt;wsp:rsid wsp:val=&quot;00F910BB&quot;/&gt;&lt;wsp:rsid wsp:val=&quot;00F914BD&quot;/&gt;&lt;wsp:rsid wsp:val=&quot;00F91529&quot;/&gt;&lt;wsp:rsid wsp:val=&quot;00F9172C&quot;/&gt;&lt;wsp:rsid wsp:val=&quot;00F91A35&quot;/&gt;&lt;wsp:rsid wsp:val=&quot;00F91F04&quot;/&gt;&lt;wsp:rsid wsp:val=&quot;00F92504&quot;/&gt;&lt;wsp:rsid wsp:val=&quot;00F928F4&quot;/&gt;&lt;wsp:rsid wsp:val=&quot;00F92B78&quot;/&gt;&lt;wsp:rsid wsp:val=&quot;00F92DBE&quot;/&gt;&lt;wsp:rsid wsp:val=&quot;00F93A6D&quot;/&gt;&lt;wsp:rsid wsp:val=&quot;00F93B1B&quot;/&gt;&lt;wsp:rsid wsp:val=&quot;00F93E01&quot;/&gt;&lt;wsp:rsid wsp:val=&quot;00F9415F&quot;/&gt;&lt;wsp:rsid wsp:val=&quot;00F946B7&quot;/&gt;&lt;wsp:rsid wsp:val=&quot;00F94A12&quot;/&gt;&lt;wsp:rsid wsp:val=&quot;00F94AAB&quot;/&gt;&lt;wsp:rsid wsp:val=&quot;00F94E5B&quot;/&gt;&lt;wsp:rsid wsp:val=&quot;00F94ED5&quot;/&gt;&lt;wsp:rsid wsp:val=&quot;00F953DC&quot;/&gt;&lt;wsp:rsid wsp:val=&quot;00F95705&quot;/&gt;&lt;wsp:rsid wsp:val=&quot;00F96148&quot;/&gt;&lt;wsp:rsid wsp:val=&quot;00F964B6&quot;/&gt;&lt;wsp:rsid wsp:val=&quot;00F96591&quot;/&gt;&lt;wsp:rsid wsp:val=&quot;00F96663&quot;/&gt;&lt;wsp:rsid wsp:val=&quot;00F96A55&quot;/&gt;&lt;wsp:rsid wsp:val=&quot;00F96E6C&quot;/&gt;&lt;wsp:rsid wsp:val=&quot;00F96F01&quot;/&gt;&lt;wsp:rsid wsp:val=&quot;00F97185&quot;/&gt;&lt;wsp:rsid wsp:val=&quot;00FA020E&quot;/&gt;&lt;wsp:rsid wsp:val=&quot;00FA0331&quot;/&gt;&lt;wsp:rsid wsp:val=&quot;00FA042A&quot;/&gt;&lt;wsp:rsid wsp:val=&quot;00FA0999&quot;/&gt;&lt;wsp:rsid wsp:val=&quot;00FA09FE&quot;/&gt;&lt;wsp:rsid wsp:val=&quot;00FA1BD0&quot;/&gt;&lt;wsp:rsid wsp:val=&quot;00FA1E8A&quot;/&gt;&lt;wsp:rsid wsp:val=&quot;00FA244A&quot;/&gt;&lt;wsp:rsid wsp:val=&quot;00FA2DFD&quot;/&gt;&lt;wsp:rsid wsp:val=&quot;00FA2EE2&quot;/&gt;&lt;wsp:rsid wsp:val=&quot;00FA3033&quot;/&gt;&lt;wsp:rsid wsp:val=&quot;00FA3261&quot;/&gt;&lt;wsp:rsid wsp:val=&quot;00FA35A4&quot;/&gt;&lt;wsp:rsid wsp:val=&quot;00FA40DA&quot;/&gt;&lt;wsp:rsid wsp:val=&quot;00FA4223&quot;/&gt;&lt;wsp:rsid wsp:val=&quot;00FA485C&quot;/&gt;&lt;wsp:rsid wsp:val=&quot;00FA48B4&quot;/&gt;&lt;wsp:rsid wsp:val=&quot;00FA7892&quot;/&gt;&lt;wsp:rsid wsp:val=&quot;00FA7FEB&quot;/&gt;&lt;wsp:rsid wsp:val=&quot;00FB0CE7&quot;/&gt;&lt;wsp:rsid wsp:val=&quot;00FB0F4D&quot;/&gt;&lt;wsp:rsid wsp:val=&quot;00FB1034&quot;/&gt;&lt;wsp:rsid wsp:val=&quot;00FB14E5&quot;/&gt;&lt;wsp:rsid wsp:val=&quot;00FB1647&quot;/&gt;&lt;wsp:rsid wsp:val=&quot;00FB1C16&quot;/&gt;&lt;wsp:rsid wsp:val=&quot;00FB246E&quot;/&gt;&lt;wsp:rsid wsp:val=&quot;00FB415E&quot;/&gt;&lt;wsp:rsid wsp:val=&quot;00FB4719&quot;/&gt;&lt;wsp:rsid wsp:val=&quot;00FB49B4&quot;/&gt;&lt;wsp:rsid wsp:val=&quot;00FB517E&quot;/&gt;&lt;wsp:rsid wsp:val=&quot;00FB5704&quot;/&gt;&lt;wsp:rsid wsp:val=&quot;00FB581F&quot;/&gt;&lt;wsp:rsid wsp:val=&quot;00FB60E4&quot;/&gt;&lt;wsp:rsid wsp:val=&quot;00FB6580&quot;/&gt;&lt;wsp:rsid wsp:val=&quot;00FB6749&quot;/&gt;&lt;wsp:rsid wsp:val=&quot;00FB6A72&quot;/&gt;&lt;wsp:rsid wsp:val=&quot;00FB6BA8&quot;/&gt;&lt;wsp:rsid wsp:val=&quot;00FB6E04&quot;/&gt;&lt;wsp:rsid wsp:val=&quot;00FB71AB&quot;/&gt;&lt;wsp:rsid wsp:val=&quot;00FB71C1&quot;/&gt;&lt;wsp:rsid wsp:val=&quot;00FB7348&quot;/&gt;&lt;wsp:rsid wsp:val=&quot;00FB739F&quot;/&gt;&lt;wsp:rsid wsp:val=&quot;00FC033D&quot;/&gt;&lt;wsp:rsid wsp:val=&quot;00FC07B8&quot;/&gt;&lt;wsp:rsid wsp:val=&quot;00FC08F0&quot;/&gt;&lt;wsp:rsid wsp:val=&quot;00FC0CBE&quot;/&gt;&lt;wsp:rsid wsp:val=&quot;00FC0CF6&quot;/&gt;&lt;wsp:rsid wsp:val=&quot;00FC0FAD&quot;/&gt;&lt;wsp:rsid wsp:val=&quot;00FC1AE0&quot;/&gt;&lt;wsp:rsid wsp:val=&quot;00FC1D98&quot;/&gt;&lt;wsp:rsid wsp:val=&quot;00FC1E72&quot;/&gt;&lt;wsp:rsid wsp:val=&quot;00FC1FAC&quot;/&gt;&lt;wsp:rsid wsp:val=&quot;00FC3FE0&quot;/&gt;&lt;wsp:rsid wsp:val=&quot;00FC4251&quot;/&gt;&lt;wsp:rsid wsp:val=&quot;00FC4557&quot;/&gt;&lt;wsp:rsid wsp:val=&quot;00FC46F1&quot;/&gt;&lt;wsp:rsid wsp:val=&quot;00FC5328&quot;/&gt;&lt;wsp:rsid wsp:val=&quot;00FC5583&quot;/&gt;&lt;wsp:rsid wsp:val=&quot;00FC5A6F&quot;/&gt;&lt;wsp:rsid wsp:val=&quot;00FC5AA1&quot;/&gt;&lt;wsp:rsid wsp:val=&quot;00FC5B85&quot;/&gt;&lt;wsp:rsid wsp:val=&quot;00FC6C16&quot;/&gt;&lt;wsp:rsid wsp:val=&quot;00FC6C1E&quot;/&gt;&lt;wsp:rsid wsp:val=&quot;00FC6CD3&quot;/&gt;&lt;wsp:rsid wsp:val=&quot;00FC6D57&quot;/&gt;&lt;wsp:rsid wsp:val=&quot;00FC7EC4&quot;/&gt;&lt;wsp:rsid wsp:val=&quot;00FD0982&quot;/&gt;&lt;wsp:rsid wsp:val=&quot;00FD0A94&quot;/&gt;&lt;wsp:rsid wsp:val=&quot;00FD0F4E&quot;/&gt;&lt;wsp:rsid wsp:val=&quot;00FD1450&quot;/&gt;&lt;wsp:rsid wsp:val=&quot;00FD147F&quot;/&gt;&lt;wsp:rsid wsp:val=&quot;00FD1912&quot;/&gt;&lt;wsp:rsid wsp:val=&quot;00FD20F7&quot;/&gt;&lt;wsp:rsid wsp:val=&quot;00FD28F9&quot;/&gt;&lt;wsp:rsid wsp:val=&quot;00FD30FB&quot;/&gt;&lt;wsp:rsid wsp:val=&quot;00FD33A4&quot;/&gt;&lt;wsp:rsid wsp:val=&quot;00FD36C7&quot;/&gt;&lt;wsp:rsid wsp:val=&quot;00FD3A38&quot;/&gt;&lt;wsp:rsid wsp:val=&quot;00FD3B99&quot;/&gt;&lt;wsp:rsid wsp:val=&quot;00FD3C42&quot;/&gt;&lt;wsp:rsid wsp:val=&quot;00FD4E2B&quot;/&gt;&lt;wsp:rsid wsp:val=&quot;00FD5974&quot;/&gt;&lt;wsp:rsid wsp:val=&quot;00FD60FD&quot;/&gt;&lt;wsp:rsid wsp:val=&quot;00FD6213&quot;/&gt;&lt;wsp:rsid wsp:val=&quot;00FD6403&quot;/&gt;&lt;wsp:rsid wsp:val=&quot;00FD6435&quot;/&gt;&lt;wsp:rsid wsp:val=&quot;00FD6548&quot;/&gt;&lt;wsp:rsid wsp:val=&quot;00FD69AE&quot;/&gt;&lt;wsp:rsid wsp:val=&quot;00FD6D0C&quot;/&gt;&lt;wsp:rsid wsp:val=&quot;00FD797E&quot;/&gt;&lt;wsp:rsid wsp:val=&quot;00FD7AB3&quot;/&gt;&lt;wsp:rsid wsp:val=&quot;00FD7CB8&quot;/&gt;&lt;wsp:rsid wsp:val=&quot;00FD7E27&quot;/&gt;&lt;wsp:rsid wsp:val=&quot;00FE02DB&quot;/&gt;&lt;wsp:rsid wsp:val=&quot;00FE02F8&quot;/&gt;&lt;wsp:rsid wsp:val=&quot;00FE04D6&quot;/&gt;&lt;wsp:rsid wsp:val=&quot;00FE0BAC&quot;/&gt;&lt;wsp:rsid wsp:val=&quot;00FE135A&quot;/&gt;&lt;wsp:rsid wsp:val=&quot;00FE1443&quot;/&gt;&lt;wsp:rsid wsp:val=&quot;00FE15A0&quot;/&gt;&lt;wsp:rsid wsp:val=&quot;00FE1A02&quot;/&gt;&lt;wsp:rsid wsp:val=&quot;00FE224A&quot;/&gt;&lt;wsp:rsid wsp:val=&quot;00FE22F8&quot;/&gt;&lt;wsp:rsid wsp:val=&quot;00FE2580&quot;/&gt;&lt;wsp:rsid wsp:val=&quot;00FE2D89&quot;/&gt;&lt;wsp:rsid wsp:val=&quot;00FE31F6&quot;/&gt;&lt;wsp:rsid wsp:val=&quot;00FE380C&quot;/&gt;&lt;wsp:rsid wsp:val=&quot;00FE3D97&quot;/&gt;&lt;wsp:rsid wsp:val=&quot;00FE4A8B&quot;/&gt;&lt;wsp:rsid wsp:val=&quot;00FE4CF0&quot;/&gt;&lt;wsp:rsid wsp:val=&quot;00FE59BB&quot;/&gt;&lt;wsp:rsid wsp:val=&quot;00FE5D59&quot;/&gt;&lt;wsp:rsid wsp:val=&quot;00FE5F42&quot;/&gt;&lt;wsp:rsid wsp:val=&quot;00FE631F&quot;/&gt;&lt;wsp:rsid wsp:val=&quot;00FE695E&quot;/&gt;&lt;wsp:rsid wsp:val=&quot;00FE6A8F&quot;/&gt;&lt;wsp:rsid wsp:val=&quot;00FE6A9F&quot;/&gt;&lt;wsp:rsid wsp:val=&quot;00FE6BB5&quot;/&gt;&lt;wsp:rsid wsp:val=&quot;00FF1644&quot;/&gt;&lt;wsp:rsid wsp:val=&quot;00FF25A7&quot;/&gt;&lt;wsp:rsid wsp:val=&quot;00FF2888&quot;/&gt;&lt;wsp:rsid wsp:val=&quot;00FF2953&quot;/&gt;&lt;wsp:rsid wsp:val=&quot;00FF2EA3&quot;/&gt;&lt;wsp:rsid wsp:val=&quot;00FF414C&quot;/&gt;&lt;wsp:rsid wsp:val=&quot;00FF4764&quot;/&gt;&lt;wsp:rsid wsp:val=&quot;00FF4CCA&quot;/&gt;&lt;wsp:rsid wsp:val=&quot;00FF50FD&quot;/&gt;&lt;wsp:rsid wsp:val=&quot;00FF5E00&quot;/&gt;&lt;wsp:rsid wsp:val=&quot;00FF5E10&quot;/&gt;&lt;wsp:rsid wsp:val=&quot;00FF6DB6&quot;/&gt;&lt;wsp:rsid wsp:val=&quot;00FF73A1&quot;/&gt;&lt;wsp:rsid wsp:val=&quot;02B26B56&quot;/&gt;&lt;wsp:rsid wsp:val=&quot;03D66BA6&quot;/&gt;&lt;wsp:rsid wsp:val=&quot;051A0D14&quot;/&gt;&lt;wsp:rsid wsp:val=&quot;08373D17&quot;/&gt;&lt;wsp:rsid wsp:val=&quot;08D31906&quot;/&gt;&lt;wsp:rsid wsp:val=&quot;099B57EC&quot;/&gt;&lt;wsp:rsid wsp:val=&quot;09C35E1E&quot;/&gt;&lt;wsp:rsid wsp:val=&quot;0A7B2255&quot;/&gt;&lt;wsp:rsid wsp:val=&quot;0AA30366&quot;/&gt;&lt;wsp:rsid wsp:val=&quot;0CC7731D&quot;/&gt;&lt;wsp:rsid wsp:val=&quot;0FCD6BA8&quot;/&gt;&lt;wsp:rsid wsp:val=&quot;0FF419B0&quot;/&gt;&lt;wsp:rsid wsp:val=&quot;11A14B86&quot;/&gt;&lt;wsp:rsid wsp:val=&quot;12E11476&quot;/&gt;&lt;wsp:rsid wsp:val=&quot;13CA5776&quot;/&gt;&lt;wsp:rsid wsp:val=&quot;1451781E&quot;/&gt;&lt;wsp:rsid wsp:val=&quot;15151F29&quot;/&gt;&lt;wsp:rsid wsp:val=&quot;1BC22817&quot;/&gt;&lt;wsp:rsid wsp:val=&quot;1F14103B&quot;/&gt;&lt;wsp:rsid wsp:val=&quot;1F83778A&quot;/&gt;&lt;wsp:rsid wsp:val=&quot;224631C9&quot;/&gt;&lt;wsp:rsid wsp:val=&quot;240F2DC9&quot;/&gt;&lt;wsp:rsid wsp:val=&quot;24C30629&quot;/&gt;&lt;wsp:rsid wsp:val=&quot;25763D25&quot;/&gt;&lt;wsp:rsid wsp:val=&quot;26A5092E&quot;/&gt;&lt;wsp:rsid wsp:val=&quot;29BC0105&quot;/&gt;&lt;wsp:rsid wsp:val=&quot;2B6770FF&quot;/&gt;&lt;wsp:rsid wsp:val=&quot;2D123049&quot;/&gt;&lt;wsp:rsid wsp:val=&quot;2D947006&quot;/&gt;&lt;wsp:rsid wsp:val=&quot;2E3276DD&quot;/&gt;&lt;wsp:rsid wsp:val=&quot;314A0E14&quot;/&gt;&lt;wsp:rsid wsp:val=&quot;32037751&quot;/&gt;&lt;wsp:rsid wsp:val=&quot;330D18BF&quot;/&gt;&lt;wsp:rsid wsp:val=&quot;33CE629A&quot;/&gt;&lt;wsp:rsid wsp:val=&quot;342521FB&quot;/&gt;&lt;wsp:rsid wsp:val=&quot;350308E2&quot;/&gt;&lt;wsp:rsid wsp:val=&quot;38042FDA&quot;/&gt;&lt;wsp:rsid wsp:val=&quot;3A184B1B&quot;/&gt;&lt;wsp:rsid wsp:val=&quot;3AA1137B&quot;/&gt;&lt;wsp:rsid wsp:val=&quot;3BC67B86&quot;/&gt;&lt;wsp:rsid wsp:val=&quot;3CB74F79&quot;/&gt;&lt;wsp:rsid wsp:val=&quot;3CC80A7A&quot;/&gt;&lt;wsp:rsid wsp:val=&quot;3E63644F&quot;/&gt;&lt;wsp:rsid wsp:val=&quot;42211EC1&quot;/&gt;&lt;wsp:rsid wsp:val=&quot;42C06726&quot;/&gt;&lt;wsp:rsid wsp:val=&quot;430E56F4&quot;/&gt;&lt;wsp:rsid wsp:val=&quot;48CC13D9&quot;/&gt;&lt;wsp:rsid wsp:val=&quot;4CD34ADE&quot;/&gt;&lt;wsp:rsid wsp:val=&quot;4CDB2302&quot;/&gt;&lt;wsp:rsid wsp:val=&quot;500F7705&quot;/&gt;&lt;wsp:rsid wsp:val=&quot;50223AD5&quot;/&gt;&lt;wsp:rsid wsp:val=&quot;52231D58&quot;/&gt;&lt;wsp:rsid wsp:val=&quot;57A606AC&quot;/&gt;&lt;wsp:rsid wsp:val=&quot;58C45316&quot;/&gt;&lt;wsp:rsid wsp:val=&quot;59F7468F&quot;/&gt;&lt;wsp:rsid wsp:val=&quot;5B3C50B8&quot;/&gt;&lt;wsp:rsid wsp:val=&quot;5FF37537&quot;/&gt;&lt;wsp:rsid wsp:val=&quot;60BB0848&quot;/&gt;&lt;wsp:rsid wsp:val=&quot;60CF1B28&quot;/&gt;&lt;wsp:rsid wsp:val=&quot;61A22D98&quot;/&gt;&lt;wsp:rsid wsp:val=&quot;648C3B2E&quot;/&gt;&lt;wsp:rsid wsp:val=&quot;67702502&quot;/&gt;&lt;wsp:rsid wsp:val=&quot;68B106FE&quot;/&gt;&lt;wsp:rsid wsp:val=&quot;69845BA5&quot;/&gt;&lt;wsp:rsid wsp:val=&quot;699340F5&quot;/&gt;&lt;wsp:rsid wsp:val=&quot;6ABB51FD&quot;/&gt;&lt;wsp:rsid wsp:val=&quot;6BA51E03&quot;/&gt;&lt;wsp:rsid wsp:val=&quot;6D0F48A1&quot;/&gt;&lt;wsp:rsid wsp:val=&quot;6E5E1E17&quot;/&gt;&lt;wsp:rsid wsp:val=&quot;6ECF755A&quot;/&gt;&lt;wsp:rsid wsp:val=&quot;6F060991&quot;/&gt;&lt;wsp:rsid wsp:val=&quot;6FD1670D&quot;/&gt;&lt;wsp:rsid wsp:val=&quot;73EA2AA9&quot;/&gt;&lt;wsp:rsid wsp:val=&quot;76117BAB&quot;/&gt;&lt;wsp:rsid wsp:val=&quot;76244F59&quot;/&gt;&lt;wsp:rsid wsp:val=&quot;76854E63&quot;/&gt;&lt;wsp:rsid wsp:val=&quot;777E3C5F&quot;/&gt;&lt;wsp:rsid wsp:val=&quot;7A0F70A9&quot;/&gt;&lt;wsp:rsid wsp:val=&quot;7BD70A60&quot;/&gt;&lt;wsp:rsid wsp:val=&quot;7E21356B&quot;/&gt;&lt;wsp:rsid wsp:val=&quot;7EFE0D38&quot;/&gt;&lt;/wsp:rsids&gt;&lt;/w:docPr&gt;&lt;w:body&gt;&lt;wx:sect&gt;&lt;w:p wsp:rsidR=&quot;00000000&quot; wsp:rsidRPr=&quot;00D46052&quot; wsp:rsidRDefault=&quot;00D46052&quot; wsp:rsidP=&quot;00D46052&quot;&gt;&lt;m:oMathPara&gt;&lt;m:oMath&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L&lt;/m:t&gt;&lt;/m:r&gt;&lt;/m:e&gt;&lt;m:sub&gt;&lt;m:r&gt;&lt;m:rPr&gt;&lt;m:nor/&gt;&lt;/m:rPr&gt;&lt;w:rPr&gt;&lt;w:b-cs/&gt;&lt;w:i/&gt;&lt;w:color w:val=&quot;000000&quot;/&gt;&lt;w:sz w:val=&quot;24&quot;/&gt;&lt;w:sz-cs w:val=&quot;24&quot;/&gt;&lt;/w:rPr&gt;&lt;m:t&gt;p&lt;/m:t&gt;&lt;/m:r&gt;&lt;/m:sub&gt;&lt;/m:sSub&gt;&lt;m:d&gt;&lt;m:dPr&gt;&lt;m:begChr m:val=&quot;锛?/&gt;&lt;m:endChrz-------------------------- m:val=&quot;锛?/&gt;&lt;m:ctrlPr&gt;&lt;w:rPr&gt;&lt;w:rFonts w:ascii=&quot;Cambria Math&quot; w:h-ansi=&quot;Cambria Math&quot;/&gt;&lt;wx:font wx:val=&quot;Cambria Math&quot;/&gt;&lt;w:b-cs/&gt;&lt;w:i/&gt;&lt;w:color w:val=&quot;000000&quot;/&gt;&lt;w:sz w:val=&quot;24&quot;/&gt;&lt;w:sz-cs w:val=&quot;24&quot;/&gt;&lt;/w:rPr&gt;&lt;/m:ctrlPr&gt;&lt;/m:dPr&gt;&lt;m:e-&gt;-&lt;-m-:-r-&gt;-&lt;-m-:-r-P-r-&gt;-&lt;-m-:-n-o-r-/-&gt;-&lt;-/-m-z-:rPr&gt;&lt;w:rPr&gt;&lt;w:b-cs/&gt;&lt;w:i/&gt;&lt;w:color w:val=&quot;000000&quot;/&gt;&lt;w:sz w:val=&quot;24&quot;/&gt;&lt;w:sz-cs w:val=&quot;24&quot;/&gt;&lt;/w:rPr&gt;&lt;m:t&gt;r&lt;/m:t&gt;&lt;/m:r&gt;&lt;/m:e&gt;&lt;/m:d&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L&lt;/m:t&gt;&lt;/m:r&gt;&lt;/m:e&gt;&lt;m:sub&gt;&lt;m:r&gt;&lt;m:rPr&gt;&lt;m:nor/&gt;&lt;/m:rPr&gt;&lt;w:rPr&gt;&lt;w:b-cs/&gt;&lt;w:i/&gt;&lt;w:color w:val=&quot;000000&quot;/&gt;&lt;w:sz w:val=&quot;24&quot;/&gt;&lt;w:sz-cs w:val=&quot;24&quot;/&gt;&lt;/w:rPr&gt;&lt;m:t&gt;W&lt;/m:t&gt;&lt;/m:r&gt;&lt;/m:sub&gt;&lt;/m:sSub&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D&lt;/m:t&gt;&lt;/m:r&gt;&lt;/m:e&gt;&lt;m:sub&gt;&lt;m:r&gt;&lt;m:rPr&gt;&lt;m:nor/&gt;&lt;/m:rPr&gt;&lt;w:rPr&gt;&lt;w:b-cs/&gt;&lt;w:i/&gt;&lt;w:color w:val=&quot;000000&quot;/&gt;&lt;w:sz w:val=&quot;24&quot;/&gt;&lt;w:sz-cs w:val=&quot;24&quot;/&gt;&lt;/w:rPr&gt;&lt;m:t&gt;C&lt;/m:t&gt;&lt;/m:r&gt;&lt;/m:sub&gt;&lt;/m:sSub&gt;&lt;m:r&gt;&lt;m:rPr&gt;&lt;m:nor/&gt;&lt;/m:rPr&gt;&lt;w:rPr&gt;&lt;w:b-cs/&gt;&lt;w:i/&gt;&lt;w:color w:val=&quot;000000&quot;/&gt;&lt;w:sz w:val=&quot;24&quot;/&gt;&lt;w:sz-cs w:val=&quot;24&quot;/&gt;&lt;/w:rPr&gt;&lt;m:t&gt;-&lt;/m:t&gt;&lt;/m:r&gt;&lt;m:r&gt;&lt;m:rPr&gt;&lt;m:nor/&gt;&lt;/m:rPr&gt;&lt;w:rPr&gt;&lt;wx:font wx:val=&quot;瀹嬩綋&quot;/&gt;&lt;w:b-cs/&gt;&lt;w:i/&gt;&lt;w:color w:vC&lt;/al/m:=&quot;:t&gt;00&gt;&lt;/00/m:00:r&gt;&quot;/&gt;&lt;/&gt;&lt;/m:w::suszub&gt; w&gt;&lt;/:v/m:al:sS=&quot;Sub24b&gt;&lt;&quot;/&lt;m:&gt;&lt;:r&gt;w:&gt;&lt;mszm:r-crPrs r&gt;&lt;w:&lt;m:va:nol=or/&quot;2/&gt;&lt;4&quot;&lt;/m/&gt;&lt;/w:rPr&gt;&lt;m:t&gt;锛?/m:t&gt;&lt;/m:r&gt;&lt;m:sSub&gt;&lt;m:sSubPr&gt;&lt;m:ctrlPr&gt;&lt;w:rPr&gt;&lt;w:rFonts w:ascii=&quot;Cambria Math&quot; w:h-ansi=&quot;Cambria Math&quot;/&gt;&lt;wx:font/ wx:v:al=&quot;C&gt;ambri/a Mat:h&quot;/&gt;&lt;&gt;w:b-c/s/&gt;&lt;w::i/&gt;&lt;uw:col&gt;or w:/val=&quot;:00000S0&quot;/&gt;&lt;bw:sz &lt;w:val:=&quot;24&quot;&gt;/&gt;&lt;w:msz-csr w:varl=&quot;24&lt;&quot;/&gt;&lt;/:w:rPro&gt;&lt;/m:/ctrlP&lt;r&gt;&lt;//mm:sSubPr&gt;&lt;m:e&gt;&lt;m:r&gt;&lt;m:rPr&gt;&lt;m:nor/&gt;&lt;/m:rPr&gt;&lt;w:rPr&gt;&lt;w:b-cs/&gt;&lt;w:i/&gt;&lt;w:color w:val=&quot;000000&quot;/&gt;&lt;w:sz w:val=&quot;24&quot;/&gt;&lt;w:sz-cs w:val=&quot;24&quot;/&gt;&lt;/w:rPr&gt;&lt;m:t&gt;A&lt;/m:t&gt;&lt;/m:r&gt;&lt;/m:e&gt;&lt;m:sub&gt;&lt;m:r&gt;&lt;m:rPr&gt;&lt;m:nor/&gt;&lt;/m:rPr&gt;&lt;w:rPr&gt;&lt;w:b-cs/&gt;&lt;w:i/&gt;&lt;w:color w:val=&quot;000000&quot;/&gt;&lt;w:sz w:val=&quot;24&quot;/&gt;&lt;w:sz-cs w:val=&quot;24&quot;/&gt;&lt;/w:rPr&gt;&lt;m:t&gt;div&lt;/m:t&gt;&lt;/m:r&gt;&lt;/m:sub&gt;&lt;/m:sSub&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A&lt;/m:t&gt;&lt;/m:r&gt;&lt;/m:e&gt;&lt;m:sub&gt;&lt;m:r&gt;&lt;m:rPr&gt;&lt;m:nor/&gt;&lt;/m:rPr&gt;&lt;w:rPr&gt;&lt;w:b-cs/&gt;&lt;w:i/&gt;&lt;w:color w:val=&quot;000000&quot;/&gt;&lt;w:sz w:val=&quot;24&quot;/&gt;&lt;w:sz-cs w:val=&quot;24&quot;/&gt;&lt;/w:rPr&gt;&lt;m:t&gt;atm&lt;/m:t&gt;&lt;/m:r&gt;&lt;/m:sub&gt;&lt;/m:sSub&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A&lt;/m:t&gt;&lt;/m:r&gt;&lt;/m:e&gt;&lt;m:sub&gt;&lt;m:r&gt;&lt;m:rPr&gt;&lt;m:nor/&gt;&lt;/m:rPr&gt;&lt;w:rPr&gt;&lt;w:b-cs/&gt;&lt;w:i/&gt;&lt;w:color w:val=&quot;000000&quot;/&gt;&lt;w:sz w:val=&quot;24&quot;/&gt;&lt;w:sz-cs w:val=&quot;24&quot;/&gt;&lt;/w:rPr&gt;&lt;m:t&gt;gr&lt;/m:t&gt;&lt;/m:r&gt;&lt;/m:sub&gt;&lt;/m:sSub&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A&lt;/m:t&gt;&lt;/m:r&gt;&lt;/m:e&gt;&lt;m:sub&gt;&lt;m:r&gt;&lt;m:rPr&gt;&lt;m:nor/&gt;&lt;/m:rPr&gt;&lt;w:rPr&gt;&lt;w:b-cs/&gt;&lt;w:i/&gt;&lt;w:color w:val=&quot;000000&quot;/&gt;&lt;w:sz w:val=&quot;24&quot;/&gt;&lt;w:sz-cs w:val=&quot;24&quot;/&gt;&lt;/w:rPr&gt;&lt;m:t&gt;bar&lt;/m:t&gt;&lt;/m:r&gt;&lt;/m:sub&gt;&lt;/m:sSub&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A&lt;/m:t&gt;&lt;/m:r&gt;&lt;/m:e&gt;&lt;m:sub&gt;&lt;m:r&gt;&lt;m:rPr&gt;&lt;m:nor/&gt;&lt;/m:rPr&gt;&lt;w:rPr&gt;&lt;w:b-cs/&gt;&lt;w:i/&gt;&lt;w:color w:val=&quot;000000&quot;/&gt;&lt;w:sz w:val=&quot;24&quot;/&gt;&lt;w:sz-cs w:val=&quot;24&quot;/&gt;&lt;/w:rPr&gt;&lt;m:t&gt;misc&lt;/m:t&gt;&lt;/m:r&gt;&lt;/m:sub&gt;&lt;/m:sSub&gt;&lt;m:r&gt;&lt;m:rPr&gt;&lt;m:nor/&gt;&lt;/m:rPr&gt;&lt;w:rPr&gt;&lt;wx:font wx:val=&quot;瀹嬩綋&quot;/&gt;&lt;w:b-cs/&gt;&lt;w:i/m:t&gt;&lt;w:com:rlor w:m:eval=&quot;0:su00000&quot;m:r/&gt;&lt;w:s:rPz w:vam:nl=&quot;24&quot;&gt;&lt;//&gt;&lt;w:sPr&gt;z-cs wrPr:val=&quot;:b-24&quot;/&gt;&lt;&gt;&lt;w/w:rPr&gt;&lt;w&gt;&lt;m:t&gt;lor锛?/m::valt&gt;&lt;/m:0000r&gt;&lt;/m:&quot;/&gt;&lt;oMath&gt;sz w&lt;/m:oMal=&quot;athPar&quot;/&gt;&lt;a&gt;&lt;/w:sz-cp&gt;&lt;w:sw:vaectPr &quot;24&quot;wsp:rs&lt;/w:idR=&quot;0r&gt;&lt;m00000t&gt;mis00&quot; wsp:rsidRPr=&quot;0t0D46052&quot;&gt;r&lt;w:pgSz we:w=&quot;12240u&quot; w:h=&quot;15r840&quot;/&gt;&lt;w:PpgMar w:tnop=&quot;1440&quot;/ w:right=&gt;&quot;1800&quot; w:rbottom=&quot;1-440&quot; w:lewft=&quot;1800&quot;w w:headerr=&quot;720&quot; w:footer=&quot;720&quot; w:gutter=&quot;0&quot;/&gt;&lt;w:cols w:space=&quot;720&quot;/&gt;&lt;/w:sectPr&gt;&lt;/wx:sect&gt;&lt;/w:body&gt;&lt;/w:wordDocument&gt;">
                  <v:path/>
                  <v:fill on="f" focussize="0,0"/>
                  <v:stroke on="f" joinstyle="miter"/>
                  <v:imagedata r:id="rId17" chromakey="#FFFFFF" o:title=""/>
                  <o:lock v:ext="edit" aspectratio="t"/>
                  <w10:wrap type="none"/>
                  <w10:anchorlock/>
                </v:shape>
              </w:pict>
            </w:r>
          </w:p>
          <w:p w14:paraId="2ACE8DE5">
            <w:pPr>
              <w:adjustRightInd w:val="0"/>
              <w:snapToGrid w:val="0"/>
              <w:spacing w:line="360" w:lineRule="auto"/>
              <w:ind w:firstLine="420" w:firstLineChars="200"/>
              <w:rPr>
                <w:bCs/>
                <w:i/>
                <w:color w:val="000000"/>
                <w:sz w:val="24"/>
                <w:szCs w:val="24"/>
              </w:rPr>
            </w:pPr>
            <w:r>
              <w:pict>
                <v:shape id="_x0000_i1028" o:spt="75" type="#_x0000_t75" style="height:18.35pt;width:245.9pt;" filled="f" o:preferrelative="t" stroked="f" coordsize="21600,21600"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80&quot;/&gt;&lt;w:displayBackgroundShape/&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docVars&gt;&lt;w:docVar w:name=&quot;commondata&quot; w:val=&quot;eyJoZGlkIjoiYzYxMTk3NTc1NzI3NTBmNjE3NTg5YTVhYmVmNzdhOWQifQ==&quot;/&gt;&lt;/w:docVars&gt;&lt;wsp:rsids&gt;&lt;wsp:rsidRoot wsp:val=&quot;00172A27&quot;/&gt;&lt;wsp:rsid wsp:val=&quot;000000E1&quot;/&gt;&lt;wsp:rsid wsp:val=&quot;00000384&quot;/&gt;&lt;wsp:rsid wsp:val=&quot;000006AB&quot;/&gt;&lt;wsp:rsid wsp:val=&quot;000009D1&quot;/&gt;&lt;wsp:rsid wsp:val=&quot;00001235&quot;/&gt;&lt;wsp:rsid wsp:val=&quot;000014A9&quot;/&gt;&lt;wsp:rsid wsp:val=&quot;000022C8&quot;/&gt;&lt;wsp:rsid wsp:val=&quot;00002B6D&quot;/&gt;&lt;wsp:rsid wsp:val=&quot;00002DC4&quot;/&gt;&lt;wsp:rsid wsp:val=&quot;000032CD&quot;/&gt;&lt;wsp:rsid wsp:val=&quot;000034AA&quot;/&gt;&lt;wsp:rsid wsp:val=&quot;0000355C&quot;/&gt;&lt;wsp:rsid wsp:val=&quot;00003718&quot;/&gt;&lt;wsp:rsid wsp:val=&quot;000038BB&quot;/&gt;&lt;wsp:rsid wsp:val=&quot;00003FCC&quot;/&gt;&lt;wsp:rsid wsp:val=&quot;00004021&quot;/&gt;&lt;wsp:rsid wsp:val=&quot;00004A8A&quot;/&gt;&lt;wsp:rsid wsp:val=&quot;00005F47&quot;/&gt;&lt;wsp:rsid wsp:val=&quot;00006EB1&quot;/&gt;&lt;wsp:rsid wsp:val=&quot;0000713A&quot;/&gt;&lt;wsp:rsid wsp:val=&quot;000072D5&quot;/&gt;&lt;wsp:rsid wsp:val=&quot;00007BE5&quot;/&gt;&lt;wsp:rsid wsp:val=&quot;0001075F&quot;/&gt;&lt;wsp:rsid wsp:val=&quot;000114A3&quot;/&gt;&lt;wsp:rsid wsp:val=&quot;000122D0&quot;/&gt;&lt;wsp:rsid wsp:val=&quot;00012356&quot;/&gt;&lt;wsp:rsid wsp:val=&quot;000123CF&quot;/&gt;&lt;wsp:rsid wsp:val=&quot;000130F0&quot;/&gt;&lt;wsp:rsid wsp:val=&quot;0001348A&quot;/&gt;&lt;wsp:rsid wsp:val=&quot;00013BF5&quot;/&gt;&lt;wsp:rsid wsp:val=&quot;00013CBF&quot;/&gt;&lt;wsp:rsid wsp:val=&quot;00014340&quot;/&gt;&lt;wsp:rsid wsp:val=&quot;00014DB6&quot;/&gt;&lt;wsp:rsid wsp:val=&quot;0001517C&quot;/&gt;&lt;wsp:rsid wsp:val=&quot;000154A5&quot;/&gt;&lt;wsp:rsid wsp:val=&quot;00015A1F&quot;/&gt;&lt;wsp:rsid wsp:val=&quot;00015BB0&quot;/&gt;&lt;wsp:rsid wsp:val=&quot;00016A81&quot;/&gt;&lt;wsp:rsid wsp:val=&quot;00016EC0&quot;/&gt;&lt;wsp:rsid wsp:val=&quot;0001730A&quot;/&gt;&lt;wsp:rsid wsp:val=&quot;00017469&quot;/&gt;&lt;wsp:rsid wsp:val=&quot;0001755D&quot;/&gt;&lt;wsp:rsid wsp:val=&quot;00017CEA&quot;/&gt;&lt;wsp:rsid wsp:val=&quot;00017F89&quot;/&gt;&lt;wsp:rsid wsp:val=&quot;00020D89&quot;/&gt;&lt;wsp:rsid wsp:val=&quot;00021E12&quot;/&gt;&lt;wsp:rsid wsp:val=&quot;00021E6B&quot;/&gt;&lt;wsp:rsid wsp:val=&quot;000224B7&quot;/&gt;&lt;wsp:rsid wsp:val=&quot;0002338D&quot;/&gt;&lt;wsp:rsid wsp:val=&quot;00023A95&quot;/&gt;&lt;wsp:rsid wsp:val=&quot;000240ED&quot;/&gt;&lt;wsp:rsid wsp:val=&quot;00024481&quot;/&gt;&lt;wsp:rsid wsp:val=&quot;000245B2&quot;/&gt;&lt;wsp:rsid wsp:val=&quot;00024E4C&quot;/&gt;&lt;wsp:rsid wsp:val=&quot;00025204&quot;/&gt;&lt;wsp:rsid wsp:val=&quot;00025A1D&quot;/&gt;&lt;wsp:rsid wsp:val=&quot;00025FDA&quot;/&gt;&lt;wsp:rsid wsp:val=&quot;000261E7&quot;/&gt;&lt;wsp:rsid wsp:val=&quot;00026A7E&quot;/&gt;&lt;wsp:rsid wsp:val=&quot;00026E58&quot;/&gt;&lt;wsp:rsid wsp:val=&quot;000275E4&quot;/&gt;&lt;wsp:rsid wsp:val=&quot;00027BBB&quot;/&gt;&lt;wsp:rsid wsp:val=&quot;00027E5A&quot;/&gt;&lt;wsp:rsid wsp:val=&quot;00027F18&quot;/&gt;&lt;wsp:rsid wsp:val=&quot;0003029B&quot;/&gt;&lt;wsp:rsid wsp:val=&quot;000303DC&quot;/&gt;&lt;wsp:rsid wsp:val=&quot;0003057F&quot;/&gt;&lt;wsp:rsid wsp:val=&quot;00030993&quot;/&gt;&lt;wsp:rsid wsp:val=&quot;00030CCD&quot;/&gt;&lt;wsp:rsid wsp:val=&quot;00032665&quot;/&gt;&lt;wsp:rsid wsp:val=&quot;000327B7&quot;/&gt;&lt;wsp:rsid wsp:val=&quot;00032A9F&quot;/&gt;&lt;wsp:rsid wsp:val=&quot;00032BFA&quot;/&gt;&lt;wsp:rsid wsp:val=&quot;00032D02&quot;/&gt;&lt;wsp:rsid wsp:val=&quot;00032FB9&quot;/&gt;&lt;wsp:rsid wsp:val=&quot;0003314E&quot;/&gt;&lt;wsp:rsid wsp:val=&quot;000332B9&quot;/&gt;&lt;wsp:rsid wsp:val=&quot;00033402&quot;/&gt;&lt;wsp:rsid wsp:val=&quot;00033925&quot;/&gt;&lt;wsp:rsid wsp:val=&quot;000339F8&quot;/&gt;&lt;wsp:rsid wsp:val=&quot;00033EEB&quot;/&gt;&lt;wsp:rsid wsp:val=&quot;000343C9&quot;/&gt;&lt;wsp:rsid wsp:val=&quot;00034E5F&quot;/&gt;&lt;wsp:rsid wsp:val=&quot;00035946&quot;/&gt;&lt;wsp:rsid wsp:val=&quot;00035DBC&quot;/&gt;&lt;wsp:rsid wsp:val=&quot;0003607A&quot;/&gt;&lt;wsp:rsid wsp:val=&quot;000368CA&quot;/&gt;&lt;wsp:rsid wsp:val=&quot;000369B8&quot;/&gt;&lt;wsp:rsid wsp:val=&quot;00036D60&quot;/&gt;&lt;wsp:rsid wsp:val=&quot;00036F18&quot;/&gt;&lt;wsp:rsid wsp:val=&quot;000379E1&quot;/&gt;&lt;wsp:rsid wsp:val=&quot;00037B71&quot;/&gt;&lt;wsp:rsid wsp:val=&quot;00037C97&quot;/&gt;&lt;wsp:rsid wsp:val=&quot;000403A0&quot;/&gt;&lt;wsp:rsid wsp:val=&quot;00040E2F&quot;/&gt;&lt;wsp:rsid wsp:val=&quot;00040FAB&quot;/&gt;&lt;wsp:rsid wsp:val=&quot;0004133E&quot;/&gt;&lt;wsp:rsid wsp:val=&quot;000419F0&quot;/&gt;&lt;wsp:rsid wsp:val=&quot;00041DDD&quot;/&gt;&lt;wsp:rsid wsp:val=&quot;00041DF7&quot;/&gt;&lt;wsp:rsid wsp:val=&quot;0004231E&quot;/&gt;&lt;wsp:rsid wsp:val=&quot;000428F9&quot;/&gt;&lt;wsp:rsid wsp:val=&quot;0004324C&quot;/&gt;&lt;wsp:rsid wsp:val=&quot;00043302&quot;/&gt;&lt;wsp:rsid wsp:val=&quot;00043460&quot;/&gt;&lt;wsp:rsid wsp:val=&quot;0004381A&quot;/&gt;&lt;wsp:rsid wsp:val=&quot;00043A61&quot;/&gt;&lt;wsp:rsid wsp:val=&quot;00044079&quot;/&gt;&lt;wsp:rsid wsp:val=&quot;00044735&quot;/&gt;&lt;wsp:rsid wsp:val=&quot;00044945&quot;/&gt;&lt;wsp:rsid wsp:val=&quot;000451D9&quot;/&gt;&lt;wsp:rsid wsp:val=&quot;00046136&quot;/&gt;&lt;wsp:rsid wsp:val=&quot;00046842&quot;/&gt;&lt;wsp:rsid wsp:val=&quot;00047117&quot;/&gt;&lt;wsp:rsid wsp:val=&quot;00047226&quot;/&gt;&lt;wsp:rsid wsp:val=&quot;0004742D&quot;/&gt;&lt;wsp:rsid wsp:val=&quot;000478BE&quot;/&gt;&lt;wsp:rsid wsp:val=&quot;00047D6E&quot;/&gt;&lt;wsp:rsid wsp:val=&quot;00047DA1&quot;/&gt;&lt;wsp:rsid wsp:val=&quot;0005042F&quot;/&gt;&lt;wsp:rsid wsp:val=&quot;00050A8E&quot;/&gt;&lt;wsp:rsid wsp:val=&quot;00050AF8&quot;/&gt;&lt;wsp:rsid wsp:val=&quot;00050BBA&quot;/&gt;&lt;wsp:rsid wsp:val=&quot;00050E97&quot;/&gt;&lt;wsp:rsid wsp:val=&quot;00050EF2&quot;/&gt;&lt;wsp:rsid wsp:val=&quot;000510FC&quot;/&gt;&lt;wsp:rsid wsp:val=&quot;000513EB&quot;/&gt;&lt;wsp:rsid wsp:val=&quot;0005152E&quot;/&gt;&lt;wsp:rsid wsp:val=&quot;00051CE8&quot;/&gt;&lt;wsp:rsid wsp:val=&quot;00051EC6&quot;/&gt;&lt;wsp:rsid wsp:val=&quot;0005203D&quot;/&gt;&lt;wsp:rsid wsp:val=&quot;000525A1&quot;/&gt;&lt;wsp:rsid wsp:val=&quot;00052790&quot;/&gt;&lt;wsp:rsid wsp:val=&quot;00053ABF&quot;/&gt;&lt;wsp:rsid wsp:val=&quot;00053CC4&quot;/&gt;&lt;wsp:rsid wsp:val=&quot;00053FC8&quot;/&gt;&lt;wsp:rsid wsp:val=&quot;0005435D&quot;/&gt;&lt;wsp:rsid wsp:val=&quot;00054CBF&quot;/&gt;&lt;wsp:rsid wsp:val=&quot;00054CF1&quot;/&gt;&lt;wsp:rsid wsp:val=&quot;00054E06&quot;/&gt;&lt;wsp:rsid wsp:val=&quot;00054E67&quot;/&gt;&lt;wsp:rsid wsp:val=&quot;00056697&quot;/&gt;&lt;wsp:rsid wsp:val=&quot;0005719D&quot;/&gt;&lt;wsp:rsid wsp:val=&quot;00057445&quot;/&gt;&lt;wsp:rsid wsp:val=&quot;000575FC&quot;/&gt;&lt;wsp:rsid wsp:val=&quot;00057AC4&quot;/&gt;&lt;wsp:rsid wsp:val=&quot;00057D9D&quot;/&gt;&lt;wsp:rsid wsp:val=&quot;00060708&quot;/&gt;&lt;wsp:rsid wsp:val=&quot;00060AC3&quot;/&gt;&lt;wsp:rsid wsp:val=&quot;00060BF1&quot;/&gt;&lt;wsp:rsid wsp:val=&quot;00061A2B&quot;/&gt;&lt;wsp:rsid wsp:val=&quot;00062344&quot;/&gt;&lt;wsp:rsid wsp:val=&quot;00062606&quot;/&gt;&lt;wsp:rsid wsp:val=&quot;00062675&quot;/&gt;&lt;wsp:rsid wsp:val=&quot;00062692&quot;/&gt;&lt;wsp:rsid wsp:val=&quot;00062AC1&quot;/&gt;&lt;wsp:rsid wsp:val=&quot;00062FD6&quot;/&gt;&lt;wsp:rsid wsp:val=&quot;00063457&quot;/&gt;&lt;wsp:rsid wsp:val=&quot;000639DD&quot;/&gt;&lt;wsp:rsid wsp:val=&quot;00063BB0&quot;/&gt;&lt;wsp:rsid wsp:val=&quot;00063CDE&quot;/&gt;&lt;wsp:rsid wsp:val=&quot;00063E4C&quot;/&gt;&lt;wsp:rsid wsp:val=&quot;00063F85&quot;/&gt;&lt;wsp:rsid wsp:val=&quot;0006454E&quot;/&gt;&lt;wsp:rsid wsp:val=&quot;00065025&quot;/&gt;&lt;wsp:rsid wsp:val=&quot;0006572B&quot;/&gt;&lt;wsp:rsid wsp:val=&quot;000665A5&quot;/&gt;&lt;wsp:rsid wsp:val=&quot;000672FE&quot;/&gt;&lt;wsp:rsid wsp:val=&quot;00070280&quot;/&gt;&lt;wsp:rsid wsp:val=&quot;00070A32&quot;/&gt;&lt;wsp:rsid wsp:val=&quot;00070F4C&quot;/&gt;&lt;wsp:rsid wsp:val=&quot;000713B5&quot;/&gt;&lt;wsp:rsid wsp:val=&quot;00071AD0&quot;/&gt;&lt;wsp:rsid wsp:val=&quot;00071E2D&quot;/&gt;&lt;wsp:rsid wsp:val=&quot;0007206C&quot;/&gt;&lt;wsp:rsid wsp:val=&quot;00072397&quot;/&gt;&lt;wsp:rsid wsp:val=&quot;00072D6D&quot;/&gt;&lt;wsp:rsid wsp:val=&quot;000731EF&quot;/&gt;&lt;wsp:rsid wsp:val=&quot;00073780&quot;/&gt;&lt;wsp:rsid wsp:val=&quot;00073A88&quot;/&gt;&lt;wsp:rsid wsp:val=&quot;00073B30&quot;/&gt;&lt;wsp:rsid wsp:val=&quot;00074EF3&quot;/&gt;&lt;wsp:rsid wsp:val=&quot;000750CA&quot;/&gt;&lt;wsp:rsid wsp:val=&quot;0007642D&quot;/&gt;&lt;wsp:rsid wsp:val=&quot;00076989&quot;/&gt;&lt;wsp:rsid wsp:val=&quot;00076B05&quot;/&gt;&lt;wsp:rsid wsp:val=&quot;0008046A&quot;/&gt;&lt;wsp:rsid wsp:val=&quot;000820A1&quot;/&gt;&lt;wsp:rsid wsp:val=&quot;00082718&quot;/&gt;&lt;wsp:rsid wsp:val=&quot;00082780&quot;/&gt;&lt;wsp:rsid wsp:val=&quot;00082836&quot;/&gt;&lt;wsp:rsid wsp:val=&quot;00082A7E&quot;/&gt;&lt;wsp:rsid wsp:val=&quot;00082B73&quot;/&gt;&lt;wsp:rsid wsp:val=&quot;00082BB1&quot;/&gt;&lt;wsp:rsid wsp:val=&quot;00082C63&quot;/&gt;&lt;wsp:rsid wsp:val=&quot;00083256&quot;/&gt;&lt;wsp:rsid wsp:val=&quot;00083A9D&quot;/&gt;&lt;wsp:rsid wsp:val=&quot;000847DE&quot;/&gt;&lt;wsp:rsid wsp:val=&quot;00084C61&quot;/&gt;&lt;wsp:rsid wsp:val=&quot;00084E5B&quot;/&gt;&lt;wsp:rsid wsp:val=&quot;0008524B&quot;/&gt;&lt;wsp:rsid wsp:val=&quot;0008557C&quot;/&gt;&lt;wsp:rsid wsp:val=&quot;00085970&quot;/&gt;&lt;wsp:rsid wsp:val=&quot;00085F0E&quot;/&gt;&lt;wsp:rsid wsp:val=&quot;00086DA3&quot;/&gt;&lt;wsp:rsid wsp:val=&quot;00087183&quot;/&gt;&lt;wsp:rsid wsp:val=&quot;00087EB8&quot;/&gt;&lt;wsp:rsid wsp:val=&quot;0009007B&quot;/&gt;&lt;wsp:rsid wsp:val=&quot;00090B2E&quot;/&gt;&lt;wsp:rsid wsp:val=&quot;00090B96&quot;/&gt;&lt;wsp:rsid wsp:val=&quot;00090BE8&quot;/&gt;&lt;wsp:rsid wsp:val=&quot;00090CAD&quot;/&gt;&lt;wsp:rsid wsp:val=&quot;00091336&quot;/&gt;&lt;wsp:rsid wsp:val=&quot;00091435&quot;/&gt;&lt;wsp:rsid wsp:val=&quot;00091EAE&quot;/&gt;&lt;wsp:rsid wsp:val=&quot;00092501&quot;/&gt;&lt;wsp:rsid wsp:val=&quot;00093107&quot;/&gt;&lt;wsp:rsid wsp:val=&quot;000937A1&quot;/&gt;&lt;wsp:rsid wsp:val=&quot;0009433D&quot;/&gt;&lt;wsp:rsid wsp:val=&quot;00095509&quot;/&gt;&lt;wsp:rsid wsp:val=&quot;00095519&quot;/&gt;&lt;wsp:rsid wsp:val=&quot;000957BC&quot;/&gt;&lt;wsp:rsid wsp:val=&quot;00095A1A&quot;/&gt;&lt;wsp:rsid wsp:val=&quot;00095BDC&quot;/&gt;&lt;wsp:rsid wsp:val=&quot;0009632C&quot;/&gt;&lt;wsp:rsid wsp:val=&quot;0009675A&quot;/&gt;&lt;wsp:rsid wsp:val=&quot;00096A33&quot;/&gt;&lt;wsp:rsid wsp:val=&quot;00096C0E&quot;/&gt;&lt;wsp:rsid wsp:val=&quot;00097294&quot;/&gt;&lt;wsp:rsid wsp:val=&quot;00097BBF&quot;/&gt;&lt;wsp:rsid wsp:val=&quot;00097E40&quot;/&gt;&lt;wsp:rsid wsp:val=&quot;000A0A75&quot;/&gt;&lt;wsp:rsid wsp:val=&quot;000A0B0C&quot;/&gt;&lt;wsp:rsid wsp:val=&quot;000A0F15&quot;/&gt;&lt;wsp:rsid wsp:val=&quot;000A1578&quot;/&gt;&lt;wsp:rsid wsp:val=&quot;000A19B5&quot;/&gt;&lt;wsp:rsid wsp:val=&quot;000A19B7&quot;/&gt;&lt;wsp:rsid wsp:val=&quot;000A1DD4&quot;/&gt;&lt;wsp:rsid wsp:val=&quot;000A1EAF&quot;/&gt;&lt;wsp:rsid wsp:val=&quot;000A1EFA&quot;/&gt;&lt;wsp:rsid wsp:val=&quot;000A2DEC&quot;/&gt;&lt;wsp:rsid wsp:val=&quot;000A3147&quot;/&gt;&lt;wsp:rsid wsp:val=&quot;000A3333&quot;/&gt;&lt;wsp:rsid wsp:val=&quot;000A3931&quot;/&gt;&lt;wsp:rsid wsp:val=&quot;000A44C6&quot;/&gt;&lt;wsp:rsid wsp:val=&quot;000A46B2&quot;/&gt;&lt;wsp:rsid wsp:val=&quot;000A4D6D&quot;/&gt;&lt;wsp:rsid wsp:val=&quot;000A61DB&quot;/&gt;&lt;wsp:rsid wsp:val=&quot;000A675B&quot;/&gt;&lt;wsp:rsid wsp:val=&quot;000A7337&quot;/&gt;&lt;wsp:rsid wsp:val=&quot;000A741E&quot;/&gt;&lt;wsp:rsid wsp:val=&quot;000A7CE7&quot;/&gt;&lt;wsp:rsid wsp:val=&quot;000B0216&quot;/&gt;&lt;wsp:rsid wsp:val=&quot;000B03F5&quot;/&gt;&lt;wsp:rsid wsp:val=&quot;000B064B&quot;/&gt;&lt;wsp:rsid wsp:val=&quot;000B0F8E&quot;/&gt;&lt;wsp:rsid wsp:val=&quot;000B0FCB&quot;/&gt;&lt;wsp:rsid wsp:val=&quot;000B1EC8&quot;/&gt;&lt;wsp:rsid wsp:val=&quot;000B264B&quot;/&gt;&lt;wsp:rsid wsp:val=&quot;000B2DAA&quot;/&gt;&lt;wsp:rsid wsp:val=&quot;000B2E4A&quot;/&gt;&lt;wsp:rsid wsp:val=&quot;000B31CA&quot;/&gt;&lt;wsp:rsid wsp:val=&quot;000B31F7&quot;/&gt;&lt;wsp:rsid wsp:val=&quot;000B4062&quot;/&gt;&lt;wsp:rsid wsp:val=&quot;000B45A4&quot;/&gt;&lt;wsp:rsid wsp:val=&quot;000B4AD7&quot;/&gt;&lt;wsp:rsid wsp:val=&quot;000B5458&quot;/&gt;&lt;wsp:rsid wsp:val=&quot;000B55AF&quot;/&gt;&lt;wsp:rsid wsp:val=&quot;000B5B93&quot;/&gt;&lt;wsp:rsid wsp:val=&quot;000B5E06&quot;/&gt;&lt;wsp:rsid wsp:val=&quot;000B6106&quot;/&gt;&lt;wsp:rsid wsp:val=&quot;000B6678&quot;/&gt;&lt;wsp:rsid wsp:val=&quot;000B671F&quot;/&gt;&lt;wsp:rsid wsp:val=&quot;000B70F1&quot;/&gt;&lt;wsp:rsid wsp:val=&quot;000B744B&quot;/&gt;&lt;wsp:rsid wsp:val=&quot;000B7B79&quot;/&gt;&lt;wsp:rsid wsp:val=&quot;000C0B5E&quot;/&gt;&lt;wsp:rsid wsp:val=&quot;000C0C18&quot;/&gt;&lt;wsp:rsid wsp:val=&quot;000C0D66&quot;/&gt;&lt;wsp:rsid wsp:val=&quot;000C1120&quot;/&gt;&lt;wsp:rsid wsp:val=&quot;000C1252&quot;/&gt;&lt;wsp:rsid wsp:val=&quot;000C1AF2&quot;/&gt;&lt;wsp:rsid wsp:val=&quot;000C1EF9&quot;/&gt;&lt;wsp:rsid wsp:val=&quot;000C2262&quot;/&gt;&lt;wsp:rsid wsp:val=&quot;000C235E&quot;/&gt;&lt;wsp:rsid wsp:val=&quot;000C2459&quot;/&gt;&lt;wsp:rsid wsp:val=&quot;000C2967&quot;/&gt;&lt;wsp:rsid wsp:val=&quot;000C2C75&quot;/&gt;&lt;wsp:rsid wsp:val=&quot;000C2F5D&quot;/&gt;&lt;wsp:rsid wsp:val=&quot;000C3017&quot;/&gt;&lt;wsp:rsid wsp:val=&quot;000C316A&quot;/&gt;&lt;wsp:rsid wsp:val=&quot;000C369E&quot;/&gt;&lt;wsp:rsid wsp:val=&quot;000C436C&quot;/&gt;&lt;wsp:rsid wsp:val=&quot;000C47D6&quot;/&gt;&lt;wsp:rsid wsp:val=&quot;000C4E3B&quot;/&gt;&lt;wsp:rsid wsp:val=&quot;000C5CE0&quot;/&gt;&lt;wsp:rsid wsp:val=&quot;000C5E17&quot;/&gt;&lt;wsp:rsid wsp:val=&quot;000C5E29&quot;/&gt;&lt;wsp:rsid wsp:val=&quot;000C5F29&quot;/&gt;&lt;wsp:rsid wsp:val=&quot;000C61E6&quot;/&gt;&lt;wsp:rsid wsp:val=&quot;000C7137&quot;/&gt;&lt;wsp:rsid wsp:val=&quot;000C75A5&quot;/&gt;&lt;wsp:rsid wsp:val=&quot;000C79B7&quot;/&gt;&lt;wsp:rsid wsp:val=&quot;000C7C56&quot;/&gt;&lt;wsp:rsid wsp:val=&quot;000C7C5F&quot;/&gt;&lt;wsp:rsid wsp:val=&quot;000C7DBB&quot;/&gt;&lt;wsp:rsid wsp:val=&quot;000C7E0F&quot;/&gt;&lt;wsp:rsid wsp:val=&quot;000D06E9&quot;/&gt;&lt;wsp:rsid wsp:val=&quot;000D09C4&quot;/&gt;&lt;wsp:rsid wsp:val=&quot;000D0ECA&quot;/&gt;&lt;wsp:rsid wsp:val=&quot;000D22EE&quot;/&gt;&lt;wsp:rsid wsp:val=&quot;000D243F&quot;/&gt;&lt;wsp:rsid wsp:val=&quot;000D24E0&quot;/&gt;&lt;wsp:rsid wsp:val=&quot;000D385C&quot;/&gt;&lt;wsp:rsid wsp:val=&quot;000D4110&quot;/&gt;&lt;wsp:rsid wsp:val=&quot;000D4E93&quot;/&gt;&lt;wsp:rsid wsp:val=&quot;000D51E7&quot;/&gt;&lt;wsp:rsid wsp:val=&quot;000D573D&quot;/&gt;&lt;wsp:rsid wsp:val=&quot;000D5F41&quot;/&gt;&lt;wsp:rsid wsp:val=&quot;000D5F7F&quot;/&gt;&lt;wsp:rsid wsp:val=&quot;000D6463&quot;/&gt;&lt;wsp:rsid wsp:val=&quot;000D6FC9&quot;/&gt;&lt;wsp:rsid wsp:val=&quot;000D78F8&quot;/&gt;&lt;wsp:rsid wsp:val=&quot;000E0B11&quot;/&gt;&lt;wsp:rsid wsp:val=&quot;000E0B9B&quot;/&gt;&lt;wsp:rsid wsp:val=&quot;000E0D49&quot;/&gt;&lt;wsp:rsid wsp:val=&quot;000E0D4F&quot;/&gt;&lt;wsp:rsid wsp:val=&quot;000E1CB4&quot;/&gt;&lt;wsp:rsid wsp:val=&quot;000E1D2A&quot;/&gt;&lt;wsp:rsid wsp:val=&quot;000E24C3&quot;/&gt;&lt;wsp:rsid wsp:val=&quot;000E27B5&quot;/&gt;&lt;wsp:rsid wsp:val=&quot;000E2925&quot;/&gt;&lt;wsp:rsid wsp:val=&quot;000E2E1C&quot;/&gt;&lt;wsp:rsid wsp:val=&quot;000E3485&quot;/&gt;&lt;wsp:rsid wsp:val=&quot;000E34CD&quot;/&gt;&lt;wsp:rsid wsp:val=&quot;000E37E4&quot;/&gt;&lt;wsp:rsid wsp:val=&quot;000E492D&quot;/&gt;&lt;wsp:rsid wsp:val=&quot;000E4957&quot;/&gt;&lt;wsp:rsid wsp:val=&quot;000E4C70&quot;/&gt;&lt;wsp:rsid wsp:val=&quot;000E4D7D&quot;/&gt;&lt;wsp:rsid wsp:val=&quot;000E51C4&quot;/&gt;&lt;wsp:rsid wsp:val=&quot;000E55E2&quot;/&gt;&lt;wsp:rsid wsp:val=&quot;000E5CC4&quot;/&gt;&lt;wsp:rsid wsp:val=&quot;000E5E2A&quot;/&gt;&lt;wsp:rsid wsp:val=&quot;000E6CE0&quot;/&gt;&lt;wsp:rsid wsp:val=&quot;000E71DC&quot;/&gt;&lt;wsp:rsid wsp:val=&quot;000E7850&quot;/&gt;&lt;wsp:rsid wsp:val=&quot;000E7882&quot;/&gt;&lt;wsp:rsid wsp:val=&quot;000F06FB&quot;/&gt;&lt;wsp:rsid wsp:val=&quot;000F15F1&quot;/&gt;&lt;wsp:rsid wsp:val=&quot;000F1A26&quot;/&gt;&lt;wsp:rsid wsp:val=&quot;000F1C34&quot;/&gt;&lt;wsp:rsid wsp:val=&quot;000F1CE3&quot;/&gt;&lt;wsp:rsid wsp:val=&quot;000F2080&quot;/&gt;&lt;wsp:rsid wsp:val=&quot;000F2E83&quot;/&gt;&lt;wsp:rsid wsp:val=&quot;000F3DC7&quot;/&gt;&lt;wsp:rsid wsp:val=&quot;000F3EA9&quot;/&gt;&lt;wsp:rsid wsp:val=&quot;000F3FF0&quot;/&gt;&lt;wsp:rsid wsp:val=&quot;000F401A&quot;/&gt;&lt;wsp:rsid wsp:val=&quot;000F4380&quot;/&gt;&lt;wsp:rsid wsp:val=&quot;000F6629&quot;/&gt;&lt;wsp:rsid wsp:val=&quot;000F66BD&quot;/&gt;&lt;wsp:rsid wsp:val=&quot;000F7BC2&quot;/&gt;&lt;wsp:rsid wsp:val=&quot;001001EC&quot;/&gt;&lt;wsp:rsid wsp:val=&quot;001001ED&quot;/&gt;&lt;wsp:rsid wsp:val=&quot;001003BB&quot;/&gt;&lt;wsp:rsid wsp:val=&quot;00100D34&quot;/&gt;&lt;wsp:rsid wsp:val=&quot;001012DC&quot;/&gt;&lt;wsp:rsid wsp:val=&quot;001016E3&quot;/&gt;&lt;wsp:rsid wsp:val=&quot;0010206A&quot;/&gt;&lt;wsp:rsid wsp:val=&quot;001020EC&quot;/&gt;&lt;wsp:rsid wsp:val=&quot;0010273F&quot;/&gt;&lt;wsp:rsid wsp:val=&quot;00102EDF&quot;/&gt;&lt;wsp:rsid wsp:val=&quot;001034DB&quot;/&gt;&lt;wsp:rsid wsp:val=&quot;00103774&quot;/&gt;&lt;wsp:rsid wsp:val=&quot;0010390E&quot;/&gt;&lt;wsp:rsid wsp:val=&quot;001039C1&quot;/&gt;&lt;wsp:rsid wsp:val=&quot;00103C31&quot;/&gt;&lt;wsp:rsid wsp:val=&quot;0010503D&quot;/&gt;&lt;wsp:rsid wsp:val=&quot;001055E3&quot;/&gt;&lt;wsp:rsid wsp:val=&quot;00105C3A&quot;/&gt;&lt;wsp:rsid wsp:val=&quot;001071B2&quot;/&gt;&lt;wsp:rsid wsp:val=&quot;001073D3&quot;/&gt;&lt;wsp:rsid wsp:val=&quot;001075EA&quot;/&gt;&lt;wsp:rsid wsp:val=&quot;0010772D&quot;/&gt;&lt;wsp:rsid wsp:val=&quot;00107808&quot;/&gt;&lt;wsp:rsid wsp:val=&quot;00107CF3&quot;/&gt;&lt;wsp:rsid wsp:val=&quot;00107D8D&quot;/&gt;&lt;wsp:rsid wsp:val=&quot;00110191&quot;/&gt;&lt;wsp:rsid wsp:val=&quot;001106D8&quot;/&gt;&lt;wsp:rsid wsp:val=&quot;00110D9F&quot;/&gt;&lt;wsp:rsid wsp:val=&quot;00111EF3&quot;/&gt;&lt;wsp:rsid wsp:val=&quot;0011207F&quot;/&gt;&lt;wsp:rsid wsp:val=&quot;001121DC&quot;/&gt;&lt;wsp:rsid wsp:val=&quot;00113030&quot;/&gt;&lt;wsp:rsid wsp:val=&quot;00113291&quot;/&gt;&lt;wsp:rsid wsp:val=&quot;00113E68&quot;/&gt;&lt;wsp:rsid wsp:val=&quot;001147D7&quot;/&gt;&lt;wsp:rsid wsp:val=&quot;001150A9&quot;/&gt;&lt;wsp:rsid wsp:val=&quot;001165B3&quot;/&gt;&lt;wsp:rsid wsp:val=&quot;00117786&quot;/&gt;&lt;wsp:rsid wsp:val=&quot;00117AB9&quot;/&gt;&lt;wsp:rsid wsp:val=&quot;00117AE8&quot;/&gt;&lt;wsp:rsid wsp:val=&quot;001200DF&quot;/&gt;&lt;wsp:rsid wsp:val=&quot;001204F1&quot;/&gt;&lt;wsp:rsid wsp:val=&quot;00120677&quot;/&gt;&lt;wsp:rsid wsp:val=&quot;00120E1C&quot;/&gt;&lt;wsp:rsid wsp:val=&quot;00120EAD&quot;/&gt;&lt;wsp:rsid wsp:val=&quot;001211FD&quot;/&gt;&lt;wsp:rsid wsp:val=&quot;00121875&quot;/&gt;&lt;wsp:rsid wsp:val=&quot;001218B4&quot;/&gt;&lt;wsp:rsid wsp:val=&quot;00121B39&quot;/&gt;&lt;wsp:rsid wsp:val=&quot;00121DA9&quot;/&gt;&lt;wsp:rsid wsp:val=&quot;00122016&quot;/&gt;&lt;wsp:rsid wsp:val=&quot;00122099&quot;/&gt;&lt;wsp:rsid wsp:val=&quot;00122293&quot;/&gt;&lt;wsp:rsid wsp:val=&quot;00122C29&quot;/&gt;&lt;wsp:rsid wsp:val=&quot;00122E6C&quot;/&gt;&lt;wsp:rsid wsp:val=&quot;00123150&quot;/&gt;&lt;wsp:rsid wsp:val=&quot;001239C7&quot;/&gt;&lt;wsp:rsid wsp:val=&quot;00123B28&quot;/&gt;&lt;wsp:rsid wsp:val=&quot;00123B74&quot;/&gt;&lt;wsp:rsid wsp:val=&quot;001240F1&quot;/&gt;&lt;wsp:rsid wsp:val=&quot;00124460&quot;/&gt;&lt;wsp:rsid wsp:val=&quot;00124CF3&quot;/&gt;&lt;wsp:rsid wsp:val=&quot;00124D34&quot;/&gt;&lt;wsp:rsid wsp:val=&quot;00125145&quot;/&gt;&lt;wsp:rsid wsp:val=&quot;00126167&quot;/&gt;&lt;wsp:rsid wsp:val=&quot;00126AD4&quot;/&gt;&lt;wsp:rsid wsp:val=&quot;00127245&quot;/&gt;&lt;wsp:rsid wsp:val=&quot;0012729C&quot;/&gt;&lt;wsp:rsid wsp:val=&quot;001276BE&quot;/&gt;&lt;wsp:rsid wsp:val=&quot;00130AE8&quot;/&gt;&lt;wsp:rsid wsp:val=&quot;00131B56&quot;/&gt;&lt;wsp:rsid wsp:val=&quot;001329E5&quot;/&gt;&lt;wsp:rsid wsp:val=&quot;001330B9&quot;/&gt;&lt;wsp:rsid wsp:val=&quot;00133676&quot;/&gt;&lt;wsp:rsid wsp:val=&quot;00133A41&quot;/&gt;&lt;wsp:rsid wsp:val=&quot;00133C5F&quot;/&gt;&lt;wsp:rsid wsp:val=&quot;00133D0E&quot;/&gt;&lt;wsp:rsid wsp:val=&quot;00134204&quot;/&gt;&lt;wsp:rsid wsp:val=&quot;001345C5&quot;/&gt;&lt;wsp:rsid wsp:val=&quot;00134ED3&quot;/&gt;&lt;wsp:rsid wsp:val=&quot;001351E5&quot;/&gt;&lt;wsp:rsid wsp:val=&quot;00135303&quot;/&gt;&lt;wsp:rsid wsp:val=&quot;00135674&quot;/&gt;&lt;wsp:rsid wsp:val=&quot;001356A6&quot;/&gt;&lt;wsp:rsid wsp:val=&quot;00135733&quot;/&gt;&lt;wsp:rsid wsp:val=&quot;00135791&quot;/&gt;&lt;wsp:rsid wsp:val=&quot;0013585D&quot;/&gt;&lt;wsp:rsid wsp:val=&quot;001359A0&quot;/&gt;&lt;wsp:rsid wsp:val=&quot;0013611F&quot;/&gt;&lt;wsp:rsid wsp:val=&quot;0013619C&quot;/&gt;&lt;wsp:rsid wsp:val=&quot;00136DF3&quot;/&gt;&lt;wsp:rsid wsp:val=&quot;001372FF&quot;/&gt;&lt;wsp:rsid wsp:val=&quot;001378EF&quot;/&gt;&lt;wsp:rsid wsp:val=&quot;00137988&quot;/&gt;&lt;wsp:rsid wsp:val=&quot;00140863&quot;/&gt;&lt;wsp:rsid wsp:val=&quot;001412A7&quot;/&gt;&lt;wsp:rsid wsp:val=&quot;0014131F&quot;/&gt;&lt;wsp:rsid wsp:val=&quot;001420AB&quot;/&gt;&lt;wsp:rsid wsp:val=&quot;001420B8&quot;/&gt;&lt;wsp:rsid wsp:val=&quot;001428CC&quot;/&gt;&lt;wsp:rsid wsp:val=&quot;00142AC5&quot;/&gt;&lt;wsp:rsid wsp:val=&quot;00142E23&quot;/&gt;&lt;wsp:rsid wsp:val=&quot;00143B23&quot;/&gt;&lt;wsp:rsid wsp:val=&quot;001444D2&quot;/&gt;&lt;wsp:rsid wsp:val=&quot;0014466A&quot;/&gt;&lt;wsp:rsid wsp:val=&quot;00144FBB&quot;/&gt;&lt;wsp:rsid wsp:val=&quot;00145316&quot;/&gt;&lt;wsp:rsid wsp:val=&quot;00145633&quot;/&gt;&lt;wsp:rsid wsp:val=&quot;00145DFF&quot;/&gt;&lt;wsp:rsid wsp:val=&quot;00145E35&quot;/&gt;&lt;wsp:rsid wsp:val=&quot;0014641F&quot;/&gt;&lt;wsp:rsid wsp:val=&quot;00146DC1&quot;/&gt;&lt;wsp:rsid wsp:val=&quot;001470EC&quot;/&gt;&lt;wsp:rsid wsp:val=&quot;0014788C&quot;/&gt;&lt;wsp:rsid wsp:val=&quot;001478F2&quot;/&gt;&lt;wsp:rsid wsp:val=&quot;00147EE2&quot;/&gt;&lt;wsp:rsid wsp:val=&quot;00147F6A&quot;/&gt;&lt;wsp:rsid wsp:val=&quot;00150275&quot;/&gt;&lt;wsp:rsid wsp:val=&quot;0015077B&quot;/&gt;&lt;wsp:rsid wsp:val=&quot;001517C2&quot;/&gt;&lt;wsp:rsid wsp:val=&quot;0015180A&quot;/&gt;&lt;wsp:rsid wsp:val=&quot;001519EF&quot;/&gt;&lt;wsp:rsid wsp:val=&quot;00151FF5&quot;/&gt;&lt;wsp:rsid wsp:val=&quot;0015215A&quot;/&gt;&lt;wsp:rsid wsp:val=&quot;001523DF&quot;/&gt;&lt;wsp:rsid wsp:val=&quot;00152B94&quot;/&gt;&lt;wsp:rsid wsp:val=&quot;00152F03&quot;/&gt;&lt;wsp:rsid wsp:val=&quot;00152F47&quot;/&gt;&lt;wsp:rsid wsp:val=&quot;00153BB4&quot;/&gt;&lt;wsp:rsid wsp:val=&quot;00153C79&quot;/&gt;&lt;wsp:rsid wsp:val=&quot;00154095&quot;/&gt;&lt;wsp:rsid wsp:val=&quot;00155276&quot;/&gt;&lt;wsp:rsid wsp:val=&quot;001554AD&quot;/&gt;&lt;wsp:rsid wsp:val=&quot;001555DC&quot;/&gt;&lt;wsp:rsid wsp:val=&quot;001557DB&quot;/&gt;&lt;wsp:rsid wsp:val=&quot;00155B27&quot;/&gt;&lt;wsp:rsid wsp:val=&quot;00155D6E&quot;/&gt;&lt;wsp:rsid wsp:val=&quot;0015638E&quot;/&gt;&lt;wsp:rsid wsp:val=&quot;00156DA3&quot;/&gt;&lt;wsp:rsid wsp:val=&quot;00156EBD&quot;/&gt;&lt;wsp:rsid wsp:val=&quot;001572D2&quot;/&gt;&lt;wsp:rsid wsp:val=&quot;0015752E&quot;/&gt;&lt;wsp:rsid wsp:val=&quot;00160B9A&quot;/&gt;&lt;wsp:rsid wsp:val=&quot;00160EF9&quot;/&gt;&lt;wsp:rsid wsp:val=&quot;00161081&quot;/&gt;&lt;wsp:rsid wsp:val=&quot;00161266&quot;/&gt;&lt;wsp:rsid wsp:val=&quot;001613D9&quot;/&gt;&lt;wsp:rsid wsp:val=&quot;0016151A&quot;/&gt;&lt;wsp:rsid wsp:val=&quot;001619F2&quot;/&gt;&lt;wsp:rsid wsp:val=&quot;00161A19&quot;/&gt;&lt;wsp:rsid wsp:val=&quot;00161A8F&quot;/&gt;&lt;wsp:rsid wsp:val=&quot;00161A90&quot;/&gt;&lt;wsp:rsid wsp:val=&quot;00161FB8&quot;/&gt;&lt;wsp:rsid wsp:val=&quot;00162064&quot;/&gt;&lt;wsp:rsid wsp:val=&quot;00163235&quot;/&gt;&lt;wsp:rsid wsp:val=&quot;00163325&quot;/&gt;&lt;wsp:rsid wsp:val=&quot;00163ED9&quot;/&gt;&lt;wsp:rsid wsp:val=&quot;00164141&quot;/&gt;&lt;wsp:rsid wsp:val=&quot;001642AF&quot;/&gt;&lt;wsp:rsid wsp:val=&quot;00164885&quot;/&gt;&lt;wsp:rsid wsp:val=&quot;00165016&quot;/&gt;&lt;wsp:rsid wsp:val=&quot;001650CD&quot;/&gt;&lt;wsp:rsid wsp:val=&quot;00165397&quot;/&gt;&lt;wsp:rsid wsp:val=&quot;001654CE&quot;/&gt;&lt;wsp:rsid wsp:val=&quot;00165581&quot;/&gt;&lt;wsp:rsid wsp:val=&quot;00165EBF&quot;/&gt;&lt;wsp:rsid wsp:val=&quot;00165F81&quot;/&gt;&lt;wsp:rsid wsp:val=&quot;00166374&quot;/&gt;&lt;wsp:rsid wsp:val=&quot;00166F00&quot;/&gt;&lt;wsp:rsid wsp:val=&quot;001678B3&quot;/&gt;&lt;wsp:rsid wsp:val=&quot;00167D65&quot;/&gt;&lt;wsp:rsid wsp:val=&quot;001700D0&quot;/&gt;&lt;wsp:rsid wsp:val=&quot;001708B9&quot;/&gt;&lt;wsp:rsid wsp:val=&quot;0017099E&quot;/&gt;&lt;wsp:rsid wsp:val=&quot;00170D02&quot;/&gt;&lt;wsp:rsid wsp:val=&quot;00172045&quot;/&gt;&lt;wsp:rsid wsp:val=&quot;0017209E&quot;/&gt;&lt;wsp:rsid wsp:val=&quot;00172DC8&quot;/&gt;&lt;wsp:rsid wsp:val=&quot;00173E3D&quot;/&gt;&lt;wsp:rsid wsp:val=&quot;00173E8F&quot;/&gt;&lt;wsp:rsid wsp:val=&quot;001741D6&quot;/&gt;&lt;wsp:rsid wsp:val=&quot;0017420E&quot;/&gt;&lt;wsp:rsid wsp:val=&quot;0017442B&quot;/&gt;&lt;wsp:rsid wsp:val=&quot;00174C68&quot;/&gt;&lt;wsp:rsid wsp:val=&quot;00174DB9&quot;/&gt;&lt;wsp:rsid wsp:val=&quot;001754BB&quot;/&gt;&lt;wsp:rsid wsp:val=&quot;00175917&quot;/&gt;&lt;wsp:rsid wsp:val=&quot;00175CE5&quot;/&gt;&lt;wsp:rsid wsp:val=&quot;00176593&quot;/&gt;&lt;wsp:rsid wsp:val=&quot;00176D19&quot;/&gt;&lt;wsp:rsid wsp:val=&quot;0017779C&quot;/&gt;&lt;wsp:rsid wsp:val=&quot;00177AAE&quot;/&gt;&lt;wsp:rsid wsp:val=&quot;00177BE0&quot;/&gt;&lt;wsp:rsid wsp:val=&quot;00177EE7&quot;/&gt;&lt;wsp:rsid wsp:val=&quot;00177F06&quot;/&gt;&lt;wsp:rsid wsp:val=&quot;00180278&quot;/&gt;&lt;wsp:rsid wsp:val=&quot;00180B93&quot;/&gt;&lt;wsp:rsid wsp:val=&quot;0018107E&quot;/&gt;&lt;wsp:rsid wsp:val=&quot;001812E7&quot;/&gt;&lt;wsp:rsid wsp:val=&quot;001814EB&quot;/&gt;&lt;wsp:rsid wsp:val=&quot;001828D0&quot;/&gt;&lt;wsp:rsid wsp:val=&quot;00182990&quot;/&gt;&lt;wsp:rsid wsp:val=&quot;00182F4A&quot;/&gt;&lt;wsp:rsid wsp:val=&quot;0018316A&quot;/&gt;&lt;wsp:rsid wsp:val=&quot;001832A3&quot;/&gt;&lt;wsp:rsid wsp:val=&quot;00183651&quot;/&gt;&lt;wsp:rsid wsp:val=&quot;00183FD1&quot;/&gt;&lt;wsp:rsid wsp:val=&quot;001841B4&quot;/&gt;&lt;wsp:rsid wsp:val=&quot;001859F3&quot;/&gt;&lt;wsp:rsid wsp:val=&quot;00185BAB&quot;/&gt;&lt;wsp:rsid wsp:val=&quot;001860DE&quot;/&gt;&lt;wsp:rsid wsp:val=&quot;001860E7&quot;/&gt;&lt;wsp:rsid wsp:val=&quot;00186DFB&quot;/&gt;&lt;wsp:rsid wsp:val=&quot;001871A4&quot;/&gt;&lt;wsp:rsid wsp:val=&quot;00187BE3&quot;/&gt;&lt;wsp:rsid wsp:val=&quot;00190459&quot;/&gt;&lt;wsp:rsid wsp:val=&quot;0019068E&quot;/&gt;&lt;wsp:rsid wsp:val=&quot;00190BF9&quot;/&gt;&lt;wsp:rsid wsp:val=&quot;0019118D&quot;/&gt;&lt;wsp:rsid wsp:val=&quot;001913DC&quot;/&gt;&lt;wsp:rsid wsp:val=&quot;00191BA2&quot;/&gt;&lt;wsp:rsid wsp:val=&quot;00192216&quot;/&gt;&lt;wsp:rsid wsp:val=&quot;00192413&quot;/&gt;&lt;wsp:rsid wsp:val=&quot;00192F23&quot;/&gt;&lt;wsp:rsid wsp:val=&quot;00192F25&quot;/&gt;&lt;wsp:rsid wsp:val=&quot;00193163&quot;/&gt;&lt;wsp:rsid wsp:val=&quot;00193A03&quot;/&gt;&lt;wsp:rsid wsp:val=&quot;00193EA6&quot;/&gt;&lt;wsp:rsid wsp:val=&quot;0019440C&quot;/&gt;&lt;wsp:rsid wsp:val=&quot;00194428&quot;/&gt;&lt;wsp:rsid wsp:val=&quot;0019479F&quot;/&gt;&lt;wsp:rsid wsp:val=&quot;00194B3B&quot;/&gt;&lt;wsp:rsid wsp:val=&quot;0019521E&quot;/&gt;&lt;wsp:rsid wsp:val=&quot;00195362&quot;/&gt;&lt;wsp:rsid wsp:val=&quot;001955CA&quot;/&gt;&lt;wsp:rsid wsp:val=&quot;00195866&quot;/&gt;&lt;wsp:rsid wsp:val=&quot;00195E8E&quot;/&gt;&lt;wsp:rsid wsp:val=&quot;0019613A&quot;/&gt;&lt;wsp:rsid wsp:val=&quot;0019622D&quot;/&gt;&lt;wsp:rsid wsp:val=&quot;00196C46&quot;/&gt;&lt;wsp:rsid wsp:val=&quot;00196FFE&quot;/&gt;&lt;wsp:rsid wsp:val=&quot;0019719C&quot;/&gt;&lt;wsp:rsid wsp:val=&quot;0019731C&quot;/&gt;&lt;wsp:rsid wsp:val=&quot;00197334&quot;/&gt;&lt;wsp:rsid wsp:val=&quot;00197C0E&quot;/&gt;&lt;wsp:rsid wsp:val=&quot;001A02A7&quot;/&gt;&lt;wsp:rsid wsp:val=&quot;001A040F&quot;/&gt;&lt;wsp:rsid wsp:val=&quot;001A05EC&quot;/&gt;&lt;wsp:rsid wsp:val=&quot;001A1261&quot;/&gt;&lt;wsp:rsid wsp:val=&quot;001A1DD3&quot;/&gt;&lt;wsp:rsid wsp:val=&quot;001A26A9&quot;/&gt;&lt;wsp:rsid wsp:val=&quot;001A3997&quot;/&gt;&lt;wsp:rsid wsp:val=&quot;001A3B2C&quot;/&gt;&lt;wsp:rsid wsp:val=&quot;001A4034&quot;/&gt;&lt;wsp:rsid wsp:val=&quot;001A443C&quot;/&gt;&lt;wsp:rsid wsp:val=&quot;001A4BEE&quot;/&gt;&lt;wsp:rsid wsp:val=&quot;001A54C7&quot;/&gt;&lt;wsp:rsid wsp:val=&quot;001A5F6C&quot;/&gt;&lt;wsp:rsid wsp:val=&quot;001A64AD&quot;/&gt;&lt;wsp:rsid wsp:val=&quot;001A68D7&quot;/&gt;&lt;wsp:rsid wsp:val=&quot;001A6E4C&quot;/&gt;&lt;wsp:rsid wsp:val=&quot;001A6FF5&quot;/&gt;&lt;wsp:rsid wsp:val=&quot;001A78BE&quot;/&gt;&lt;wsp:rsid wsp:val=&quot;001A78C4&quot;/&gt;&lt;wsp:rsid wsp:val=&quot;001A790A&quot;/&gt;&lt;wsp:rsid wsp:val=&quot;001A7F5B&quot;/&gt;&lt;wsp:rsid wsp:val=&quot;001B052B&quot;/&gt;&lt;wsp:rsid wsp:val=&quot;001B0909&quot;/&gt;&lt;wsp:rsid wsp:val=&quot;001B1211&quot;/&gt;&lt;wsp:rsid wsp:val=&quot;001B1270&quot;/&gt;&lt;wsp:rsid wsp:val=&quot;001B1EC0&quot;/&gt;&lt;wsp:rsid wsp:val=&quot;001B2290&quot;/&gt;&lt;wsp:rsid wsp:val=&quot;001B27B0&quot;/&gt;&lt;wsp:rsid wsp:val=&quot;001B28D1&quot;/&gt;&lt;wsp:rsid wsp:val=&quot;001B3242&quot;/&gt;&lt;wsp:rsid wsp:val=&quot;001B37D4&quot;/&gt;&lt;wsp:rsid wsp:val=&quot;001B46D0&quot;/&gt;&lt;wsp:rsid wsp:val=&quot;001B4909&quot;/&gt;&lt;wsp:rsid wsp:val=&quot;001B5072&quot;/&gt;&lt;wsp:rsid wsp:val=&quot;001B549A&quot;/&gt;&lt;wsp:rsid wsp:val=&quot;001B5D25&quot;/&gt;&lt;wsp:rsid wsp:val=&quot;001B5F7C&quot;/&gt;&lt;wsp:rsid wsp:val=&quot;001B5F93&quot;/&gt;&lt;wsp:rsid wsp:val=&quot;001B6E22&quot;/&gt;&lt;wsp:rsid wsp:val=&quot;001B71BE&quot;/&gt;&lt;wsp:rsid wsp:val=&quot;001B7310&quot;/&gt;&lt;wsp:rsid wsp:val=&quot;001B78E9&quot;/&gt;&lt;wsp:rsid wsp:val=&quot;001B7DEE&quot;/&gt;&lt;wsp:rsid wsp:val=&quot;001B7FCF&quot;/&gt;&lt;wsp:rsid wsp:val=&quot;001C0540&quot;/&gt;&lt;wsp:rsid wsp:val=&quot;001C0739&quot;/&gt;&lt;wsp:rsid wsp:val=&quot;001C0985&quot;/&gt;&lt;wsp:rsid wsp:val=&quot;001C0A70&quot;/&gt;&lt;wsp:rsid wsp:val=&quot;001C0D50&quot;/&gt;&lt;wsp:rsid wsp:val=&quot;001C19FA&quot;/&gt;&lt;wsp:rsid wsp:val=&quot;001C1A49&quot;/&gt;&lt;wsp:rsid wsp:val=&quot;001C1D4E&quot;/&gt;&lt;wsp:rsid wsp:val=&quot;001C2355&quot;/&gt;&lt;wsp:rsid wsp:val=&quot;001C2781&quot;/&gt;&lt;wsp:rsid wsp:val=&quot;001C2D97&quot;/&gt;&lt;wsp:rsid wsp:val=&quot;001C2F84&quot;/&gt;&lt;wsp:rsid wsp:val=&quot;001C345A&quot;/&gt;&lt;wsp:rsid wsp:val=&quot;001C376E&quot;/&gt;&lt;wsp:rsid wsp:val=&quot;001C3C03&quot;/&gt;&lt;wsp:rsid wsp:val=&quot;001C3D43&quot;/&gt;&lt;wsp:rsid wsp:val=&quot;001C43E7&quot;/&gt;&lt;wsp:rsid wsp:val=&quot;001C4745&quot;/&gt;&lt;wsp:rsid wsp:val=&quot;001C48FB&quot;/&gt;&lt;wsp:rsid wsp:val=&quot;001C49AE&quot;/&gt;&lt;wsp:rsid wsp:val=&quot;001C5049&quot;/&gt;&lt;wsp:rsid wsp:val=&quot;001C50B1&quot;/&gt;&lt;wsp:rsid wsp:val=&quot;001C5F03&quot;/&gt;&lt;wsp:rsid wsp:val=&quot;001C5FE9&quot;/&gt;&lt;wsp:rsid wsp:val=&quot;001C63FE&quot;/&gt;&lt;wsp:rsid wsp:val=&quot;001C66CD&quot;/&gt;&lt;wsp:rsid wsp:val=&quot;001C6A96&quot;/&gt;&lt;wsp:rsid wsp:val=&quot;001C77A1&quot;/&gt;&lt;wsp:rsid wsp:val=&quot;001C7F81&quot;/&gt;&lt;wsp:rsid wsp:val=&quot;001D0B01&quot;/&gt;&lt;wsp:rsid wsp:val=&quot;001D10DA&quot;/&gt;&lt;wsp:rsid wsp:val=&quot;001D1737&quot;/&gt;&lt;wsp:rsid wsp:val=&quot;001D1CCD&quot;/&gt;&lt;wsp:rsid wsp:val=&quot;001D1FBD&quot;/&gt;&lt;wsp:rsid wsp:val=&quot;001D2028&quot;/&gt;&lt;wsp:rsid wsp:val=&quot;001D2652&quot;/&gt;&lt;wsp:rsid wsp:val=&quot;001D2BD8&quot;/&gt;&lt;wsp:rsid wsp:val=&quot;001D3181&quot;/&gt;&lt;wsp:rsid wsp:val=&quot;001D36A8&quot;/&gt;&lt;wsp:rsid wsp:val=&quot;001D36BA&quot;/&gt;&lt;wsp:rsid wsp:val=&quot;001D37A6&quot;/&gt;&lt;wsp:rsid wsp:val=&quot;001D404E&quot;/&gt;&lt;wsp:rsid wsp:val=&quot;001D4BDD&quot;/&gt;&lt;wsp:rsid wsp:val=&quot;001D4FB3&quot;/&gt;&lt;wsp:rsid wsp:val=&quot;001D6332&quot;/&gt;&lt;wsp:rsid wsp:val=&quot;001D78C8&quot;/&gt;&lt;wsp:rsid wsp:val=&quot;001D792C&quot;/&gt;&lt;wsp:rsid wsp:val=&quot;001D7A4C&quot;/&gt;&lt;wsp:rsid wsp:val=&quot;001D7A61&quot;/&gt;&lt;wsp:rsid wsp:val=&quot;001D7E0B&quot;/&gt;&lt;wsp:rsid wsp:val=&quot;001D7F98&quot;/&gt;&lt;wsp:rsid wsp:val=&quot;001E01E7&quot;/&gt;&lt;wsp:rsid wsp:val=&quot;001E05AA&quot;/&gt;&lt;wsp:rsid wsp:val=&quot;001E0AF2&quot;/&gt;&lt;wsp:rsid wsp:val=&quot;001E10F5&quot;/&gt;&lt;wsp:rsid wsp:val=&quot;001E113C&quot;/&gt;&lt;wsp:rsid wsp:val=&quot;001E156A&quot;/&gt;&lt;wsp:rsid wsp:val=&quot;001E1605&quot;/&gt;&lt;wsp:rsid wsp:val=&quot;001E2C32&quot;/&gt;&lt;wsp:rsid wsp:val=&quot;001E3385&quot;/&gt;&lt;wsp:rsid wsp:val=&quot;001E3583&quot;/&gt;&lt;wsp:rsid wsp:val=&quot;001E42B7&quot;/&gt;&lt;wsp:rsid wsp:val=&quot;001E4752&quot;/&gt;&lt;wsp:rsid wsp:val=&quot;001E483C&quot;/&gt;&lt;wsp:rsid wsp:val=&quot;001E4861&quot;/&gt;&lt;wsp:rsid wsp:val=&quot;001E4983&quot;/&gt;&lt;wsp:rsid wsp:val=&quot;001E4B90&quot;/&gt;&lt;wsp:rsid wsp:val=&quot;001E50E3&quot;/&gt;&lt;wsp:rsid wsp:val=&quot;001E523B&quot;/&gt;&lt;wsp:rsid wsp:val=&quot;001E54FA&quot;/&gt;&lt;wsp:rsid wsp:val=&quot;001E5BC7&quot;/&gt;&lt;wsp:rsid wsp:val=&quot;001E664D&quot;/&gt;&lt;wsp:rsid wsp:val=&quot;001E73A7&quot;/&gt;&lt;wsp:rsid wsp:val=&quot;001E74C8&quot;/&gt;&lt;wsp:rsid wsp:val=&quot;001E7E38&quot;/&gt;&lt;wsp:rsid wsp:val=&quot;001F0080&quot;/&gt;&lt;wsp:rsid wsp:val=&quot;001F076E&quot;/&gt;&lt;wsp:rsid wsp:val=&quot;001F19F5&quot;/&gt;&lt;wsp:rsid wsp:val=&quot;001F1DA9&quot;/&gt;&lt;wsp:rsid wsp:val=&quot;001F2588&quot;/&gt;&lt;wsp:rsid wsp:val=&quot;001F31CA&quot;/&gt;&lt;wsp:rsid wsp:val=&quot;001F382C&quot;/&gt;&lt;wsp:rsid wsp:val=&quot;001F38B9&quot;/&gt;&lt;wsp:rsid wsp:val=&quot;001F3AF4&quot;/&gt;&lt;wsp:rsid wsp:val=&quot;001F3B6B&quot;/&gt;&lt;wsp:rsid wsp:val=&quot;001F3F65&quot;/&gt;&lt;wsp:rsid wsp:val=&quot;001F4E7C&quot;/&gt;&lt;wsp:rsid wsp:val=&quot;001F51FB&quot;/&gt;&lt;wsp:rsid wsp:val=&quot;001F5B86&quot;/&gt;&lt;wsp:rsid wsp:val=&quot;001F6C73&quot;/&gt;&lt;wsp:rsid wsp:val=&quot;001F740C&quot;/&gt;&lt;wsp:rsid wsp:val=&quot;001F7BE7&quot;/&gt;&lt;wsp:rsid wsp:val=&quot;002000B6&quot;/&gt;&lt;wsp:rsid wsp:val=&quot;00200526&quot;/&gt;&lt;wsp:rsid wsp:val=&quot;002006AD&quot;/&gt;&lt;wsp:rsid wsp:val=&quot;002013BF&quot;/&gt;&lt;wsp:rsid wsp:val=&quot;002015F9&quot;/&gt;&lt;wsp:rsid wsp:val=&quot;0020218C&quot;/&gt;&lt;wsp:rsid wsp:val=&quot;00202AB5&quot;/&gt;&lt;wsp:rsid wsp:val=&quot;002039D4&quot;/&gt;&lt;wsp:rsid wsp:val=&quot;00203CC6&quot;/&gt;&lt;wsp:rsid wsp:val=&quot;0020466E&quot;/&gt;&lt;wsp:rsid wsp:val=&quot;0020491B&quot;/&gt;&lt;wsp:rsid wsp:val=&quot;00204C9C&quot;/&gt;&lt;wsp:rsid wsp:val=&quot;00204E02&quot;/&gt;&lt;wsp:rsid wsp:val=&quot;00205158&quot;/&gt;&lt;wsp:rsid wsp:val=&quot;00205639&quot;/&gt;&lt;wsp:rsid wsp:val=&quot;00205910&quot;/&gt;&lt;wsp:rsid wsp:val=&quot;00205B6C&quot;/&gt;&lt;wsp:rsid wsp:val=&quot;00205BC4&quot;/&gt;&lt;wsp:rsid wsp:val=&quot;00205D7B&quot;/&gt;&lt;wsp:rsid wsp:val=&quot;00205D82&quot;/&gt;&lt;wsp:rsid wsp:val=&quot;002062DE&quot;/&gt;&lt;wsp:rsid wsp:val=&quot;00206487&quot;/&gt;&lt;wsp:rsid wsp:val=&quot;00206866&quot;/&gt;&lt;wsp:rsid wsp:val=&quot;00206BA0&quot;/&gt;&lt;wsp:rsid wsp:val=&quot;00207A48&quot;/&gt;&lt;wsp:rsid wsp:val=&quot;00210679&quot;/&gt;&lt;wsp:rsid wsp:val=&quot;00210851&quot;/&gt;&lt;wsp:rsid wsp:val=&quot;0021127A&quot;/&gt;&lt;wsp:rsid wsp:val=&quot;0021239D&quot;/&gt;&lt;wsp:rsid wsp:val=&quot;00212513&quot;/&gt;&lt;wsp:rsid wsp:val=&quot;00212659&quot;/&gt;&lt;wsp:rsid wsp:val=&quot;0021275D&quot;/&gt;&lt;wsp:rsid wsp:val=&quot;002128EC&quot;/&gt;&lt;wsp:rsid wsp:val=&quot;0021311B&quot;/&gt;&lt;wsp:rsid wsp:val=&quot;00213745&quot;/&gt;&lt;wsp:rsid wsp:val=&quot;00214702&quot;/&gt;&lt;wsp:rsid wsp:val=&quot;00214AB4&quot;/&gt;&lt;wsp:rsid wsp:val=&quot;002150CC&quot;/&gt;&lt;wsp:rsid wsp:val=&quot;00215361&quot;/&gt;&lt;wsp:rsid wsp:val=&quot;0021553B&quot;/&gt;&lt;wsp:rsid wsp:val=&quot;0021595F&quot;/&gt;&lt;wsp:rsid wsp:val=&quot;0021635E&quot;/&gt;&lt;wsp:rsid wsp:val=&quot;00216563&quot;/&gt;&lt;wsp:rsid wsp:val=&quot;00216C94&quot;/&gt;&lt;wsp:rsid wsp:val=&quot;00216F38&quot;/&gt;&lt;wsp:rsid wsp:val=&quot;00217273&quot;/&gt;&lt;wsp:rsid wsp:val=&quot;00217BF8&quot;/&gt;&lt;wsp:rsid wsp:val=&quot;00217C29&quot;/&gt;&lt;wsp:rsid wsp:val=&quot;00221154&quot;/&gt;&lt;wsp:rsid wsp:val=&quot;00221AFB&quot;/&gt;&lt;wsp:rsid wsp:val=&quot;00221D17&quot;/&gt;&lt;wsp:rsid wsp:val=&quot;00222395&quot;/&gt;&lt;wsp:rsid wsp:val=&quot;002228F0&quot;/&gt;&lt;wsp:rsid wsp:val=&quot;00222950&quot;/&gt;&lt;wsp:rsid wsp:val=&quot;00222C50&quot;/&gt;&lt;wsp:rsid wsp:val=&quot;00222C6E&quot;/&gt;&lt;wsp:rsid wsp:val=&quot;00222FCB&quot;/&gt;&lt;wsp:rsid wsp:val=&quot;00223028&quot;/&gt;&lt;wsp:rsid wsp:val=&quot;00223E06&quot;/&gt;&lt;wsp:rsid wsp:val=&quot;00223EAF&quot;/&gt;&lt;wsp:rsid wsp:val=&quot;00224119&quot;/&gt;&lt;wsp:rsid wsp:val=&quot;00224493&quot;/&gt;&lt;wsp:rsid wsp:val=&quot;002247B1&quot;/&gt;&lt;wsp:rsid wsp:val=&quot;00225162&quot;/&gt;&lt;wsp:rsid wsp:val=&quot;002257A3&quot;/&gt;&lt;wsp:rsid wsp:val=&quot;002267FD&quot;/&gt;&lt;wsp:rsid wsp:val=&quot;00226D86&quot;/&gt;&lt;wsp:rsid wsp:val=&quot;00227EE9&quot;/&gt;&lt;wsp:rsid wsp:val=&quot;00230340&quot;/&gt;&lt;wsp:rsid wsp:val=&quot;002309EE&quot;/&gt;&lt;wsp:rsid wsp:val=&quot;00230BCF&quot;/&gt;&lt;wsp:rsid wsp:val=&quot;00230FD2&quot;/&gt;&lt;wsp:rsid wsp:val=&quot;00231351&quot;/&gt;&lt;wsp:rsid wsp:val=&quot;00231630&quot;/&gt;&lt;wsp:rsid wsp:val=&quot;002339DB&quot;/&gt;&lt;wsp:rsid wsp:val=&quot;00233BA5&quot;/&gt;&lt;wsp:rsid wsp:val=&quot;00233D21&quot;/&gt;&lt;wsp:rsid wsp:val=&quot;002341D5&quot;/&gt;&lt;wsp:rsid wsp:val=&quot;00234C44&quot;/&gt;&lt;wsp:rsid wsp:val=&quot;00234DFB&quot;/&gt;&lt;wsp:rsid wsp:val=&quot;002353DC&quot;/&gt;&lt;wsp:rsid wsp:val=&quot;00235782&quot;/&gt;&lt;wsp:rsid wsp:val=&quot;00235866&quot;/&gt;&lt;wsp:rsid wsp:val=&quot;00235AB4&quot;/&gt;&lt;wsp:rsid wsp:val=&quot;00235F2A&quot;/&gt;&lt;wsp:rsid wsp:val=&quot;00236228&quot;/&gt;&lt;wsp:rsid wsp:val=&quot;00236A1D&quot;/&gt;&lt;wsp:rsid wsp:val=&quot;00237449&quot;/&gt;&lt;wsp:rsid wsp:val=&quot;002377CE&quot;/&gt;&lt;wsp:rsid wsp:val=&quot;002379D2&quot;/&gt;&lt;wsp:rsid wsp:val=&quot;0024042A&quot;/&gt;&lt;wsp:rsid wsp:val=&quot;00240DE0&quot;/&gt;&lt;wsp:rsid wsp:val=&quot;00242432&quot;/&gt;&lt;wsp:rsid wsp:val=&quot;00243004&quot;/&gt;&lt;wsp:rsid wsp:val=&quot;0024302F&quot;/&gt;&lt;wsp:rsid wsp:val=&quot;00243292&quot;/&gt;&lt;wsp:rsid wsp:val=&quot;002433DB&quot;/&gt;&lt;wsp:rsid wsp:val=&quot;00243720&quot;/&gt;&lt;wsp:rsid wsp:val=&quot;00243CDD&quot;/&gt;&lt;wsp:rsid wsp:val=&quot;00243D4F&quot;/&gt;&lt;wsp:rsid wsp:val=&quot;00243FCD&quot;/&gt;&lt;wsp:rsid wsp:val=&quot;002446E6&quot;/&gt;&lt;wsp:rsid wsp:val=&quot;002449E0&quot;/&gt;&lt;wsp:rsid wsp:val=&quot;00244C0C&quot;/&gt;&lt;wsp:rsid wsp:val=&quot;002456AF&quot;/&gt;&lt;wsp:rsid wsp:val=&quot;00245E86&quot;/&gt;&lt;wsp:rsid wsp:val=&quot;002462E6&quot;/&gt;&lt;wsp:rsid wsp:val=&quot;00246627&quot;/&gt;&lt;wsp:rsid wsp:val=&quot;00246C89&quot;/&gt;&lt;wsp:rsid wsp:val=&quot;00250E7A&quot;/&gt;&lt;wsp:rsid wsp:val=&quot;0025166D&quot;/&gt;&lt;wsp:rsid wsp:val=&quot;002517E7&quot;/&gt;&lt;wsp:rsid wsp:val=&quot;0025302B&quot;/&gt;&lt;wsp:rsid wsp:val=&quot;0025388A&quot;/&gt;&lt;wsp:rsid wsp:val=&quot;00253AEC&quot;/&gt;&lt;wsp:rsid wsp:val=&quot;00253C12&quot;/&gt;&lt;wsp:rsid wsp:val=&quot;00253D4F&quot;/&gt;&lt;wsp:rsid wsp:val=&quot;002544FE&quot;/&gt;&lt;wsp:rsid wsp:val=&quot;00254661&quot;/&gt;&lt;wsp:rsid wsp:val=&quot;0025485D&quot;/&gt;&lt;wsp:rsid wsp:val=&quot;00254C9A&quot;/&gt;&lt;wsp:rsid wsp:val=&quot;002572CD&quot;/&gt;&lt;wsp:rsid wsp:val=&quot;002575F1&quot;/&gt;&lt;wsp:rsid wsp:val=&quot;00257E2E&quot;/&gt;&lt;wsp:rsid wsp:val=&quot;00260AFC&quot;/&gt;&lt;wsp:rsid wsp:val=&quot;00260F41&quot;/&gt;&lt;wsp:rsid wsp:val=&quot;002613A9&quot;/&gt;&lt;wsp:rsid wsp:val=&quot;002619BE&quot;/&gt;&lt;wsp:rsid wsp:val=&quot;00261E78&quot;/&gt;&lt;wsp:rsid wsp:val=&quot;00261E93&quot;/&gt;&lt;wsp:rsid wsp:val=&quot;0026212F&quot;/&gt;&lt;wsp:rsid wsp:val=&quot;0026345B&quot;/&gt;&lt;wsp:rsid wsp:val=&quot;0026348E&quot;/&gt;&lt;wsp:rsid wsp:val=&quot;00263A11&quot;/&gt;&lt;wsp:rsid wsp:val=&quot;00263CF2&quot;/&gt;&lt;wsp:rsid wsp:val=&quot;00263D24&quot;/&gt;&lt;wsp:rsid wsp:val=&quot;00264032&quot;/&gt;&lt;wsp:rsid wsp:val=&quot;002644CA&quot;/&gt;&lt;wsp:rsid wsp:val=&quot;0026473B&quot;/&gt;&lt;wsp:rsid wsp:val=&quot;00264EC5&quot;/&gt;&lt;wsp:rsid wsp:val=&quot;002658CC&quot;/&gt;&lt;wsp:rsid wsp:val=&quot;00265A1D&quot;/&gt;&lt;wsp:rsid wsp:val=&quot;00265BC4&quot;/&gt;&lt;wsp:rsid wsp:val=&quot;002660BC&quot;/&gt;&lt;wsp:rsid wsp:val=&quot;00266192&quot;/&gt;&lt;wsp:rsid wsp:val=&quot;002662C8&quot;/&gt;&lt;wsp:rsid wsp:val=&quot;002665FC&quot;/&gt;&lt;wsp:rsid wsp:val=&quot;002669E3&quot;/&gt;&lt;wsp:rsid wsp:val=&quot;002669EA&quot;/&gt;&lt;wsp:rsid wsp:val=&quot;00266B49&quot;/&gt;&lt;wsp:rsid wsp:val=&quot;0026753C&quot;/&gt;&lt;wsp:rsid wsp:val=&quot;00267744&quot;/&gt;&lt;wsp:rsid wsp:val=&quot;00267E2B&quot;/&gt;&lt;wsp:rsid wsp:val=&quot;00270D5B&quot;/&gt;&lt;wsp:rsid wsp:val=&quot;00270F6B&quot;/&gt;&lt;wsp:rsid wsp:val=&quot;0027139C&quot;/&gt;&lt;wsp:rsid wsp:val=&quot;00271CBA&quot;/&gt;&lt;wsp:rsid wsp:val=&quot;002723C7&quot;/&gt;&lt;wsp:rsid wsp:val=&quot;002723C8&quot;/&gt;&lt;wsp:rsid wsp:val=&quot;002725F4&quot;/&gt;&lt;wsp:rsid wsp:val=&quot;00272DF2&quot;/&gt;&lt;wsp:rsid wsp:val=&quot;00273542&quot;/&gt;&lt;wsp:rsid wsp:val=&quot;00273559&quot;/&gt;&lt;wsp:rsid wsp:val=&quot;002738EB&quot;/&gt;&lt;wsp:rsid wsp:val=&quot;00273E72&quot;/&gt;&lt;wsp:rsid wsp:val=&quot;00274817&quot;/&gt;&lt;wsp:rsid wsp:val=&quot;002748BD&quot;/&gt;&lt;wsp:rsid wsp:val=&quot;00275111&quot;/&gt;&lt;wsp:rsid wsp:val=&quot;002753BD&quot;/&gt;&lt;wsp:rsid wsp:val=&quot;002765D3&quot;/&gt;&lt;wsp:rsid wsp:val=&quot;0027667E&quot;/&gt;&lt;wsp:rsid wsp:val=&quot;002769A3&quot;/&gt;&lt;wsp:rsid wsp:val=&quot;00276C8A&quot;/&gt;&lt;wsp:rsid wsp:val=&quot;00276D44&quot;/&gt;&lt;wsp:rsid wsp:val=&quot;00277816&quot;/&gt;&lt;wsp:rsid wsp:val=&quot;0028050E&quot;/&gt;&lt;wsp:rsid wsp:val=&quot;002805AC&quot;/&gt;&lt;wsp:rsid wsp:val=&quot;00280D14&quot;/&gt;&lt;wsp:rsid wsp:val=&quot;00281208&quot;/&gt;&lt;wsp:rsid wsp:val=&quot;002816E1&quot;/&gt;&lt;wsp:rsid wsp:val=&quot;00281B4E&quot;/&gt;&lt;wsp:rsid wsp:val=&quot;00281DCB&quot;/&gt;&lt;wsp:rsid wsp:val=&quot;00282366&quot;/&gt;&lt;wsp:rsid wsp:val=&quot;002836BD&quot;/&gt;&lt;wsp:rsid wsp:val=&quot;00283939&quot;/&gt;&lt;wsp:rsid wsp:val=&quot;00284250&quot;/&gt;&lt;wsp:rsid wsp:val=&quot;002843E1&quot;/&gt;&lt;wsp:rsid wsp:val=&quot;00284D5B&quot;/&gt;&lt;wsp:rsid wsp:val=&quot;00284F7B&quot;/&gt;&lt;wsp:rsid wsp:val=&quot;00285078&quot;/&gt;&lt;wsp:rsid wsp:val=&quot;002851F6&quot;/&gt;&lt;wsp:rsid wsp:val=&quot;00285323&quot;/&gt;&lt;wsp:rsid wsp:val=&quot;002854F3&quot;/&gt;&lt;wsp:rsid wsp:val=&quot;002857D1&quot;/&gt;&lt;wsp:rsid wsp:val=&quot;00285D12&quot;/&gt;&lt;wsp:rsid wsp:val=&quot;002864D5&quot;/&gt;&lt;wsp:rsid wsp:val=&quot;00286967&quot;/&gt;&lt;wsp:rsid wsp:val=&quot;00287612&quot;/&gt;&lt;wsp:rsid wsp:val=&quot;002878C7&quot;/&gt;&lt;wsp:rsid wsp:val=&quot;00287CAD&quot;/&gt;&lt;wsp:rsid wsp:val=&quot;0029021D&quot;/&gt;&lt;wsp:rsid wsp:val=&quot;00290391&quot;/&gt;&lt;wsp:rsid wsp:val=&quot;00290470&quot;/&gt;&lt;wsp:rsid wsp:val=&quot;00290BDC&quot;/&gt;&lt;wsp:rsid wsp:val=&quot;0029181F&quot;/&gt;&lt;wsp:rsid wsp:val=&quot;002918E2&quot;/&gt;&lt;wsp:rsid wsp:val=&quot;00291955&quot;/&gt;&lt;wsp:rsid wsp:val=&quot;00292212&quot;/&gt;&lt;wsp:rsid wsp:val=&quot;002929CC&quot;/&gt;&lt;wsp:rsid wsp:val=&quot;00292CDB&quot;/&gt;&lt;wsp:rsid wsp:val=&quot;00293DD5&quot;/&gt;&lt;wsp:rsid wsp:val=&quot;00293EEF&quot;/&gt;&lt;wsp:rsid wsp:val=&quot;00293F84&quot;/&gt;&lt;wsp:rsid wsp:val=&quot;00293FD5&quot;/&gt;&lt;wsp:rsid wsp:val=&quot;0029445A&quot;/&gt;&lt;wsp:rsid wsp:val=&quot;0029460E&quot;/&gt;&lt;wsp:rsid wsp:val=&quot;0029478B&quot;/&gt;&lt;wsp:rsid wsp:val=&quot;0029543F&quot;/&gt;&lt;wsp:rsid wsp:val=&quot;002959BC&quot;/&gt;&lt;wsp:rsid wsp:val=&quot;00295ABF&quot;/&gt;&lt;wsp:rsid wsp:val=&quot;00295D19&quot;/&gt;&lt;wsp:rsid wsp:val=&quot;00296A75&quot;/&gt;&lt;wsp:rsid wsp:val=&quot;00296A82&quot;/&gt;&lt;wsp:rsid wsp:val=&quot;00296F8E&quot;/&gt;&lt;wsp:rsid wsp:val=&quot;00297267&quot;/&gt;&lt;wsp:rsid wsp:val=&quot;002978D9&quot;/&gt;&lt;wsp:rsid wsp:val=&quot;00297CE4&quot;/&gt;&lt;wsp:rsid wsp:val=&quot;00297F94&quot;/&gt;&lt;wsp:rsid wsp:val=&quot;002A05DB&quot;/&gt;&lt;wsp:rsid wsp:val=&quot;002A0838&quot;/&gt;&lt;wsp:rsid wsp:val=&quot;002A0A67&quot;/&gt;&lt;wsp:rsid wsp:val=&quot;002A0DC1&quot;/&gt;&lt;wsp:rsid wsp:val=&quot;002A15D1&quot;/&gt;&lt;wsp:rsid wsp:val=&quot;002A1F25&quot;/&gt;&lt;wsp:rsid wsp:val=&quot;002A2407&quot;/&gt;&lt;wsp:rsid wsp:val=&quot;002A279A&quot;/&gt;&lt;wsp:rsid wsp:val=&quot;002A37A1&quot;/&gt;&lt;wsp:rsid wsp:val=&quot;002A3F0F&quot;/&gt;&lt;wsp:rsid wsp:val=&quot;002A48DD&quot;/&gt;&lt;wsp:rsid wsp:val=&quot;002A514E&quot;/&gt;&lt;wsp:rsid wsp:val=&quot;002A65CE&quot;/&gt;&lt;wsp:rsid wsp:val=&quot;002A6BE7&quot;/&gt;&lt;wsp:rsid wsp:val=&quot;002A7D1F&quot;/&gt;&lt;wsp:rsid wsp:val=&quot;002A7F68&quot;/&gt;&lt;wsp:rsid wsp:val=&quot;002B0A8F&quot;/&gt;&lt;wsp:rsid wsp:val=&quot;002B0C31&quot;/&gt;&lt;wsp:rsid wsp:val=&quot;002B0D32&quot;/&gt;&lt;wsp:rsid wsp:val=&quot;002B0D51&quot;/&gt;&lt;wsp:rsid wsp:val=&quot;002B1EF8&quot;/&gt;&lt;wsp:rsid wsp:val=&quot;002B2D71&quot;/&gt;&lt;wsp:rsid wsp:val=&quot;002B352F&quot;/&gt;&lt;wsp:rsid wsp:val=&quot;002B37BA&quot;/&gt;&lt;wsp:rsid wsp:val=&quot;002B4B79&quot;/&gt;&lt;wsp:rsid wsp:val=&quot;002B4F66&quot;/&gt;&lt;wsp:rsid wsp:val=&quot;002B5119&quot;/&gt;&lt;wsp:rsid wsp:val=&quot;002B5146&quot;/&gt;&lt;wsp:rsid wsp:val=&quot;002B51B6&quot;/&gt;&lt;wsp:rsid wsp:val=&quot;002B60EF&quot;/&gt;&lt;wsp:rsid wsp:val=&quot;002B749F&quot;/&gt;&lt;wsp:rsid wsp:val=&quot;002B79D1&quot;/&gt;&lt;wsp:rsid wsp:val=&quot;002B7DFF&quot;/&gt;&lt;wsp:rsid wsp:val=&quot;002C00D4&quot;/&gt;&lt;wsp:rsid wsp:val=&quot;002C0824&quot;/&gt;&lt;wsp:rsid wsp:val=&quot;002C09FC&quot;/&gt;&lt;wsp:rsid wsp:val=&quot;002C1FBE&quot;/&gt;&lt;wsp:rsid wsp:val=&quot;002C283B&quot;/&gt;&lt;wsp:rsid wsp:val=&quot;002C33EB&quot;/&gt;&lt;wsp:rsid wsp:val=&quot;002C3771&quot;/&gt;&lt;wsp:rsid wsp:val=&quot;002C3BEA&quot;/&gt;&lt;wsp:rsid wsp:val=&quot;002C4CA6&quot;/&gt;&lt;wsp:rsid wsp:val=&quot;002C526F&quot;/&gt;&lt;wsp:rsid wsp:val=&quot;002C536D&quot;/&gt;&lt;wsp:rsid wsp:val=&quot;002C56F6&quot;/&gt;&lt;wsp:rsid wsp:val=&quot;002C6986&quot;/&gt;&lt;wsp:rsid wsp:val=&quot;002C6A81&quot;/&gt;&lt;wsp:rsid wsp:val=&quot;002C7A4C&quot;/&gt;&lt;wsp:rsid wsp:val=&quot;002C7E90&quot;/&gt;&lt;wsp:rsid wsp:val=&quot;002C7F8F&quot;/&gt;&lt;wsp:rsid wsp:val=&quot;002D10FD&quot;/&gt;&lt;wsp:rsid wsp:val=&quot;002D1407&quot;/&gt;&lt;wsp:rsid wsp:val=&quot;002D1731&quot;/&gt;&lt;wsp:rsid wsp:val=&quot;002D19FB&quot;/&gt;&lt;wsp:rsid wsp:val=&quot;002D1C70&quot;/&gt;&lt;wsp:rsid wsp:val=&quot;002D23CF&quot;/&gt;&lt;wsp:rsid wsp:val=&quot;002D36F2&quot;/&gt;&lt;wsp:rsid wsp:val=&quot;002D3CFE&quot;/&gt;&lt;wsp:rsid wsp:val=&quot;002D444C&quot;/&gt;&lt;wsp:rsid wsp:val=&quot;002D4868&quot;/&gt;&lt;wsp:rsid wsp:val=&quot;002D4DE8&quot;/&gt;&lt;wsp:rsid wsp:val=&quot;002D4E6C&quot;/&gt;&lt;wsp:rsid wsp:val=&quot;002D51C3&quot;/&gt;&lt;wsp:rsid wsp:val=&quot;002D5564&quot;/&gt;&lt;wsp:rsid wsp:val=&quot;002D71DF&quot;/&gt;&lt;wsp:rsid wsp:val=&quot;002D7283&quot;/&gt;&lt;wsp:rsid wsp:val=&quot;002D7641&quot;/&gt;&lt;wsp:rsid wsp:val=&quot;002D7C37&quot;/&gt;&lt;wsp:rsid wsp:val=&quot;002E012D&quot;/&gt;&lt;wsp:rsid wsp:val=&quot;002E0376&quot;/&gt;&lt;wsp:rsid wsp:val=&quot;002E047B&quot;/&gt;&lt;wsp:rsid wsp:val=&quot;002E0A74&quot;/&gt;&lt;wsp:rsid wsp:val=&quot;002E0B7C&quot;/&gt;&lt;wsp:rsid wsp:val=&quot;002E1599&quot;/&gt;&lt;wsp:rsid wsp:val=&quot;002E17EF&quot;/&gt;&lt;wsp:rsid wsp:val=&quot;002E1BA3&quot;/&gt;&lt;wsp:rsid wsp:val=&quot;002E2074&quot;/&gt;&lt;wsp:rsid wsp:val=&quot;002E2610&quot;/&gt;&lt;wsp:rsid wsp:val=&quot;002E2882&quot;/&gt;&lt;wsp:rsid wsp:val=&quot;002E2969&quot;/&gt;&lt;wsp:rsid wsp:val=&quot;002E37B6&quot;/&gt;&lt;wsp:rsid wsp:val=&quot;002E3E87&quot;/&gt;&lt;wsp:rsid wsp:val=&quot;002E41D0&quot;/&gt;&lt;wsp:rsid wsp:val=&quot;002E450F&quot;/&gt;&lt;wsp:rsid wsp:val=&quot;002E46EA&quot;/&gt;&lt;wsp:rsid wsp:val=&quot;002E5927&quot;/&gt;&lt;wsp:rsid wsp:val=&quot;002E593F&quot;/&gt;&lt;wsp:rsid wsp:val=&quot;002E5D1A&quot;/&gt;&lt;wsp:rsid wsp:val=&quot;002E5DEA&quot;/&gt;&lt;wsp:rsid wsp:val=&quot;002E5E90&quot;/&gt;&lt;wsp:rsid wsp:val=&quot;002E6430&quot;/&gt;&lt;wsp:rsid wsp:val=&quot;002E686B&quot;/&gt;&lt;wsp:rsid wsp:val=&quot;002E6D4F&quot;/&gt;&lt;wsp:rsid wsp:val=&quot;002E7AB9&quot;/&gt;&lt;wsp:rsid wsp:val=&quot;002E7CBA&quot;/&gt;&lt;wsp:rsid wsp:val=&quot;002F0AFE&quot;/&gt;&lt;wsp:rsid wsp:val=&quot;002F0C3A&quot;/&gt;&lt;wsp:rsid wsp:val=&quot;002F158D&quot;/&gt;&lt;wsp:rsid wsp:val=&quot;002F1AA6&quot;/&gt;&lt;wsp:rsid wsp:val=&quot;002F27EC&quot;/&gt;&lt;wsp:rsid wsp:val=&quot;002F28A7&quot;/&gt;&lt;wsp:rsid wsp:val=&quot;002F2BEA&quot;/&gt;&lt;wsp:rsid wsp:val=&quot;002F35BA&quot;/&gt;&lt;wsp:rsid wsp:val=&quot;002F35BE&quot;/&gt;&lt;wsp:rsid wsp:val=&quot;002F4A0F&quot;/&gt;&lt;wsp:rsid wsp:val=&quot;002F4F82&quot;/&gt;&lt;wsp:rsid wsp:val=&quot;002F51F7&quot;/&gt;&lt;wsp:rsid wsp:val=&quot;002F54E6&quot;/&gt;&lt;wsp:rsid wsp:val=&quot;002F58EB&quot;/&gt;&lt;wsp:rsid wsp:val=&quot;002F59FB&quot;/&gt;&lt;wsp:rsid wsp:val=&quot;002F5DDF&quot;/&gt;&lt;wsp:rsid wsp:val=&quot;002F5FE1&quot;/&gt;&lt;wsp:rsid wsp:val=&quot;002F672C&quot;/&gt;&lt;wsp:rsid wsp:val=&quot;002F6AB7&quot;/&gt;&lt;wsp:rsid wsp:val=&quot;002F6F33&quot;/&gt;&lt;wsp:rsid wsp:val=&quot;002F7283&quot;/&gt;&lt;wsp:rsid wsp:val=&quot;002F72D0&quot;/&gt;&lt;wsp:rsid wsp:val=&quot;002F775E&quot;/&gt;&lt;wsp:rsid wsp:val=&quot;003006B4&quot;/&gt;&lt;wsp:rsid wsp:val=&quot;00300911&quot;/&gt;&lt;wsp:rsid wsp:val=&quot;00300A0B&quot;/&gt;&lt;wsp:rsid wsp:val=&quot;00300BE9&quot;/&gt;&lt;wsp:rsid wsp:val=&quot;00301DD3&quot;/&gt;&lt;wsp:rsid wsp:val=&quot;003020A5&quot;/&gt;&lt;wsp:rsid wsp:val=&quot;00302F27&quot;/&gt;&lt;wsp:rsid wsp:val=&quot;0030387B&quot;/&gt;&lt;wsp:rsid wsp:val=&quot;00303CD4&quot;/&gt;&lt;wsp:rsid wsp:val=&quot;00303E7E&quot;/&gt;&lt;wsp:rsid wsp:val=&quot;00304903&quot;/&gt;&lt;wsp:rsid wsp:val=&quot;00304B93&quot;/&gt;&lt;wsp:rsid wsp:val=&quot;00304E76&quot;/&gt;&lt;wsp:rsid wsp:val=&quot;00305381&quot;/&gt;&lt;wsp:rsid wsp:val=&quot;003058BB&quot;/&gt;&lt;wsp:rsid wsp:val=&quot;00306096&quot;/&gt;&lt;wsp:rsid wsp:val=&quot;003061F1&quot;/&gt;&lt;wsp:rsid wsp:val=&quot;003064B8&quot;/&gt;&lt;wsp:rsid wsp:val=&quot;003066C9&quot;/&gt;&lt;wsp:rsid wsp:val=&quot;003069ED&quot;/&gt;&lt;wsp:rsid wsp:val=&quot;003070C2&quot;/&gt;&lt;wsp:rsid wsp:val=&quot;00307A1D&quot;/&gt;&lt;wsp:rsid wsp:val=&quot;00307B2A&quot;/&gt;&lt;wsp:rsid wsp:val=&quot;00307E14&quot;/&gt;&lt;wsp:rsid wsp:val=&quot;00311451&quot;/&gt;&lt;wsp:rsid wsp:val=&quot;00311E22&quot;/&gt;&lt;wsp:rsid wsp:val=&quot;00312064&quot;/&gt;&lt;wsp:rsid wsp:val=&quot;0031225F&quot;/&gt;&lt;wsp:rsid wsp:val=&quot;003127A4&quot;/&gt;&lt;wsp:rsid wsp:val=&quot;003129AF&quot;/&gt;&lt;wsp:rsid wsp:val=&quot;00313B90&quot;/&gt;&lt;wsp:rsid wsp:val=&quot;00313D97&quot;/&gt;&lt;wsp:rsid wsp:val=&quot;0031408A&quot;/&gt;&lt;wsp:rsid wsp:val=&quot;00314373&quot;/&gt;&lt;wsp:rsid wsp:val=&quot;00314D50&quot;/&gt;&lt;wsp:rsid wsp:val=&quot;0031534E&quot;/&gt;&lt;wsp:rsid wsp:val=&quot;003153AA&quot;/&gt;&lt;wsp:rsid wsp:val=&quot;00315558&quot;/&gt;&lt;wsp:rsid wsp:val=&quot;0031582E&quot;/&gt;&lt;wsp:rsid wsp:val=&quot;00315C11&quot;/&gt;&lt;wsp:rsid wsp:val=&quot;00316175&quot;/&gt;&lt;wsp:rsid wsp:val=&quot;00316672&quot;/&gt;&lt;wsp:rsid wsp:val=&quot;00316881&quot;/&gt;&lt;wsp:rsid wsp:val=&quot;00316ED2&quot;/&gt;&lt;wsp:rsid wsp:val=&quot;00316F51&quot;/&gt;&lt;wsp:rsid wsp:val=&quot;00317048&quot;/&gt;&lt;wsp:rsid wsp:val=&quot;003170E1&quot;/&gt;&lt;wsp:rsid wsp:val=&quot;00317678&quot;/&gt;&lt;wsp:rsid wsp:val=&quot;0031787C&quot;/&gt;&lt;wsp:rsid wsp:val=&quot;00317A8C&quot;/&gt;&lt;wsp:rsid wsp:val=&quot;00317B4E&quot;/&gt;&lt;wsp:rsid wsp:val=&quot;00317BBD&quot;/&gt;&lt;wsp:rsid wsp:val=&quot;00317C0F&quot;/&gt;&lt;wsp:rsid wsp:val=&quot;00317F2E&quot;/&gt;&lt;wsp:rsid wsp:val=&quot;00320517&quot;/&gt;&lt;wsp:rsid wsp:val=&quot;00320667&quot;/&gt;&lt;wsp:rsid wsp:val=&quot;003206EE&quot;/&gt;&lt;wsp:rsid wsp:val=&quot;003208AB&quot;/&gt;&lt;wsp:rsid wsp:val=&quot;00320E7E&quot;/&gt;&lt;wsp:rsid wsp:val=&quot;00321278&quot;/&gt;&lt;wsp:rsid wsp:val=&quot;00321A74&quot;/&gt;&lt;wsp:rsid wsp:val=&quot;0032297F&quot;/&gt;&lt;wsp:rsid wsp:val=&quot;00322D0E&quot;/&gt;&lt;wsp:rsid wsp:val=&quot;00322E5A&quot;/&gt;&lt;wsp:rsid wsp:val=&quot;0032348E&quot;/&gt;&lt;wsp:rsid wsp:val=&quot;00323875&quot;/&gt;&lt;wsp:rsid wsp:val=&quot;00323EFC&quot;/&gt;&lt;wsp:rsid wsp:val=&quot;00323F72&quot;/&gt;&lt;wsp:rsid wsp:val=&quot;003241A2&quot;/&gt;&lt;wsp:rsid wsp:val=&quot;003245A2&quot;/&gt;&lt;wsp:rsid wsp:val=&quot;00326107&quot;/&gt;&lt;wsp:rsid wsp:val=&quot;00326496&quot;/&gt;&lt;wsp:rsid wsp:val=&quot;00326868&quot;/&gt;&lt;wsp:rsid wsp:val=&quot;00326C51&quot;/&gt;&lt;wsp:rsid wsp:val=&quot;003272C2&quot;/&gt;&lt;wsp:rsid wsp:val=&quot;00327705&quot;/&gt;&lt;wsp:rsid wsp:val=&quot;00327D26&quot;/&gt;&lt;wsp:rsid wsp:val=&quot;00330064&quot;/&gt;&lt;wsp:rsid wsp:val=&quot;003300EF&quot;/&gt;&lt;wsp:rsid wsp:val=&quot;00331760&quot;/&gt;&lt;wsp:rsid wsp:val=&quot;00331956&quot;/&gt;&lt;wsp:rsid wsp:val=&quot;00331F61&quot;/&gt;&lt;wsp:rsid wsp:val=&quot;003324CD&quot;/&gt;&lt;wsp:rsid wsp:val=&quot;0033252B&quot;/&gt;&lt;wsp:rsid wsp:val=&quot;003339D2&quot;/&gt;&lt;wsp:rsid wsp:val=&quot;00333BE7&quot;/&gt;&lt;wsp:rsid wsp:val=&quot;00333D92&quot;/&gt;&lt;wsp:rsid wsp:val=&quot;0033499D&quot;/&gt;&lt;wsp:rsid wsp:val=&quot;00334D17&quot;/&gt;&lt;wsp:rsid wsp:val=&quot;00335407&quot;/&gt;&lt;wsp:rsid wsp:val=&quot;00335AED&quot;/&gt;&lt;wsp:rsid wsp:val=&quot;00336F24&quot;/&gt;&lt;wsp:rsid wsp:val=&quot;00336F60&quot;/&gt;&lt;wsp:rsid wsp:val=&quot;003370CA&quot;/&gt;&lt;wsp:rsid wsp:val=&quot;0033710F&quot;/&gt;&lt;wsp:rsid wsp:val=&quot;003379A2&quot;/&gt;&lt;wsp:rsid wsp:val=&quot;00340DEA&quot;/&gt;&lt;wsp:rsid wsp:val=&quot;003410CC&quot;/&gt;&lt;wsp:rsid wsp:val=&quot;00341338&quot;/&gt;&lt;wsp:rsid wsp:val=&quot;0034169C&quot;/&gt;&lt;wsp:rsid wsp:val=&quot;00342A0B&quot;/&gt;&lt;wsp:rsid wsp:val=&quot;00342B14&quot;/&gt;&lt;wsp:rsid wsp:val=&quot;00343344&quot;/&gt;&lt;wsp:rsid wsp:val=&quot;003436B7&quot;/&gt;&lt;wsp:rsid wsp:val=&quot;00343B2F&quot;/&gt;&lt;wsp:rsid wsp:val=&quot;00343CD2&quot;/&gt;&lt;wsp:rsid wsp:val=&quot;00343F0B&quot;/&gt;&lt;wsp:rsid wsp:val=&quot;003444BC&quot;/&gt;&lt;wsp:rsid wsp:val=&quot;0034468A&quot;/&gt;&lt;wsp:rsid wsp:val=&quot;00344B81&quot;/&gt;&lt;wsp:rsid wsp:val=&quot;0034501A&quot;/&gt;&lt;wsp:rsid wsp:val=&quot;0034503E&quot;/&gt;&lt;wsp:rsid wsp:val=&quot;00345049&quot;/&gt;&lt;wsp:rsid wsp:val=&quot;0034582E&quot;/&gt;&lt;wsp:rsid wsp:val=&quot;003463C4&quot;/&gt;&lt;wsp:rsid wsp:val=&quot;00346C07&quot;/&gt;&lt;wsp:rsid wsp:val=&quot;00346CFA&quot;/&gt;&lt;wsp:rsid wsp:val=&quot;00346DE1&quot;/&gt;&lt;wsp:rsid wsp:val=&quot;00346F8F&quot;/&gt;&lt;wsp:rsid wsp:val=&quot;003472ED&quot;/&gt;&lt;wsp:rsid wsp:val=&quot;00347B4E&quot;/&gt;&lt;wsp:rsid wsp:val=&quot;00347D12&quot;/&gt;&lt;wsp:rsid wsp:val=&quot;00347DD4&quot;/&gt;&lt;wsp:rsid wsp:val=&quot;00347FE0&quot;/&gt;&lt;wsp:rsid wsp:val=&quot;003504FA&quot;/&gt;&lt;wsp:rsid wsp:val=&quot;00350E89&quot;/&gt;&lt;wsp:rsid wsp:val=&quot;00351514&quot;/&gt;&lt;wsp:rsid wsp:val=&quot;00351693&quot;/&gt;&lt;wsp:rsid wsp:val=&quot;0035177A&quot;/&gt;&lt;wsp:rsid wsp:val=&quot;00351797&quot;/&gt;&lt;wsp:rsid wsp:val=&quot;003519DE&quot;/&gt;&lt;wsp:rsid wsp:val=&quot;00351C31&quot;/&gt;&lt;wsp:rsid wsp:val=&quot;003522B5&quot;/&gt;&lt;wsp:rsid wsp:val=&quot;00352472&quot;/&gt;&lt;wsp:rsid wsp:val=&quot;00352A20&quot;/&gt;&lt;wsp:rsid wsp:val=&quot;00352B14&quot;/&gt;&lt;wsp:rsid wsp:val=&quot;00352E27&quot;/&gt;&lt;wsp:rsid wsp:val=&quot;0035415C&quot;/&gt;&lt;wsp:rsid wsp:val=&quot;0035420A&quot;/&gt;&lt;wsp:rsid wsp:val=&quot;00354239&quot;/&gt;&lt;wsp:rsid wsp:val=&quot;00354343&quot;/&gt;&lt;wsp:rsid wsp:val=&quot;003551D7&quot;/&gt;&lt;wsp:rsid wsp:val=&quot;00355B00&quot;/&gt;&lt;wsp:rsid wsp:val=&quot;003561AE&quot;/&gt;&lt;wsp:rsid wsp:val=&quot;0035633E&quot;/&gt;&lt;wsp:rsid wsp:val=&quot;00356DDF&quot;/&gt;&lt;wsp:rsid wsp:val=&quot;00356E78&quot;/&gt;&lt;wsp:rsid wsp:val=&quot;00357020&quot;/&gt;&lt;wsp:rsid wsp:val=&quot;0035728C&quot;/&gt;&lt;wsp:rsid wsp:val=&quot;003576FA&quot;/&gt;&lt;wsp:rsid wsp:val=&quot;00357E2F&quot;/&gt;&lt;wsp:rsid wsp:val=&quot;0036032C&quot;/&gt;&lt;wsp:rsid wsp:val=&quot;003605B7&quot;/&gt;&lt;wsp:rsid wsp:val=&quot;0036062F&quot;/&gt;&lt;wsp:rsid wsp:val=&quot;003611C0&quot;/&gt;&lt;wsp:rsid wsp:val=&quot;0036249D&quot;/&gt;&lt;wsp:rsid wsp:val=&quot;00362758&quot;/&gt;&lt;wsp:rsid wsp:val=&quot;003628FC&quot;/&gt;&lt;wsp:rsid wsp:val=&quot;00362969&quot;/&gt;&lt;wsp:rsid wsp:val=&quot;00362F3B&quot;/&gt;&lt;wsp:rsid wsp:val=&quot;003631AE&quot;/&gt;&lt;wsp:rsid wsp:val=&quot;00363456&quot;/&gt;&lt;wsp:rsid wsp:val=&quot;00363FC6&quot;/&gt;&lt;wsp:rsid wsp:val=&quot;0036456B&quot;/&gt;&lt;wsp:rsid wsp:val=&quot;0036473B&quot;/&gt;&lt;wsp:rsid wsp:val=&quot;00365258&quot;/&gt;&lt;wsp:rsid wsp:val=&quot;003656FE&quot;/&gt;&lt;wsp:rsid wsp:val=&quot;00365884&quot;/&gt;&lt;wsp:rsid wsp:val=&quot;003659BD&quot;/&gt;&lt;wsp:rsid wsp:val=&quot;003659D0&quot;/&gt;&lt;wsp:rsid wsp:val=&quot;00366197&quot;/&gt;&lt;wsp:rsid wsp:val=&quot;00366634&quot;/&gt;&lt;wsp:rsid wsp:val=&quot;00366705&quot;/&gt;&lt;wsp:rsid wsp:val=&quot;003676DA&quot;/&gt;&lt;wsp:rsid wsp:val=&quot;00367787&quot;/&gt;&lt;wsp:rsid wsp:val=&quot;00367AA4&quot;/&gt;&lt;wsp:rsid wsp:val=&quot;00367D8C&quot;/&gt;&lt;wsp:rsid wsp:val=&quot;00367F0D&quot;/&gt;&lt;wsp:rsid wsp:val=&quot;00370A6D&quot;/&gt;&lt;wsp:rsid wsp:val=&quot;003710C6&quot;/&gt;&lt;wsp:rsid wsp:val=&quot;003713C8&quot;/&gt;&lt;wsp:rsid wsp:val=&quot;00371A86&quot;/&gt;&lt;wsp:rsid wsp:val=&quot;003725C6&quot;/&gt;&lt;wsp:rsid wsp:val=&quot;00372944&quot;/&gt;&lt;wsp:rsid wsp:val=&quot;0037295C&quot;/&gt;&lt;wsp:rsid wsp:val=&quot;0037320C&quot;/&gt;&lt;wsp:rsid wsp:val=&quot;0037332E&quot;/&gt;&lt;wsp:rsid wsp:val=&quot;003736A1&quot;/&gt;&lt;wsp:rsid wsp:val=&quot;0037384D&quot;/&gt;&lt;wsp:rsid wsp:val=&quot;0037389B&quot;/&gt;&lt;wsp:rsid wsp:val=&quot;003739E1&quot;/&gt;&lt;wsp:rsid wsp:val=&quot;00374983&quot;/&gt;&lt;wsp:rsid wsp:val=&quot;00374EBA&quot;/&gt;&lt;wsp:rsid wsp:val=&quot;00375523&quot;/&gt;&lt;wsp:rsid wsp:val=&quot;00375E75&quot;/&gt;&lt;wsp:rsid wsp:val=&quot;003762A1&quot;/&gt;&lt;wsp:rsid wsp:val=&quot;00377079&quot;/&gt;&lt;wsp:rsid wsp:val=&quot;003772D7&quot;/&gt;&lt;wsp:rsid wsp:val=&quot;003774A5&quot;/&gt;&lt;wsp:rsid wsp:val=&quot;003775BF&quot;/&gt;&lt;wsp:rsid wsp:val=&quot;003776F6&quot;/&gt;&lt;wsp:rsid wsp:val=&quot;0037774F&quot;/&gt;&lt;wsp:rsid wsp:val=&quot;003777BC&quot;/&gt;&lt;wsp:rsid wsp:val=&quot;00377B7C&quot;/&gt;&lt;wsp:rsid wsp:val=&quot;00377CD1&quot;/&gt;&lt;wsp:rsid wsp:val=&quot;00380B06&quot;/&gt;&lt;wsp:rsid wsp:val=&quot;00380D26&quot;/&gt;&lt;wsp:rsid wsp:val=&quot;00381612&quot;/&gt;&lt;wsp:rsid wsp:val=&quot;003817C1&quot;/&gt;&lt;wsp:rsid wsp:val=&quot;00381B76&quot;/&gt;&lt;wsp:rsid wsp:val=&quot;00381E18&quot;/&gt;&lt;wsp:rsid wsp:val=&quot;003820F1&quot;/&gt;&lt;wsp:rsid wsp:val=&quot;00382F07&quot;/&gt;&lt;wsp:rsid wsp:val=&quot;00383007&quot;/&gt;&lt;wsp:rsid wsp:val=&quot;0038339D&quot;/&gt;&lt;wsp:rsid wsp:val=&quot;0038343F&quot;/&gt;&lt;wsp:rsid wsp:val=&quot;00383A5A&quot;/&gt;&lt;wsp:rsid wsp:val=&quot;00384442&quot;/&gt;&lt;wsp:rsid wsp:val=&quot;003849D9&quot;/&gt;&lt;wsp:rsid wsp:val=&quot;00385364&quot;/&gt;&lt;wsp:rsid wsp:val=&quot;0038682B&quot;/&gt;&lt;wsp:rsid wsp:val=&quot;00386992&quot;/&gt;&lt;wsp:rsid wsp:val=&quot;00386AE5&quot;/&gt;&lt;wsp:rsid wsp:val=&quot;00387BF3&quot;/&gt;&lt;wsp:rsid wsp:val=&quot;00387DCC&quot;/&gt;&lt;wsp:rsid wsp:val=&quot;0039001B&quot;/&gt;&lt;wsp:rsid wsp:val=&quot;0039059B&quot;/&gt;&lt;wsp:rsid wsp:val=&quot;00390F40&quot;/&gt;&lt;wsp:rsid wsp:val=&quot;00390F79&quot;/&gt;&lt;wsp:rsid wsp:val=&quot;00391288&quot;/&gt;&lt;wsp:rsid wsp:val=&quot;0039183A&quot;/&gt;&lt;wsp:rsid wsp:val=&quot;00391A9A&quot;/&gt;&lt;wsp:rsid wsp:val=&quot;0039282C&quot;/&gt;&lt;wsp:rsid wsp:val=&quot;00392980&quot;/&gt;&lt;wsp:rsid wsp:val=&quot;0039326A&quot;/&gt;&lt;wsp:rsid wsp:val=&quot;003933E7&quot;/&gt;&lt;wsp:rsid wsp:val=&quot;00393DD1&quot;/&gt;&lt;wsp:rsid wsp:val=&quot;0039447A&quot;/&gt;&lt;wsp:rsid wsp:val=&quot;0039494A&quot;/&gt;&lt;wsp:rsid wsp:val=&quot;00395164&quot;/&gt;&lt;wsp:rsid wsp:val=&quot;00395536&quot;/&gt;&lt;wsp:rsid wsp:val=&quot;0039585B&quot;/&gt;&lt;wsp:rsid wsp:val=&quot;00396085&quot;/&gt;&lt;wsp:rsid wsp:val=&quot;00396284&quot;/&gt;&lt;wsp:rsid wsp:val=&quot;0039687B&quot;/&gt;&lt;wsp:rsid wsp:val=&quot;0039715F&quot;/&gt;&lt;wsp:rsid wsp:val=&quot;00397161&quot;/&gt;&lt;wsp:rsid wsp:val=&quot;0039727C&quot;/&gt;&lt;wsp:rsid wsp:val=&quot;003A0192&quot;/&gt;&lt;wsp:rsid wsp:val=&quot;003A036B&quot;/&gt;&lt;wsp:rsid wsp:val=&quot;003A03E9&quot;/&gt;&lt;wsp:rsid wsp:val=&quot;003A0410&quot;/&gt;&lt;wsp:rsid wsp:val=&quot;003A0F30&quot;/&gt;&lt;wsp:rsid wsp:val=&quot;003A174D&quot;/&gt;&lt;wsp:rsid wsp:val=&quot;003A2CD6&quot;/&gt;&lt;wsp:rsid wsp:val=&quot;003A2D7A&quot;/&gt;&lt;wsp:rsid wsp:val=&quot;003A2FE4&quot;/&gt;&lt;wsp:rsid wsp:val=&quot;003A3009&quot;/&gt;&lt;wsp:rsid wsp:val=&quot;003A304E&quot;/&gt;&lt;wsp:rsid wsp:val=&quot;003A323F&quot;/&gt;&lt;wsp:rsid wsp:val=&quot;003A34C1&quot;/&gt;&lt;wsp:rsid wsp:val=&quot;003A35A1&quot;/&gt;&lt;wsp:rsid wsp:val=&quot;003A3967&quot;/&gt;&lt;wsp:rsid wsp:val=&quot;003A3FF6&quot;/&gt;&lt;wsp:rsid wsp:val=&quot;003A417D&quot;/&gt;&lt;wsp:rsid wsp:val=&quot;003A5896&quot;/&gt;&lt;wsp:rsid wsp:val=&quot;003A66C7&quot;/&gt;&lt;wsp:rsid wsp:val=&quot;003A6D58&quot;/&gt;&lt;wsp:rsid wsp:val=&quot;003A77AB&quot;/&gt;&lt;wsp:rsid wsp:val=&quot;003A7DC1&quot;/&gt;&lt;wsp:rsid wsp:val=&quot;003A7E7F&quot;/&gt;&lt;wsp:rsid wsp:val=&quot;003B05A7&quot;/&gt;&lt;wsp:rsid wsp:val=&quot;003B05C7&quot;/&gt;&lt;wsp:rsid wsp:val=&quot;003B05DD&quot;/&gt;&lt;wsp:rsid wsp:val=&quot;003B05FF&quot;/&gt;&lt;wsp:rsid wsp:val=&quot;003B07BB&quot;/&gt;&lt;wsp:rsid wsp:val=&quot;003B13D0&quot;/&gt;&lt;wsp:rsid wsp:val=&quot;003B1734&quot;/&gt;&lt;wsp:rsid wsp:val=&quot;003B1E97&quot;/&gt;&lt;wsp:rsid wsp:val=&quot;003B2B22&quot;/&gt;&lt;wsp:rsid wsp:val=&quot;003B2E8E&quot;/&gt;&lt;wsp:rsid wsp:val=&quot;003B3127&quot;/&gt;&lt;wsp:rsid wsp:val=&quot;003B32BA&quot;/&gt;&lt;wsp:rsid wsp:val=&quot;003B32CA&quot;/&gt;&lt;wsp:rsid wsp:val=&quot;003B32FB&quot;/&gt;&lt;wsp:rsid wsp:val=&quot;003B3A53&quot;/&gt;&lt;wsp:rsid wsp:val=&quot;003B4022&quot;/&gt;&lt;wsp:rsid wsp:val=&quot;003B4436&quot;/&gt;&lt;wsp:rsid wsp:val=&quot;003B5136&quot;/&gt;&lt;wsp:rsid wsp:val=&quot;003B60AF&quot;/&gt;&lt;wsp:rsid wsp:val=&quot;003B69F4&quot;/&gt;&lt;wsp:rsid wsp:val=&quot;003B717B&quot;/&gt;&lt;wsp:rsid wsp:val=&quot;003C01FD&quot;/&gt;&lt;wsp:rsid wsp:val=&quot;003C04D5&quot;/&gt;&lt;wsp:rsid wsp:val=&quot;003C0B24&quot;/&gt;&lt;wsp:rsid wsp:val=&quot;003C0D40&quot;/&gt;&lt;wsp:rsid wsp:val=&quot;003C0FB2&quot;/&gt;&lt;wsp:rsid wsp:val=&quot;003C26F8&quot;/&gt;&lt;wsp:rsid wsp:val=&quot;003C353C&quot;/&gt;&lt;wsp:rsid wsp:val=&quot;003C35F7&quot;/&gt;&lt;wsp:rsid wsp:val=&quot;003C3A3A&quot;/&gt;&lt;wsp:rsid wsp:val=&quot;003C49D7&quot;/&gt;&lt;wsp:rsid wsp:val=&quot;003C571C&quot;/&gt;&lt;wsp:rsid wsp:val=&quot;003C57EB&quot;/&gt;&lt;wsp:rsid wsp:val=&quot;003C6407&quot;/&gt;&lt;wsp:rsid wsp:val=&quot;003C6445&quot;/&gt;&lt;wsp:rsid wsp:val=&quot;003C6934&quot;/&gt;&lt;wsp:rsid wsp:val=&quot;003C6D5C&quot;/&gt;&lt;wsp:rsid wsp:val=&quot;003C6DE1&quot;/&gt;&lt;wsp:rsid wsp:val=&quot;003C6E6F&quot;/&gt;&lt;wsp:rsid wsp:val=&quot;003C74C7&quot;/&gt;&lt;wsp:rsid wsp:val=&quot;003C77A8&quot;/&gt;&lt;wsp:rsid wsp:val=&quot;003C78E5&quot;/&gt;&lt;wsp:rsid wsp:val=&quot;003D014A&quot;/&gt;&lt;wsp:rsid wsp:val=&quot;003D0211&quot;/&gt;&lt;wsp:rsid wsp:val=&quot;003D075C&quot;/&gt;&lt;wsp:rsid wsp:val=&quot;003D0854&quot;/&gt;&lt;wsp:rsid wsp:val=&quot;003D0FBF&quot;/&gt;&lt;wsp:rsid wsp:val=&quot;003D1600&quot;/&gt;&lt;wsp:rsid wsp:val=&quot;003D1863&quot;/&gt;&lt;wsp:rsid wsp:val=&quot;003D1A23&quot;/&gt;&lt;wsp:rsid wsp:val=&quot;003D219E&quot;/&gt;&lt;wsp:rsid wsp:val=&quot;003D2D07&quot;/&gt;&lt;wsp:rsid wsp:val=&quot;003D3650&quot;/&gt;&lt;wsp:rsid wsp:val=&quot;003D3931&quot;/&gt;&lt;wsp:rsid wsp:val=&quot;003D3A49&quot;/&gt;&lt;wsp:rsid wsp:val=&quot;003D3A99&quot;/&gt;&lt;wsp:rsid wsp:val=&quot;003D3E89&quot;/&gt;&lt;wsp:rsid wsp:val=&quot;003D42AB&quot;/&gt;&lt;wsp:rsid wsp:val=&quot;003D4410&quot;/&gt;&lt;wsp:rsid wsp:val=&quot;003D4F96&quot;/&gt;&lt;wsp:rsid wsp:val=&quot;003D5F46&quot;/&gt;&lt;wsp:rsid wsp:val=&quot;003D5FD3&quot;/&gt;&lt;wsp:rsid wsp:val=&quot;003D64A3&quot;/&gt;&lt;wsp:rsid wsp:val=&quot;003D65FE&quot;/&gt;&lt;wsp:rsid wsp:val=&quot;003D67D9&quot;/&gt;&lt;wsp:rsid wsp:val=&quot;003D6885&quot;/&gt;&lt;wsp:rsid wsp:val=&quot;003D6D1B&quot;/&gt;&lt;wsp:rsid wsp:val=&quot;003D7B92&quot;/&gt;&lt;wsp:rsid wsp:val=&quot;003E1D3B&quot;/&gt;&lt;wsp:rsid wsp:val=&quot;003E2454&quot;/&gt;&lt;wsp:rsid wsp:val=&quot;003E32FC&quot;/&gt;&lt;wsp:rsid wsp:val=&quot;003E3601&quot;/&gt;&lt;wsp:rsid wsp:val=&quot;003E3BF1&quot;/&gt;&lt;wsp:rsid wsp:val=&quot;003E3E55&quot;/&gt;&lt;wsp:rsid wsp:val=&quot;003E4381&quot;/&gt;&lt;wsp:rsid wsp:val=&quot;003E4415&quot;/&gt;&lt;wsp:rsid wsp:val=&quot;003E444C&quot;/&gt;&lt;wsp:rsid wsp:val=&quot;003E5017&quot;/&gt;&lt;wsp:rsid wsp:val=&quot;003E506C&quot;/&gt;&lt;wsp:rsid wsp:val=&quot;003E60C0&quot;/&gt;&lt;wsp:rsid wsp:val=&quot;003E68D1&quot;/&gt;&lt;wsp:rsid wsp:val=&quot;003E6A7F&quot;/&gt;&lt;wsp:rsid wsp:val=&quot;003E6B0E&quot;/&gt;&lt;wsp:rsid wsp:val=&quot;003E6F73&quot;/&gt;&lt;wsp:rsid wsp:val=&quot;003E6F96&quot;/&gt;&lt;wsp:rsid wsp:val=&quot;003E7AA6&quot;/&gt;&lt;wsp:rsid wsp:val=&quot;003E7B2A&quot;/&gt;&lt;wsp:rsid wsp:val=&quot;003F01DE&quot;/&gt;&lt;wsp:rsid wsp:val=&quot;003F0B5E&quot;/&gt;&lt;wsp:rsid wsp:val=&quot;003F0EB8&quot;/&gt;&lt;wsp:rsid wsp:val=&quot;003F1743&quot;/&gt;&lt;wsp:rsid wsp:val=&quot;003F2061&quot;/&gt;&lt;wsp:rsid wsp:val=&quot;003F216E&quot;/&gt;&lt;wsp:rsid wsp:val=&quot;003F24D8&quot;/&gt;&lt;wsp:rsid wsp:val=&quot;003F2979&quot;/&gt;&lt;wsp:rsid wsp:val=&quot;003F2A72&quot;/&gt;&lt;wsp:rsid wsp:val=&quot;003F3559&quot;/&gt;&lt;wsp:rsid wsp:val=&quot;003F397D&quot;/&gt;&lt;wsp:rsid wsp:val=&quot;003F4446&quot;/&gt;&lt;wsp:rsid wsp:val=&quot;003F4944&quot;/&gt;&lt;wsp:rsid wsp:val=&quot;003F4C02&quot;/&gt;&lt;wsp:rsid wsp:val=&quot;003F4F44&quot;/&gt;&lt;wsp:rsid wsp:val=&quot;003F65CA&quot;/&gt;&lt;wsp:rsid wsp:val=&quot;003F6669&quot;/&gt;&lt;wsp:rsid wsp:val=&quot;003F674E&quot;/&gt;&lt;wsp:rsid wsp:val=&quot;003F6AC2&quot;/&gt;&lt;wsp:rsid wsp:val=&quot;003F6B88&quot;/&gt;&lt;wsp:rsid wsp:val=&quot;003F7323&quot;/&gt;&lt;wsp:rsid wsp:val=&quot;003F7C18&quot;/&gt;&lt;wsp:rsid wsp:val=&quot;003F7E5F&quot;/&gt;&lt;wsp:rsid wsp:val=&quot;00400107&quot;/&gt;&lt;wsp:rsid wsp:val=&quot;004007C2&quot;/&gt;&lt;wsp:rsid wsp:val=&quot;00400835&quot;/&gt;&lt;wsp:rsid wsp:val=&quot;0040096A&quot;/&gt;&lt;wsp:rsid wsp:val=&quot;004009EA&quot;/&gt;&lt;wsp:rsid wsp:val=&quot;00400AF5&quot;/&gt;&lt;wsp:rsid wsp:val=&quot;00400EDC&quot;/&gt;&lt;wsp:rsid wsp:val=&quot;00400EEA&quot;/&gt;&lt;wsp:rsid wsp:val=&quot;0040106C&quot;/&gt;&lt;wsp:rsid wsp:val=&quot;00401D42&quot;/&gt;&lt;wsp:rsid wsp:val=&quot;004024B3&quot;/&gt;&lt;wsp:rsid wsp:val=&quot;00402B99&quot;/&gt;&lt;wsp:rsid wsp:val=&quot;00402C7B&quot;/&gt;&lt;wsp:rsid wsp:val=&quot;00402D5A&quot;/&gt;&lt;wsp:rsid wsp:val=&quot;0040316B&quot;/&gt;&lt;wsp:rsid wsp:val=&quot;00404247&quot;/&gt;&lt;wsp:rsid wsp:val=&quot;00404294&quot;/&gt;&lt;wsp:rsid wsp:val=&quot;004044A1&quot;/&gt;&lt;wsp:rsid wsp:val=&quot;004045B5&quot;/&gt;&lt;wsp:rsid wsp:val=&quot;00404DBD&quot;/&gt;&lt;wsp:rsid wsp:val=&quot;00404DEE&quot;/&gt;&lt;wsp:rsid wsp:val=&quot;00405A4F&quot;/&gt;&lt;wsp:rsid wsp:val=&quot;00405F50&quot;/&gt;&lt;wsp:rsid wsp:val=&quot;004060DB&quot;/&gt;&lt;wsp:rsid wsp:val=&quot;0040704B&quot;/&gt;&lt;wsp:rsid wsp:val=&quot;004079A0&quot;/&gt;&lt;wsp:rsid wsp:val=&quot;00407B0B&quot;/&gt;&lt;wsp:rsid wsp:val=&quot;00407CC0&quot;/&gt;&lt;wsp:rsid wsp:val=&quot;00407DD0&quot;/&gt;&lt;wsp:rsid wsp:val=&quot;00410419&quot;/&gt;&lt;wsp:rsid wsp:val=&quot;00410CAF&quot;/&gt;&lt;wsp:rsid wsp:val=&quot;004112A0&quot;/&gt;&lt;wsp:rsid wsp:val=&quot;00411B52&quot;/&gt;&lt;wsp:rsid wsp:val=&quot;00411CDF&quot;/&gt;&lt;wsp:rsid wsp:val=&quot;00412E0C&quot;/&gt;&lt;wsp:rsid wsp:val=&quot;0041307B&quot;/&gt;&lt;wsp:rsid wsp:val=&quot;004130C9&quot;/&gt;&lt;wsp:rsid wsp:val=&quot;004132EF&quot;/&gt;&lt;wsp:rsid wsp:val=&quot;00413EFC&quot;/&gt;&lt;wsp:rsid wsp:val=&quot;00413F5C&quot;/&gt;&lt;wsp:rsid wsp:val=&quot;00414048&quot;/&gt;&lt;wsp:rsid wsp:val=&quot;0041406F&quot;/&gt;&lt;wsp:rsid wsp:val=&quot;00414321&quot;/&gt;&lt;wsp:rsid wsp:val=&quot;00414916&quot;/&gt;&lt;wsp:rsid wsp:val=&quot;00414D06&quot;/&gt;&lt;wsp:rsid wsp:val=&quot;00415993&quot;/&gt;&lt;wsp:rsid wsp:val=&quot;00415E78&quot;/&gt;&lt;wsp:rsid wsp:val=&quot;0041631E&quot;/&gt;&lt;wsp:rsid wsp:val=&quot;004169AB&quot;/&gt;&lt;wsp:rsid wsp:val=&quot;00417052&quot;/&gt;&lt;wsp:rsid wsp:val=&quot;004201F3&quot;/&gt;&lt;wsp:rsid wsp:val=&quot;00420857&quot;/&gt;&lt;wsp:rsid wsp:val=&quot;00420BC5&quot;/&gt;&lt;wsp:rsid wsp:val=&quot;00420E3B&quot;/&gt;&lt;wsp:rsid wsp:val=&quot;004211FE&quot;/&gt;&lt;wsp:rsid wsp:val=&quot;00422422&quot;/&gt;&lt;wsp:rsid wsp:val=&quot;00422DE0&quot;/&gt;&lt;wsp:rsid wsp:val=&quot;004231C3&quot;/&gt;&lt;wsp:rsid wsp:val=&quot;00423878&quot;/&gt;&lt;wsp:rsid wsp:val=&quot;00423A46&quot;/&gt;&lt;wsp:rsid wsp:val=&quot;00424287&quot;/&gt;&lt;wsp:rsid wsp:val=&quot;0042429D&quot;/&gt;&lt;wsp:rsid wsp:val=&quot;004245FE&quot;/&gt;&lt;wsp:rsid wsp:val=&quot;00424E08&quot;/&gt;&lt;wsp:rsid wsp:val=&quot;00425A5B&quot;/&gt;&lt;wsp:rsid wsp:val=&quot;00425FF7&quot;/&gt;&lt;wsp:rsid wsp:val=&quot;004260EF&quot;/&gt;&lt;wsp:rsid wsp:val=&quot;00426BDC&quot;/&gt;&lt;wsp:rsid wsp:val=&quot;00426F32&quot;/&gt;&lt;wsp:rsid wsp:val=&quot;0042707B&quot;/&gt;&lt;wsp:rsid wsp:val=&quot;0042748E&quot;/&gt;&lt;wsp:rsid wsp:val=&quot;0042773D&quot;/&gt;&lt;wsp:rsid wsp:val=&quot;00427BD8&quot;/&gt;&lt;wsp:rsid wsp:val=&quot;00427F36&quot;/&gt;&lt;wsp:rsid wsp:val=&quot;00430F60&quot;/&gt;&lt;wsp:rsid wsp:val=&quot;00431036&quot;/&gt;&lt;wsp:rsid wsp:val=&quot;004312A0&quot;/&gt;&lt;wsp:rsid wsp:val=&quot;00431608&quot;/&gt;&lt;wsp:rsid wsp:val=&quot;0043197D&quot;/&gt;&lt;wsp:rsid wsp:val=&quot;0043289F&quot;/&gt;&lt;wsp:rsid wsp:val=&quot;00433AE7&quot;/&gt;&lt;wsp:rsid wsp:val=&quot;00433C07&quot;/&gt;&lt;wsp:rsid wsp:val=&quot;004342AB&quot;/&gt;&lt;wsp:rsid wsp:val=&quot;00434C50&quot;/&gt;&lt;wsp:rsid wsp:val=&quot;0043500A&quot;/&gt;&lt;wsp:rsid wsp:val=&quot;004358FD&quot;/&gt;&lt;wsp:rsid wsp:val=&quot;004359FF&quot;/&gt;&lt;wsp:rsid wsp:val=&quot;00435A77&quot;/&gt;&lt;wsp:rsid wsp:val=&quot;00435C7A&quot;/&gt;&lt;wsp:rsid wsp:val=&quot;004360C1&quot;/&gt;&lt;wsp:rsid wsp:val=&quot;004367CE&quot;/&gt;&lt;wsp:rsid wsp:val=&quot;00436BB8&quot;/&gt;&lt;wsp:rsid wsp:val=&quot;004376CD&quot;/&gt;&lt;wsp:rsid wsp:val=&quot;00437A27&quot;/&gt;&lt;wsp:rsid wsp:val=&quot;004400D7&quot;/&gt;&lt;wsp:rsid wsp:val=&quot;00440655&quot;/&gt;&lt;wsp:rsid wsp:val=&quot;0044144F&quot;/&gt;&lt;wsp:rsid wsp:val=&quot;0044173D&quot;/&gt;&lt;wsp:rsid wsp:val=&quot;00441812&quot;/&gt;&lt;wsp:rsid wsp:val=&quot;004421D6&quot;/&gt;&lt;wsp:rsid wsp:val=&quot;0044222C&quot;/&gt;&lt;wsp:rsid wsp:val=&quot;00442560&quot;/&gt;&lt;wsp:rsid wsp:val=&quot;00442E6E&quot;/&gt;&lt;wsp:rsid wsp:val=&quot;0044302C&quot;/&gt;&lt;wsp:rsid wsp:val=&quot;00444528&quot;/&gt;&lt;wsp:rsid wsp:val=&quot;00444B86&quot;/&gt;&lt;wsp:rsid wsp:val=&quot;004459FF&quot;/&gt;&lt;wsp:rsid wsp:val=&quot;00445A7A&quot;/&gt;&lt;wsp:rsid wsp:val=&quot;00446E75&quot;/&gt;&lt;wsp:rsid wsp:val=&quot;00447566&quot;/&gt;&lt;wsp:rsid wsp:val=&quot;004475AE&quot;/&gt;&lt;wsp:rsid wsp:val=&quot;0045054D&quot;/&gt;&lt;wsp:rsid wsp:val=&quot;00450938&quot;/&gt;&lt;wsp:rsid wsp:val=&quot;00450BE8&quot;/&gt;&lt;wsp:rsid wsp:val=&quot;00450F16&quot;/&gt;&lt;wsp:rsid wsp:val=&quot;00451501&quot;/&gt;&lt;wsp:rsid wsp:val=&quot;00451D9B&quot;/&gt;&lt;wsp:rsid wsp:val=&quot;00452229&quot;/&gt;&lt;wsp:rsid wsp:val=&quot;00452FFB&quot;/&gt;&lt;wsp:rsid wsp:val=&quot;00453778&quot;/&gt;&lt;wsp:rsid wsp:val=&quot;0045398A&quot;/&gt;&lt;wsp:rsid wsp:val=&quot;00453A0F&quot;/&gt;&lt;wsp:rsid wsp:val=&quot;004542B8&quot;/&gt;&lt;wsp:rsid wsp:val=&quot;004548D2&quot;/&gt;&lt;wsp:rsid wsp:val=&quot;0045551A&quot;/&gt;&lt;wsp:rsid wsp:val=&quot;00455599&quot;/&gt;&lt;wsp:rsid wsp:val=&quot;0045596A&quot;/&gt;&lt;wsp:rsid wsp:val=&quot;00457ACC&quot;/&gt;&lt;wsp:rsid wsp:val=&quot;00457B62&quot;/&gt;&lt;wsp:rsid wsp:val=&quot;00457B91&quot;/&gt;&lt;wsp:rsid wsp:val=&quot;00457CD6&quot;/&gt;&lt;wsp:rsid wsp:val=&quot;004601BF&quot;/&gt;&lt;wsp:rsid wsp:val=&quot;00460A1E&quot;/&gt;&lt;wsp:rsid wsp:val=&quot;00460D12&quot;/&gt;&lt;wsp:rsid wsp:val=&quot;0046107C&quot;/&gt;&lt;wsp:rsid wsp:val=&quot;00461F86&quot;/&gt;&lt;wsp:rsid wsp:val=&quot;00462000&quot;/&gt;&lt;wsp:rsid wsp:val=&quot;00462157&quot;/&gt;&lt;wsp:rsid wsp:val=&quot;004623EB&quot;/&gt;&lt;wsp:rsid wsp:val=&quot;004627E2&quot;/&gt;&lt;wsp:rsid wsp:val=&quot;0046284B&quot;/&gt;&lt;wsp:rsid wsp:val=&quot;004629E4&quot;/&gt;&lt;wsp:rsid wsp:val=&quot;00462E31&quot;/&gt;&lt;wsp:rsid wsp:val=&quot;00463117&quot;/&gt;&lt;wsp:rsid wsp:val=&quot;004633B6&quot;/&gt;&lt;wsp:rsid wsp:val=&quot;004637AE&quot;/&gt;&lt;wsp:rsid wsp:val=&quot;00463B8A&quot;/&gt;&lt;wsp:rsid wsp:val=&quot;00463C38&quot;/&gt;&lt;wsp:rsid wsp:val=&quot;0046440D&quot;/&gt;&lt;wsp:rsid wsp:val=&quot;00464FE9&quot;/&gt;&lt;wsp:rsid wsp:val=&quot;00465301&quot;/&gt;&lt;wsp:rsid wsp:val=&quot;0046559C&quot;/&gt;&lt;wsp:rsid wsp:val=&quot;004656B8&quot;/&gt;&lt;wsp:rsid wsp:val=&quot;0046588D&quot;/&gt;&lt;wsp:rsid wsp:val=&quot;00465AA1&quot;/&gt;&lt;wsp:rsid wsp:val=&quot;00465CD4&quot;/&gt;&lt;wsp:rsid wsp:val=&quot;004663BE&quot;/&gt;&lt;wsp:rsid wsp:val=&quot;004664CC&quot;/&gt;&lt;wsp:rsid wsp:val=&quot;00466541&quot;/&gt;&lt;wsp:rsid wsp:val=&quot;004665A7&quot;/&gt;&lt;wsp:rsid wsp:val=&quot;00467FDE&quot;/&gt;&lt;wsp:rsid wsp:val=&quot;004703F1&quot;/&gt;&lt;wsp:rsid wsp:val=&quot;0047070C&quot;/&gt;&lt;wsp:rsid wsp:val=&quot;00470C44&quot;/&gt;&lt;wsp:rsid wsp:val=&quot;00470EFE&quot;/&gt;&lt;wsp:rsid wsp:val=&quot;00471041&quot;/&gt;&lt;wsp:rsid wsp:val=&quot;00471351&quot;/&gt;&lt;wsp:rsid wsp:val=&quot;004722FE&quot;/&gt;&lt;wsp:rsid wsp:val=&quot;00472EF7&quot;/&gt;&lt;wsp:rsid wsp:val=&quot;004736C3&quot;/&gt;&lt;wsp:rsid wsp:val=&quot;00473C85&quot;/&gt;&lt;wsp:rsid wsp:val=&quot;0047418C&quot;/&gt;&lt;wsp:rsid wsp:val=&quot;0047449A&quot;/&gt;&lt;wsp:rsid wsp:val=&quot;004748B2&quot;/&gt;&lt;wsp:rsid wsp:val=&quot;00474957&quot;/&gt;&lt;wsp:rsid wsp:val=&quot;00474D9A&quot;/&gt;&lt;wsp:rsid wsp:val=&quot;00474F85&quot;/&gt;&lt;wsp:rsid wsp:val=&quot;00475646&quot;/&gt;&lt;wsp:rsid wsp:val=&quot;0047568C&quot;/&gt;&lt;wsp:rsid wsp:val=&quot;00475CA8&quot;/&gt;&lt;wsp:rsid wsp:val=&quot;00476098&quot;/&gt;&lt;wsp:rsid wsp:val=&quot;004762DA&quot;/&gt;&lt;wsp:rsid wsp:val=&quot;00476FFE&quot;/&gt;&lt;wsp:rsid wsp:val=&quot;00477055&quot;/&gt;&lt;wsp:rsid wsp:val=&quot;004771A3&quot;/&gt;&lt;wsp:rsid wsp:val=&quot;004810D5&quot;/&gt;&lt;wsp:rsid wsp:val=&quot;00481408&quot;/&gt;&lt;wsp:rsid wsp:val=&quot;00481411&quot;/&gt;&lt;wsp:rsid wsp:val=&quot;00481760&quot;/&gt;&lt;wsp:rsid wsp:val=&quot;00481965&quot;/&gt;&lt;wsp:rsid wsp:val=&quot;0048228D&quot;/&gt;&lt;wsp:rsid wsp:val=&quot;00482B2C&quot;/&gt;&lt;wsp:rsid wsp:val=&quot;004836B1&quot;/&gt;&lt;wsp:rsid wsp:val=&quot;004836F5&quot;/&gt;&lt;wsp:rsid wsp:val=&quot;00483B48&quot;/&gt;&lt;wsp:rsid wsp:val=&quot;00483E03&quot;/&gt;&lt;wsp:rsid wsp:val=&quot;00483F7C&quot;/&gt;&lt;wsp:rsid wsp:val=&quot;004840C2&quot;/&gt;&lt;wsp:rsid wsp:val=&quot;004845A7&quot;/&gt;&lt;wsp:rsid wsp:val=&quot;00484959&quot;/&gt;&lt;wsp:rsid wsp:val=&quot;00484987&quot;/&gt;&lt;wsp:rsid wsp:val=&quot;00485136&quot;/&gt;&lt;wsp:rsid wsp:val=&quot;004851EA&quot;/&gt;&lt;wsp:rsid wsp:val=&quot;0048553F&quot;/&gt;&lt;wsp:rsid wsp:val=&quot;004857FC&quot;/&gt;&lt;wsp:rsid wsp:val=&quot;00485E3D&quot;/&gt;&lt;wsp:rsid wsp:val=&quot;004868BD&quot;/&gt;&lt;wsp:rsid wsp:val=&quot;00486A15&quot;/&gt;&lt;wsp:rsid wsp:val=&quot;00486B6F&quot;/&gt;&lt;wsp:rsid wsp:val=&quot;0048710C&quot;/&gt;&lt;wsp:rsid wsp:val=&quot;004871E7&quot;/&gt;&lt;wsp:rsid wsp:val=&quot;004874C5&quot;/&gt;&lt;wsp:rsid wsp:val=&quot;0048767F&quot;/&gt;&lt;wsp:rsid wsp:val=&quot;004900AB&quot;/&gt;&lt;wsp:rsid wsp:val=&quot;004906D9&quot;/&gt;&lt;wsp:rsid wsp:val=&quot;0049164C&quot;/&gt;&lt;wsp:rsid wsp:val=&quot;004919E5&quot;/&gt;&lt;wsp:rsid wsp:val=&quot;00492275&quot;/&gt;&lt;wsp:rsid wsp:val=&quot;00492397&quot;/&gt;&lt;wsp:rsid wsp:val=&quot;0049261E&quot;/&gt;&lt;wsp:rsid wsp:val=&quot;00492792&quot;/&gt;&lt;wsp:rsid wsp:val=&quot;00493815&quot;/&gt;&lt;wsp:rsid wsp:val=&quot;004938AD&quot;/&gt;&lt;wsp:rsid wsp:val=&quot;0049422B&quot;/&gt;&lt;wsp:rsid wsp:val=&quot;004943A8&quot;/&gt;&lt;wsp:rsid wsp:val=&quot;004945C1&quot;/&gt;&lt;wsp:rsid wsp:val=&quot;00494F77&quot;/&gt;&lt;wsp:rsid wsp:val=&quot;00494FDA&quot;/&gt;&lt;wsp:rsid wsp:val=&quot;00495801&quot;/&gt;&lt;wsp:rsid wsp:val=&quot;00495BAC&quot;/&gt;&lt;wsp:rsid wsp:val=&quot;00495D57&quot;/&gt;&lt;wsp:rsid wsp:val=&quot;00496263&quot;/&gt;&lt;wsp:rsid wsp:val=&quot;004962A3&quot;/&gt;&lt;wsp:rsid wsp:val=&quot;0049677D&quot;/&gt;&lt;wsp:rsid wsp:val=&quot;00496B9D&quot;/&gt;&lt;wsp:rsid wsp:val=&quot;00496D28&quot;/&gt;&lt;wsp:rsid wsp:val=&quot;00496DC1&quot;/&gt;&lt;wsp:rsid wsp:val=&quot;00496DD2&quot;/&gt;&lt;wsp:rsid wsp:val=&quot;00497E46&quot;/&gt;&lt;wsp:rsid wsp:val=&quot;004A0279&quot;/&gt;&lt;wsp:rsid wsp:val=&quot;004A0299&quot;/&gt;&lt;wsp:rsid wsp:val=&quot;004A03D4&quot;/&gt;&lt;wsp:rsid wsp:val=&quot;004A159F&quot;/&gt;&lt;wsp:rsid wsp:val=&quot;004A1ED6&quot;/&gt;&lt;wsp:rsid wsp:val=&quot;004A205B&quot;/&gt;&lt;wsp:rsid wsp:val=&quot;004A219D&quot;/&gt;&lt;wsp:rsid wsp:val=&quot;004A248E&quot;/&gt;&lt;wsp:rsid wsp:val=&quot;004A25EB&quot;/&gt;&lt;wsp:rsid wsp:val=&quot;004A26EE&quot;/&gt;&lt;wsp:rsid wsp:val=&quot;004A29AE&quot;/&gt;&lt;wsp:rsid wsp:val=&quot;004A2AB4&quot;/&gt;&lt;wsp:rsid wsp:val=&quot;004A2B6E&quot;/&gt;&lt;wsp:rsid wsp:val=&quot;004A2E58&quot;/&gt;&lt;wsp:rsid wsp:val=&quot;004A2EB8&quot;/&gt;&lt;wsp:rsid wsp:val=&quot;004A31CA&quot;/&gt;&lt;wsp:rsid wsp:val=&quot;004A3387&quot;/&gt;&lt;wsp:rsid wsp:val=&quot;004A38E2&quot;/&gt;&lt;wsp:rsid wsp:val=&quot;004A3B28&quot;/&gt;&lt;wsp:rsid wsp:val=&quot;004A3C38&quot;/&gt;&lt;wsp:rsid wsp:val=&quot;004A427D&quot;/&gt;&lt;wsp:rsid wsp:val=&quot;004A4733&quot;/&gt;&lt;wsp:rsid wsp:val=&quot;004A4ADC&quot;/&gt;&lt;wsp:rsid wsp:val=&quot;004A5023&quot;/&gt;&lt;wsp:rsid wsp:val=&quot;004A5E72&quot;/&gt;&lt;wsp:rsid wsp:val=&quot;004A69A6&quot;/&gt;&lt;wsp:rsid wsp:val=&quot;004A70F9&quot;/&gt;&lt;wsp:rsid wsp:val=&quot;004A75AC&quot;/&gt;&lt;wsp:rsid wsp:val=&quot;004A7983&quot;/&gt;&lt;wsp:rsid wsp:val=&quot;004A7A03&quot;/&gt;&lt;wsp:rsid wsp:val=&quot;004B07DA&quot;/&gt;&lt;wsp:rsid wsp:val=&quot;004B0D95&quot;/&gt;&lt;wsp:rsid wsp:val=&quot;004B0F48&quot;/&gt;&lt;wsp:rsid wsp:val=&quot;004B165E&quot;/&gt;&lt;wsp:rsid wsp:val=&quot;004B1E42&quot;/&gt;&lt;wsp:rsid wsp:val=&quot;004B2259&quot;/&gt;&lt;wsp:rsid wsp:val=&quot;004B24D0&quot;/&gt;&lt;wsp:rsid wsp:val=&quot;004B34A1&quot;/&gt;&lt;wsp:rsid wsp:val=&quot;004B360E&quot;/&gt;&lt;wsp:rsid wsp:val=&quot;004B3A3E&quot;/&gt;&lt;wsp:rsid wsp:val=&quot;004B3B8D&quot;/&gt;&lt;wsp:rsid wsp:val=&quot;004B3F3F&quot;/&gt;&lt;wsp:rsid wsp:val=&quot;004B4092&quot;/&gt;&lt;wsp:rsid wsp:val=&quot;004B4816&quot;/&gt;&lt;wsp:rsid wsp:val=&quot;004B4C8C&quot;/&gt;&lt;wsp:rsid wsp:val=&quot;004B4FC8&quot;/&gt;&lt;wsp:rsid wsp:val=&quot;004B50A9&quot;/&gt;&lt;wsp:rsid wsp:val=&quot;004B58C6&quot;/&gt;&lt;wsp:rsid wsp:val=&quot;004B5994&quot;/&gt;&lt;wsp:rsid wsp:val=&quot;004B6268&quot;/&gt;&lt;wsp:rsid wsp:val=&quot;004B66CF&quot;/&gt;&lt;wsp:rsid wsp:val=&quot;004B6740&quot;/&gt;&lt;wsp:rsid wsp:val=&quot;004B6B04&quot;/&gt;&lt;wsp:rsid wsp:val=&quot;004B6C86&quot;/&gt;&lt;wsp:rsid wsp:val=&quot;004B6E4A&quot;/&gt;&lt;wsp:rsid wsp:val=&quot;004B72C6&quot;/&gt;&lt;wsp:rsid wsp:val=&quot;004B7514&quot;/&gt;&lt;wsp:rsid wsp:val=&quot;004B76F7&quot;/&gt;&lt;wsp:rsid wsp:val=&quot;004B79CF&quot;/&gt;&lt;wsp:rsid wsp:val=&quot;004B7B24&quot;/&gt;&lt;wsp:rsid wsp:val=&quot;004C093C&quot;/&gt;&lt;wsp:rsid wsp:val=&quot;004C0FE3&quot;/&gt;&lt;wsp:rsid wsp:val=&quot;004C105E&quot;/&gt;&lt;wsp:rsid wsp:val=&quot;004C14C3&quot;/&gt;&lt;wsp:rsid wsp:val=&quot;004C176D&quot;/&gt;&lt;wsp:rsid wsp:val=&quot;004C188F&quot;/&gt;&lt;wsp:rsid wsp:val=&quot;004C19B8&quot;/&gt;&lt;wsp:rsid wsp:val=&quot;004C1BE3&quot;/&gt;&lt;wsp:rsid wsp:val=&quot;004C1BEA&quot;/&gt;&lt;wsp:rsid wsp:val=&quot;004C28A8&quot;/&gt;&lt;wsp:rsid wsp:val=&quot;004C2D37&quot;/&gt;&lt;wsp:rsid wsp:val=&quot;004C3374&quot;/&gt;&lt;wsp:rsid wsp:val=&quot;004C37A6&quot;/&gt;&lt;wsp:rsid wsp:val=&quot;004C3D7E&quot;/&gt;&lt;wsp:rsid wsp:val=&quot;004C3E25&quot;/&gt;&lt;wsp:rsid wsp:val=&quot;004C3F60&quot;/&gt;&lt;wsp:rsid wsp:val=&quot;004C42A2&quot;/&gt;&lt;wsp:rsid wsp:val=&quot;004C43C0&quot;/&gt;&lt;wsp:rsid wsp:val=&quot;004C43E8&quot;/&gt;&lt;wsp:rsid wsp:val=&quot;004C4B4E&quot;/&gt;&lt;wsp:rsid wsp:val=&quot;004C4CA8&quot;/&gt;&lt;wsp:rsid wsp:val=&quot;004C4D7D&quot;/&gt;&lt;wsp:rsid wsp:val=&quot;004C4D9F&quot;/&gt;&lt;wsp:rsid wsp:val=&quot;004C507A&quot;/&gt;&lt;wsp:rsid wsp:val=&quot;004C5662&quot;/&gt;&lt;wsp:rsid wsp:val=&quot;004C5A3F&quot;/&gt;&lt;wsp:rsid wsp:val=&quot;004C60DB&quot;/&gt;&lt;wsp:rsid wsp:val=&quot;004C6AFF&quot;/&gt;&lt;wsp:rsid wsp:val=&quot;004C6B82&quot;/&gt;&lt;wsp:rsid wsp:val=&quot;004C71E5&quot;/&gt;&lt;wsp:rsid wsp:val=&quot;004C75F4&quot;/&gt;&lt;wsp:rsid wsp:val=&quot;004C7794&quot;/&gt;&lt;wsp:rsid wsp:val=&quot;004D02DF&quot;/&gt;&lt;wsp:rsid wsp:val=&quot;004D0737&quot;/&gt;&lt;wsp:rsid wsp:val=&quot;004D101C&quot;/&gt;&lt;wsp:rsid wsp:val=&quot;004D1543&quot;/&gt;&lt;wsp:rsid wsp:val=&quot;004D1D7E&quot;/&gt;&lt;wsp:rsid wsp:val=&quot;004D2B4B&quot;/&gt;&lt;wsp:rsid wsp:val=&quot;004D2B67&quot;/&gt;&lt;wsp:rsid wsp:val=&quot;004D2CF9&quot;/&gt;&lt;wsp:rsid wsp:val=&quot;004D30C8&quot;/&gt;&lt;wsp:rsid wsp:val=&quot;004D3191&quot;/&gt;&lt;wsp:rsid wsp:val=&quot;004D31BF&quot;/&gt;&lt;wsp:rsid wsp:val=&quot;004D379D&quot;/&gt;&lt;wsp:rsid wsp:val=&quot;004D397C&quot;/&gt;&lt;wsp:rsid wsp:val=&quot;004D4108&quot;/&gt;&lt;wsp:rsid wsp:val=&quot;004D436C&quot;/&gt;&lt;wsp:rsid wsp:val=&quot;004D4593&quot;/&gt;&lt;wsp:rsid wsp:val=&quot;004D471C&quot;/&gt;&lt;wsp:rsid wsp:val=&quot;004D4725&quot;/&gt;&lt;wsp:rsid wsp:val=&quot;004D4DE8&quot;/&gt;&lt;wsp:rsid wsp:val=&quot;004D579E&quot;/&gt;&lt;wsp:rsid wsp:val=&quot;004D5B0D&quot;/&gt;&lt;wsp:rsid wsp:val=&quot;004D61D6&quot;/&gt;&lt;wsp:rsid wsp:val=&quot;004D68B1&quot;/&gt;&lt;wsp:rsid wsp:val=&quot;004D6DD6&quot;/&gt;&lt;wsp:rsid wsp:val=&quot;004D76BC&quot;/&gt;&lt;wsp:rsid wsp:val=&quot;004D7A0A&quot;/&gt;&lt;wsp:rsid wsp:val=&quot;004D7AE6&quot;/&gt;&lt;wsp:rsid wsp:val=&quot;004E059E&quot;/&gt;&lt;wsp:rsid wsp:val=&quot;004E1531&quot;/&gt;&lt;wsp:rsid wsp:val=&quot;004E1C24&quot;/&gt;&lt;wsp:rsid wsp:val=&quot;004E276C&quot;/&gt;&lt;wsp:rsid wsp:val=&quot;004E2FF3&quot;/&gt;&lt;wsp:rsid wsp:val=&quot;004E3D03&quot;/&gt;&lt;wsp:rsid wsp:val=&quot;004E4BA9&quot;/&gt;&lt;wsp:rsid wsp:val=&quot;004E4D02&quot;/&gt;&lt;wsp:rsid wsp:val=&quot;004E4F9B&quot;/&gt;&lt;wsp:rsid wsp:val=&quot;004E5A94&quot;/&gt;&lt;wsp:rsid wsp:val=&quot;004E5CFB&quot;/&gt;&lt;wsp:rsid wsp:val=&quot;004E5EC6&quot;/&gt;&lt;wsp:rsid wsp:val=&quot;004E618C&quot;/&gt;&lt;wsp:rsid wsp:val=&quot;004E65A0&quot;/&gt;&lt;wsp:rsid wsp:val=&quot;004E6738&quot;/&gt;&lt;wsp:rsid wsp:val=&quot;004E6992&quot;/&gt;&lt;wsp:rsid wsp:val=&quot;004E6E4A&quot;/&gt;&lt;wsp:rsid wsp:val=&quot;004E7563&quot;/&gt;&lt;wsp:rsid wsp:val=&quot;004F0EDA&quot;/&gt;&lt;wsp:rsid wsp:val=&quot;004F110F&quot;/&gt;&lt;wsp:rsid wsp:val=&quot;004F1393&quot;/&gt;&lt;wsp:rsid wsp:val=&quot;004F1B89&quot;/&gt;&lt;wsp:rsid wsp:val=&quot;004F1BA1&quot;/&gt;&lt;wsp:rsid wsp:val=&quot;004F1D14&quot;/&gt;&lt;wsp:rsid wsp:val=&quot;004F2076&quot;/&gt;&lt;wsp:rsid wsp:val=&quot;004F2150&quot;/&gt;&lt;wsp:rsid wsp:val=&quot;004F222D&quot;/&gt;&lt;wsp:rsid wsp:val=&quot;004F252F&quot;/&gt;&lt;wsp:rsid wsp:val=&quot;004F276B&quot;/&gt;&lt;wsp:rsid wsp:val=&quot;004F27EC&quot;/&gt;&lt;wsp:rsid wsp:val=&quot;004F2ED8&quot;/&gt;&lt;wsp:rsid wsp:val=&quot;004F3978&quot;/&gt;&lt;wsp:rsid wsp:val=&quot;004F3A53&quot;/&gt;&lt;wsp:rsid wsp:val=&quot;004F3BA1&quot;/&gt;&lt;wsp:rsid wsp:val=&quot;004F3F3E&quot;/&gt;&lt;wsp:rsid wsp:val=&quot;004F40BC&quot;/&gt;&lt;wsp:rsid wsp:val=&quot;004F431C&quot;/&gt;&lt;wsp:rsid wsp:val=&quot;004F43A0&quot;/&gt;&lt;wsp:rsid wsp:val=&quot;004F447B&quot;/&gt;&lt;wsp:rsid wsp:val=&quot;004F4680&quot;/&gt;&lt;wsp:rsid wsp:val=&quot;004F4787&quot;/&gt;&lt;wsp:rsid wsp:val=&quot;004F50F5&quot;/&gt;&lt;wsp:rsid wsp:val=&quot;004F5246&quot;/&gt;&lt;wsp:rsid wsp:val=&quot;004F53D9&quot;/&gt;&lt;wsp:rsid wsp:val=&quot;004F62C1&quot;/&gt;&lt;wsp:rsid wsp:val=&quot;004F696E&quot;/&gt;&lt;wsp:rsid wsp:val=&quot;004F6A4F&quot;/&gt;&lt;wsp:rsid wsp:val=&quot;004F6FF7&quot;/&gt;&lt;wsp:rsid wsp:val=&quot;004F7309&quot;/&gt;&lt;wsp:rsid wsp:val=&quot;004F73C8&quot;/&gt;&lt;wsp:rsid wsp:val=&quot;004F74B1&quot;/&gt;&lt;wsp:rsid wsp:val=&quot;004F7667&quot;/&gt;&lt;wsp:rsid wsp:val=&quot;004F7691&quot;/&gt;&lt;wsp:rsid wsp:val=&quot;004F76F9&quot;/&gt;&lt;wsp:rsid wsp:val=&quot;004F7802&quot;/&gt;&lt;wsp:rsid wsp:val=&quot;004F7996&quot;/&gt;&lt;wsp:rsid wsp:val=&quot;004F7F5B&quot;/&gt;&lt;wsp:rsid wsp:val=&quot;005008EF&quot;/&gt;&lt;wsp:rsid wsp:val=&quot;00501012&quot;/&gt;&lt;wsp:rsid wsp:val=&quot;005019E2&quot;/&gt;&lt;wsp:rsid wsp:val=&quot;005027B0&quot;/&gt;&lt;wsp:rsid wsp:val=&quot;0050302B&quot;/&gt;&lt;wsp:rsid wsp:val=&quot;005031AE&quot;/&gt;&lt;wsp:rsid wsp:val=&quot;0050343F&quot;/&gt;&lt;wsp:rsid wsp:val=&quot;005036F4&quot;/&gt;&lt;wsp:rsid wsp:val=&quot;00503B2F&quot;/&gt;&lt;wsp:rsid wsp:val=&quot;00503B72&quot;/&gt;&lt;wsp:rsid wsp:val=&quot;005045BE&quot;/&gt;&lt;wsp:rsid wsp:val=&quot;005051E1&quot;/&gt;&lt;wsp:rsid wsp:val=&quot;0050522E&quot;/&gt;&lt;wsp:rsid wsp:val=&quot;005053A7&quot;/&gt;&lt;wsp:rsid wsp:val=&quot;00505475&quot;/&gt;&lt;wsp:rsid wsp:val=&quot;00505697&quot;/&gt;&lt;wsp:rsid wsp:val=&quot;00506956&quot;/&gt;&lt;wsp:rsid wsp:val=&quot;00506B66&quot;/&gt;&lt;wsp:rsid wsp:val=&quot;00506CE7&quot;/&gt;&lt;wsp:rsid wsp:val=&quot;00506EF7&quot;/&gt;&lt;wsp:rsid wsp:val=&quot;00507656&quot;/&gt;&lt;wsp:rsid wsp:val=&quot;0050778C&quot;/&gt;&lt;wsp:rsid wsp:val=&quot;00507A6C&quot;/&gt;&lt;wsp:rsid wsp:val=&quot;00507DB6&quot;/&gt;&lt;wsp:rsid wsp:val=&quot;005106E7&quot;/&gt;&lt;wsp:rsid wsp:val=&quot;00510DB0&quot;/&gt;&lt;wsp:rsid wsp:val=&quot;00512960&quot;/&gt;&lt;wsp:rsid wsp:val=&quot;00512E5E&quot;/&gt;&lt;wsp:rsid wsp:val=&quot;0051337F&quot;/&gt;&lt;wsp:rsid wsp:val=&quot;005147E0&quot;/&gt;&lt;wsp:rsid wsp:val=&quot;00514850&quot;/&gt;&lt;wsp:rsid wsp:val=&quot;005159CF&quot;/&gt;&lt;wsp:rsid wsp:val=&quot;00515B68&quot;/&gt;&lt;wsp:rsid wsp:val=&quot;00515D3F&quot;/&gt;&lt;wsp:rsid wsp:val=&quot;00516458&quot;/&gt;&lt;wsp:rsid wsp:val=&quot;00516CD7&quot;/&gt;&lt;wsp:rsid wsp:val=&quot;00516F53&quot;/&gt;&lt;wsp:rsid wsp:val=&quot;00516FF3&quot;/&gt;&lt;wsp:rsid wsp:val=&quot;00517A02&quot;/&gt;&lt;wsp:rsid wsp:val=&quot;00517B8B&quot;/&gt;&lt;wsp:rsid wsp:val=&quot;00517C72&quot;/&gt;&lt;wsp:rsid wsp:val=&quot;00517D93&quot;/&gt;&lt;wsp:rsid wsp:val=&quot;005202B9&quot;/&gt;&lt;wsp:rsid wsp:val=&quot;005216B0&quot;/&gt;&lt;wsp:rsid wsp:val=&quot;0052175C&quot;/&gt;&lt;wsp:rsid wsp:val=&quot;0052181C&quot;/&gt;&lt;wsp:rsid wsp:val=&quot;00521D97&quot;/&gt;&lt;wsp:rsid wsp:val=&quot;0052200F&quot;/&gt;&lt;wsp:rsid wsp:val=&quot;005221F9&quot;/&gt;&lt;wsp:rsid wsp:val=&quot;00522983&quot;/&gt;&lt;wsp:rsid wsp:val=&quot;005230F3&quot;/&gt;&lt;wsp:rsid wsp:val=&quot;00523498&quot;/&gt;&lt;wsp:rsid wsp:val=&quot;0052377E&quot;/&gt;&lt;wsp:rsid wsp:val=&quot;00524AB8&quot;/&gt;&lt;wsp:rsid wsp:val=&quot;005259A8&quot;/&gt;&lt;wsp:rsid wsp:val=&quot;00525F7C&quot;/&gt;&lt;wsp:rsid wsp:val=&quot;00526402&quot;/&gt;&lt;wsp:rsid wsp:val=&quot;0052708F&quot;/&gt;&lt;wsp:rsid wsp:val=&quot;0052781A&quot;/&gt;&lt;wsp:rsid wsp:val=&quot;00527F6A&quot;/&gt;&lt;wsp:rsid wsp:val=&quot;005305F3&quot;/&gt;&lt;wsp:rsid wsp:val=&quot;00530F44&quot;/&gt;&lt;wsp:rsid wsp:val=&quot;00531050&quot;/&gt;&lt;wsp:rsid wsp:val=&quot;005317FA&quot;/&gt;&lt;wsp:rsid wsp:val=&quot;005319BA&quot;/&gt;&lt;wsp:rsid wsp:val=&quot;00531E19&quot;/&gt;&lt;wsp:rsid wsp:val=&quot;005321B6&quot;/&gt;&lt;wsp:rsid wsp:val=&quot;005324F9&quot;/&gt;&lt;wsp:rsid wsp:val=&quot;00532E48&quot;/&gt;&lt;wsp:rsid wsp:val=&quot;0053307C&quot;/&gt;&lt;wsp:rsid wsp:val=&quot;005331AF&quot;/&gt;&lt;wsp:rsid wsp:val=&quot;005346A7&quot;/&gt;&lt;wsp:rsid wsp:val=&quot;00535054&quot;/&gt;&lt;wsp:rsid wsp:val=&quot;005352AD&quot;/&gt;&lt;wsp:rsid wsp:val=&quot;005352E3&quot;/&gt;&lt;wsp:rsid wsp:val=&quot;0053550D&quot;/&gt;&lt;wsp:rsid wsp:val=&quot;0053579F&quot;/&gt;&lt;wsp:rsid wsp:val=&quot;00535817&quot;/&gt;&lt;wsp:rsid wsp:val=&quot;00535933&quot;/&gt;&lt;wsp:rsid wsp:val=&quot;005365D4&quot;/&gt;&lt;wsp:rsid wsp:val=&quot;00536ABA&quot;/&gt;&lt;wsp:rsid wsp:val=&quot;00536F40&quot;/&gt;&lt;wsp:rsid wsp:val=&quot;005372C1&quot;/&gt;&lt;wsp:rsid wsp:val=&quot;00537E9E&quot;/&gt;&lt;wsp:rsid wsp:val=&quot;00540AD7&quot;/&gt;&lt;wsp:rsid wsp:val=&quot;00541753&quot;/&gt;&lt;wsp:rsid wsp:val=&quot;0054191D&quot;/&gt;&lt;wsp:rsid wsp:val=&quot;00541CCA&quot;/&gt;&lt;wsp:rsid wsp:val=&quot;00541D44&quot;/&gt;&lt;wsp:rsid wsp:val=&quot;0054203D&quot;/&gt;&lt;wsp:rsid wsp:val=&quot;005421D4&quot;/&gt;&lt;wsp:rsid wsp:val=&quot;00542906&quot;/&gt;&lt;wsp:rsid wsp:val=&quot;0054293A&quot;/&gt;&lt;wsp:rsid wsp:val=&quot;00543570&quot;/&gt;&lt;wsp:rsid wsp:val=&quot;005437AD&quot;/&gt;&lt;wsp:rsid wsp:val=&quot;00543924&quot;/&gt;&lt;wsp:rsid wsp:val=&quot;00543E5C&quot;/&gt;&lt;wsp:rsid wsp:val=&quot;00544B40&quot;/&gt;&lt;wsp:rsid wsp:val=&quot;00544C21&quot;/&gt;&lt;wsp:rsid wsp:val=&quot;00544FDD&quot;/&gt;&lt;wsp:rsid wsp:val=&quot;00545153&quot;/&gt;&lt;wsp:rsid wsp:val=&quot;0054538D&quot;/&gt;&lt;wsp:rsid wsp:val=&quot;005457C5&quot;/&gt;&lt;wsp:rsid wsp:val=&quot;005458E3&quot;/&gt;&lt;wsp:rsid wsp:val=&quot;00545A4D&quot;/&gt;&lt;wsp:rsid wsp:val=&quot;00545D67&quot;/&gt;&lt;wsp:rsid wsp:val=&quot;005460C6&quot;/&gt;&lt;wsp:rsid wsp:val=&quot;00547443&quot;/&gt;&lt;wsp:rsid wsp:val=&quot;0055079F&quot;/&gt;&lt;wsp:rsid wsp:val=&quot;00550A3A&quot;/&gt;&lt;wsp:rsid wsp:val=&quot;00550AA3&quot;/&gt;&lt;wsp:rsid wsp:val=&quot;00550BBE&quot;/&gt;&lt;wsp:rsid wsp:val=&quot;005520FD&quot;/&gt;&lt;wsp:rsid wsp:val=&quot;005524F6&quot;/&gt;&lt;wsp:rsid wsp:val=&quot;00552A21&quot;/&gt;&lt;wsp:rsid wsp:val=&quot;005531AB&quot;/&gt;&lt;wsp:rsid wsp:val=&quot;00553A9E&quot;/&gt;&lt;wsp:rsid wsp:val=&quot;00553D22&quot;/&gt;&lt;wsp:rsid wsp:val=&quot;00554258&quot;/&gt;&lt;wsp:rsid wsp:val=&quot;00554C01&quot;/&gt;&lt;wsp:rsid wsp:val=&quot;00554D02&quot;/&gt;&lt;wsp:rsid wsp:val=&quot;00554E4A&quot;/&gt;&lt;wsp:rsid wsp:val=&quot;00554FC9&quot;/&gt;&lt;wsp:rsid wsp:val=&quot;00555518&quot;/&gt;&lt;wsp:rsid wsp:val=&quot;00556818&quot;/&gt;&lt;wsp:rsid wsp:val=&quot;00556EC1&quot;/&gt;&lt;wsp:rsid wsp:val=&quot;00557610&quot;/&gt;&lt;wsp:rsid wsp:val=&quot;00560114&quot;/&gt;&lt;wsp:rsid wsp:val=&quot;005601E8&quot;/&gt;&lt;wsp:rsid wsp:val=&quot;005603EA&quot;/&gt;&lt;wsp:rsid wsp:val=&quot;005607F6&quot;/&gt;&lt;wsp:rsid wsp:val=&quot;00560D2A&quot;/&gt;&lt;wsp:rsid wsp:val=&quot;00560DCA&quot;/&gt;&lt;wsp:rsid wsp:val=&quot;005611AD&quot;/&gt;&lt;wsp:rsid wsp:val=&quot;0056141B&quot;/&gt;&lt;wsp:rsid wsp:val=&quot;0056154E&quot;/&gt;&lt;wsp:rsid wsp:val=&quot;00561B3E&quot;/&gt;&lt;wsp:rsid wsp:val=&quot;00562285&quot;/&gt;&lt;wsp:rsid wsp:val=&quot;00562517&quot;/&gt;&lt;wsp:rsid wsp:val=&quot;00562DCF&quot;/&gt;&lt;wsp:rsid wsp:val=&quot;00562E0A&quot;/&gt;&lt;wsp:rsid wsp:val=&quot;00563556&quot;/&gt;&lt;wsp:rsid wsp:val=&quot;005635FC&quot;/&gt;&lt;wsp:rsid wsp:val=&quot;005642B8&quot;/&gt;&lt;wsp:rsid wsp:val=&quot;0056495D&quot;/&gt;&lt;wsp:rsid wsp:val=&quot;00565A79&quot;/&gt;&lt;wsp:rsid wsp:val=&quot;00565BBE&quot;/&gt;&lt;wsp:rsid wsp:val=&quot;00565FA9&quot;/&gt;&lt;wsp:rsid wsp:val=&quot;0056629C&quot;/&gt;&lt;wsp:rsid wsp:val=&quot;00566519&quot;/&gt;&lt;wsp:rsid wsp:val=&quot;0056657E&quot;/&gt;&lt;wsp:rsid wsp:val=&quot;005665EB&quot;/&gt;&lt;wsp:rsid wsp:val=&quot;005668BE&quot;/&gt;&lt;wsp:rsid wsp:val=&quot;00566AFF&quot;/&gt;&lt;wsp:rsid wsp:val=&quot;00566E6F&quot;/&gt;&lt;wsp:rsid wsp:val=&quot;005670E9&quot;/&gt;&lt;wsp:rsid wsp:val=&quot;00567866&quot;/&gt;&lt;wsp:rsid wsp:val=&quot;00567BFA&quot;/&gt;&lt;wsp:rsid wsp:val=&quot;00570BAD&quot;/&gt;&lt;wsp:rsid wsp:val=&quot;0057107A&quot;/&gt;&lt;wsp:rsid wsp:val=&quot;00571514&quot;/&gt;&lt;wsp:rsid wsp:val=&quot;005717D4&quot;/&gt;&lt;wsp:rsid wsp:val=&quot;00571C4D&quot;/&gt;&lt;wsp:rsid wsp:val=&quot;00571E47&quot;/&gt;&lt;wsp:rsid wsp:val=&quot;0057286F&quot;/&gt;&lt;wsp:rsid wsp:val=&quot;00572C6A&quot;/&gt;&lt;wsp:rsid wsp:val=&quot;00573012&quot;/&gt;&lt;wsp:rsid wsp:val=&quot;0057339E&quot;/&gt;&lt;wsp:rsid wsp:val=&quot;00573AD0&quot;/&gt;&lt;wsp:rsid wsp:val=&quot;0057411E&quot;/&gt;&lt;wsp:rsid wsp:val=&quot;005742D4&quot;/&gt;&lt;wsp:rsid wsp:val=&quot;0057470E&quot;/&gt;&lt;wsp:rsid wsp:val=&quot;00574D29&quot;/&gt;&lt;wsp:rsid wsp:val=&quot;00575651&quot;/&gt;&lt;wsp:rsid wsp:val=&quot;00575868&quot;/&gt;&lt;wsp:rsid wsp:val=&quot;00575972&quot;/&gt;&lt;wsp:rsid wsp:val=&quot;00575F99&quot;/&gt;&lt;wsp:rsid wsp:val=&quot;00576218&quot;/&gt;&lt;wsp:rsid wsp:val=&quot;00576268&quot;/&gt;&lt;wsp:rsid wsp:val=&quot;00576451&quot;/&gt;&lt;wsp:rsid wsp:val=&quot;005766E8&quot;/&gt;&lt;wsp:rsid wsp:val=&quot;00576796&quot;/&gt;&lt;wsp:rsid wsp:val=&quot;0057719D&quot;/&gt;&lt;wsp:rsid wsp:val=&quot;005774D2&quot;/&gt;&lt;wsp:rsid wsp:val=&quot;00577EA7&quot;/&gt;&lt;wsp:rsid wsp:val=&quot;00577F89&quot;/&gt;&lt;wsp:rsid wsp:val=&quot;00577FD4&quot;/&gt;&lt;wsp:rsid wsp:val=&quot;00580470&quot;/&gt;&lt;wsp:rsid wsp:val=&quot;005816D8&quot;/&gt;&lt;wsp:rsid wsp:val=&quot;005817B6&quot;/&gt;&lt;wsp:rsid wsp:val=&quot;005817B8&quot;/&gt;&lt;wsp:rsid wsp:val=&quot;005818E2&quot;/&gt;&lt;wsp:rsid wsp:val=&quot;00581A75&quot;/&gt;&lt;wsp:rsid wsp:val=&quot;00581B4F&quot;/&gt;&lt;wsp:rsid wsp:val=&quot;00581DE5&quot;/&gt;&lt;wsp:rsid wsp:val=&quot;00581E6B&quot;/&gt;&lt;wsp:rsid wsp:val=&quot;005823AA&quot;/&gt;&lt;wsp:rsid wsp:val=&quot;00582A71&quot;/&gt;&lt;wsp:rsid wsp:val=&quot;00582C4F&quot;/&gt;&lt;wsp:rsid wsp:val=&quot;00583071&quot;/&gt;&lt;wsp:rsid wsp:val=&quot;00583413&quot;/&gt;&lt;wsp:rsid wsp:val=&quot;0058389D&quot;/&gt;&lt;wsp:rsid wsp:val=&quot;00583E01&quot;/&gt;&lt;wsp:rsid wsp:val=&quot;00585962&quot;/&gt;&lt;wsp:rsid wsp:val=&quot;00586086&quot;/&gt;&lt;wsp:rsid wsp:val=&quot;0058640B&quot;/&gt;&lt;wsp:rsid wsp:val=&quot;0058677E&quot;/&gt;&lt;wsp:rsid wsp:val=&quot;00586F7A&quot;/&gt;&lt;wsp:rsid wsp:val=&quot;005871B8&quot;/&gt;&lt;wsp:rsid wsp:val=&quot;00587DF9&quot;/&gt;&lt;wsp:rsid wsp:val=&quot;00587F78&quot;/&gt;&lt;wsp:rsid wsp:val=&quot;00590569&quot;/&gt;&lt;wsp:rsid wsp:val=&quot;0059124A&quot;/&gt;&lt;wsp:rsid wsp:val=&quot;00591A3B&quot;/&gt;&lt;wsp:rsid wsp:val=&quot;00592339&quot;/&gt;&lt;wsp:rsid wsp:val=&quot;005925F4&quot;/&gt;&lt;wsp:rsid wsp:val=&quot;0059300F&quot;/&gt;&lt;wsp:rsid wsp:val=&quot;005935B8&quot;/&gt;&lt;wsp:rsid wsp:val=&quot;00593CFA&quot;/&gt;&lt;wsp:rsid wsp:val=&quot;00594064&quot;/&gt;&lt;wsp:rsid wsp:val=&quot;0059440B&quot;/&gt;&lt;wsp:rsid wsp:val=&quot;00594884&quot;/&gt;&lt;wsp:rsid wsp:val=&quot;00594B7A&quot;/&gt;&lt;wsp:rsid wsp:val=&quot;00594BF4&quot;/&gt;&lt;wsp:rsid wsp:val=&quot;00594CBB&quot;/&gt;&lt;wsp:rsid wsp:val=&quot;00594EAE&quot;/&gt;&lt;wsp:rsid wsp:val=&quot;0059523E&quot;/&gt;&lt;wsp:rsid wsp:val=&quot;00595548&quot;/&gt;&lt;wsp:rsid wsp:val=&quot;0059560F&quot;/&gt;&lt;wsp:rsid wsp:val=&quot;00596318&quot;/&gt;&lt;wsp:rsid wsp:val=&quot;00596BE2&quot;/&gt;&lt;wsp:rsid wsp:val=&quot;00596D1A&quot;/&gt;&lt;wsp:rsid wsp:val=&quot;005A06DB&quot;/&gt;&lt;wsp:rsid wsp:val=&quot;005A0A75&quot;/&gt;&lt;wsp:rsid wsp:val=&quot;005A0D74&quot;/&gt;&lt;wsp:rsid wsp:val=&quot;005A14CF&quot;/&gt;&lt;wsp:rsid wsp:val=&quot;005A1548&quot;/&gt;&lt;wsp:rsid wsp:val=&quot;005A1AC0&quot;/&gt;&lt;wsp:rsid wsp:val=&quot;005A1D93&quot;/&gt;&lt;wsp:rsid wsp:val=&quot;005A2037&quot;/&gt;&lt;wsp:rsid wsp:val=&quot;005A3930&quot;/&gt;&lt;wsp:rsid wsp:val=&quot;005A3B0B&quot;/&gt;&lt;wsp:rsid wsp:val=&quot;005A3B5D&quot;/&gt;&lt;wsp:rsid wsp:val=&quot;005A40AF&quot;/&gt;&lt;wsp:rsid wsp:val=&quot;005A447C&quot;/&gt;&lt;wsp:rsid wsp:val=&quot;005A4666&quot;/&gt;&lt;wsp:rsid wsp:val=&quot;005A4C97&quot;/&gt;&lt;wsp:rsid wsp:val=&quot;005A5539&quot;/&gt;&lt;wsp:rsid wsp:val=&quot;005A556D&quot;/&gt;&lt;wsp:rsid wsp:val=&quot;005A59C2&quot;/&gt;&lt;wsp:rsid wsp:val=&quot;005A62CC&quot;/&gt;&lt;wsp:rsid wsp:val=&quot;005A66D5&quot;/&gt;&lt;wsp:rsid wsp:val=&quot;005A73E7&quot;/&gt;&lt;wsp:rsid wsp:val=&quot;005A74C1&quot;/&gt;&lt;wsp:rsid wsp:val=&quot;005A78DC&quot;/&gt;&lt;wsp:rsid wsp:val=&quot;005A798B&quot;/&gt;&lt;wsp:rsid wsp:val=&quot;005A7C61&quot;/&gt;&lt;wsp:rsid wsp:val=&quot;005B0151&quot;/&gt;&lt;wsp:rsid wsp:val=&quot;005B0161&quot;/&gt;&lt;wsp:rsid wsp:val=&quot;005B0666&quot;/&gt;&lt;wsp:rsid wsp:val=&quot;005B0A12&quot;/&gt;&lt;wsp:rsid wsp:val=&quot;005B0BCC&quot;/&gt;&lt;wsp:rsid wsp:val=&quot;005B0F41&quot;/&gt;&lt;wsp:rsid wsp:val=&quot;005B16F8&quot;/&gt;&lt;wsp:rsid wsp:val=&quot;005B183A&quot;/&gt;&lt;wsp:rsid wsp:val=&quot;005B1FC4&quot;/&gt;&lt;wsp:rsid wsp:val=&quot;005B24F7&quot;/&gt;&lt;wsp:rsid wsp:val=&quot;005B2E38&quot;/&gt;&lt;wsp:rsid wsp:val=&quot;005B2F22&quot;/&gt;&lt;wsp:rsid wsp:val=&quot;005B30B5&quot;/&gt;&lt;wsp:rsid wsp:val=&quot;005B35EC&quot;/&gt;&lt;wsp:rsid wsp:val=&quot;005B388D&quot;/&gt;&lt;wsp:rsid wsp:val=&quot;005B3F5E&quot;/&gt;&lt;wsp:rsid wsp:val=&quot;005B405E&quot;/&gt;&lt;wsp:rsid wsp:val=&quot;005B4E94&quot;/&gt;&lt;wsp:rsid wsp:val=&quot;005B502B&quot;/&gt;&lt;wsp:rsid wsp:val=&quot;005B50D3&quot;/&gt;&lt;wsp:rsid wsp:val=&quot;005B5E70&quot;/&gt;&lt;wsp:rsid wsp:val=&quot;005B5F2B&quot;/&gt;&lt;wsp:rsid wsp:val=&quot;005B60B8&quot;/&gt;&lt;wsp:rsid wsp:val=&quot;005B68AE&quot;/&gt;&lt;wsp:rsid wsp:val=&quot;005B68EA&quot;/&gt;&lt;wsp:rsid wsp:val=&quot;005B6BF2&quot;/&gt;&lt;wsp:rsid wsp:val=&quot;005B6D8C&quot;/&gt;&lt;wsp:rsid wsp:val=&quot;005B7923&quot;/&gt;&lt;wsp:rsid wsp:val=&quot;005B7F18&quot;/&gt;&lt;wsp:rsid wsp:val=&quot;005C0526&quot;/&gt;&lt;wsp:rsid wsp:val=&quot;005C053C&quot;/&gt;&lt;wsp:rsid wsp:val=&quot;005C0982&quot;/&gt;&lt;wsp:rsid wsp:val=&quot;005C09B0&quot;/&gt;&lt;wsp:rsid wsp:val=&quot;005C0AB6&quot;/&gt;&lt;wsp:rsid wsp:val=&quot;005C0E12&quot;/&gt;&lt;wsp:rsid wsp:val=&quot;005C10B7&quot;/&gt;&lt;wsp:rsid wsp:val=&quot;005C1BBF&quot;/&gt;&lt;wsp:rsid wsp:val=&quot;005C225B&quot;/&gt;&lt;wsp:rsid wsp:val=&quot;005C2A6B&quot;/&gt;&lt;wsp:rsid wsp:val=&quot;005C2C66&quot;/&gt;&lt;wsp:rsid wsp:val=&quot;005C2E45&quot;/&gt;&lt;wsp:rsid wsp:val=&quot;005C3437&quot;/&gt;&lt;wsp:rsid wsp:val=&quot;005C3869&quot;/&gt;&lt;wsp:rsid wsp:val=&quot;005C38A4&quot;/&gt;&lt;wsp:rsid wsp:val=&quot;005C3B1B&quot;/&gt;&lt;wsp:rsid wsp:val=&quot;005C462D&quot;/&gt;&lt;wsp:rsid wsp:val=&quot;005C4F55&quot;/&gt;&lt;wsp:rsid wsp:val=&quot;005C68CB&quot;/&gt;&lt;wsp:rsid wsp:val=&quot;005C6901&quot;/&gt;&lt;wsp:rsid wsp:val=&quot;005C6A0A&quot;/&gt;&lt;wsp:rsid wsp:val=&quot;005C6FC8&quot;/&gt;&lt;wsp:rsid wsp:val=&quot;005C71C8&quot;/&gt;&lt;wsp:rsid wsp:val=&quot;005C787D&quot;/&gt;&lt;wsp:rsid wsp:val=&quot;005C7C25&quot;/&gt;&lt;wsp:rsid wsp:val=&quot;005C7ED2&quot;/&gt;&lt;wsp:rsid wsp:val=&quot;005D0099&quot;/&gt;&lt;wsp:rsid wsp:val=&quot;005D038D&quot;/&gt;&lt;wsp:rsid wsp:val=&quot;005D14BF&quot;/&gt;&lt;wsp:rsid wsp:val=&quot;005D18DE&quot;/&gt;&lt;wsp:rsid wsp:val=&quot;005D1910&quot;/&gt;&lt;wsp:rsid wsp:val=&quot;005D24D5&quot;/&gt;&lt;wsp:rsid wsp:val=&quot;005D344E&quot;/&gt;&lt;wsp:rsid wsp:val=&quot;005D4699&quot;/&gt;&lt;wsp:rsid wsp:val=&quot;005D46C1&quot;/&gt;&lt;wsp:rsid wsp:val=&quot;005D4DB4&quot;/&gt;&lt;wsp:rsid wsp:val=&quot;005D5123&quot;/&gt;&lt;wsp:rsid wsp:val=&quot;005D5961&quot;/&gt;&lt;wsp:rsid wsp:val=&quot;005D5BB0&quot;/&gt;&lt;wsp:rsid wsp:val=&quot;005D5C9C&quot;/&gt;&lt;wsp:rsid wsp:val=&quot;005D5F1D&quot;/&gt;&lt;wsp:rsid wsp:val=&quot;005D6BA8&quot;/&gt;&lt;wsp:rsid wsp:val=&quot;005D710E&quot;/&gt;&lt;wsp:rsid wsp:val=&quot;005D7793&quot;/&gt;&lt;wsp:rsid wsp:val=&quot;005D7A29&quot;/&gt;&lt;wsp:rsid wsp:val=&quot;005E00EA&quot;/&gt;&lt;wsp:rsid wsp:val=&quot;005E03C5&quot;/&gt;&lt;wsp:rsid wsp:val=&quot;005E04D6&quot;/&gt;&lt;wsp:rsid wsp:val=&quot;005E062B&quot;/&gt;&lt;wsp:rsid wsp:val=&quot;005E08F1&quot;/&gt;&lt;wsp:rsid wsp:val=&quot;005E0A65&quot;/&gt;&lt;wsp:rsid wsp:val=&quot;005E1779&quot;/&gt;&lt;wsp:rsid wsp:val=&quot;005E1782&quot;/&gt;&lt;wsp:rsid wsp:val=&quot;005E1930&quot;/&gt;&lt;wsp:rsid wsp:val=&quot;005E194B&quot;/&gt;&lt;wsp:rsid wsp:val=&quot;005E1F27&quot;/&gt;&lt;wsp:rsid wsp:val=&quot;005E2307&quot;/&gt;&lt;wsp:rsid wsp:val=&quot;005E241D&quot;/&gt;&lt;wsp:rsid wsp:val=&quot;005E2846&quot;/&gt;&lt;wsp:rsid wsp:val=&quot;005E2AB3&quot;/&gt;&lt;wsp:rsid wsp:val=&quot;005E3228&quot;/&gt;&lt;wsp:rsid wsp:val=&quot;005E3AB2&quot;/&gt;&lt;wsp:rsid wsp:val=&quot;005E3DC5&quot;/&gt;&lt;wsp:rsid wsp:val=&quot;005E3F50&quot;/&gt;&lt;wsp:rsid wsp:val=&quot;005E3FBA&quot;/&gt;&lt;wsp:rsid wsp:val=&quot;005E4E35&quot;/&gt;&lt;wsp:rsid wsp:val=&quot;005E505C&quot;/&gt;&lt;wsp:rsid wsp:val=&quot;005E5167&quot;/&gt;&lt;wsp:rsid wsp:val=&quot;005E59C4&quot;/&gt;&lt;wsp:rsid wsp:val=&quot;005E734E&quot;/&gt;&lt;wsp:rsid wsp:val=&quot;005E7354&quot;/&gt;&lt;wsp:rsid wsp:val=&quot;005E76EC&quot;/&gt;&lt;wsp:rsid wsp:val=&quot;005E7DC1&quot;/&gt;&lt;wsp:rsid wsp:val=&quot;005F0A42&quot;/&gt;&lt;wsp:rsid wsp:val=&quot;005F0B58&quot;/&gt;&lt;wsp:rsid wsp:val=&quot;005F15DD&quot;/&gt;&lt;wsp:rsid wsp:val=&quot;005F18DF&quot;/&gt;&lt;wsp:rsid wsp:val=&quot;005F202C&quot;/&gt;&lt;wsp:rsid wsp:val=&quot;005F24C6&quot;/&gt;&lt;wsp:rsid wsp:val=&quot;005F2F1B&quot;/&gt;&lt;wsp:rsid wsp:val=&quot;005F3032&quot;/&gt;&lt;wsp:rsid wsp:val=&quot;005F3269&quot;/&gt;&lt;wsp:rsid wsp:val=&quot;005F3283&quot;/&gt;&lt;wsp:rsid wsp:val=&quot;005F3949&quot;/&gt;&lt;wsp:rsid wsp:val=&quot;005F496E&quot;/&gt;&lt;wsp:rsid wsp:val=&quot;005F4ABE&quot;/&gt;&lt;wsp:rsid wsp:val=&quot;005F5820&quot;/&gt;&lt;wsp:rsid wsp:val=&quot;005F65BC&quot;/&gt;&lt;wsp:rsid wsp:val=&quot;005F65D2&quot;/&gt;&lt;wsp:rsid wsp:val=&quot;005F7634&quot;/&gt;&lt;wsp:rsid wsp:val=&quot;005F77A7&quot;/&gt;&lt;wsp:rsid wsp:val=&quot;005F7D6F&quot;/&gt;&lt;wsp:rsid wsp:val=&quot;00600A64&quot;/&gt;&lt;wsp:rsid wsp:val=&quot;00600C27&quot;/&gt;&lt;wsp:rsid wsp:val=&quot;0060130D&quot;/&gt;&lt;wsp:rsid wsp:val=&quot;00601614&quot;/&gt;&lt;wsp:rsid wsp:val=&quot;00601D88&quot;/&gt;&lt;wsp:rsid wsp:val=&quot;00602218&quot;/&gt;&lt;wsp:rsid wsp:val=&quot;00602ED0&quot;/&gt;&lt;wsp:rsid wsp:val=&quot;00603052&quot;/&gt;&lt;wsp:rsid wsp:val=&quot;00603101&quot;/&gt;&lt;wsp:rsid wsp:val=&quot;006033D9&quot;/&gt;&lt;wsp:rsid wsp:val=&quot;00603637&quot;/&gt;&lt;wsp:rsid wsp:val=&quot;00603650&quot;/&gt;&lt;wsp:rsid wsp:val=&quot;00603886&quot;/&gt;&lt;wsp:rsid wsp:val=&quot;00603C5D&quot;/&gt;&lt;wsp:rsid wsp:val=&quot;00603FBB&quot;/&gt;&lt;wsp:rsid wsp:val=&quot;00604425&quot;/&gt;&lt;wsp:rsid wsp:val=&quot;00604E8A&quot;/&gt;&lt;wsp:rsid wsp:val=&quot;00605C71&quot;/&gt;&lt;wsp:rsid wsp:val=&quot;006071D1&quot;/&gt;&lt;wsp:rsid wsp:val=&quot;006073D9&quot;/&gt;&lt;wsp:rsid wsp:val=&quot;00607844&quot;/&gt;&lt;wsp:rsid wsp:val=&quot;0060796C&quot;/&gt;&lt;wsp:rsid wsp:val=&quot;00610556&quot;/&gt;&lt;wsp:rsid wsp:val=&quot;00610894&quot;/&gt;&lt;wsp:rsid wsp:val=&quot;00610F60&quot;/&gt;&lt;wsp:rsid wsp:val=&quot;00611100&quot;/&gt;&lt;wsp:rsid wsp:val=&quot;00611194&quot;/&gt;&lt;wsp:rsid wsp:val=&quot;006113DE&quot;/&gt;&lt;wsp:rsid wsp:val=&quot;006115EF&quot;/&gt;&lt;wsp:rsid wsp:val=&quot;0061163E&quot;/&gt;&lt;wsp:rsid wsp:val=&quot;0061172C&quot;/&gt;&lt;wsp:rsid wsp:val=&quot;006118E9&quot;/&gt;&lt;wsp:rsid wsp:val=&quot;00612316&quot;/&gt;&lt;wsp:rsid wsp:val=&quot;006124C1&quot;/&gt;&lt;wsp:rsid wsp:val=&quot;00612CB0&quot;/&gt;&lt;wsp:rsid wsp:val=&quot;00612EF3&quot;/&gt;&lt;wsp:rsid wsp:val=&quot;00613D92&quot;/&gt;&lt;wsp:rsid wsp:val=&quot;00615592&quot;/&gt;&lt;wsp:rsid wsp:val=&quot;006155AA&quot;/&gt;&lt;wsp:rsid wsp:val=&quot;00615DC5&quot;/&gt;&lt;wsp:rsid wsp:val=&quot;00615F90&quot;/&gt;&lt;wsp:rsid wsp:val=&quot;0061709E&quot;/&gt;&lt;wsp:rsid wsp:val=&quot;006174DC&quot;/&gt;&lt;wsp:rsid wsp:val=&quot;00617790&quot;/&gt;&lt;wsp:rsid wsp:val=&quot;0062097F&quot;/&gt;&lt;wsp:rsid wsp:val=&quot;00621165&quot;/&gt;&lt;wsp:rsid wsp:val=&quot;00621DB5&quot;/&gt;&lt;wsp:rsid wsp:val=&quot;00624500&quot;/&gt;&lt;wsp:rsid wsp:val=&quot;00624644&quot;/&gt;&lt;wsp:rsid wsp:val=&quot;00624808&quot;/&gt;&lt;wsp:rsid wsp:val=&quot;0062487B&quot;/&gt;&lt;wsp:rsid wsp:val=&quot;00624934&quot;/&gt;&lt;wsp:rsid wsp:val=&quot;00624EB0&quot;/&gt;&lt;wsp:rsid wsp:val=&quot;006250EE&quot;/&gt;&lt;wsp:rsid wsp:val=&quot;0062562C&quot;/&gt;&lt;wsp:rsid wsp:val=&quot;00625A38&quot;/&gt;&lt;wsp:rsid wsp:val=&quot;00625BFE&quot;/&gt;&lt;wsp:rsid wsp:val=&quot;00625D28&quot;/&gt;&lt;wsp:rsid wsp:val=&quot;00626211&quot;/&gt;&lt;wsp:rsid wsp:val=&quot;006269F9&quot;/&gt;&lt;wsp:rsid wsp:val=&quot;00626B45&quot;/&gt;&lt;wsp:rsid wsp:val=&quot;0062714E&quot;/&gt;&lt;wsp:rsid wsp:val=&quot;00627295&quot;/&gt;&lt;wsp:rsid wsp:val=&quot;00627DE3&quot;/&gt;&lt;wsp:rsid wsp:val=&quot;0063024B&quot;/&gt;&lt;wsp:rsid wsp:val=&quot;00630691&quot;/&gt;&lt;wsp:rsid wsp:val=&quot;00631A79&quot;/&gt;&lt;wsp:rsid wsp:val=&quot;00631D1B&quot;/&gt;&lt;wsp:rsid wsp:val=&quot;00631DA6&quot;/&gt;&lt;wsp:rsid wsp:val=&quot;00631E2A&quot;/&gt;&lt;wsp:rsid wsp:val=&quot;006320DF&quot;/&gt;&lt;wsp:rsid wsp:val=&quot;00632161&quot;/&gt;&lt;wsp:rsid wsp:val=&quot;006329BD&quot;/&gt;&lt;wsp:rsid wsp:val=&quot;00632BF7&quot;/&gt;&lt;wsp:rsid wsp:val=&quot;00634445&quot;/&gt;&lt;wsp:rsid wsp:val=&quot;00634E2A&quot;/&gt;&lt;wsp:rsid wsp:val=&quot;00634E7D&quot;/&gt;&lt;wsp:rsid wsp:val=&quot;00635927&quot;/&gt;&lt;wsp:rsid wsp:val=&quot;006365B8&quot;/&gt;&lt;wsp:rsid wsp:val=&quot;00637394&quot;/&gt;&lt;wsp:rsid wsp:val=&quot;00637814&quot;/&gt;&lt;wsp:rsid wsp:val=&quot;0064044E&quot;/&gt;&lt;wsp:rsid wsp:val=&quot;006406A3&quot;/&gt;&lt;wsp:rsid wsp:val=&quot;006406B8&quot;/&gt;&lt;wsp:rsid wsp:val=&quot;0064130E&quot;/&gt;&lt;wsp:rsid wsp:val=&quot;00641735&quot;/&gt;&lt;wsp:rsid wsp:val=&quot;00641905&quot;/&gt;&lt;wsp:rsid wsp:val=&quot;00641A19&quot;/&gt;&lt;wsp:rsid wsp:val=&quot;00641D4B&quot;/&gt;&lt;wsp:rsid wsp:val=&quot;00642177&quot;/&gt;&lt;wsp:rsid wsp:val=&quot;00642443&quot;/&gt;&lt;wsp:rsid wsp:val=&quot;00642BF8&quot;/&gt;&lt;wsp:rsid wsp:val=&quot;00642FD5&quot;/&gt;&lt;wsp:rsid wsp:val=&quot;006430AA&quot;/&gt;&lt;wsp:rsid wsp:val=&quot;0064370D&quot;/&gt;&lt;wsp:rsid wsp:val=&quot;006448A0&quot;/&gt;&lt;wsp:rsid wsp:val=&quot;00645BC7&quot;/&gt;&lt;wsp:rsid wsp:val=&quot;00645E22&quot;/&gt;&lt;wsp:rsid wsp:val=&quot;006460FA&quot;/&gt;&lt;wsp:rsid wsp:val=&quot;0064619C&quot;/&gt;&lt;wsp:rsid wsp:val=&quot;00646522&quot;/&gt;&lt;wsp:rsid wsp:val=&quot;00646AB1&quot;/&gt;&lt;wsp:rsid wsp:val=&quot;00646EE5&quot;/&gt;&lt;wsp:rsid wsp:val=&quot;006470B4&quot;/&gt;&lt;wsp:rsid wsp:val=&quot;006473E8&quot;/&gt;&lt;wsp:rsid wsp:val=&quot;006479D9&quot;/&gt;&lt;wsp:rsid wsp:val=&quot;00647E03&quot;/&gt;&lt;wsp:rsid wsp:val=&quot;0065025D&quot;/&gt;&lt;wsp:rsid wsp:val=&quot;006505D0&quot;/&gt;&lt;wsp:rsid wsp:val=&quot;006509E8&quot;/&gt;&lt;wsp:rsid wsp:val=&quot;006510CF&quot;/&gt;&lt;wsp:rsid wsp:val=&quot;006513F0&quot;/&gt;&lt;wsp:rsid wsp:val=&quot;006515B2&quot;/&gt;&lt;wsp:rsid wsp:val=&quot;0065172D&quot;/&gt;&lt;wsp:rsid wsp:val=&quot;00651751&quot;/&gt;&lt;wsp:rsid wsp:val=&quot;00651F99&quot;/&gt;&lt;wsp:rsid wsp:val=&quot;006523C3&quot;/&gt;&lt;wsp:rsid wsp:val=&quot;0065244B&quot;/&gt;&lt;wsp:rsid wsp:val=&quot;006536C5&quot;/&gt;&lt;wsp:rsid wsp:val=&quot;00653B23&quot;/&gt;&lt;wsp:rsid wsp:val=&quot;00653F22&quot;/&gt;&lt;wsp:rsid wsp:val=&quot;00654420&quot;/&gt;&lt;wsp:rsid wsp:val=&quot;00654EDC&quot;/&gt;&lt;wsp:rsid wsp:val=&quot;006550A8&quot;/&gt;&lt;wsp:rsid wsp:val=&quot;00655EB9&quot;/&gt;&lt;wsp:rsid wsp:val=&quot;00655FE2&quot;/&gt;&lt;wsp:rsid wsp:val=&quot;00656CBE&quot;/&gt;&lt;wsp:rsid wsp:val=&quot;00656E2E&quot;/&gt;&lt;wsp:rsid wsp:val=&quot;00656F10&quot;/&gt;&lt;wsp:rsid wsp:val=&quot;00657066&quot;/&gt;&lt;wsp:rsid wsp:val=&quot;00657094&quot;/&gt;&lt;wsp:rsid wsp:val=&quot;006570F7&quot;/&gt;&lt;wsp:rsid wsp:val=&quot;0065725F&quot;/&gt;&lt;wsp:rsid wsp:val=&quot;006577D2&quot;/&gt;&lt;wsp:rsid wsp:val=&quot;00657AEE&quot;/&gt;&lt;wsp:rsid wsp:val=&quot;00657CDB&quot;/&gt;&lt;wsp:rsid wsp:val=&quot;00660094&quot;/&gt;&lt;wsp:rsid wsp:val=&quot;00660DCE&quot;/&gt;&lt;wsp:rsid wsp:val=&quot;006615D0&quot;/&gt;&lt;wsp:rsid wsp:val=&quot;00661890&quot;/&gt;&lt;wsp:rsid wsp:val=&quot;00662A17&quot;/&gt;&lt;wsp:rsid wsp:val=&quot;00662D05&quot;/&gt;&lt;wsp:rsid wsp:val=&quot;00662D0A&quot;/&gt;&lt;wsp:rsid wsp:val=&quot;00662D7A&quot;/&gt;&lt;wsp:rsid wsp:val=&quot;006645B4&quot;/&gt;&lt;wsp:rsid wsp:val=&quot;0066492E&quot;/&gt;&lt;wsp:rsid wsp:val=&quot;006660AD&quot;/&gt;&lt;wsp:rsid wsp:val=&quot;0066697E&quot;/&gt;&lt;wsp:rsid wsp:val=&quot;00670026&quot;/&gt;&lt;wsp:rsid wsp:val=&quot;00670384&quot;/&gt;&lt;wsp:rsid wsp:val=&quot;006704FA&quot;/&gt;&lt;wsp:rsid wsp:val=&quot;00672BE5&quot;/&gt;&lt;wsp:rsid wsp:val=&quot;00672C94&quot;/&gt;&lt;wsp:rsid wsp:val=&quot;00672E5D&quot;/&gt;&lt;wsp:rsid wsp:val=&quot;0067363C&quot;/&gt;&lt;wsp:rsid wsp:val=&quot;006736CD&quot;/&gt;&lt;wsp:rsid wsp:val=&quot;0067372B&quot;/&gt;&lt;wsp:rsid wsp:val=&quot;0067383B&quot;/&gt;&lt;wsp:rsid wsp:val=&quot;006739E3&quot;/&gt;&lt;wsp:rsid wsp:val=&quot;00673C9F&quot;/&gt;&lt;wsp:rsid wsp:val=&quot;00674788&quot;/&gt;&lt;wsp:rsid wsp:val=&quot;006748EE&quot;/&gt;&lt;wsp:rsid wsp:val=&quot;0067492D&quot;/&gt;&lt;wsp:rsid wsp:val=&quot;00674AC1&quot;/&gt;&lt;wsp:rsid wsp:val=&quot;00674B99&quot;/&gt;&lt;wsp:rsid wsp:val=&quot;0067611F&quot;/&gt;&lt;wsp:rsid wsp:val=&quot;00676315&quot;/&gt;&lt;wsp:rsid wsp:val=&quot;0067664A&quot;/&gt;&lt;wsp:rsid wsp:val=&quot;00676E91&quot;/&gt;&lt;wsp:rsid wsp:val=&quot;00677708&quot;/&gt;&lt;wsp:rsid wsp:val=&quot;006779FD&quot;/&gt;&lt;wsp:rsid wsp:val=&quot;006804DF&quot;/&gt;&lt;wsp:rsid wsp:val=&quot;0068089A&quot;/&gt;&lt;wsp:rsid wsp:val=&quot;0068148B&quot;/&gt;&lt;wsp:rsid wsp:val=&quot;006817E6&quot;/&gt;&lt;wsp:rsid wsp:val=&quot;006819DC&quot;/&gt;&lt;wsp:rsid wsp:val=&quot;00681A31&quot;/&gt;&lt;wsp:rsid wsp:val=&quot;00681B59&quot;/&gt;&lt;wsp:rsid wsp:val=&quot;00682161&quot;/&gt;&lt;wsp:rsid wsp:val=&quot;006821DF&quot;/&gt;&lt;wsp:rsid wsp:val=&quot;006825B7&quot;/&gt;&lt;wsp:rsid wsp:val=&quot;00682B51&quot;/&gt;&lt;wsp:rsid wsp:val=&quot;00683718&quot;/&gt;&lt;wsp:rsid wsp:val=&quot;00684582&quot;/&gt;&lt;wsp:rsid wsp:val=&quot;0068495E&quot;/&gt;&lt;wsp:rsid wsp:val=&quot;00684BA4&quot;/&gt;&lt;wsp:rsid wsp:val=&quot;00686A5B&quot;/&gt;&lt;wsp:rsid wsp:val=&quot;00686B56&quot;/&gt;&lt;wsp:rsid wsp:val=&quot;00686C09&quot;/&gt;&lt;wsp:rsid wsp:val=&quot;00687115&quot;/&gt;&lt;wsp:rsid wsp:val=&quot;006902FC&quot;/&gt;&lt;wsp:rsid wsp:val=&quot;006906B5&quot;/&gt;&lt;wsp:rsid wsp:val=&quot;0069086E&quot;/&gt;&lt;wsp:rsid wsp:val=&quot;0069107C&quot;/&gt;&lt;wsp:rsid wsp:val=&quot;00691891&quot;/&gt;&lt;wsp:rsid wsp:val=&quot;006920D9&quot;/&gt;&lt;wsp:rsid wsp:val=&quot;0069245F&quot;/&gt;&lt;wsp:rsid wsp:val=&quot;0069282B&quot;/&gt;&lt;wsp:rsid wsp:val=&quot;00692DFC&quot;/&gt;&lt;wsp:rsid wsp:val=&quot;00693CAA&quot;/&gt;&lt;wsp:rsid wsp:val=&quot;00693F24&quot;/&gt;&lt;wsp:rsid wsp:val=&quot;006940EC&quot;/&gt;&lt;wsp:rsid wsp:val=&quot;006944F8&quot;/&gt;&lt;wsp:rsid wsp:val=&quot;00694571&quot;/&gt;&lt;wsp:rsid wsp:val=&quot;00694D83&quot;/&gt;&lt;wsp:rsid wsp:val=&quot;0069513E&quot;/&gt;&lt;wsp:rsid wsp:val=&quot;00695276&quot;/&gt;&lt;wsp:rsid wsp:val=&quot;00695B7E&quot;/&gt;&lt;wsp:rsid wsp:val=&quot;00695F61&quot;/&gt;&lt;wsp:rsid wsp:val=&quot;006960FA&quot;/&gt;&lt;wsp:rsid wsp:val=&quot;0069632B&quot;/&gt;&lt;wsp:rsid wsp:val=&quot;006967F2&quot;/&gt;&lt;wsp:rsid wsp:val=&quot;00696B3C&quot;/&gt;&lt;wsp:rsid wsp:val=&quot;00697C4C&quot;/&gt;&lt;wsp:rsid wsp:val=&quot;006A01E7&quot;/&gt;&lt;wsp:rsid wsp:val=&quot;006A0BD1&quot;/&gt;&lt;wsp:rsid wsp:val=&quot;006A0EBB&quot;/&gt;&lt;wsp:rsid wsp:val=&quot;006A30C8&quot;/&gt;&lt;wsp:rsid wsp:val=&quot;006A3427&quot;/&gt;&lt;wsp:rsid wsp:val=&quot;006A3DC7&quot;/&gt;&lt;wsp:rsid wsp:val=&quot;006A3FCD&quot;/&gt;&lt;wsp:rsid wsp:val=&quot;006A400B&quot;/&gt;&lt;wsp:rsid wsp:val=&quot;006A411C&quot;/&gt;&lt;wsp:rsid wsp:val=&quot;006A44DA&quot;/&gt;&lt;wsp:rsid wsp:val=&quot;006A4773&quot;/&gt;&lt;wsp:rsid wsp:val=&quot;006A4934&quot;/&gt;&lt;wsp:rsid wsp:val=&quot;006A4B21&quot;/&gt;&lt;wsp:rsid wsp:val=&quot;006A4FBD&quot;/&gt;&lt;wsp:rsid wsp:val=&quot;006A5395&quot;/&gt;&lt;wsp:rsid wsp:val=&quot;006A5624&quot;/&gt;&lt;wsp:rsid wsp:val=&quot;006A5CC9&quot;/&gt;&lt;wsp:rsid wsp:val=&quot;006A6372&quot;/&gt;&lt;wsp:rsid wsp:val=&quot;006A6EBB&quot;/&gt;&lt;wsp:rsid wsp:val=&quot;006A7DA9&quot;/&gt;&lt;wsp:rsid wsp:val=&quot;006B02AF&quot;/&gt;&lt;wsp:rsid wsp:val=&quot;006B0CA2&quot;/&gt;&lt;wsp:rsid wsp:val=&quot;006B0F37&quot;/&gt;&lt;wsp:rsid wsp:val=&quot;006B1081&quot;/&gt;&lt;wsp:rsid wsp:val=&quot;006B15B7&quot;/&gt;&lt;wsp:rsid wsp:val=&quot;006B2BDA&quot;/&gt;&lt;wsp:rsid wsp:val=&quot;006B3754&quot;/&gt;&lt;wsp:rsid wsp:val=&quot;006B3B32&quot;/&gt;&lt;wsp:rsid wsp:val=&quot;006B3EA0&quot;/&gt;&lt;wsp:rsid wsp:val=&quot;006B4ADB&quot;/&gt;&lt;wsp:rsid wsp:val=&quot;006B4B58&quot;/&gt;&lt;wsp:rsid wsp:val=&quot;006B4B7F&quot;/&gt;&lt;wsp:rsid wsp:val=&quot;006B4CD9&quot;/&gt;&lt;wsp:rsid wsp:val=&quot;006B531E&quot;/&gt;&lt;wsp:rsid wsp:val=&quot;006B570F&quot;/&gt;&lt;wsp:rsid wsp:val=&quot;006B603E&quot;/&gt;&lt;wsp:rsid wsp:val=&quot;006B6382&quot;/&gt;&lt;wsp:rsid wsp:val=&quot;006B689E&quot;/&gt;&lt;wsp:rsid wsp:val=&quot;006B7EB3&quot;/&gt;&lt;wsp:rsid wsp:val=&quot;006C00B1&quot;/&gt;&lt;wsp:rsid wsp:val=&quot;006C0539&quot;/&gt;&lt;wsp:rsid wsp:val=&quot;006C14FE&quot;/&gt;&lt;wsp:rsid wsp:val=&quot;006C15D5&quot;/&gt;&lt;wsp:rsid wsp:val=&quot;006C20D2&quot;/&gt;&lt;wsp:rsid wsp:val=&quot;006C21D0&quot;/&gt;&lt;wsp:rsid wsp:val=&quot;006C24A6&quot;/&gt;&lt;wsp:rsid wsp:val=&quot;006C2543&quot;/&gt;&lt;wsp:rsid wsp:val=&quot;006C2608&quot;/&gt;&lt;wsp:rsid wsp:val=&quot;006C2DCE&quot;/&gt;&lt;wsp:rsid wsp:val=&quot;006C3631&quot;/&gt;&lt;wsp:rsid wsp:val=&quot;006C3650&quot;/&gt;&lt;wsp:rsid wsp:val=&quot;006C378A&quot;/&gt;&lt;wsp:rsid wsp:val=&quot;006C3B1B&quot;/&gt;&lt;wsp:rsid wsp:val=&quot;006C3B1C&quot;/&gt;&lt;wsp:rsid wsp:val=&quot;006C3F7B&quot;/&gt;&lt;wsp:rsid wsp:val=&quot;006C4BDE&quot;/&gt;&lt;wsp:rsid wsp:val=&quot;006C4C32&quot;/&gt;&lt;wsp:rsid wsp:val=&quot;006C4C72&quot;/&gt;&lt;wsp:rsid wsp:val=&quot;006C536F&quot;/&gt;&lt;wsp:rsid wsp:val=&quot;006C5D9B&quot;/&gt;&lt;wsp:rsid wsp:val=&quot;006C5FDA&quot;/&gt;&lt;wsp:rsid wsp:val=&quot;006C60F5&quot;/&gt;&lt;wsp:rsid wsp:val=&quot;006C6586&quot;/&gt;&lt;wsp:rsid wsp:val=&quot;006C69F0&quot;/&gt;&lt;wsp:rsid wsp:val=&quot;006C6A68&quot;/&gt;&lt;wsp:rsid wsp:val=&quot;006C6B68&quot;/&gt;&lt;wsp:rsid wsp:val=&quot;006C6BDB&quot;/&gt;&lt;wsp:rsid wsp:val=&quot;006C75E9&quot;/&gt;&lt;wsp:rsid wsp:val=&quot;006D01E9&quot;/&gt;&lt;wsp:rsid wsp:val=&quot;006D0522&quot;/&gt;&lt;wsp:rsid wsp:val=&quot;006D11FA&quot;/&gt;&lt;wsp:rsid wsp:val=&quot;006D1707&quot;/&gt;&lt;wsp:rsid wsp:val=&quot;006D1901&quot;/&gt;&lt;wsp:rsid wsp:val=&quot;006D1A02&quot;/&gt;&lt;wsp:rsid wsp:val=&quot;006D1EE2&quot;/&gt;&lt;wsp:rsid wsp:val=&quot;006D1FCF&quot;/&gt;&lt;wsp:rsid wsp:val=&quot;006D2C03&quot;/&gt;&lt;wsp:rsid wsp:val=&quot;006D2EB4&quot;/&gt;&lt;wsp:rsid wsp:val=&quot;006D306F&quot;/&gt;&lt;wsp:rsid wsp:val=&quot;006D3645&quot;/&gt;&lt;wsp:rsid wsp:val=&quot;006D36F9&quot;/&gt;&lt;wsp:rsid wsp:val=&quot;006D3D81&quot;/&gt;&lt;wsp:rsid wsp:val=&quot;006D3F33&quot;/&gt;&lt;wsp:rsid wsp:val=&quot;006D5822&quot;/&gt;&lt;wsp:rsid wsp:val=&quot;006D619D&quot;/&gt;&lt;wsp:rsid wsp:val=&quot;006D64FD&quot;/&gt;&lt;wsp:rsid wsp:val=&quot;006D65ED&quot;/&gt;&lt;wsp:rsid wsp:val=&quot;006D6A30&quot;/&gt;&lt;wsp:rsid wsp:val=&quot;006D6A61&quot;/&gt;&lt;wsp:rsid wsp:val=&quot;006D6A73&quot;/&gt;&lt;wsp:rsid wsp:val=&quot;006D73E7&quot;/&gt;&lt;wsp:rsid wsp:val=&quot;006D7654&quot;/&gt;&lt;wsp:rsid wsp:val=&quot;006D7701&quot;/&gt;&lt;wsp:rsid wsp:val=&quot;006D7DC8&quot;/&gt;&lt;wsp:rsid wsp:val=&quot;006E0753&quot;/&gt;&lt;wsp:rsid wsp:val=&quot;006E0B65&quot;/&gt;&lt;wsp:rsid wsp:val=&quot;006E0E67&quot;/&gt;&lt;wsp:rsid wsp:val=&quot;006E1492&quot;/&gt;&lt;wsp:rsid wsp:val=&quot;006E230D&quot;/&gt;&lt;wsp:rsid wsp:val=&quot;006E2C90&quot;/&gt;&lt;wsp:rsid wsp:val=&quot;006E30F4&quot;/&gt;&lt;wsp:rsid wsp:val=&quot;006E3D0F&quot;/&gt;&lt;wsp:rsid wsp:val=&quot;006E3F75&quot;/&gt;&lt;wsp:rsid wsp:val=&quot;006E426D&quot;/&gt;&lt;wsp:rsid wsp:val=&quot;006E4432&quot;/&gt;&lt;wsp:rsid wsp:val=&quot;006E458B&quot;/&gt;&lt;wsp:rsid wsp:val=&quot;006E5EBA&quot;/&gt;&lt;wsp:rsid wsp:val=&quot;006E644C&quot;/&gt;&lt;wsp:rsid wsp:val=&quot;006E6490&quot;/&gt;&lt;wsp:rsid wsp:val=&quot;006E6741&quot;/&gt;&lt;wsp:rsid wsp:val=&quot;006E694E&quot;/&gt;&lt;wsp:rsid wsp:val=&quot;006E6A4E&quot;/&gt;&lt;wsp:rsid wsp:val=&quot;006E6DCF&quot;/&gt;&lt;wsp:rsid wsp:val=&quot;006E6F11&quot;/&gt;&lt;wsp:rsid wsp:val=&quot;006E7211&quot;/&gt;&lt;wsp:rsid wsp:val=&quot;006F08D6&quot;/&gt;&lt;wsp:rsid wsp:val=&quot;006F0F8B&quot;/&gt;&lt;wsp:rsid wsp:val=&quot;006F1010&quot;/&gt;&lt;wsp:rsid wsp:val=&quot;006F11E6&quot;/&gt;&lt;wsp:rsid wsp:val=&quot;006F1AB9&quot;/&gt;&lt;wsp:rsid wsp:val=&quot;006F1D6B&quot;/&gt;&lt;wsp:rsid wsp:val=&quot;006F1E8C&quot;/&gt;&lt;wsp:rsid wsp:val=&quot;006F2B78&quot;/&gt;&lt;wsp:rsid wsp:val=&quot;006F3877&quot;/&gt;&lt;wsp:rsid wsp:val=&quot;006F38C5&quot;/&gt;&lt;wsp:rsid wsp:val=&quot;006F3B68&quot;/&gt;&lt;wsp:rsid wsp:val=&quot;006F3E3C&quot;/&gt;&lt;wsp:rsid wsp:val=&quot;006F4065&quot;/&gt;&lt;wsp:rsid wsp:val=&quot;006F4066&quot;/&gt;&lt;wsp:rsid wsp:val=&quot;006F4227&quot;/&gt;&lt;wsp:rsid wsp:val=&quot;006F43FF&quot;/&gt;&lt;wsp:rsid wsp:val=&quot;006F4493&quot;/&gt;&lt;wsp:rsid wsp:val=&quot;006F4674&quot;/&gt;&lt;wsp:rsid wsp:val=&quot;006F4832&quot;/&gt;&lt;wsp:rsid wsp:val=&quot;006F4DFB&quot;/&gt;&lt;wsp:rsid wsp:val=&quot;006F51BD&quot;/&gt;&lt;wsp:rsid wsp:val=&quot;006F56B3&quot;/&gt;&lt;wsp:rsid wsp:val=&quot;006F5D1F&quot;/&gt;&lt;wsp:rsid wsp:val=&quot;006F68A2&quot;/&gt;&lt;wsp:rsid wsp:val=&quot;006F6D48&quot;/&gt;&lt;wsp:rsid wsp:val=&quot;006F6DE0&quot;/&gt;&lt;wsp:rsid wsp:val=&quot;00700170&quot;/&gt;&lt;wsp:rsid wsp:val=&quot;00700335&quot;/&gt;&lt;wsp:rsid wsp:val=&quot;0070061E&quot;/&gt;&lt;wsp:rsid wsp:val=&quot;00700626&quot;/&gt;&lt;wsp:rsid wsp:val=&quot;00700A96&quot;/&gt;&lt;wsp:rsid wsp:val=&quot;00700CD7&quot;/&gt;&lt;wsp:rsid wsp:val=&quot;00702E49&quot;/&gt;&lt;wsp:rsid wsp:val=&quot;00703329&quot;/&gt;&lt;wsp:rsid wsp:val=&quot;00703565&quot;/&gt;&lt;wsp:rsid wsp:val=&quot;007039E8&quot;/&gt;&lt;wsp:rsid wsp:val=&quot;007040D8&quot;/&gt;&lt;wsp:rsid wsp:val=&quot;0070560C&quot;/&gt;&lt;wsp:rsid wsp:val=&quot;00705CC4&quot;/&gt;&lt;wsp:rsid wsp:val=&quot;00705F12&quot;/&gt;&lt;wsp:rsid wsp:val=&quot;00705FA2&quot;/&gt;&lt;wsp:rsid wsp:val=&quot;0070626C&quot;/&gt;&lt;wsp:rsid wsp:val=&quot;007065BA&quot;/&gt;&lt;wsp:rsid wsp:val=&quot;00706857&quot;/&gt;&lt;wsp:rsid wsp:val=&quot;00706B68&quot;/&gt;&lt;wsp:rsid wsp:val=&quot;00706BBA&quot;/&gt;&lt;wsp:rsid wsp:val=&quot;007075B5&quot;/&gt;&lt;wsp:rsid wsp:val=&quot;00707989&quot;/&gt;&lt;wsp:rsid wsp:val=&quot;00710277&quot;/&gt;&lt;wsp:rsid wsp:val=&quot;00710633&quot;/&gt;&lt;wsp:rsid wsp:val=&quot;00710E8C&quot;/&gt;&lt;wsp:rsid wsp:val=&quot;00710F1E&quot;/&gt;&lt;wsp:rsid wsp:val=&quot;00711B4E&quot;/&gt;&lt;wsp:rsid wsp:val=&quot;0071388B&quot;/&gt;&lt;wsp:rsid wsp:val=&quot;00713930&quot;/&gt;&lt;wsp:rsid wsp:val=&quot;007140C0&quot;/&gt;&lt;wsp:rsid wsp:val=&quot;00714710&quot;/&gt;&lt;wsp:rsid wsp:val=&quot;007147CB&quot;/&gt;&lt;wsp:rsid wsp:val=&quot;00714CA2&quot;/&gt;&lt;wsp:rsid wsp:val=&quot;00715174&quot;/&gt;&lt;wsp:rsid wsp:val=&quot;00715267&quot;/&gt;&lt;wsp:rsid wsp:val=&quot;00715720&quot;/&gt;&lt;wsp:rsid wsp:val=&quot;00715A65&quot;/&gt;&lt;wsp:rsid wsp:val=&quot;00715DC5&quot;/&gt;&lt;wsp:rsid wsp:val=&quot;00716492&quot;/&gt;&lt;wsp:rsid wsp:val=&quot;00716583&quot;/&gt;&lt;wsp:rsid wsp:val=&quot;0071683B&quot;/&gt;&lt;wsp:rsid wsp:val=&quot;00716EC1&quot;/&gt;&lt;wsp:rsid wsp:val=&quot;00717936&quot;/&gt;&lt;wsp:rsid wsp:val=&quot;00717F9A&quot;/&gt;&lt;wsp:rsid wsp:val=&quot;007200F1&quot;/&gt;&lt;wsp:rsid wsp:val=&quot;00720217&quot;/&gt;&lt;wsp:rsid wsp:val=&quot;00720386&quot;/&gt;&lt;wsp:rsid wsp:val=&quot;007206FD&quot;/&gt;&lt;wsp:rsid wsp:val=&quot;007209C1&quot;/&gt;&lt;wsp:rsid wsp:val=&quot;00720C9F&quot;/&gt;&lt;wsp:rsid wsp:val=&quot;00720D41&quot;/&gt;&lt;wsp:rsid wsp:val=&quot;0072101D&quot;/&gt;&lt;wsp:rsid wsp:val=&quot;007211CB&quot;/&gt;&lt;wsp:rsid wsp:val=&quot;00721499&quot;/&gt;&lt;wsp:rsid wsp:val=&quot;00721797&quot;/&gt;&lt;wsp:rsid wsp:val=&quot;007218AE&quot;/&gt;&lt;wsp:rsid wsp:val=&quot;007222A1&quot;/&gt;&lt;wsp:rsid wsp:val=&quot;0072350B&quot;/&gt;&lt;wsp:rsid wsp:val=&quot;00723ABC&quot;/&gt;&lt;wsp:rsid wsp:val=&quot;00723B64&quot;/&gt;&lt;wsp:rsid wsp:val=&quot;00724F55&quot;/&gt;&lt;wsp:rsid wsp:val=&quot;00724FB9&quot;/&gt;&lt;wsp:rsid wsp:val=&quot;00726304&quot;/&gt;&lt;wsp:rsid wsp:val=&quot;0072633F&quot;/&gt;&lt;wsp:rsid wsp:val=&quot;00726EDE&quot;/&gt;&lt;wsp:rsid wsp:val=&quot;00727422&quot;/&gt;&lt;wsp:rsid wsp:val=&quot;00727E66&quot;/&gt;&lt;wsp:rsid wsp:val=&quot;00730572&quot;/&gt;&lt;wsp:rsid wsp:val=&quot;00730768&quot;/&gt;&lt;wsp:rsid wsp:val=&quot;00730974&quot;/&gt;&lt;wsp:rsid wsp:val=&quot;00730F4A&quot;/&gt;&lt;wsp:rsid wsp:val=&quot;007322D7&quot;/&gt;&lt;wsp:rsid wsp:val=&quot;0073238C&quot;/&gt;&lt;wsp:rsid wsp:val=&quot;007328B9&quot;/&gt;&lt;wsp:rsid wsp:val=&quot;00733112&quot;/&gt;&lt;wsp:rsid wsp:val=&quot;00733117&quot;/&gt;&lt;wsp:rsid wsp:val=&quot;0073349A&quot;/&gt;&lt;wsp:rsid wsp:val=&quot;00733D5D&quot;/&gt;&lt;wsp:rsid wsp:val=&quot;0073407E&quot;/&gt;&lt;wsp:rsid wsp:val=&quot;0073416A&quot;/&gt;&lt;wsp:rsid wsp:val=&quot;0073485F&quot;/&gt;&lt;wsp:rsid wsp:val=&quot;00734929&quot;/&gt;&lt;wsp:rsid wsp:val=&quot;007352F1&quot;/&gt;&lt;wsp:rsid wsp:val=&quot;00736558&quot;/&gt;&lt;wsp:rsid wsp:val=&quot;00736875&quot;/&gt;&lt;wsp:rsid wsp:val=&quot;00737146&quot;/&gt;&lt;wsp:rsid wsp:val=&quot;007371D0&quot;/&gt;&lt;wsp:rsid wsp:val=&quot;00737223&quot;/&gt;&lt;wsp:rsid wsp:val=&quot;0073724A&quot;/&gt;&lt;wsp:rsid wsp:val=&quot;00737424&quot;/&gt;&lt;wsp:rsid wsp:val=&quot;007402CA&quot;/&gt;&lt;wsp:rsid wsp:val=&quot;00740530&quot;/&gt;&lt;wsp:rsid wsp:val=&quot;007405D4&quot;/&gt;&lt;wsp:rsid wsp:val=&quot;00740699&quot;/&gt;&lt;wsp:rsid wsp:val=&quot;00740786&quot;/&gt;&lt;wsp:rsid wsp:val=&quot;007409C8&quot;/&gt;&lt;wsp:rsid wsp:val=&quot;00741206&quot;/&gt;&lt;wsp:rsid wsp:val=&quot;00741281&quot;/&gt;&lt;wsp:rsid wsp:val=&quot;007420EA&quot;/&gt;&lt;wsp:rsid wsp:val=&quot;007427FD&quot;/&gt;&lt;wsp:rsid wsp:val=&quot;00742B7E&quot;/&gt;&lt;wsp:rsid wsp:val=&quot;00742CBC&quot;/&gt;&lt;wsp:rsid wsp:val=&quot;00742D39&quot;/&gt;&lt;wsp:rsid wsp:val=&quot;0074331D&quot;/&gt;&lt;wsp:rsid wsp:val=&quot;0074348C&quot;/&gt;&lt;wsp:rsid wsp:val=&quot;0074363D&quot;/&gt;&lt;wsp:rsid wsp:val=&quot;00743987&quot;/&gt;&lt;wsp:rsid wsp:val=&quot;007439DC&quot;/&gt;&lt;wsp:rsid wsp:val=&quot;00743D4F&quot;/&gt;&lt;wsp:rsid wsp:val=&quot;00743EB2&quot;/&gt;&lt;wsp:rsid wsp:val=&quot;0074462E&quot;/&gt;&lt;wsp:rsid wsp:val=&quot;0074558B&quot;/&gt;&lt;wsp:rsid wsp:val=&quot;00745775&quot;/&gt;&lt;wsp:rsid wsp:val=&quot;00745AA5&quot;/&gt;&lt;wsp:rsid wsp:val=&quot;00745CCA&quot;/&gt;&lt;wsp:rsid wsp:val=&quot;00745D2A&quot;/&gt;&lt;wsp:rsid wsp:val=&quot;00746362&quot;/&gt;&lt;wsp:rsid wsp:val=&quot;007464C4&quot;/&gt;&lt;wsp:rsid wsp:val=&quot;00746C01&quot;/&gt;&lt;wsp:rsid wsp:val=&quot;00746D6D&quot;/&gt;&lt;wsp:rsid wsp:val=&quot;00747251&quot;/&gt;&lt;wsp:rsid wsp:val=&quot;007475BF&quot;/&gt;&lt;wsp:rsid wsp:val=&quot;007477F7&quot;/&gt;&lt;wsp:rsid wsp:val=&quot;0075007B&quot;/&gt;&lt;wsp:rsid wsp:val=&quot;00750248&quot;/&gt;&lt;wsp:rsid wsp:val=&quot;0075062D&quot;/&gt;&lt;wsp:rsid wsp:val=&quot;00750959&quot;/&gt;&lt;wsp:rsid wsp:val=&quot;00750A43&quot;/&gt;&lt;wsp:rsid wsp:val=&quot;00750CB2&quot;/&gt;&lt;wsp:rsid wsp:val=&quot;00751FE8&quot;/&gt;&lt;wsp:rsid wsp:val=&quot;00752625&quot;/&gt;&lt;wsp:rsid wsp:val=&quot;0075268C&quot;/&gt;&lt;wsp:rsid wsp:val=&quot;00752910&quot;/&gt;&lt;wsp:rsid wsp:val=&quot;00752DE4&quot;/&gt;&lt;wsp:rsid wsp:val=&quot;0075306C&quot;/&gt;&lt;wsp:rsid wsp:val=&quot;007532D2&quot;/&gt;&lt;wsp:rsid wsp:val=&quot;00753402&quot;/&gt;&lt;wsp:rsid wsp:val=&quot;00753614&quot;/&gt;&lt;wsp:rsid wsp:val=&quot;00753655&quot;/&gt;&lt;wsp:rsid wsp:val=&quot;0075388F&quot;/&gt;&lt;wsp:rsid wsp:val=&quot;00753CEE&quot;/&gt;&lt;wsp:rsid wsp:val=&quot;00753EA4&quot;/&gt;&lt;wsp:rsid wsp:val=&quot;007545E6&quot;/&gt;&lt;wsp:rsid wsp:val=&quot;0075468F&quot;/&gt;&lt;wsp:rsid wsp:val=&quot;00754729&quot;/&gt;&lt;wsp:rsid wsp:val=&quot;00754C1C&quot;/&gt;&lt;wsp:rsid wsp:val=&quot;0075504B&quot;/&gt;&lt;wsp:rsid wsp:val=&quot;0075551B&quot;/&gt;&lt;wsp:rsid wsp:val=&quot;0075580D&quot;/&gt;&lt;wsp:rsid wsp:val=&quot;00756C14&quot;/&gt;&lt;wsp:rsid wsp:val=&quot;00756F68&quot;/&gt;&lt;wsp:rsid wsp:val=&quot;00757199&quot;/&gt;&lt;wsp:rsid wsp:val=&quot;00757547&quot;/&gt;&lt;wsp:rsid wsp:val=&quot;0075778C&quot;/&gt;&lt;wsp:rsid wsp:val=&quot;007578F9&quot;/&gt;&lt;wsp:rsid wsp:val=&quot;0076018F&quot;/&gt;&lt;wsp:rsid wsp:val=&quot;00760351&quot;/&gt;&lt;wsp:rsid wsp:val=&quot;007604A5&quot;/&gt;&lt;wsp:rsid wsp:val=&quot;0076063B&quot;/&gt;&lt;wsp:rsid wsp:val=&quot;007606FA&quot;/&gt;&lt;wsp:rsid wsp:val=&quot;0076098B&quot;/&gt;&lt;wsp:rsid wsp:val=&quot;00760BCB&quot;/&gt;&lt;wsp:rsid wsp:val=&quot;007611D4&quot;/&gt;&lt;wsp:rsid wsp:val=&quot;00761534&quot;/&gt;&lt;wsp:rsid wsp:val=&quot;00761572&quot;/&gt;&lt;wsp:rsid wsp:val=&quot;00761C2D&quot;/&gt;&lt;wsp:rsid wsp:val=&quot;007627FD&quot;/&gt;&lt;wsp:rsid wsp:val=&quot;00762AB0&quot;/&gt;&lt;wsp:rsid wsp:val=&quot;00762D84&quot;/&gt;&lt;wsp:rsid wsp:val=&quot;00762D9D&quot;/&gt;&lt;wsp:rsid wsp:val=&quot;00762E4B&quot;/&gt;&lt;wsp:rsid wsp:val=&quot;00762E8E&quot;/&gt;&lt;wsp:rsid wsp:val=&quot;007631EC&quot;/&gt;&lt;wsp:rsid wsp:val=&quot;0076353D&quot;/&gt;&lt;wsp:rsid wsp:val=&quot;00764536&quot;/&gt;&lt;wsp:rsid wsp:val=&quot;00764751&quot;/&gt;&lt;wsp:rsid wsp:val=&quot;00764BCB&quot;/&gt;&lt;wsp:rsid wsp:val=&quot;00764D18&quot;/&gt;&lt;wsp:rsid wsp:val=&quot;00764DC2&quot;/&gt;&lt;wsp:rsid wsp:val=&quot;00764EF2&quot;/&gt;&lt;wsp:rsid wsp:val=&quot;0076519B&quot;/&gt;&lt;wsp:rsid wsp:val=&quot;007657E2&quot;/&gt;&lt;wsp:rsid wsp:val=&quot;00765A5F&quot;/&gt;&lt;wsp:rsid wsp:val=&quot;0076653B&quot;/&gt;&lt;wsp:rsid wsp:val=&quot;00767D54&quot;/&gt;&lt;wsp:rsid wsp:val=&quot;00770061&quot;/&gt;&lt;wsp:rsid wsp:val=&quot;00770980&quot;/&gt;&lt;wsp:rsid wsp:val=&quot;00770A68&quot;/&gt;&lt;wsp:rsid wsp:val=&quot;00770CDD&quot;/&gt;&lt;wsp:rsid wsp:val=&quot;00771027&quot;/&gt;&lt;wsp:rsid wsp:val=&quot;00771143&quot;/&gt;&lt;wsp:rsid wsp:val=&quot;007711B8&quot;/&gt;&lt;wsp:rsid wsp:val=&quot;00771650&quot;/&gt;&lt;wsp:rsid wsp:val=&quot;00772309&quot;/&gt;&lt;wsp:rsid wsp:val=&quot;007724D1&quot;/&gt;&lt;wsp:rsid wsp:val=&quot;007732EA&quot;/&gt;&lt;wsp:rsid wsp:val=&quot;00773507&quot;/&gt;&lt;wsp:rsid wsp:val=&quot;00773A8D&quot;/&gt;&lt;wsp:rsid wsp:val=&quot;00773DB2&quot;/&gt;&lt;wsp:rsid wsp:val=&quot;00773E3B&quot;/&gt;&lt;wsp:rsid wsp:val=&quot;00774369&quot;/&gt;&lt;wsp:rsid wsp:val=&quot;007747DF&quot;/&gt;&lt;wsp:rsid wsp:val=&quot;0077544F&quot;/&gt;&lt;wsp:rsid wsp:val=&quot;007762EA&quot;/&gt;&lt;wsp:rsid wsp:val=&quot;00776503&quot;/&gt;&lt;wsp:rsid wsp:val=&quot;00776A5F&quot;/&gt;&lt;wsp:rsid wsp:val=&quot;00776AF4&quot;/&gt;&lt;wsp:rsid wsp:val=&quot;00776D36&quot;/&gt;&lt;wsp:rsid wsp:val=&quot;00776DC4&quot;/&gt;&lt;wsp:rsid wsp:val=&quot;00776E16&quot;/&gt;&lt;wsp:rsid wsp:val=&quot;00777113&quot;/&gt;&lt;wsp:rsid wsp:val=&quot;0077735E&quot;/&gt;&lt;wsp:rsid wsp:val=&quot;0077742E&quot;/&gt;&lt;wsp:rsid wsp:val=&quot;00777976&quot;/&gt;&lt;wsp:rsid wsp:val=&quot;00777AB3&quot;/&gt;&lt;wsp:rsid wsp:val=&quot;00780BA9&quot;/&gt;&lt;wsp:rsid wsp:val=&quot;00780DE7&quot;/&gt;&lt;wsp:rsid wsp:val=&quot;00781370&quot;/&gt;&lt;wsp:rsid wsp:val=&quot;00781ACF&quot;/&gt;&lt;wsp:rsid wsp:val=&quot;00781B93&quot;/&gt;&lt;wsp:rsid wsp:val=&quot;00782022&quot;/&gt;&lt;wsp:rsid wsp:val=&quot;00782939&quot;/&gt;&lt;wsp:rsid wsp:val=&quot;00782D9F&quot;/&gt;&lt;wsp:rsid wsp:val=&quot;00782DCE&quot;/&gt;&lt;wsp:rsid wsp:val=&quot;00782ECE&quot;/&gt;&lt;wsp:rsid wsp:val=&quot;00783BBE&quot;/&gt;&lt;wsp:rsid wsp:val=&quot;00783FEC&quot;/&gt;&lt;wsp:rsid wsp:val=&quot;007850A0&quot;/&gt;&lt;wsp:rsid wsp:val=&quot;00785739&quot;/&gt;&lt;wsp:rsid wsp:val=&quot;00785C34&quot;/&gt;&lt;wsp:rsid wsp:val=&quot;00785CCD&quot;/&gt;&lt;wsp:rsid wsp:val=&quot;00785DC6&quot;/&gt;&lt;wsp:rsid wsp:val=&quot;00785F23&quot;/&gt;&lt;wsp:rsid wsp:val=&quot;007864D2&quot;/&gt;&lt;wsp:rsid wsp:val=&quot;00786CE7&quot;/&gt;&lt;wsp:rsid wsp:val=&quot;00786DA6&quot;/&gt;&lt;wsp:rsid wsp:val=&quot;00786EDB&quot;/&gt;&lt;wsp:rsid wsp:val=&quot;007875D7&quot;/&gt;&lt;wsp:rsid wsp:val=&quot;0079015B&quot;/&gt;&lt;wsp:rsid wsp:val=&quot;00790556&quot;/&gt;&lt;wsp:rsid wsp:val=&quot;00790768&quot;/&gt;&lt;wsp:rsid wsp:val=&quot;00790D81&quot;/&gt;&lt;wsp:rsid wsp:val=&quot;0079107E&quot;/&gt;&lt;wsp:rsid wsp:val=&quot;007913D2&quot;/&gt;&lt;wsp:rsid wsp:val=&quot;007914FE&quot;/&gt;&lt;wsp:rsid wsp:val=&quot;00791FE1&quot;/&gt;&lt;wsp:rsid wsp:val=&quot;0079216B&quot;/&gt;&lt;wsp:rsid wsp:val=&quot;0079216D&quot;/&gt;&lt;wsp:rsid wsp:val=&quot;00792A32&quot;/&gt;&lt;wsp:rsid wsp:val=&quot;00792D20&quot;/&gt;&lt;wsp:rsid wsp:val=&quot;00793617&quot;/&gt;&lt;wsp:rsid wsp:val=&quot;00793880&quot;/&gt;&lt;wsp:rsid wsp:val=&quot;00794699&quot;/&gt;&lt;wsp:rsid wsp:val=&quot;00794D71&quot;/&gt;&lt;wsp:rsid wsp:val=&quot;00794DE3&quot;/&gt;&lt;wsp:rsid wsp:val=&quot;00795052&quot;/&gt;&lt;wsp:rsid wsp:val=&quot;00795238&quot;/&gt;&lt;wsp:rsid wsp:val=&quot;007958EE&quot;/&gt;&lt;wsp:rsid wsp:val=&quot;007959F3&quot;/&gt;&lt;wsp:rsid wsp:val=&quot;00795A34&quot;/&gt;&lt;wsp:rsid wsp:val=&quot;00795AD0&quot;/&gt;&lt;wsp:rsid wsp:val=&quot;00795E11&quot;/&gt;&lt;wsp:rsid wsp:val=&quot;00796D53&quot;/&gt;&lt;wsp:rsid wsp:val=&quot;007977ED&quot;/&gt;&lt;wsp:rsid wsp:val=&quot;007A14BD&quot;/&gt;&lt;wsp:rsid wsp:val=&quot;007A1716&quot;/&gt;&lt;wsp:rsid wsp:val=&quot;007A1C8B&quot;/&gt;&lt;wsp:rsid wsp:val=&quot;007A1D6C&quot;/&gt;&lt;wsp:rsid wsp:val=&quot;007A2A17&quot;/&gt;&lt;wsp:rsid wsp:val=&quot;007A2FAF&quot;/&gt;&lt;wsp:rsid wsp:val=&quot;007A38CA&quot;/&gt;&lt;wsp:rsid wsp:val=&quot;007A3D3A&quot;/&gt;&lt;wsp:rsid wsp:val=&quot;007A4742&quot;/&gt;&lt;wsp:rsid wsp:val=&quot;007A5596&quot;/&gt;&lt;wsp:rsid wsp:val=&quot;007A5677&quot;/&gt;&lt;wsp:rsid wsp:val=&quot;007A60E5&quot;/&gt;&lt;wsp:rsid wsp:val=&quot;007A614E&quot;/&gt;&lt;wsp:rsid wsp:val=&quot;007A6482&quot;/&gt;&lt;wsp:rsid wsp:val=&quot;007A6C9F&quot;/&gt;&lt;wsp:rsid wsp:val=&quot;007A70A7&quot;/&gt;&lt;wsp:rsid wsp:val=&quot;007A73B1&quot;/&gt;&lt;wsp:rsid wsp:val=&quot;007A7877&quot;/&gt;&lt;wsp:rsid wsp:val=&quot;007A7DAA&quot;/&gt;&lt;wsp:rsid wsp:val=&quot;007B04C9&quot;/&gt;&lt;wsp:rsid wsp:val=&quot;007B10F2&quot;/&gt;&lt;wsp:rsid wsp:val=&quot;007B1277&quot;/&gt;&lt;wsp:rsid wsp:val=&quot;007B18CE&quot;/&gt;&lt;wsp:rsid wsp:val=&quot;007B1D9C&quot;/&gt;&lt;wsp:rsid wsp:val=&quot;007B2314&quot;/&gt;&lt;wsp:rsid wsp:val=&quot;007B31FB&quot;/&gt;&lt;wsp:rsid wsp:val=&quot;007B3459&quot;/&gt;&lt;wsp:rsid wsp:val=&quot;007B348D&quot;/&gt;&lt;wsp:rsid wsp:val=&quot;007B3D68&quot;/&gt;&lt;wsp:rsid wsp:val=&quot;007B3FA8&quot;/&gt;&lt;wsp:rsid wsp:val=&quot;007B4E3B&quot;/&gt;&lt;wsp:rsid wsp:val=&quot;007B4ED2&quot;/&gt;&lt;wsp:rsid wsp:val=&quot;007B508B&quot;/&gt;&lt;wsp:rsid wsp:val=&quot;007B56B9&quot;/&gt;&lt;wsp:rsid wsp:val=&quot;007B5E99&quot;/&gt;&lt;wsp:rsid wsp:val=&quot;007B64C2&quot;/&gt;&lt;wsp:rsid wsp:val=&quot;007B65F1&quot;/&gt;&lt;wsp:rsid wsp:val=&quot;007B726A&quot;/&gt;&lt;wsp:rsid wsp:val=&quot;007B7712&quot;/&gt;&lt;wsp:rsid wsp:val=&quot;007B7ADD&quot;/&gt;&lt;wsp:rsid wsp:val=&quot;007B7E8B&quot;/&gt;&lt;wsp:rsid wsp:val=&quot;007C03C7&quot;/&gt;&lt;wsp:rsid wsp:val=&quot;007C1BD6&quot;/&gt;&lt;wsp:rsid wsp:val=&quot;007C1BD9&quot;/&gt;&lt;wsp:rsid wsp:val=&quot;007C1EC9&quot;/&gt;&lt;wsp:rsid wsp:val=&quot;007C2226&quot;/&gt;&lt;wsp:rsid wsp:val=&quot;007C2374&quot;/&gt;&lt;wsp:rsid wsp:val=&quot;007C2F48&quot;/&gt;&lt;wsp:rsid wsp:val=&quot;007C3403&quot;/&gt;&lt;wsp:rsid wsp:val=&quot;007C36C6&quot;/&gt;&lt;wsp:rsid wsp:val=&quot;007C3BA4&quot;/&gt;&lt;wsp:rsid wsp:val=&quot;007C3E91&quot;/&gt;&lt;wsp:rsid wsp:val=&quot;007C5333&quot;/&gt;&lt;wsp:rsid wsp:val=&quot;007C53C3&quot;/&gt;&lt;wsp:rsid wsp:val=&quot;007C573F&quot;/&gt;&lt;wsp:rsid wsp:val=&quot;007C5BB3&quot;/&gt;&lt;wsp:rsid wsp:val=&quot;007C5D02&quot;/&gt;&lt;wsp:rsid wsp:val=&quot;007C5F06&quot;/&gt;&lt;wsp:rsid wsp:val=&quot;007C6CD3&quot;/&gt;&lt;wsp:rsid wsp:val=&quot;007C74B5&quot;/&gt;&lt;wsp:rsid wsp:val=&quot;007C75D9&quot;/&gt;&lt;wsp:rsid wsp:val=&quot;007C781A&quot;/&gt;&lt;wsp:rsid wsp:val=&quot;007D03C7&quot;/&gt;&lt;wsp:rsid wsp:val=&quot;007D0568&quot;/&gt;&lt;wsp:rsid wsp:val=&quot;007D07D5&quot;/&gt;&lt;wsp:rsid wsp:val=&quot;007D0895&quot;/&gt;&lt;wsp:rsid wsp:val=&quot;007D1075&quot;/&gt;&lt;wsp:rsid wsp:val=&quot;007D1990&quot;/&gt;&lt;wsp:rsid wsp:val=&quot;007D1CFD&quot;/&gt;&lt;wsp:rsid wsp:val=&quot;007D1F75&quot;/&gt;&lt;wsp:rsid wsp:val=&quot;007D2CAB&quot;/&gt;&lt;wsp:rsid wsp:val=&quot;007D38BA&quot;/&gt;&lt;wsp:rsid wsp:val=&quot;007D3CC2&quot;/&gt;&lt;wsp:rsid wsp:val=&quot;007D4FF9&quot;/&gt;&lt;wsp:rsid wsp:val=&quot;007D512B&quot;/&gt;&lt;wsp:rsid wsp:val=&quot;007D51B6&quot;/&gt;&lt;wsp:rsid wsp:val=&quot;007D52D0&quot;/&gt;&lt;wsp:rsid wsp:val=&quot;007D53B3&quot;/&gt;&lt;wsp:rsid wsp:val=&quot;007D550E&quot;/&gt;&lt;wsp:rsid wsp:val=&quot;007D653B&quot;/&gt;&lt;wsp:rsid wsp:val=&quot;007D731F&quot;/&gt;&lt;wsp:rsid wsp:val=&quot;007D7DF0&quot;/&gt;&lt;wsp:rsid wsp:val=&quot;007E00E3&quot;/&gt;&lt;wsp:rsid wsp:val=&quot;007E048A&quot;/&gt;&lt;wsp:rsid wsp:val=&quot;007E0621&quot;/&gt;&lt;wsp:rsid wsp:val=&quot;007E06BF&quot;/&gt;&lt;wsp:rsid wsp:val=&quot;007E09E5&quot;/&gt;&lt;wsp:rsid wsp:val=&quot;007E0A06&quot;/&gt;&lt;wsp:rsid wsp:val=&quot;007E113B&quot;/&gt;&lt;wsp:rsid wsp:val=&quot;007E116E&quot;/&gt;&lt;wsp:rsid wsp:val=&quot;007E1A18&quot;/&gt;&lt;wsp:rsid wsp:val=&quot;007E1B4D&quot;/&gt;&lt;wsp:rsid wsp:val=&quot;007E1DED&quot;/&gt;&lt;wsp:rsid wsp:val=&quot;007E1F59&quot;/&gt;&lt;wsp:rsid wsp:val=&quot;007E220C&quot;/&gt;&lt;wsp:rsid wsp:val=&quot;007E22C5&quot;/&gt;&lt;wsp:rsid wsp:val=&quot;007E2984&quot;/&gt;&lt;wsp:rsid wsp:val=&quot;007E2BEC&quot;/&gt;&lt;wsp:rsid wsp:val=&quot;007E2CC1&quot;/&gt;&lt;wsp:rsid wsp:val=&quot;007E444F&quot;/&gt;&lt;wsp:rsid wsp:val=&quot;007E6187&quot;/&gt;&lt;wsp:rsid wsp:val=&quot;007E6B0D&quot;/&gt;&lt;wsp:rsid wsp:val=&quot;007E6EBB&quot;/&gt;&lt;wsp:rsid wsp:val=&quot;007E79FE&quot;/&gt;&lt;wsp:rsid wsp:val=&quot;007E7D24&quot;/&gt;&lt;wsp:rsid wsp:val=&quot;007F07A1&quot;/&gt;&lt;wsp:rsid wsp:val=&quot;007F08B7&quot;/&gt;&lt;wsp:rsid wsp:val=&quot;007F0918&quot;/&gt;&lt;wsp:rsid wsp:val=&quot;007F09BD&quot;/&gt;&lt;wsp:rsid wsp:val=&quot;007F1418&quot;/&gt;&lt;wsp:rsid wsp:val=&quot;007F2F14&quot;/&gt;&lt;wsp:rsid wsp:val=&quot;007F3041&quot;/&gt;&lt;wsp:rsid wsp:val=&quot;007F3062&quot;/&gt;&lt;wsp:rsid wsp:val=&quot;007F319D&quot;/&gt;&lt;wsp:rsid wsp:val=&quot;007F3826&quot;/&gt;&lt;wsp:rsid wsp:val=&quot;007F3979&quot;/&gt;&lt;wsp:rsid wsp:val=&quot;007F3C99&quot;/&gt;&lt;wsp:rsid wsp:val=&quot;007F3CCB&quot;/&gt;&lt;wsp:rsid wsp:val=&quot;007F3E7C&quot;/&gt;&lt;wsp:rsid wsp:val=&quot;007F4025&quot;/&gt;&lt;wsp:rsid wsp:val=&quot;007F408C&quot;/&gt;&lt;wsp:rsid wsp:val=&quot;007F483F&quot;/&gt;&lt;wsp:rsid wsp:val=&quot;007F4A71&quot;/&gt;&lt;wsp:rsid wsp:val=&quot;007F4AC4&quot;/&gt;&lt;wsp:rsid wsp:val=&quot;007F509B&quot;/&gt;&lt;wsp:rsid wsp:val=&quot;007F5130&quot;/&gt;&lt;wsp:rsid wsp:val=&quot;007F541C&quot;/&gt;&lt;wsp:rsid wsp:val=&quot;007F5445&quot;/&gt;&lt;wsp:rsid wsp:val=&quot;007F5718&quot;/&gt;&lt;wsp:rsid wsp:val=&quot;007F58B6&quot;/&gt;&lt;wsp:rsid wsp:val=&quot;007F60CF&quot;/&gt;&lt;wsp:rsid wsp:val=&quot;007F6179&quot;/&gt;&lt;wsp:rsid wsp:val=&quot;007F6AB3&quot;/&gt;&lt;wsp:rsid wsp:val=&quot;007F6AEF&quot;/&gt;&lt;wsp:rsid wsp:val=&quot;007F70F9&quot;/&gt;&lt;wsp:rsid wsp:val=&quot;007F7248&quot;/&gt;&lt;wsp:rsid wsp:val=&quot;00800E28&quot;/&gt;&lt;wsp:rsid wsp:val=&quot;00801D8E&quot;/&gt;&lt;wsp:rsid wsp:val=&quot;0080306C&quot;/&gt;&lt;wsp:rsid wsp:val=&quot;0080321F&quot;/&gt;&lt;wsp:rsid wsp:val=&quot;00803C27&quot;/&gt;&lt;wsp:rsid wsp:val=&quot;00803DEF&quot;/&gt;&lt;wsp:rsid wsp:val=&quot;00803EAB&quot;/&gt;&lt;wsp:rsid wsp:val=&quot;00804F26&quot;/&gt;&lt;wsp:rsid wsp:val=&quot;0080516C&quot;/&gt;&lt;wsp:rsid wsp:val=&quot;00805832&quot;/&gt;&lt;wsp:rsid wsp:val=&quot;00805C24&quot;/&gt;&lt;wsp:rsid wsp:val=&quot;00805CF3&quot;/&gt;&lt;wsp:rsid wsp:val=&quot;00805D54&quot;/&gt;&lt;wsp:rsid wsp:val=&quot;008065F8&quot;/&gt;&lt;wsp:rsid wsp:val=&quot;008066FD&quot;/&gt;&lt;wsp:rsid wsp:val=&quot;0080680A&quot;/&gt;&lt;wsp:rsid wsp:val=&quot;00806937&quot;/&gt;&lt;wsp:rsid wsp:val=&quot;00806E17&quot;/&gt;&lt;wsp:rsid wsp:val=&quot;00807128&quot;/&gt;&lt;wsp:rsid wsp:val=&quot;008072AE&quot;/&gt;&lt;wsp:rsid wsp:val=&quot;0080735D&quot;/&gt;&lt;wsp:rsid wsp:val=&quot;00807749&quot;/&gt;&lt;wsp:rsid wsp:val=&quot;008077E7&quot;/&gt;&lt;wsp:rsid wsp:val=&quot;0081012F&quot;/&gt;&lt;wsp:rsid wsp:val=&quot;00810424&quot;/&gt;&lt;wsp:rsid wsp:val=&quot;00810CC9&quot;/&gt;&lt;wsp:rsid wsp:val=&quot;008111BF&quot;/&gt;&lt;wsp:rsid wsp:val=&quot;0081135F&quot;/&gt;&lt;wsp:rsid wsp:val=&quot;00811826&quot;/&gt;&lt;wsp:rsid wsp:val=&quot;00811A4F&quot;/&gt;&lt;wsp:rsid wsp:val=&quot;00812488&quot;/&gt;&lt;wsp:rsid wsp:val=&quot;008127B7&quot;/&gt;&lt;wsp:rsid wsp:val=&quot;00812823&quot;/&gt;&lt;wsp:rsid wsp:val=&quot;00812CFC&quot;/&gt;&lt;wsp:rsid wsp:val=&quot;00813D17&quot;/&gt;&lt;wsp:rsid wsp:val=&quot;008141F4&quot;/&gt;&lt;wsp:rsid wsp:val=&quot;00814442&quot;/&gt;&lt;wsp:rsid wsp:val=&quot;008146D7&quot;/&gt;&lt;wsp:rsid wsp:val=&quot;00814904&quot;/&gt;&lt;wsp:rsid wsp:val=&quot;0081495C&quot;/&gt;&lt;wsp:rsid wsp:val=&quot;00816769&quot;/&gt;&lt;wsp:rsid wsp:val=&quot;00816F12&quot;/&gt;&lt;wsp:rsid wsp:val=&quot;0081754C&quot;/&gt;&lt;wsp:rsid wsp:val=&quot;0081783D&quot;/&gt;&lt;wsp:rsid wsp:val=&quot;00817C9E&quot;/&gt;&lt;wsp:rsid wsp:val=&quot;00820495&quot;/&gt;&lt;wsp:rsid wsp:val=&quot;00820B66&quot;/&gt;&lt;wsp:rsid wsp:val=&quot;00820BAE&quot;/&gt;&lt;wsp:rsid wsp:val=&quot;00820CFD&quot;/&gt;&lt;wsp:rsid wsp:val=&quot;008210F0&quot;/&gt;&lt;wsp:rsid wsp:val=&quot;0082123F&quot;/&gt;&lt;wsp:rsid wsp:val=&quot;0082181E&quot;/&gt;&lt;wsp:rsid wsp:val=&quot;00821F14&quot;/&gt;&lt;wsp:rsid wsp:val=&quot;00821FBA&quot;/&gt;&lt;wsp:rsid wsp:val=&quot;00822033&quot;/&gt;&lt;wsp:rsid wsp:val=&quot;00822B49&quot;/&gt;&lt;wsp:rsid wsp:val=&quot;00823678&quot;/&gt;&lt;wsp:rsid wsp:val=&quot;00823758&quot;/&gt;&lt;wsp:rsid wsp:val=&quot;00823EB3&quot;/&gt;&lt;wsp:rsid wsp:val=&quot;00824302&quot;/&gt;&lt;wsp:rsid wsp:val=&quot;00824963&quot;/&gt;&lt;wsp:rsid wsp:val=&quot;00824A35&quot;/&gt;&lt;wsp:rsid wsp:val=&quot;0082547F&quot;/&gt;&lt;wsp:rsid wsp:val=&quot;0082597A&quot;/&gt;&lt;wsp:rsid wsp:val=&quot;00825E72&quot;/&gt;&lt;wsp:rsid wsp:val=&quot;00826273&quot;/&gt;&lt;wsp:rsid wsp:val=&quot;008263BB&quot;/&gt;&lt;wsp:rsid wsp:val=&quot;00826C7B&quot;/&gt;&lt;wsp:rsid wsp:val=&quot;00827091&quot;/&gt;&lt;wsp:rsid wsp:val=&quot;0082713B&quot;/&gt;&lt;wsp:rsid wsp:val=&quot;00827205&quot;/&gt;&lt;wsp:rsid wsp:val=&quot;0082759B&quot;/&gt;&lt;wsp:rsid wsp:val=&quot;0082778C&quot;/&gt;&lt;wsp:rsid wsp:val=&quot;00827A84&quot;/&gt;&lt;wsp:rsid wsp:val=&quot;00827D12&quot;/&gt;&lt;wsp:rsid wsp:val=&quot;00830A9D&quot;/&gt;&lt;wsp:rsid wsp:val=&quot;00831607&quot;/&gt;&lt;wsp:rsid wsp:val=&quot;008316AE&quot;/&gt;&lt;wsp:rsid wsp:val=&quot;00832740&quot;/&gt;&lt;wsp:rsid wsp:val=&quot;00832901&quot;/&gt;&lt;wsp:rsid wsp:val=&quot;00832B5F&quot;/&gt;&lt;wsp:rsid wsp:val=&quot;00832E50&quot;/&gt;&lt;wsp:rsid wsp:val=&quot;00832E66&quot;/&gt;&lt;wsp:rsid wsp:val=&quot;00832F69&quot;/&gt;&lt;wsp:rsid wsp:val=&quot;008334D8&quot;/&gt;&lt;wsp:rsid wsp:val=&quot;00833529&quot;/&gt;&lt;wsp:rsid wsp:val=&quot;008335D0&quot;/&gt;&lt;wsp:rsid wsp:val=&quot;00834221&quot;/&gt;&lt;wsp:rsid wsp:val=&quot;0083443F&quot;/&gt;&lt;wsp:rsid wsp:val=&quot;00834769&quot;/&gt;&lt;wsp:rsid wsp:val=&quot;00834A94&quot;/&gt;&lt;wsp:rsid wsp:val=&quot;0083594A&quot;/&gt;&lt;wsp:rsid wsp:val=&quot;00835F46&quot;/&gt;&lt;wsp:rsid wsp:val=&quot;00836207&quot;/&gt;&lt;wsp:rsid wsp:val=&quot;008362F7&quot;/&gt;&lt;wsp:rsid wsp:val=&quot;00836410&quot;/&gt;&lt;wsp:rsid wsp:val=&quot;008364C8&quot;/&gt;&lt;wsp:rsid wsp:val=&quot;0083681B&quot;/&gt;&lt;wsp:rsid wsp:val=&quot;00836C39&quot;/&gt;&lt;wsp:rsid wsp:val=&quot;00836D90&quot;/&gt;&lt;wsp:rsid wsp:val=&quot;00837964&quot;/&gt;&lt;wsp:rsid wsp:val=&quot;00837BEB&quot;/&gt;&lt;wsp:rsid wsp:val=&quot;00837C72&quot;/&gt;&lt;wsp:rsid wsp:val=&quot;00840CFB&quot;/&gt;&lt;wsp:rsid wsp:val=&quot;008411D9&quot;/&gt;&lt;wsp:rsid wsp:val=&quot;00841747&quot;/&gt;&lt;wsp:rsid wsp:val=&quot;00842E02&quot;/&gt;&lt;wsp:rsid wsp:val=&quot;00842E1C&quot;/&gt;&lt;wsp:rsid wsp:val=&quot;0084311D&quot;/&gt;&lt;wsp:rsid wsp:val=&quot;00843359&quot;/&gt;&lt;wsp:rsid wsp:val=&quot;00843DF1&quot;/&gt;&lt;wsp:rsid wsp:val=&quot;00844792&quot;/&gt;&lt;wsp:rsid wsp:val=&quot;00844FF9&quot;/&gt;&lt;wsp:rsid wsp:val=&quot;0084518F&quot;/&gt;&lt;wsp:rsid wsp:val=&quot;0084538F&quot;/&gt;&lt;wsp:rsid wsp:val=&quot;00845EAA&quot;/&gt;&lt;wsp:rsid wsp:val=&quot;008462BF&quot;/&gt;&lt;wsp:rsid wsp:val=&quot;008467F6&quot;/&gt;&lt;wsp:rsid wsp:val=&quot;00846F8A&quot;/&gt;&lt;wsp:rsid wsp:val=&quot;008472D7&quot;/&gt;&lt;wsp:rsid wsp:val=&quot;00847D9C&quot;/&gt;&lt;wsp:rsid wsp:val=&quot;00847F43&quot;/&gt;&lt;wsp:rsid wsp:val=&quot;00850059&quot;/&gt;&lt;wsp:rsid wsp:val=&quot;00850B2A&quot;/&gt;&lt;wsp:rsid wsp:val=&quot;00850E0C&quot;/&gt;&lt;wsp:rsid wsp:val=&quot;008513CC&quot;/&gt;&lt;wsp:rsid wsp:val=&quot;0085180A&quot;/&gt;&lt;wsp:rsid wsp:val=&quot;00851AEF&quot;/&gt;&lt;wsp:rsid wsp:val=&quot;00851CB6&quot;/&gt;&lt;wsp:rsid wsp:val=&quot;00851E31&quot;/&gt;&lt;wsp:rsid wsp:val=&quot;008521D0&quot;/&gt;&lt;wsp:rsid wsp:val=&quot;008523B4&quot;/&gt;&lt;wsp:rsid wsp:val=&quot;00852499&quot;/&gt;&lt;wsp:rsid wsp:val=&quot;0085275C&quot;/&gt;&lt;wsp:rsid wsp:val=&quot;00852A49&quot;/&gt;&lt;wsp:rsid wsp:val=&quot;00852B78&quot;/&gt;&lt;wsp:rsid wsp:val=&quot;00853607&quot;/&gt;&lt;wsp:rsid wsp:val=&quot;008536B9&quot;/&gt;&lt;wsp:rsid wsp:val=&quot;008537F4&quot;/&gt;&lt;wsp:rsid wsp:val=&quot;00853890&quot;/&gt;&lt;wsp:rsid wsp:val=&quot;008541F7&quot;/&gt;&lt;wsp:rsid wsp:val=&quot;00854848&quot;/&gt;&lt;wsp:rsid wsp:val=&quot;00854AED&quot;/&gt;&lt;wsp:rsid wsp:val=&quot;00855BE0&quot;/&gt;&lt;wsp:rsid wsp:val=&quot;00856A07&quot;/&gt;&lt;wsp:rsid wsp:val=&quot;00856E24&quot;/&gt;&lt;wsp:rsid wsp:val=&quot;008573AC&quot;/&gt;&lt;wsp:rsid wsp:val=&quot;008577D1&quot;/&gt;&lt;wsp:rsid wsp:val=&quot;00857822&quot;/&gt;&lt;wsp:rsid wsp:val=&quot;008579E5&quot;/&gt;&lt;wsp:rsid wsp:val=&quot;00860366&quot;/&gt;&lt;wsp:rsid wsp:val=&quot;00860B15&quot;/&gt;&lt;wsp:rsid wsp:val=&quot;008615A8&quot;/&gt;&lt;wsp:rsid wsp:val=&quot;00861723&quot;/&gt;&lt;wsp:rsid wsp:val=&quot;00862156&quot;/&gt;&lt;wsp:rsid wsp:val=&quot;008621E7&quot;/&gt;&lt;wsp:rsid wsp:val=&quot;00863000&quot;/&gt;&lt;wsp:rsid wsp:val=&quot;008634AF&quot;/&gt;&lt;wsp:rsid wsp:val=&quot;00864477&quot;/&gt;&lt;wsp:rsid wsp:val=&quot;0086482D&quot;/&gt;&lt;wsp:rsid wsp:val=&quot;00865179&quot;/&gt;&lt;wsp:rsid wsp:val=&quot;008652E2&quot;/&gt;&lt;wsp:rsid wsp:val=&quot;00865671&quot;/&gt;&lt;wsp:rsid wsp:val=&quot;00865BE0&quot;/&gt;&lt;wsp:rsid wsp:val=&quot;00865C69&quot;/&gt;&lt;wsp:rsid wsp:val=&quot;00866095&quot;/&gt;&lt;wsp:rsid wsp:val=&quot;008666B3&quot;/&gt;&lt;wsp:rsid wsp:val=&quot;00866A08&quot;/&gt;&lt;wsp:rsid wsp:val=&quot;008673C3&quot;/&gt;&lt;wsp:rsid wsp:val=&quot;008673EA&quot;/&gt;&lt;wsp:rsid wsp:val=&quot;008675E4&quot;/&gt;&lt;wsp:rsid wsp:val=&quot;00867968&quot;/&gt;&lt;wsp:rsid wsp:val=&quot;00867A7C&quot;/&gt;&lt;wsp:rsid wsp:val=&quot;00870008&quot;/&gt;&lt;wsp:rsid wsp:val=&quot;00870BC4&quot;/&gt;&lt;wsp:rsid wsp:val=&quot;00871C6F&quot;/&gt;&lt;wsp:rsid wsp:val=&quot;00871EEE&quot;/&gt;&lt;wsp:rsid wsp:val=&quot;00872023&quot;/&gt;&lt;wsp:rsid wsp:val=&quot;00872339&quot;/&gt;&lt;wsp:rsid wsp:val=&quot;00872391&quot;/&gt;&lt;wsp:rsid wsp:val=&quot;008725BE&quot;/&gt;&lt;wsp:rsid wsp:val=&quot;00872A3A&quot;/&gt;&lt;wsp:rsid wsp:val=&quot;00873854&quot;/&gt;&lt;wsp:rsid wsp:val=&quot;00873C34&quot;/&gt;&lt;wsp:rsid wsp:val=&quot;008746AC&quot;/&gt;&lt;wsp:rsid wsp:val=&quot;00874A63&quot;/&gt;&lt;wsp:rsid wsp:val=&quot;00875713&quot;/&gt;&lt;wsp:rsid wsp:val=&quot;00876076&quot;/&gt;&lt;wsp:rsid wsp:val=&quot;008760F3&quot;/&gt;&lt;wsp:rsid wsp:val=&quot;0087629B&quot;/&gt;&lt;wsp:rsid wsp:val=&quot;00876318&quot;/&gt;&lt;wsp:rsid wsp:val=&quot;00876776&quot;/&gt;&lt;wsp:rsid wsp:val=&quot;00876AC9&quot;/&gt;&lt;wsp:rsid wsp:val=&quot;008774C3&quot;/&gt;&lt;wsp:rsid wsp:val=&quot;008802DC&quot;/&gt;&lt;wsp:rsid wsp:val=&quot;008803BC&quot;/&gt;&lt;wsp:rsid wsp:val=&quot;00880632&quot;/&gt;&lt;wsp:rsid wsp:val=&quot;008807DD&quot;/&gt;&lt;wsp:rsid wsp:val=&quot;00880D4B&quot;/&gt;&lt;wsp:rsid wsp:val=&quot;008811C8&quot;/&gt;&lt;wsp:rsid wsp:val=&quot;0088135C&quot;/&gt;&lt;wsp:rsid wsp:val=&quot;0088170C&quot;/&gt;&lt;wsp:rsid wsp:val=&quot;00881D0D&quot;/&gt;&lt;wsp:rsid wsp:val=&quot;00881EEF&quot;/&gt;&lt;wsp:rsid wsp:val=&quot;00882406&quot;/&gt;&lt;wsp:rsid wsp:val=&quot;00882A96&quot;/&gt;&lt;wsp:rsid wsp:val=&quot;0088354E&quot;/&gt;&lt;wsp:rsid wsp:val=&quot;0088460A&quot;/&gt;&lt;wsp:rsid wsp:val=&quot;00884C5D&quot;/&gt;&lt;wsp:rsid wsp:val=&quot;00884DF1&quot;/&gt;&lt;wsp:rsid wsp:val=&quot;00885CD7&quot;/&gt;&lt;wsp:rsid wsp:val=&quot;00885EE6&quot;/&gt;&lt;wsp:rsid wsp:val=&quot;008865B3&quot;/&gt;&lt;wsp:rsid wsp:val=&quot;00886747&quot;/&gt;&lt;wsp:rsid wsp:val=&quot;00886BD9&quot;/&gt;&lt;wsp:rsid wsp:val=&quot;008875B5&quot;/&gt;&lt;wsp:rsid wsp:val=&quot;008875C5&quot;/&gt;&lt;wsp:rsid wsp:val=&quot;00887F43&quot;/&gt;&lt;wsp:rsid wsp:val=&quot;00890769&quot;/&gt;&lt;wsp:rsid wsp:val=&quot;00891C43&quot;/&gt;&lt;wsp:rsid wsp:val=&quot;00891DF4&quot;/&gt;&lt;wsp:rsid wsp:val=&quot;0089216F&quot;/&gt;&lt;wsp:rsid wsp:val=&quot;00892B9D&quot;/&gt;&lt;wsp:rsid wsp:val=&quot;00892CEF&quot;/&gt;&lt;wsp:rsid wsp:val=&quot;00892D09&quot;/&gt;&lt;wsp:rsid wsp:val=&quot;0089303A&quot;/&gt;&lt;wsp:rsid wsp:val=&quot;008936D6&quot;/&gt;&lt;wsp:rsid wsp:val=&quot;00893862&quot;/&gt;&lt;wsp:rsid wsp:val=&quot;00893DFD&quot;/&gt;&lt;wsp:rsid wsp:val=&quot;00894212&quot;/&gt;&lt;wsp:rsid wsp:val=&quot;008944A6&quot;/&gt;&lt;wsp:rsid wsp:val=&quot;00894AA7&quot;/&gt;&lt;wsp:rsid wsp:val=&quot;00894B43&quot;/&gt;&lt;wsp:rsid wsp:val=&quot;00894D96&quot;/&gt;&lt;wsp:rsid wsp:val=&quot;00895459&quot;/&gt;&lt;wsp:rsid wsp:val=&quot;008960B8&quot;/&gt;&lt;wsp:rsid wsp:val=&quot;008962EC&quot;/&gt;&lt;wsp:rsid wsp:val=&quot;008964D2&quot;/&gt;&lt;wsp:rsid wsp:val=&quot;008968DA&quot;/&gt;&lt;wsp:rsid wsp:val=&quot;00896C10&quot;/&gt;&lt;wsp:rsid wsp:val=&quot;00897388&quot;/&gt;&lt;wsp:rsid wsp:val=&quot;008979EA&quot;/&gt;&lt;wsp:rsid wsp:val=&quot;008A0389&quot;/&gt;&lt;wsp:rsid wsp:val=&quot;008A0C8D&quot;/&gt;&lt;wsp:rsid wsp:val=&quot;008A153F&quot;/&gt;&lt;wsp:rsid wsp:val=&quot;008A15C6&quot;/&gt;&lt;wsp:rsid wsp:val=&quot;008A17D5&quot;/&gt;&lt;wsp:rsid wsp:val=&quot;008A2159&quot;/&gt;&lt;wsp:rsid wsp:val=&quot;008A252E&quot;/&gt;&lt;wsp:rsid wsp:val=&quot;008A28C4&quot;/&gt;&lt;wsp:rsid wsp:val=&quot;008A2944&quot;/&gt;&lt;wsp:rsid wsp:val=&quot;008A2EA3&quot;/&gt;&lt;wsp:rsid wsp:val=&quot;008A32AB&quot;/&gt;&lt;wsp:rsid wsp:val=&quot;008A33FD&quot;/&gt;&lt;wsp:rsid wsp:val=&quot;008A34F0&quot;/&gt;&lt;wsp:rsid wsp:val=&quot;008A3DAD&quot;/&gt;&lt;wsp:rsid wsp:val=&quot;008A43E5&quot;/&gt;&lt;wsp:rsid wsp:val=&quot;008A51F3&quot;/&gt;&lt;wsp:rsid wsp:val=&quot;008A5283&quot;/&gt;&lt;wsp:rsid wsp:val=&quot;008A5469&quot;/&gt;&lt;wsp:rsid wsp:val=&quot;008A55A5&quot;/&gt;&lt;wsp:rsid wsp:val=&quot;008A56DD&quot;/&gt;&lt;wsp:rsid wsp:val=&quot;008A5894&quot;/&gt;&lt;wsp:rsid wsp:val=&quot;008A5CAD&quot;/&gt;&lt;wsp:rsid wsp:val=&quot;008A646C&quot;/&gt;&lt;wsp:rsid wsp:val=&quot;008A65DB&quot;/&gt;&lt;wsp:rsid wsp:val=&quot;008A689A&quot;/&gt;&lt;wsp:rsid wsp:val=&quot;008A7705&quot;/&gt;&lt;wsp:rsid wsp:val=&quot;008B0635&quot;/&gt;&lt;wsp:rsid wsp:val=&quot;008B0A4D&quot;/&gt;&lt;wsp:rsid wsp:val=&quot;008B182F&quot;/&gt;&lt;wsp:rsid wsp:val=&quot;008B1C96&quot;/&gt;&lt;wsp:rsid wsp:val=&quot;008B233F&quot;/&gt;&lt;wsp:rsid wsp:val=&quot;008B2689&quot;/&gt;&lt;wsp:rsid wsp:val=&quot;008B2911&quot;/&gt;&lt;wsp:rsid wsp:val=&quot;008B2EBE&quot;/&gt;&lt;wsp:rsid wsp:val=&quot;008B3653&quot;/&gt;&lt;wsp:rsid wsp:val=&quot;008B3C9E&quot;/&gt;&lt;wsp:rsid wsp:val=&quot;008B408F&quot;/&gt;&lt;wsp:rsid wsp:val=&quot;008B42FF&quot;/&gt;&lt;wsp:rsid wsp:val=&quot;008B430F&quot;/&gt;&lt;wsp:rsid wsp:val=&quot;008B49E9&quot;/&gt;&lt;wsp:rsid wsp:val=&quot;008B4A2F&quot;/&gt;&lt;wsp:rsid wsp:val=&quot;008B547C&quot;/&gt;&lt;wsp:rsid wsp:val=&quot;008B5605&quot;/&gt;&lt;wsp:rsid wsp:val=&quot;008B610F&quot;/&gt;&lt;wsp:rsid wsp:val=&quot;008B64DE&quot;/&gt;&lt;wsp:rsid wsp:val=&quot;008B650C&quot;/&gt;&lt;wsp:rsid wsp:val=&quot;008B6A7D&quot;/&gt;&lt;wsp:rsid wsp:val=&quot;008B78FD&quot;/&gt;&lt;wsp:rsid wsp:val=&quot;008B7940&quot;/&gt;&lt;wsp:rsid wsp:val=&quot;008B7B36&quot;/&gt;&lt;wsp:rsid wsp:val=&quot;008C0060&quot;/&gt;&lt;wsp:rsid wsp:val=&quot;008C0847&quot;/&gt;&lt;wsp:rsid wsp:val=&quot;008C1494&quot;/&gt;&lt;wsp:rsid wsp:val=&quot;008C1739&quot;/&gt;&lt;wsp:rsid wsp:val=&quot;008C205F&quot;/&gt;&lt;wsp:rsid wsp:val=&quot;008C22A4&quot;/&gt;&lt;wsp:rsid wsp:val=&quot;008C23EE&quot;/&gt;&lt;wsp:rsid wsp:val=&quot;008C2593&quot;/&gt;&lt;wsp:rsid wsp:val=&quot;008C265A&quot;/&gt;&lt;wsp:rsid wsp:val=&quot;008C37BA&quot;/&gt;&lt;wsp:rsid wsp:val=&quot;008C3B9E&quot;/&gt;&lt;wsp:rsid wsp:val=&quot;008C3CC2&quot;/&gt;&lt;wsp:rsid wsp:val=&quot;008C3E8D&quot;/&gt;&lt;wsp:rsid wsp:val=&quot;008C418A&quot;/&gt;&lt;wsp:rsid wsp:val=&quot;008C4D22&quot;/&gt;&lt;wsp:rsid wsp:val=&quot;008C4D83&quot;/&gt;&lt;wsp:rsid wsp:val=&quot;008C631B&quot;/&gt;&lt;wsp:rsid wsp:val=&quot;008C66A9&quot;/&gt;&lt;wsp:rsid wsp:val=&quot;008C6A82&quot;/&gt;&lt;wsp:rsid wsp:val=&quot;008C6BF6&quot;/&gt;&lt;wsp:rsid wsp:val=&quot;008C7B47&quot;/&gt;&lt;wsp:rsid wsp:val=&quot;008C7C9C&quot;/&gt;&lt;wsp:rsid wsp:val=&quot;008D0E02&quot;/&gt;&lt;wsp:rsid wsp:val=&quot;008D13B0&quot;/&gt;&lt;wsp:rsid wsp:val=&quot;008D1555&quot;/&gt;&lt;wsp:rsid wsp:val=&quot;008D232B&quot;/&gt;&lt;wsp:rsid wsp:val=&quot;008D2AEE&quot;/&gt;&lt;wsp:rsid wsp:val=&quot;008D2C87&quot;/&gt;&lt;wsp:rsid wsp:val=&quot;008D4B8F&quot;/&gt;&lt;wsp:rsid wsp:val=&quot;008D5D94&quot;/&gt;&lt;wsp:rsid wsp:val=&quot;008D6077&quot;/&gt;&lt;wsp:rsid wsp:val=&quot;008D67BC&quot;/&gt;&lt;wsp:rsid wsp:val=&quot;008D67FB&quot;/&gt;&lt;wsp:rsid wsp:val=&quot;008D690E&quot;/&gt;&lt;wsp:rsid wsp:val=&quot;008D6C92&quot;/&gt;&lt;wsp:rsid wsp:val=&quot;008D74CE&quot;/&gt;&lt;wsp:rsid wsp:val=&quot;008D7686&quot;/&gt;&lt;wsp:rsid wsp:val=&quot;008D76B1&quot;/&gt;&lt;wsp:rsid wsp:val=&quot;008D7B2D&quot;/&gt;&lt;wsp:rsid wsp:val=&quot;008D7E49&quot;/&gt;&lt;wsp:rsid wsp:val=&quot;008D7FAB&quot;/&gt;&lt;wsp:rsid wsp:val=&quot;008E0051&quot;/&gt;&lt;wsp:rsid wsp:val=&quot;008E036D&quot;/&gt;&lt;wsp:rsid wsp:val=&quot;008E05BA&quot;/&gt;&lt;wsp:rsid wsp:val=&quot;008E0A04&quot;/&gt;&lt;wsp:rsid wsp:val=&quot;008E170B&quot;/&gt;&lt;wsp:rsid wsp:val=&quot;008E1D26&quot;/&gt;&lt;wsp:rsid wsp:val=&quot;008E1E2E&quot;/&gt;&lt;wsp:rsid wsp:val=&quot;008E2BB2&quot;/&gt;&lt;wsp:rsid wsp:val=&quot;008E2E5F&quot;/&gt;&lt;wsp:rsid wsp:val=&quot;008E3141&quot;/&gt;&lt;wsp:rsid wsp:val=&quot;008E43F6&quot;/&gt;&lt;wsp:rsid wsp:val=&quot;008E4F6C&quot;/&gt;&lt;wsp:rsid wsp:val=&quot;008E5349&quot;/&gt;&lt;wsp:rsid wsp:val=&quot;008E53B6&quot;/&gt;&lt;wsp:rsid wsp:val=&quot;008E53FC&quot;/&gt;&lt;wsp:rsid wsp:val=&quot;008E568F&quot;/&gt;&lt;wsp:rsid wsp:val=&quot;008E571B&quot;/&gt;&lt;wsp:rsid wsp:val=&quot;008E66FD&quot;/&gt;&lt;wsp:rsid wsp:val=&quot;008E69DE&quot;/&gt;&lt;wsp:rsid wsp:val=&quot;008E6DF1&quot;/&gt;&lt;wsp:rsid wsp:val=&quot;008E7195&quot;/&gt;&lt;wsp:rsid wsp:val=&quot;008E757C&quot;/&gt;&lt;wsp:rsid wsp:val=&quot;008E7DAA&quot;/&gt;&lt;wsp:rsid wsp:val=&quot;008F04FB&quot;/&gt;&lt;wsp:rsid wsp:val=&quot;008F1F35&quot;/&gt;&lt;wsp:rsid wsp:val=&quot;008F214D&quot;/&gt;&lt;wsp:rsid wsp:val=&quot;008F221C&quot;/&gt;&lt;wsp:rsid wsp:val=&quot;008F25F4&quot;/&gt;&lt;wsp:rsid wsp:val=&quot;008F2960&quot;/&gt;&lt;wsp:rsid wsp:val=&quot;008F35A4&quot;/&gt;&lt;wsp:rsid wsp:val=&quot;008F3832&quot;/&gt;&lt;wsp:rsid wsp:val=&quot;008F3833&quot;/&gt;&lt;wsp:rsid wsp:val=&quot;008F3975&quot;/&gt;&lt;wsp:rsid wsp:val=&quot;008F3D49&quot;/&gt;&lt;wsp:rsid wsp:val=&quot;008F4295&quot;/&gt;&lt;wsp:rsid wsp:val=&quot;008F4374&quot;/&gt;&lt;wsp:rsid wsp:val=&quot;008F4603&quot;/&gt;&lt;wsp:rsid wsp:val=&quot;008F52E6&quot;/&gt;&lt;wsp:rsid wsp:val=&quot;008F541B&quot;/&gt;&lt;wsp:rsid wsp:val=&quot;008F57D0&quot;/&gt;&lt;wsp:rsid wsp:val=&quot;008F6F57&quot;/&gt;&lt;wsp:rsid wsp:val=&quot;008F78DD&quot;/&gt;&lt;wsp:rsid wsp:val=&quot;008F7918&quot;/&gt;&lt;wsp:rsid wsp:val=&quot;008F7CD6&quot;/&gt;&lt;wsp:rsid wsp:val=&quot;00900083&quot;/&gt;&lt;wsp:rsid wsp:val=&quot;0090076C&quot;/&gt;&lt;wsp:rsid wsp:val=&quot;00900D65&quot;/&gt;&lt;wsp:rsid wsp:val=&quot;0090119D&quot;/&gt;&lt;wsp:rsid wsp:val=&quot;009011D1&quot;/&gt;&lt;wsp:rsid wsp:val=&quot;00901A00&quot;/&gt;&lt;wsp:rsid wsp:val=&quot;00902522&quot;/&gt;&lt;wsp:rsid wsp:val=&quot;00902588&quot;/&gt;&lt;wsp:rsid wsp:val=&quot;009032A3&quot;/&gt;&lt;wsp:rsid wsp:val=&quot;00903341&quot;/&gt;&lt;wsp:rsid wsp:val=&quot;00903C48&quot;/&gt;&lt;wsp:rsid wsp:val=&quot;00904670&quot;/&gt;&lt;wsp:rsid wsp:val=&quot;009046E9&quot;/&gt;&lt;wsp:rsid wsp:val=&quot;009049BC&quot;/&gt;&lt;wsp:rsid wsp:val=&quot;009060D5&quot;/&gt;&lt;wsp:rsid wsp:val=&quot;009066D8&quot;/&gt;&lt;wsp:rsid wsp:val=&quot;00906D8D&quot;/&gt;&lt;wsp:rsid wsp:val=&quot;00906FD8&quot;/&gt;&lt;wsp:rsid wsp:val=&quot;009073A0&quot;/&gt;&lt;wsp:rsid wsp:val=&quot;00907E2E&quot;/&gt;&lt;wsp:rsid wsp:val=&quot;00907E53&quot;/&gt;&lt;wsp:rsid wsp:val=&quot;0091054F&quot;/&gt;&lt;wsp:rsid wsp:val=&quot;00910D1F&quot;/&gt;&lt;wsp:rsid wsp:val=&quot;00911433&quot;/&gt;&lt;wsp:rsid wsp:val=&quot;00911452&quot;/&gt;&lt;wsp:rsid wsp:val=&quot;009124A0&quot;/&gt;&lt;wsp:rsid wsp:val=&quot;009125D3&quot;/&gt;&lt;wsp:rsid wsp:val=&quot;00912813&quot;/&gt;&lt;wsp:rsid wsp:val=&quot;00912A13&quot;/&gt;&lt;wsp:rsid wsp:val=&quot;00912A89&quot;/&gt;&lt;wsp:rsid wsp:val=&quot;0091350B&quot;/&gt;&lt;wsp:rsid wsp:val=&quot;009135F4&quot;/&gt;&lt;wsp:rsid wsp:val=&quot;00913747&quot;/&gt;&lt;wsp:rsid wsp:val=&quot;0091377D&quot;/&gt;&lt;wsp:rsid wsp:val=&quot;00913ABD&quot;/&gt;&lt;wsp:rsid wsp:val=&quot;00914080&quot;/&gt;&lt;wsp:rsid wsp:val=&quot;009146FA&quot;/&gt;&lt;wsp:rsid wsp:val=&quot;0091474F&quot;/&gt;&lt;wsp:rsid wsp:val=&quot;00914955&quot;/&gt;&lt;wsp:rsid wsp:val=&quot;00914E7B&quot;/&gt;&lt;wsp:rsid wsp:val=&quot;00914ED0&quot;/&gt;&lt;wsp:rsid wsp:val=&quot;0091515D&quot;/&gt;&lt;wsp:rsid wsp:val=&quot;00915348&quot;/&gt;&lt;wsp:rsid wsp:val=&quot;00915569&quot;/&gt;&lt;wsp:rsid wsp:val=&quot;00916AAB&quot;/&gt;&lt;wsp:rsid wsp:val=&quot;0091703F&quot;/&gt;&lt;wsp:rsid wsp:val=&quot;0091749D&quot;/&gt;&lt;wsp:rsid wsp:val=&quot;00917526&quot;/&gt;&lt;wsp:rsid wsp:val=&quot;0092017A&quot;/&gt;&lt;wsp:rsid wsp:val=&quot;00920880&quot;/&gt;&lt;wsp:rsid wsp:val=&quot;00920C5C&quot;/&gt;&lt;wsp:rsid wsp:val=&quot;00921F48&quot;/&gt;&lt;wsp:rsid wsp:val=&quot;0092201D&quot;/&gt;&lt;wsp:rsid wsp:val=&quot;009222A2&quot;/&gt;&lt;wsp:rsid wsp:val=&quot;009224A8&quot;/&gt;&lt;wsp:rsid wsp:val=&quot;00922C80&quot;/&gt;&lt;wsp:rsid wsp:val=&quot;00922D74&quot;/&gt;&lt;wsp:rsid wsp:val=&quot;00923A47&quot;/&gt;&lt;wsp:rsid wsp:val=&quot;00923BF4&quot;/&gt;&lt;wsp:rsid wsp:val=&quot;00923D09&quot;/&gt;&lt;wsp:rsid wsp:val=&quot;00923E79&quot;/&gt;&lt;wsp:rsid wsp:val=&quot;00923FA1&quot;/&gt;&lt;wsp:rsid wsp:val=&quot;00924C08&quot;/&gt;&lt;wsp:rsid wsp:val=&quot;00924F6E&quot;/&gt;&lt;wsp:rsid wsp:val=&quot;00925090&quot;/&gt;&lt;wsp:rsid wsp:val=&quot;009254A4&quot;/&gt;&lt;wsp:rsid wsp:val=&quot;00926A90&quot;/&gt;&lt;wsp:rsid wsp:val=&quot;00926C76&quot;/&gt;&lt;wsp:rsid wsp:val=&quot;00926DC2&quot;/&gt;&lt;wsp:rsid wsp:val=&quot;00926E78&quot;/&gt;&lt;wsp:rsid wsp:val=&quot;00926F68&quot;/&gt;&lt;wsp:rsid wsp:val=&quot;009279C8&quot;/&gt;&lt;wsp:rsid wsp:val=&quot;00927A5A&quot;/&gt;&lt;wsp:rsid wsp:val=&quot;00927B17&quot;/&gt;&lt;wsp:rsid wsp:val=&quot;00927BD8&quot;/&gt;&lt;wsp:rsid wsp:val=&quot;0093074A&quot;/&gt;&lt;wsp:rsid wsp:val=&quot;00930825&quot;/&gt;&lt;wsp:rsid wsp:val=&quot;0093087E&quot;/&gt;&lt;wsp:rsid wsp:val=&quot;00930D82&quot;/&gt;&lt;wsp:rsid wsp:val=&quot;00931D4E&quot;/&gt;&lt;wsp:rsid wsp:val=&quot;009324CB&quot;/&gt;&lt;wsp:rsid wsp:val=&quot;00932615&quot;/&gt;&lt;wsp:rsid wsp:val=&quot;009327A9&quot;/&gt;&lt;wsp:rsid wsp:val=&quot;00932C77&quot;/&gt;&lt;wsp:rsid wsp:val=&quot;00932E6F&quot;/&gt;&lt;wsp:rsid wsp:val=&quot;009331E6&quot;/&gt;&lt;wsp:rsid wsp:val=&quot;00933590&quot;/&gt;&lt;wsp:rsid wsp:val=&quot;0093416B&quot;/&gt;&lt;wsp:rsid wsp:val=&quot;00934387&quot;/&gt;&lt;wsp:rsid wsp:val=&quot;0093444B&quot;/&gt;&lt;wsp:rsid wsp:val=&quot;0093491F&quot;/&gt;&lt;wsp:rsid wsp:val=&quot;00934AC8&quot;/&gt;&lt;wsp:rsid wsp:val=&quot;00934B83&quot;/&gt;&lt;wsp:rsid wsp:val=&quot;009357D2&quot;/&gt;&lt;wsp:rsid wsp:val=&quot;00936C4D&quot;/&gt;&lt;wsp:rsid wsp:val=&quot;00936D45&quot;/&gt;&lt;wsp:rsid wsp:val=&quot;00936DDC&quot;/&gt;&lt;wsp:rsid wsp:val=&quot;00936E00&quot;/&gt;&lt;wsp:rsid wsp:val=&quot;0093702E&quot;/&gt;&lt;wsp:rsid wsp:val=&quot;009370F3&quot;/&gt;&lt;wsp:rsid wsp:val=&quot;0093719A&quot;/&gt;&lt;wsp:rsid wsp:val=&quot;00937415&quot;/&gt;&lt;wsp:rsid wsp:val=&quot;00937BB8&quot;/&gt;&lt;wsp:rsid wsp:val=&quot;00937D0F&quot;/&gt;&lt;wsp:rsid wsp:val=&quot;009403FB&quot;/&gt;&lt;wsp:rsid wsp:val=&quot;0094095F&quot;/&gt;&lt;wsp:rsid wsp:val=&quot;00940B71&quot;/&gt;&lt;wsp:rsid wsp:val=&quot;00940B84&quot;/&gt;&lt;wsp:rsid wsp:val=&quot;0094146B&quot;/&gt;&lt;wsp:rsid wsp:val=&quot;009417C7&quot;/&gt;&lt;wsp:rsid wsp:val=&quot;0094187F&quot;/&gt;&lt;wsp:rsid wsp:val=&quot;00941BAC&quot;/&gt;&lt;wsp:rsid wsp:val=&quot;00941D1F&quot;/&gt;&lt;wsp:rsid wsp:val=&quot;00942134&quot;/&gt;&lt;wsp:rsid wsp:val=&quot;0094249A&quot;/&gt;&lt;wsp:rsid wsp:val=&quot;0094268E&quot;/&gt;&lt;wsp:rsid wsp:val=&quot;009432A6&quot;/&gt;&lt;wsp:rsid wsp:val=&quot;009439A1&quot;/&gt;&lt;wsp:rsid wsp:val=&quot;00943C4B&quot;/&gt;&lt;wsp:rsid wsp:val=&quot;00945046&quot;/&gt;&lt;wsp:rsid wsp:val=&quot;00945610&quot;/&gt;&lt;wsp:rsid wsp:val=&quot;009458A3&quot;/&gt;&lt;wsp:rsid wsp:val=&quot;00945DC5&quot;/&gt;&lt;wsp:rsid wsp:val=&quot;0094633C&quot;/&gt;&lt;wsp:rsid wsp:val=&quot;00946514&quot;/&gt;&lt;wsp:rsid wsp:val=&quot;00946F3D&quot;/&gt;&lt;wsp:rsid wsp:val=&quot;00947281&quot;/&gt;&lt;wsp:rsid wsp:val=&quot;00947457&quot;/&gt;&lt;wsp:rsid wsp:val=&quot;00947A20&quot;/&gt;&lt;wsp:rsid wsp:val=&quot;00947E31&quot;/&gt;&lt;wsp:rsid wsp:val=&quot;0095005A&quot;/&gt;&lt;wsp:rsid wsp:val=&quot;00950599&quot;/&gt;&lt;wsp:rsid wsp:val=&quot;009506A9&quot;/&gt;&lt;wsp:rsid wsp:val=&quot;00950EAB&quot;/&gt;&lt;wsp:rsid wsp:val=&quot;00950FEF&quot;/&gt;&lt;wsp:rsid wsp:val=&quot;0095132C&quot;/&gt;&lt;wsp:rsid wsp:val=&quot;009518BC&quot;/&gt;&lt;wsp:rsid wsp:val=&quot;00951C4E&quot;/&gt;&lt;wsp:rsid wsp:val=&quot;00952075&quot;/&gt;&lt;wsp:rsid wsp:val=&quot;0095235F&quot;/&gt;&lt;wsp:rsid wsp:val=&quot;009527CD&quot;/&gt;&lt;wsp:rsid wsp:val=&quot;009532BC&quot;/&gt;&lt;wsp:rsid wsp:val=&quot;009537BF&quot;/&gt;&lt;wsp:rsid wsp:val=&quot;009544B2&quot;/&gt;&lt;wsp:rsid wsp:val=&quot;009548CD&quot;/&gt;&lt;wsp:rsid wsp:val=&quot;0095527C&quot;/&gt;&lt;wsp:rsid wsp:val=&quot;009555AD&quot;/&gt;&lt;wsp:rsid wsp:val=&quot;009560D0&quot;/&gt;&lt;wsp:rsid wsp:val=&quot;00956B16&quot;/&gt;&lt;wsp:rsid wsp:val=&quot;00957D5D&quot;/&gt;&lt;wsp:rsid wsp:val=&quot;00960245&quot;/&gt;&lt;wsp:rsid wsp:val=&quot;00960F2F&quot;/&gt;&lt;wsp:rsid wsp:val=&quot;0096142E&quot;/&gt;&lt;wsp:rsid wsp:val=&quot;00962288&quot;/&gt;&lt;wsp:rsid wsp:val=&quot;00962651&quot;/&gt;&lt;wsp:rsid wsp:val=&quot;00962BAB&quot;/&gt;&lt;wsp:rsid wsp:val=&quot;00962E54&quot;/&gt;&lt;wsp:rsid wsp:val=&quot;00963021&quot;/&gt;&lt;wsp:rsid wsp:val=&quot;0096303F&quot;/&gt;&lt;wsp:rsid wsp:val=&quot;00963E42&quot;/&gt;&lt;wsp:rsid wsp:val=&quot;00963F3D&quot;/&gt;&lt;wsp:rsid wsp:val=&quot;009642F0&quot;/&gt;&lt;wsp:rsid wsp:val=&quot;009647F5&quot;/&gt;&lt;wsp:rsid wsp:val=&quot;0096491B&quot;/&gt;&lt;wsp:rsid wsp:val=&quot;009651CB&quot;/&gt;&lt;wsp:rsid wsp:val=&quot;009652AD&quot;/&gt;&lt;wsp:rsid wsp:val=&quot;00965F01&quot;/&gt;&lt;wsp:rsid wsp:val=&quot;00967787&quot;/&gt;&lt;wsp:rsid wsp:val=&quot;00970100&quot;/&gt;&lt;wsp:rsid wsp:val=&quot;0097091C&quot;/&gt;&lt;wsp:rsid wsp:val=&quot;009709D1&quot;/&gt;&lt;wsp:rsid wsp:val=&quot;00972499&quot;/&gt;&lt;wsp:rsid wsp:val=&quot;00972D2C&quot;/&gt;&lt;wsp:rsid wsp:val=&quot;00972D34&quot;/&gt;&lt;wsp:rsid wsp:val=&quot;00972D90&quot;/&gt;&lt;wsp:rsid wsp:val=&quot;009733DA&quot;/&gt;&lt;wsp:rsid wsp:val=&quot;009735B1&quot;/&gt;&lt;wsp:rsid wsp:val=&quot;0097365E&quot;/&gt;&lt;wsp:rsid wsp:val=&quot;00973846&quot;/&gt;&lt;wsp:rsid wsp:val=&quot;00973B1E&quot;/&gt;&lt;wsp:rsid wsp:val=&quot;0097413C&quot;/&gt;&lt;wsp:rsid wsp:val=&quot;0097442D&quot;/&gt;&lt;wsp:rsid wsp:val=&quot;00974932&quot;/&gt;&lt;wsp:rsid wsp:val=&quot;009751ED&quot;/&gt;&lt;wsp:rsid wsp:val=&quot;0097525A&quot;/&gt;&lt;wsp:rsid wsp:val=&quot;00975661&quot;/&gt;&lt;wsp:rsid wsp:val=&quot;00975AA8&quot;/&gt;&lt;wsp:rsid wsp:val=&quot;00976239&quot;/&gt;&lt;wsp:rsid wsp:val=&quot;00976597&quot;/&gt;&lt;wsp:rsid wsp:val=&quot;00976603&quot;/&gt;&lt;wsp:rsid wsp:val=&quot;00976F3B&quot;/&gt;&lt;wsp:rsid wsp:val=&quot;00976FB4&quot;/&gt;&lt;wsp:rsid wsp:val=&quot;00977664&quot;/&gt;&lt;wsp:rsid wsp:val=&quot;00977742&quot;/&gt;&lt;wsp:rsid wsp:val=&quot;00977A5D&quot;/&gt;&lt;wsp:rsid wsp:val=&quot;00977EF5&quot;/&gt;&lt;wsp:rsid wsp:val=&quot;00980A67&quot;/&gt;&lt;wsp:rsid wsp:val=&quot;00980EC4&quot;/&gt;&lt;wsp:rsid wsp:val=&quot;009812CB&quot;/&gt;&lt;wsp:rsid wsp:val=&quot;009816B5&quot;/&gt;&lt;wsp:rsid wsp:val=&quot;00981C11&quot;/&gt;&lt;wsp:rsid wsp:val=&quot;009823B8&quot;/&gt;&lt;wsp:rsid wsp:val=&quot;0098267B&quot;/&gt;&lt;wsp:rsid wsp:val=&quot;00982939&quot;/&gt;&lt;wsp:rsid wsp:val=&quot;00982A36&quot;/&gt;&lt;wsp:rsid wsp:val=&quot;00982AD9&quot;/&gt;&lt;wsp:rsid wsp:val=&quot;009831E9&quot;/&gt;&lt;wsp:rsid wsp:val=&quot;0098377F&quot;/&gt;&lt;wsp:rsid wsp:val=&quot;00983E6A&quot;/&gt;&lt;wsp:rsid wsp:val=&quot;00983EFF&quot;/&gt;&lt;wsp:rsid wsp:val=&quot;009841E7&quot;/&gt;&lt;wsp:rsid wsp:val=&quot;00984982&quot;/&gt;&lt;wsp:rsid wsp:val=&quot;00984988&quot;/&gt;&lt;wsp:rsid wsp:val=&quot;009849E9&quot;/&gt;&lt;wsp:rsid wsp:val=&quot;00985309&quot;/&gt;&lt;wsp:rsid wsp:val=&quot;0098565C&quot;/&gt;&lt;wsp:rsid wsp:val=&quot;00985AA0&quot;/&gt;&lt;wsp:rsid wsp:val=&quot;009861CA&quot;/&gt;&lt;wsp:rsid wsp:val=&quot;00986BDB&quot;/&gt;&lt;wsp:rsid wsp:val=&quot;00986E0C&quot;/&gt;&lt;wsp:rsid wsp:val=&quot;009872F2&quot;/&gt;&lt;wsp:rsid wsp:val=&quot;009873EA&quot;/&gt;&lt;wsp:rsid wsp:val=&quot;00987926&quot;/&gt;&lt;wsp:rsid wsp:val=&quot;009900E4&quot;/&gt;&lt;wsp:rsid wsp:val=&quot;00990137&quot;/&gt;&lt;wsp:rsid wsp:val=&quot;00990178&quot;/&gt;&lt;wsp:rsid wsp:val=&quot;009905DA&quot;/&gt;&lt;wsp:rsid wsp:val=&quot;00990715&quot;/&gt;&lt;wsp:rsid wsp:val=&quot;00990DD8&quot;/&gt;&lt;wsp:rsid wsp:val=&quot;00991528&quot;/&gt;&lt;wsp:rsid wsp:val=&quot;00991B7E&quot;/&gt;&lt;wsp:rsid wsp:val=&quot;00991CBB&quot;/&gt;&lt;wsp:rsid wsp:val=&quot;00991DE3&quot;/&gt;&lt;wsp:rsid wsp:val=&quot;00992096&quot;/&gt;&lt;wsp:rsid wsp:val=&quot;00993370&quot;/&gt;&lt;wsp:rsid wsp:val=&quot;00993CA9&quot;/&gt;&lt;wsp:rsid wsp:val=&quot;00995115&quot;/&gt;&lt;wsp:rsid wsp:val=&quot;00995423&quot;/&gt;&lt;wsp:rsid wsp:val=&quot;0099588C&quot;/&gt;&lt;wsp:rsid wsp:val=&quot;009962D6&quot;/&gt;&lt;wsp:rsid wsp:val=&quot;00996AEF&quot;/&gt;&lt;wsp:rsid wsp:val=&quot;00996D2D&quot;/&gt;&lt;wsp:rsid wsp:val=&quot;00997116&quot;/&gt;&lt;wsp:rsid wsp:val=&quot;009975D6&quot;/&gt;&lt;wsp:rsid wsp:val=&quot;00997800&quot;/&gt;&lt;wsp:rsid wsp:val=&quot;009A0232&quot;/&gt;&lt;wsp:rsid wsp:val=&quot;009A04F9&quot;/&gt;&lt;wsp:rsid wsp:val=&quot;009A095C&quot;/&gt;&lt;wsp:rsid wsp:val=&quot;009A0AA3&quot;/&gt;&lt;wsp:rsid wsp:val=&quot;009A0C64&quot;/&gt;&lt;wsp:rsid wsp:val=&quot;009A1A68&quot;/&gt;&lt;wsp:rsid wsp:val=&quot;009A1C98&quot;/&gt;&lt;wsp:rsid wsp:val=&quot;009A1FD5&quot;/&gt;&lt;wsp:rsid wsp:val=&quot;009A20A4&quot;/&gt;&lt;wsp:rsid wsp:val=&quot;009A25FF&quot;/&gt;&lt;wsp:rsid wsp:val=&quot;009A2836&quot;/&gt;&lt;wsp:rsid wsp:val=&quot;009A31C6&quot;/&gt;&lt;wsp:rsid wsp:val=&quot;009A31E9&quot;/&gt;&lt;wsp:rsid wsp:val=&quot;009A3203&quot;/&gt;&lt;wsp:rsid wsp:val=&quot;009A367C&quot;/&gt;&lt;wsp:rsid wsp:val=&quot;009A3823&quot;/&gt;&lt;wsp:rsid wsp:val=&quot;009A3BCF&quot;/&gt;&lt;wsp:rsid wsp:val=&quot;009A472E&quot;/&gt;&lt;wsp:rsid wsp:val=&quot;009A506C&quot;/&gt;&lt;wsp:rsid wsp:val=&quot;009A5655&quot;/&gt;&lt;wsp:rsid wsp:val=&quot;009A577C&quot;/&gt;&lt;wsp:rsid wsp:val=&quot;009A57DD&quot;/&gt;&lt;wsp:rsid wsp:val=&quot;009A586D&quot;/&gt;&lt;wsp:rsid wsp:val=&quot;009A5C08&quot;/&gt;&lt;wsp:rsid wsp:val=&quot;009A63AE&quot;/&gt;&lt;wsp:rsid wsp:val=&quot;009A711E&quot;/&gt;&lt;wsp:rsid wsp:val=&quot;009A781C&quot;/&gt;&lt;wsp:rsid wsp:val=&quot;009A7BD6&quot;/&gt;&lt;wsp:rsid wsp:val=&quot;009B0409&quot;/&gt;&lt;wsp:rsid wsp:val=&quot;009B06E3&quot;/&gt;&lt;wsp:rsid wsp:val=&quot;009B0A27&quot;/&gt;&lt;wsp:rsid wsp:val=&quot;009B0EE3&quot;/&gt;&lt;wsp:rsid wsp:val=&quot;009B1178&quot;/&gt;&lt;wsp:rsid wsp:val=&quot;009B18E9&quot;/&gt;&lt;wsp:rsid wsp:val=&quot;009B2565&quot;/&gt;&lt;wsp:rsid wsp:val=&quot;009B2C77&quot;/&gt;&lt;wsp:rsid wsp:val=&quot;009B3545&quot;/&gt;&lt;wsp:rsid wsp:val=&quot;009B42A1&quot;/&gt;&lt;wsp:rsid wsp:val=&quot;009B5125&quot;/&gt;&lt;wsp:rsid wsp:val=&quot;009B5132&quot;/&gt;&lt;wsp:rsid wsp:val=&quot;009B5B0F&quot;/&gt;&lt;wsp:rsid wsp:val=&quot;009B5CD0&quot;/&gt;&lt;wsp:rsid wsp:val=&quot;009B74B7&quot;/&gt;&lt;wsp:rsid wsp:val=&quot;009B7CA8&quot;/&gt;&lt;wsp:rsid wsp:val=&quot;009C0053&quot;/&gt;&lt;wsp:rsid wsp:val=&quot;009C0181&quot;/&gt;&lt;wsp:rsid wsp:val=&quot;009C0ECD&quot;/&gt;&lt;wsp:rsid wsp:val=&quot;009C15C2&quot;/&gt;&lt;wsp:rsid wsp:val=&quot;009C2217&quot;/&gt;&lt;wsp:rsid wsp:val=&quot;009C2ECC&quot;/&gt;&lt;wsp:rsid wsp:val=&quot;009C369F&quot;/&gt;&lt;wsp:rsid wsp:val=&quot;009C3F12&quot;/&gt;&lt;wsp:rsid wsp:val=&quot;009C42FA&quot;/&gt;&lt;wsp:rsid wsp:val=&quot;009C4A18&quot;/&gt;&lt;wsp:rsid wsp:val=&quot;009C4C3D&quot;/&gt;&lt;wsp:rsid wsp:val=&quot;009C4E2C&quot;/&gt;&lt;wsp:rsid wsp:val=&quot;009C5BD2&quot;/&gt;&lt;wsp:rsid wsp:val=&quot;009C6618&quot;/&gt;&lt;wsp:rsid wsp:val=&quot;009C661A&quot;/&gt;&lt;wsp:rsid wsp:val=&quot;009C73E0&quot;/&gt;&lt;wsp:rsid wsp:val=&quot;009D02B7&quot;/&gt;&lt;wsp:rsid wsp:val=&quot;009D0508&quot;/&gt;&lt;wsp:rsid wsp:val=&quot;009D0A84&quot;/&gt;&lt;wsp:rsid wsp:val=&quot;009D1163&quot;/&gt;&lt;wsp:rsid wsp:val=&quot;009D2233&quot;/&gt;&lt;wsp:rsid wsp:val=&quot;009D2743&quot;/&gt;&lt;wsp:rsid wsp:val=&quot;009D30F4&quot;/&gt;&lt;wsp:rsid wsp:val=&quot;009D330A&quot;/&gt;&lt;wsp:rsid wsp:val=&quot;009D34F0&quot;/&gt;&lt;wsp:rsid wsp:val=&quot;009D35E3&quot;/&gt;&lt;wsp:rsid wsp:val=&quot;009D419B&quot;/&gt;&lt;wsp:rsid wsp:val=&quot;009D41C4&quot;/&gt;&lt;wsp:rsid wsp:val=&quot;009D4DA2&quot;/&gt;&lt;wsp:rsid wsp:val=&quot;009D582B&quot;/&gt;&lt;wsp:rsid wsp:val=&quot;009D58F2&quot;/&gt;&lt;wsp:rsid wsp:val=&quot;009D5E64&quot;/&gt;&lt;wsp:rsid wsp:val=&quot;009D5E7E&quot;/&gt;&lt;wsp:rsid wsp:val=&quot;009D5F68&quot;/&gt;&lt;wsp:rsid wsp:val=&quot;009D6112&quot;/&gt;&lt;wsp:rsid wsp:val=&quot;009D6223&quot;/&gt;&lt;wsp:rsid wsp:val=&quot;009D653D&quot;/&gt;&lt;wsp:rsid wsp:val=&quot;009D73F3&quot;/&gt;&lt;wsp:rsid wsp:val=&quot;009D7EA6&quot;/&gt;&lt;wsp:rsid wsp:val=&quot;009E08CA&quot;/&gt;&lt;wsp:rsid wsp:val=&quot;009E0B6E&quot;/&gt;&lt;wsp:rsid wsp:val=&quot;009E1431&quot;/&gt;&lt;wsp:rsid wsp:val=&quot;009E197F&quot;/&gt;&lt;wsp:rsid wsp:val=&quot;009E19C3&quot;/&gt;&lt;wsp:rsid wsp:val=&quot;009E2097&quot;/&gt;&lt;wsp:rsid wsp:val=&quot;009E25A5&quot;/&gt;&lt;wsp:rsid wsp:val=&quot;009E2A76&quot;/&gt;&lt;wsp:rsid wsp:val=&quot;009E2B4D&quot;/&gt;&lt;wsp:rsid wsp:val=&quot;009E2BC1&quot;/&gt;&lt;wsp:rsid wsp:val=&quot;009E2C84&quot;/&gt;&lt;wsp:rsid wsp:val=&quot;009E2D05&quot;/&gt;&lt;wsp:rsid wsp:val=&quot;009E3079&quot;/&gt;&lt;wsp:rsid wsp:val=&quot;009E3FB9&quot;/&gt;&lt;wsp:rsid wsp:val=&quot;009E3FEE&quot;/&gt;&lt;wsp:rsid wsp:val=&quot;009E4093&quot;/&gt;&lt;wsp:rsid wsp:val=&quot;009E4131&quot;/&gt;&lt;wsp:rsid wsp:val=&quot;009E4163&quot;/&gt;&lt;wsp:rsid wsp:val=&quot;009E4813&quot;/&gt;&lt;wsp:rsid wsp:val=&quot;009E4827&quot;/&gt;&lt;wsp:rsid wsp:val=&quot;009E5A1F&quot;/&gt;&lt;wsp:rsid wsp:val=&quot;009E62C0&quot;/&gt;&lt;wsp:rsid wsp:val=&quot;009E6E51&quot;/&gt;&lt;wsp:rsid wsp:val=&quot;009E71C6&quot;/&gt;&lt;wsp:rsid wsp:val=&quot;009E764A&quot;/&gt;&lt;wsp:rsid wsp:val=&quot;009F0C00&quot;/&gt;&lt;wsp:rsid wsp:val=&quot;009F0C4A&quot;/&gt;&lt;wsp:rsid wsp:val=&quot;009F0EDC&quot;/&gt;&lt;wsp:rsid wsp:val=&quot;009F0F8E&quot;/&gt;&lt;wsp:rsid wsp:val=&quot;009F1093&quot;/&gt;&lt;wsp:rsid wsp:val=&quot;009F1822&quot;/&gt;&lt;wsp:rsid wsp:val=&quot;009F1CB4&quot;/&gt;&lt;wsp:rsid wsp:val=&quot;009F24DC&quot;/&gt;&lt;wsp:rsid wsp:val=&quot;009F2873&quot;/&gt;&lt;wsp:rsid wsp:val=&quot;009F2944&quot;/&gt;&lt;wsp:rsid wsp:val=&quot;009F2D93&quot;/&gt;&lt;wsp:rsid wsp:val=&quot;009F34EA&quot;/&gt;&lt;wsp:rsid wsp:val=&quot;009F363E&quot;/&gt;&lt;wsp:rsid wsp:val=&quot;009F4063&quot;/&gt;&lt;wsp:rsid wsp:val=&quot;009F4599&quot;/&gt;&lt;wsp:rsid wsp:val=&quot;009F4942&quot;/&gt;&lt;wsp:rsid wsp:val=&quot;009F4ACD&quot;/&gt;&lt;wsp:rsid wsp:val=&quot;009F567C&quot;/&gt;&lt;wsp:rsid wsp:val=&quot;009F62EC&quot;/&gt;&lt;wsp:rsid wsp:val=&quot;009F64AF&quot;/&gt;&lt;wsp:rsid wsp:val=&quot;009F7634&quot;/&gt;&lt;wsp:rsid wsp:val=&quot;009F7C62&quot;/&gt;&lt;wsp:rsid wsp:val=&quot;00A00FDF&quot;/&gt;&lt;wsp:rsid wsp:val=&quot;00A01107&quot;/&gt;&lt;wsp:rsid wsp:val=&quot;00A0161D&quot;/&gt;&lt;wsp:rsid wsp:val=&quot;00A01E7F&quot;/&gt;&lt;wsp:rsid wsp:val=&quot;00A0230C&quot;/&gt;&lt;wsp:rsid wsp:val=&quot;00A04B6A&quot;/&gt;&lt;wsp:rsid wsp:val=&quot;00A04B9D&quot;/&gt;&lt;wsp:rsid wsp:val=&quot;00A05279&quot;/&gt;&lt;wsp:rsid wsp:val=&quot;00A052A7&quot;/&gt;&lt;wsp:rsid wsp:val=&quot;00A0539E&quot;/&gt;&lt;wsp:rsid wsp:val=&quot;00A056A6&quot;/&gt;&lt;wsp:rsid wsp:val=&quot;00A0587D&quot;/&gt;&lt;wsp:rsid wsp:val=&quot;00A05F02&quot;/&gt;&lt;wsp:rsid wsp:val=&quot;00A06840&quot;/&gt;&lt;wsp:rsid wsp:val=&quot;00A074AE&quot;/&gt;&lt;wsp:rsid wsp:val=&quot;00A07915&quot;/&gt;&lt;wsp:rsid wsp:val=&quot;00A0797B&quot;/&gt;&lt;wsp:rsid wsp:val=&quot;00A07D66&quot;/&gt;&lt;wsp:rsid wsp:val=&quot;00A10799&quot;/&gt;&lt;wsp:rsid wsp:val=&quot;00A10937&quot;/&gt;&lt;wsp:rsid wsp:val=&quot;00A10B2A&quot;/&gt;&lt;wsp:rsid wsp:val=&quot;00A11CAE&quot;/&gt;&lt;wsp:rsid wsp:val=&quot;00A12065&quot;/&gt;&lt;wsp:rsid wsp:val=&quot;00A12793&quot;/&gt;&lt;wsp:rsid wsp:val=&quot;00A127C7&quot;/&gt;&lt;wsp:rsid wsp:val=&quot;00A13C94&quot;/&gt;&lt;wsp:rsid wsp:val=&quot;00A14079&quot;/&gt;&lt;wsp:rsid wsp:val=&quot;00A14229&quot;/&gt;&lt;wsp:rsid wsp:val=&quot;00A146E2&quot;/&gt;&lt;wsp:rsid wsp:val=&quot;00A14C9B&quot;/&gt;&lt;wsp:rsid wsp:val=&quot;00A153F0&quot;/&gt;&lt;wsp:rsid wsp:val=&quot;00A15748&quot;/&gt;&lt;wsp:rsid wsp:val=&quot;00A16195&quot;/&gt;&lt;wsp:rsid wsp:val=&quot;00A16206&quot;/&gt;&lt;wsp:rsid wsp:val=&quot;00A16D6B&quot;/&gt;&lt;wsp:rsid wsp:val=&quot;00A17385&quot;/&gt;&lt;wsp:rsid wsp:val=&quot;00A17EAE&quot;/&gt;&lt;wsp:rsid wsp:val=&quot;00A206A3&quot;/&gt;&lt;wsp:rsid wsp:val=&quot;00A206B4&quot;/&gt;&lt;wsp:rsid wsp:val=&quot;00A20A5F&quot;/&gt;&lt;wsp:rsid wsp:val=&quot;00A2103E&quot;/&gt;&lt;wsp:rsid wsp:val=&quot;00A21579&quot;/&gt;&lt;wsp:rsid wsp:val=&quot;00A218E3&quot;/&gt;&lt;wsp:rsid wsp:val=&quot;00A2251B&quot;/&gt;&lt;wsp:rsid wsp:val=&quot;00A2278D&quot;/&gt;&lt;wsp:rsid wsp:val=&quot;00A227EC&quot;/&gt;&lt;wsp:rsid wsp:val=&quot;00A22A9D&quot;/&gt;&lt;wsp:rsid wsp:val=&quot;00A22CAD&quot;/&gt;&lt;wsp:rsid wsp:val=&quot;00A22CFB&quot;/&gt;&lt;wsp:rsid wsp:val=&quot;00A230A6&quot;/&gt;&lt;wsp:rsid wsp:val=&quot;00A24EB5&quot;/&gt;&lt;wsp:rsid wsp:val=&quot;00A250E8&quot;/&gt;&lt;wsp:rsid wsp:val=&quot;00A25506&quot;/&gt;&lt;wsp:rsid wsp:val=&quot;00A2685F&quot;/&gt;&lt;wsp:rsid wsp:val=&quot;00A2686B&quot;/&gt;&lt;wsp:rsid wsp:val=&quot;00A26FA0&quot;/&gt;&lt;wsp:rsid wsp:val=&quot;00A27246&quot;/&gt;&lt;wsp:rsid wsp:val=&quot;00A27C88&quot;/&gt;&lt;wsp:rsid wsp:val=&quot;00A301A0&quot;/&gt;&lt;wsp:rsid wsp:val=&quot;00A30845&quot;/&gt;&lt;wsp:rsid wsp:val=&quot;00A30C41&quot;/&gt;&lt;wsp:rsid wsp:val=&quot;00A30E99&quot;/&gt;&lt;wsp:rsid wsp:val=&quot;00A31689&quot;/&gt;&lt;wsp:rsid wsp:val=&quot;00A3177A&quot;/&gt;&lt;wsp:rsid wsp:val=&quot;00A32233&quot;/&gt;&lt;wsp:rsid wsp:val=&quot;00A3266E&quot;/&gt;&lt;wsp:rsid wsp:val=&quot;00A327C1&quot;/&gt;&lt;wsp:rsid wsp:val=&quot;00A32BDB&quot;/&gt;&lt;wsp:rsid wsp:val=&quot;00A32EDD&quot;/&gt;&lt;wsp:rsid wsp:val=&quot;00A32F29&quot;/&gt;&lt;wsp:rsid wsp:val=&quot;00A32FC8&quot;/&gt;&lt;wsp:rsid wsp:val=&quot;00A33DE9&quot;/&gt;&lt;wsp:rsid wsp:val=&quot;00A33FCA&quot;/&gt;&lt;wsp:rsid wsp:val=&quot;00A34E55&quot;/&gt;&lt;wsp:rsid wsp:val=&quot;00A350E6&quot;/&gt;&lt;wsp:rsid wsp:val=&quot;00A351BE&quot;/&gt;&lt;wsp:rsid wsp:val=&quot;00A3543C&quot;/&gt;&lt;wsp:rsid wsp:val=&quot;00A356FC&quot;/&gt;&lt;wsp:rsid wsp:val=&quot;00A3599E&quot;/&gt;&lt;wsp:rsid wsp:val=&quot;00A35DA0&quot;/&gt;&lt;wsp:rsid wsp:val=&quot;00A36085&quot;/&gt;&lt;wsp:rsid wsp:val=&quot;00A362E8&quot;/&gt;&lt;wsp:rsid wsp:val=&quot;00A370C3&quot;/&gt;&lt;wsp:rsid wsp:val=&quot;00A37625&quot;/&gt;&lt;wsp:rsid wsp:val=&quot;00A378CA&quot;/&gt;&lt;wsp:rsid wsp:val=&quot;00A37FA2&quot;/&gt;&lt;wsp:rsid wsp:val=&quot;00A4088D&quot;/&gt;&lt;wsp:rsid wsp:val=&quot;00A40A37&quot;/&gt;&lt;wsp:rsid wsp:val=&quot;00A40B75&quot;/&gt;&lt;wsp:rsid wsp:val=&quot;00A424AB&quot;/&gt;&lt;wsp:rsid wsp:val=&quot;00A42538&quot;/&gt;&lt;wsp:rsid wsp:val=&quot;00A42CC6&quot;/&gt;&lt;wsp:rsid wsp:val=&quot;00A433AA&quot;/&gt;&lt;wsp:rsid wsp:val=&quot;00A43773&quot;/&gt;&lt;wsp:rsid wsp:val=&quot;00A44050&quot;/&gt;&lt;wsp:rsid wsp:val=&quot;00A4457A&quot;/&gt;&lt;wsp:rsid wsp:val=&quot;00A44584&quot;/&gt;&lt;wsp:rsid wsp:val=&quot;00A447A1&quot;/&gt;&lt;wsp:rsid wsp:val=&quot;00A44AE5&quot;/&gt;&lt;wsp:rsid wsp:val=&quot;00A45E04&quot;/&gt;&lt;wsp:rsid wsp:val=&quot;00A461AC&quot;/&gt;&lt;wsp:rsid wsp:val=&quot;00A4698B&quot;/&gt;&lt;wsp:rsid wsp:val=&quot;00A46C90&quot;/&gt;&lt;wsp:rsid wsp:val=&quot;00A46DDC&quot;/&gt;&lt;wsp:rsid wsp:val=&quot;00A47A52&quot;/&gt;&lt;wsp:rsid wsp:val=&quot;00A47DA8&quot;/&gt;&lt;wsp:rsid wsp:val=&quot;00A5109E&quot;/&gt;&lt;wsp:rsid wsp:val=&quot;00A51AEC&quot;/&gt;&lt;wsp:rsid wsp:val=&quot;00A51C39&quot;/&gt;&lt;wsp:rsid wsp:val=&quot;00A51CDF&quot;/&gt;&lt;wsp:rsid wsp:val=&quot;00A52ACF&quot;/&gt;&lt;wsp:rsid wsp:val=&quot;00A52CA5&quot;/&gt;&lt;wsp:rsid wsp:val=&quot;00A52EF7&quot;/&gt;&lt;wsp:rsid wsp:val=&quot;00A530EE&quot;/&gt;&lt;wsp:rsid wsp:val=&quot;00A53AED&quot;/&gt;&lt;wsp:rsid wsp:val=&quot;00A53B5C&quot;/&gt;&lt;wsp:rsid wsp:val=&quot;00A53C3F&quot;/&gt;&lt;wsp:rsid wsp:val=&quot;00A53C90&quot;/&gt;&lt;wsp:rsid wsp:val=&quot;00A53C91&quot;/&gt;&lt;wsp:rsid wsp:val=&quot;00A543F1&quot;/&gt;&lt;wsp:rsid wsp:val=&quot;00A544D2&quot;/&gt;&lt;wsp:rsid wsp:val=&quot;00A548A9&quot;/&gt;&lt;wsp:rsid wsp:val=&quot;00A54AD6&quot;/&gt;&lt;wsp:rsid wsp:val=&quot;00A54C67&quot;/&gt;&lt;wsp:rsid wsp:val=&quot;00A55096&quot;/&gt;&lt;wsp:rsid wsp:val=&quot;00A551EF&quot;/&gt;&lt;wsp:rsid wsp:val=&quot;00A556A6&quot;/&gt;&lt;wsp:rsid wsp:val=&quot;00A556AD&quot;/&gt;&lt;wsp:rsid wsp:val=&quot;00A55DB8&quot;/&gt;&lt;wsp:rsid wsp:val=&quot;00A5612F&quot;/&gt;&lt;wsp:rsid wsp:val=&quot;00A56A19&quot;/&gt;&lt;wsp:rsid wsp:val=&quot;00A56EC5&quot;/&gt;&lt;wsp:rsid wsp:val=&quot;00A57792&quot;/&gt;&lt;wsp:rsid wsp:val=&quot;00A57A3B&quot;/&gt;&lt;wsp:rsid wsp:val=&quot;00A57E5F&quot;/&gt;&lt;wsp:rsid wsp:val=&quot;00A603DF&quot;/&gt;&lt;wsp:rsid wsp:val=&quot;00A607AA&quot;/&gt;&lt;wsp:rsid wsp:val=&quot;00A60C87&quot;/&gt;&lt;wsp:rsid wsp:val=&quot;00A610BF&quot;/&gt;&lt;wsp:rsid wsp:val=&quot;00A610D2&quot;/&gt;&lt;wsp:rsid wsp:val=&quot;00A611F0&quot;/&gt;&lt;wsp:rsid wsp:val=&quot;00A611F3&quot;/&gt;&lt;wsp:rsid wsp:val=&quot;00A61D2C&quot;/&gt;&lt;wsp:rsid wsp:val=&quot;00A62015&quot;/&gt;&lt;wsp:rsid wsp:val=&quot;00A622F5&quot;/&gt;&lt;wsp:rsid wsp:val=&quot;00A62374&quot;/&gt;&lt;wsp:rsid wsp:val=&quot;00A623FA&quot;/&gt;&lt;wsp:rsid wsp:val=&quot;00A62611&quot;/&gt;&lt;wsp:rsid wsp:val=&quot;00A62652&quot;/&gt;&lt;wsp:rsid wsp:val=&quot;00A62835&quot;/&gt;&lt;wsp:rsid wsp:val=&quot;00A63415&quot;/&gt;&lt;wsp:rsid wsp:val=&quot;00A63503&quot;/&gt;&lt;wsp:rsid wsp:val=&quot;00A635DC&quot;/&gt;&lt;wsp:rsid wsp:val=&quot;00A63AE5&quot;/&gt;&lt;wsp:rsid wsp:val=&quot;00A63C2A&quot;/&gt;&lt;wsp:rsid wsp:val=&quot;00A63CC8&quot;/&gt;&lt;wsp:rsid wsp:val=&quot;00A6537F&quot;/&gt;&lt;wsp:rsid wsp:val=&quot;00A6552A&quot;/&gt;&lt;wsp:rsid wsp:val=&quot;00A655FD&quot;/&gt;&lt;wsp:rsid wsp:val=&quot;00A65722&quot;/&gt;&lt;wsp:rsid wsp:val=&quot;00A66582&quot;/&gt;&lt;wsp:rsid wsp:val=&quot;00A669B3&quot;/&gt;&lt;wsp:rsid wsp:val=&quot;00A66E32&quot;/&gt;&lt;wsp:rsid wsp:val=&quot;00A672FE&quot;/&gt;&lt;wsp:rsid wsp:val=&quot;00A67372&quot;/&gt;&lt;wsp:rsid wsp:val=&quot;00A67759&quot;/&gt;&lt;wsp:rsid wsp:val=&quot;00A677E5&quot;/&gt;&lt;wsp:rsid wsp:val=&quot;00A6784F&quot;/&gt;&lt;wsp:rsid wsp:val=&quot;00A709BF&quot;/&gt;&lt;wsp:rsid wsp:val=&quot;00A71092&quot;/&gt;&lt;wsp:rsid wsp:val=&quot;00A71167&quot;/&gt;&lt;wsp:rsid wsp:val=&quot;00A7131D&quot;/&gt;&lt;wsp:rsid wsp:val=&quot;00A71320&quot;/&gt;&lt;wsp:rsid wsp:val=&quot;00A7178B&quot;/&gt;&lt;wsp:rsid wsp:val=&quot;00A71F04&quot;/&gt;&lt;wsp:rsid wsp:val=&quot;00A72686&quot;/&gt;&lt;wsp:rsid wsp:val=&quot;00A7291A&quot;/&gt;&lt;wsp:rsid wsp:val=&quot;00A72EEC&quot;/&gt;&lt;wsp:rsid wsp:val=&quot;00A735C9&quot;/&gt;&lt;wsp:rsid wsp:val=&quot;00A7517C&quot;/&gt;&lt;wsp:rsid wsp:val=&quot;00A75649&quot;/&gt;&lt;wsp:rsid wsp:val=&quot;00A7575D&quot;/&gt;&lt;wsp:rsid wsp:val=&quot;00A75838&quot;/&gt;&lt;wsp:rsid wsp:val=&quot;00A75D46&quot;/&gt;&lt;wsp:rsid wsp:val=&quot;00A75F3C&quot;/&gt;&lt;wsp:rsid wsp:val=&quot;00A7675C&quot;/&gt;&lt;wsp:rsid wsp:val=&quot;00A77762&quot;/&gt;&lt;wsp:rsid wsp:val=&quot;00A77BB6&quot;/&gt;&lt;wsp:rsid wsp:val=&quot;00A8034A&quot;/&gt;&lt;wsp:rsid wsp:val=&quot;00A80846&quot;/&gt;&lt;wsp:rsid wsp:val=&quot;00A80889&quot;/&gt;&lt;wsp:rsid wsp:val=&quot;00A8145B&quot;/&gt;&lt;wsp:rsid wsp:val=&quot;00A81DE3&quot;/&gt;&lt;wsp:rsid wsp:val=&quot;00A81EB8&quot;/&gt;&lt;wsp:rsid wsp:val=&quot;00A8207D&quot;/&gt;&lt;wsp:rsid wsp:val=&quot;00A82408&quot;/&gt;&lt;wsp:rsid wsp:val=&quot;00A82649&quot;/&gt;&lt;wsp:rsid wsp:val=&quot;00A82E06&quot;/&gt;&lt;wsp:rsid wsp:val=&quot;00A82E87&quot;/&gt;&lt;wsp:rsid wsp:val=&quot;00A83BBD&quot;/&gt;&lt;wsp:rsid wsp:val=&quot;00A84240&quot;/&gt;&lt;wsp:rsid wsp:val=&quot;00A84730&quot;/&gt;&lt;wsp:rsid wsp:val=&quot;00A8566B&quot;/&gt;&lt;wsp:rsid wsp:val=&quot;00A856D6&quot;/&gt;&lt;wsp:rsid wsp:val=&quot;00A860F7&quot;/&gt;&lt;wsp:rsid wsp:val=&quot;00A865C9&quot;/&gt;&lt;wsp:rsid wsp:val=&quot;00A86DB7&quot;/&gt;&lt;wsp:rsid wsp:val=&quot;00A87186&quot;/&gt;&lt;wsp:rsid wsp:val=&quot;00A87FDE&quot;/&gt;&lt;wsp:rsid wsp:val=&quot;00A90286&quot;/&gt;&lt;wsp:rsid wsp:val=&quot;00A906C6&quot;/&gt;&lt;wsp:rsid wsp:val=&quot;00A912C0&quot;/&gt;&lt;wsp:rsid wsp:val=&quot;00A913D0&quot;/&gt;&lt;wsp:rsid wsp:val=&quot;00A91E57&quot;/&gt;&lt;wsp:rsid wsp:val=&quot;00A92023&quot;/&gt;&lt;wsp:rsid wsp:val=&quot;00A92353&quot;/&gt;&lt;wsp:rsid wsp:val=&quot;00A92822&quot;/&gt;&lt;wsp:rsid wsp:val=&quot;00A92C52&quot;/&gt;&lt;wsp:rsid wsp:val=&quot;00A9314A&quot;/&gt;&lt;wsp:rsid wsp:val=&quot;00A9480D&quot;/&gt;&lt;wsp:rsid wsp:val=&quot;00A94B38&quot;/&gt;&lt;wsp:rsid wsp:val=&quot;00A95029&quot;/&gt;&lt;wsp:rsid wsp:val=&quot;00A9535D&quot;/&gt;&lt;wsp:rsid wsp:val=&quot;00A955DF&quot;/&gt;&lt;wsp:rsid wsp:val=&quot;00A957CB&quot;/&gt;&lt;wsp:rsid wsp:val=&quot;00A95EF7&quot;/&gt;&lt;wsp:rsid wsp:val=&quot;00A965F2&quot;/&gt;&lt;wsp:rsid wsp:val=&quot;00A96638&quot;/&gt;&lt;wsp:rsid wsp:val=&quot;00A9689B&quot;/&gt;&lt;wsp:rsid wsp:val=&quot;00A969C9&quot;/&gt;&lt;wsp:rsid wsp:val=&quot;00A96EFF&quot;/&gt;&lt;wsp:rsid wsp:val=&quot;00A97442&quot;/&gt;&lt;wsp:rsid wsp:val=&quot;00A9788C&quot;/&gt;&lt;wsp:rsid wsp:val=&quot;00A97E5E&quot;/&gt;&lt;wsp:rsid wsp:val=&quot;00AA0B5A&quot;/&gt;&lt;wsp:rsid wsp:val=&quot;00AA0C29&quot;/&gt;&lt;wsp:rsid wsp:val=&quot;00AA111C&quot;/&gt;&lt;wsp:rsid wsp:val=&quot;00AA11F3&quot;/&gt;&lt;wsp:rsid wsp:val=&quot;00AA1993&quot;/&gt;&lt;wsp:rsid wsp:val=&quot;00AA2021&quot;/&gt;&lt;wsp:rsid wsp:val=&quot;00AA21BA&quot;/&gt;&lt;wsp:rsid wsp:val=&quot;00AA22B1&quot;/&gt;&lt;wsp:rsid wsp:val=&quot;00AA2300&quot;/&gt;&lt;wsp:rsid wsp:val=&quot;00AA2D16&quot;/&gt;&lt;wsp:rsid wsp:val=&quot;00AA2DBF&quot;/&gt;&lt;wsp:rsid wsp:val=&quot;00AA3060&quot;/&gt;&lt;wsp:rsid wsp:val=&quot;00AA3826&quot;/&gt;&lt;wsp:rsid wsp:val=&quot;00AA383D&quot;/&gt;&lt;wsp:rsid wsp:val=&quot;00AA392C&quot;/&gt;&lt;wsp:rsid wsp:val=&quot;00AA3E54&quot;/&gt;&lt;wsp:rsid wsp:val=&quot;00AA466C&quot;/&gt;&lt;wsp:rsid wsp:val=&quot;00AA471B&quot;/&gt;&lt;wsp:rsid wsp:val=&quot;00AA4788&quot;/&gt;&lt;wsp:rsid wsp:val=&quot;00AA4D8F&quot;/&gt;&lt;wsp:rsid wsp:val=&quot;00AA4E26&quot;/&gt;&lt;wsp:rsid wsp:val=&quot;00AA627B&quot;/&gt;&lt;wsp:rsid wsp:val=&quot;00AA6AE8&quot;/&gt;&lt;wsp:rsid wsp:val=&quot;00AA6B9B&quot;/&gt;&lt;wsp:rsid wsp:val=&quot;00AA7874&quot;/&gt;&lt;wsp:rsid wsp:val=&quot;00AA7CC3&quot;/&gt;&lt;wsp:rsid wsp:val=&quot;00AB03A3&quot;/&gt;&lt;wsp:rsid wsp:val=&quot;00AB04A8&quot;/&gt;&lt;wsp:rsid wsp:val=&quot;00AB0626&quot;/&gt;&lt;wsp:rsid wsp:val=&quot;00AB0AA6&quot;/&gt;&lt;wsp:rsid wsp:val=&quot;00AB0AE1&quot;/&gt;&lt;wsp:rsid wsp:val=&quot;00AB0B08&quot;/&gt;&lt;wsp:rsid wsp:val=&quot;00AB0E89&quot;/&gt;&lt;wsp:rsid wsp:val=&quot;00AB1424&quot;/&gt;&lt;wsp:rsid wsp:val=&quot;00AB189A&quot;/&gt;&lt;wsp:rsid wsp:val=&quot;00AB1BD7&quot;/&gt;&lt;wsp:rsid wsp:val=&quot;00AB1D8F&quot;/&gt;&lt;wsp:rsid wsp:val=&quot;00AB2AF6&quot;/&gt;&lt;wsp:rsid wsp:val=&quot;00AB34D4&quot;/&gt;&lt;wsp:rsid wsp:val=&quot;00AB36FA&quot;/&gt;&lt;wsp:rsid wsp:val=&quot;00AB3A02&quot;/&gt;&lt;wsp:rsid wsp:val=&quot;00AB3DF3&quot;/&gt;&lt;wsp:rsid wsp:val=&quot;00AB3EE0&quot;/&gt;&lt;wsp:rsid wsp:val=&quot;00AB3F14&quot;/&gt;&lt;wsp:rsid wsp:val=&quot;00AB40E4&quot;/&gt;&lt;wsp:rsid wsp:val=&quot;00AB4416&quot;/&gt;&lt;wsp:rsid wsp:val=&quot;00AB4914&quot;/&gt;&lt;wsp:rsid wsp:val=&quot;00AB4A82&quot;/&gt;&lt;wsp:rsid wsp:val=&quot;00AB509D&quot;/&gt;&lt;wsp:rsid wsp:val=&quot;00AB5286&quot;/&gt;&lt;wsp:rsid wsp:val=&quot;00AB541C&quot;/&gt;&lt;wsp:rsid wsp:val=&quot;00AB567E&quot;/&gt;&lt;wsp:rsid wsp:val=&quot;00AB56A3&quot;/&gt;&lt;wsp:rsid wsp:val=&quot;00AB69D1&quot;/&gt;&lt;wsp:rsid wsp:val=&quot;00AB6A1E&quot;/&gt;&lt;wsp:rsid wsp:val=&quot;00AB6D52&quot;/&gt;&lt;wsp:rsid wsp:val=&quot;00AB6E87&quot;/&gt;&lt;wsp:rsid wsp:val=&quot;00AB7A0F&quot;/&gt;&lt;wsp:rsid wsp:val=&quot;00AB7B8A&quot;/&gt;&lt;wsp:rsid wsp:val=&quot;00AB7F12&quot;/&gt;&lt;wsp:rsid wsp:val=&quot;00AB7FD0&quot;/&gt;&lt;wsp:rsid wsp:val=&quot;00AC034E&quot;/&gt;&lt;wsp:rsid wsp:val=&quot;00AC0E84&quot;/&gt;&lt;wsp:rsid wsp:val=&quot;00AC0FB4&quot;/&gt;&lt;wsp:rsid wsp:val=&quot;00AC1098&quot;/&gt;&lt;wsp:rsid wsp:val=&quot;00AC1296&quot;/&gt;&lt;wsp:rsid wsp:val=&quot;00AC16B2&quot;/&gt;&lt;wsp:rsid wsp:val=&quot;00AC175B&quot;/&gt;&lt;wsp:rsid wsp:val=&quot;00AC1928&quot;/&gt;&lt;wsp:rsid wsp:val=&quot;00AC2056&quot;/&gt;&lt;wsp:rsid wsp:val=&quot;00AC21A7&quot;/&gt;&lt;wsp:rsid wsp:val=&quot;00AC21BF&quot;/&gt;&lt;wsp:rsid wsp:val=&quot;00AC230B&quot;/&gt;&lt;wsp:rsid wsp:val=&quot;00AC320A&quot;/&gt;&lt;wsp:rsid wsp:val=&quot;00AC33E1&quot;/&gt;&lt;wsp:rsid wsp:val=&quot;00AC3435&quot;/&gt;&lt;wsp:rsid wsp:val=&quot;00AC3479&quot;/&gt;&lt;wsp:rsid wsp:val=&quot;00AC36AB&quot;/&gt;&lt;wsp:rsid wsp:val=&quot;00AC36EC&quot;/&gt;&lt;wsp:rsid wsp:val=&quot;00AC3911&quot;/&gt;&lt;wsp:rsid wsp:val=&quot;00AC3A7F&quot;/&gt;&lt;wsp:rsid wsp:val=&quot;00AC3E57&quot;/&gt;&lt;wsp:rsid wsp:val=&quot;00AC4001&quot;/&gt;&lt;wsp:rsid wsp:val=&quot;00AC40D0&quot;/&gt;&lt;wsp:rsid wsp:val=&quot;00AC466F&quot;/&gt;&lt;wsp:rsid wsp:val=&quot;00AC4A56&quot;/&gt;&lt;wsp:rsid wsp:val=&quot;00AC4B16&quot;/&gt;&lt;wsp:rsid wsp:val=&quot;00AC5022&quot;/&gt;&lt;wsp:rsid wsp:val=&quot;00AC5143&quot;/&gt;&lt;wsp:rsid wsp:val=&quot;00AC54F6&quot;/&gt;&lt;wsp:rsid wsp:val=&quot;00AC66F2&quot;/&gt;&lt;wsp:rsid wsp:val=&quot;00AC683D&quot;/&gt;&lt;wsp:rsid wsp:val=&quot;00AC6841&quot;/&gt;&lt;wsp:rsid wsp:val=&quot;00AC6B20&quot;/&gt;&lt;wsp:rsid wsp:val=&quot;00AC6BA4&quot;/&gt;&lt;wsp:rsid wsp:val=&quot;00AC6C5B&quot;/&gt;&lt;wsp:rsid wsp:val=&quot;00AC6C5C&quot;/&gt;&lt;wsp:rsid wsp:val=&quot;00AC7324&quot;/&gt;&lt;wsp:rsid wsp:val=&quot;00AC7C2A&quot;/&gt;&lt;wsp:rsid wsp:val=&quot;00AD0509&quot;/&gt;&lt;wsp:rsid wsp:val=&quot;00AD08A3&quot;/&gt;&lt;wsp:rsid wsp:val=&quot;00AD0C6F&quot;/&gt;&lt;wsp:rsid wsp:val=&quot;00AD0E6D&quot;/&gt;&lt;wsp:rsid wsp:val=&quot;00AD1D70&quot;/&gt;&lt;wsp:rsid wsp:val=&quot;00AD1ED6&quot;/&gt;&lt;wsp:rsid wsp:val=&quot;00AD2158&quot;/&gt;&lt;wsp:rsid wsp:val=&quot;00AD2494&quot;/&gt;&lt;wsp:rsid wsp:val=&quot;00AD2C1B&quot;/&gt;&lt;wsp:rsid wsp:val=&quot;00AD2D00&quot;/&gt;&lt;wsp:rsid wsp:val=&quot;00AD2F3C&quot;/&gt;&lt;wsp:rsid wsp:val=&quot;00AD30D9&quot;/&gt;&lt;wsp:rsid wsp:val=&quot;00AD3BDD&quot;/&gt;&lt;wsp:rsid wsp:val=&quot;00AD4987&quot;/&gt;&lt;wsp:rsid wsp:val=&quot;00AD4F18&quot;/&gt;&lt;wsp:rsid wsp:val=&quot;00AD532E&quot;/&gt;&lt;wsp:rsid wsp:val=&quot;00AD5574&quot;/&gt;&lt;wsp:rsid wsp:val=&quot;00AD5F2A&quot;/&gt;&lt;wsp:rsid wsp:val=&quot;00AD60BB&quot;/&gt;&lt;wsp:rsid wsp:val=&quot;00AD6123&quot;/&gt;&lt;wsp:rsid wsp:val=&quot;00AE0557&quot;/&gt;&lt;wsp:rsid wsp:val=&quot;00AE0B29&quot;/&gt;&lt;wsp:rsid wsp:val=&quot;00AE0B9B&quot;/&gt;&lt;wsp:rsid wsp:val=&quot;00AE0E47&quot;/&gt;&lt;wsp:rsid wsp:val=&quot;00AE0EED&quot;/&gt;&lt;wsp:rsid wsp:val=&quot;00AE11CA&quot;/&gt;&lt;wsp:rsid wsp:val=&quot;00AE17FB&quot;/&gt;&lt;wsp:rsid wsp:val=&quot;00AE1BD7&quot;/&gt;&lt;wsp:rsid wsp:val=&quot;00AE1FF4&quot;/&gt;&lt;wsp:rsid wsp:val=&quot;00AE222B&quot;/&gt;&lt;wsp:rsid wsp:val=&quot;00AE26F2&quot;/&gt;&lt;wsp:rsid wsp:val=&quot;00AE2F6A&quot;/&gt;&lt;wsp:rsid wsp:val=&quot;00AE32B0&quot;/&gt;&lt;wsp:rsid wsp:val=&quot;00AE36C1&quot;/&gt;&lt;wsp:rsid wsp:val=&quot;00AE3A8E&quot;/&gt;&lt;wsp:rsid wsp:val=&quot;00AE3C03&quot;/&gt;&lt;wsp:rsid wsp:val=&quot;00AE3CA4&quot;/&gt;&lt;wsp:rsid wsp:val=&quot;00AE4590&quot;/&gt;&lt;wsp:rsid wsp:val=&quot;00AE46E5&quot;/&gt;&lt;wsp:rsid wsp:val=&quot;00AE4E83&quot;/&gt;&lt;wsp:rsid wsp:val=&quot;00AE5175&quot;/&gt;&lt;wsp:rsid wsp:val=&quot;00AE524C&quot;/&gt;&lt;wsp:rsid wsp:val=&quot;00AE5404&quot;/&gt;&lt;wsp:rsid wsp:val=&quot;00AE602B&quot;/&gt;&lt;wsp:rsid wsp:val=&quot;00AE7592&quot;/&gt;&lt;wsp:rsid wsp:val=&quot;00AE7D9A&quot;/&gt;&lt;wsp:rsid wsp:val=&quot;00AE7DAD&quot;/&gt;&lt;wsp:rsid wsp:val=&quot;00AE7DCF&quot;/&gt;&lt;wsp:rsid wsp:val=&quot;00AE7E23&quot;/&gt;&lt;wsp:rsid wsp:val=&quot;00AE7F29&quot;/&gt;&lt;wsp:rsid wsp:val=&quot;00AF04FE&quot;/&gt;&lt;wsp:rsid wsp:val=&quot;00AF080A&quot;/&gt;&lt;wsp:rsid wsp:val=&quot;00AF09FC&quot;/&gt;&lt;wsp:rsid wsp:val=&quot;00AF0A43&quot;/&gt;&lt;wsp:rsid wsp:val=&quot;00AF0E70&quot;/&gt;&lt;wsp:rsid wsp:val=&quot;00AF0F10&quot;/&gt;&lt;wsp:rsid wsp:val=&quot;00AF1249&quot;/&gt;&lt;wsp:rsid wsp:val=&quot;00AF167F&quot;/&gt;&lt;wsp:rsid wsp:val=&quot;00AF16F5&quot;/&gt;&lt;wsp:rsid wsp:val=&quot;00AF18B7&quot;/&gt;&lt;wsp:rsid wsp:val=&quot;00AF1D35&quot;/&gt;&lt;wsp:rsid wsp:val=&quot;00AF1E8F&quot;/&gt;&lt;wsp:rsid wsp:val=&quot;00AF1EE5&quot;/&gt;&lt;wsp:rsid wsp:val=&quot;00AF24A3&quot;/&gt;&lt;wsp:rsid wsp:val=&quot;00AF26D9&quot;/&gt;&lt;wsp:rsid wsp:val=&quot;00AF26F7&quot;/&gt;&lt;wsp:rsid wsp:val=&quot;00AF2FBD&quot;/&gt;&lt;wsp:rsid wsp:val=&quot;00AF330A&quot;/&gt;&lt;wsp:rsid wsp:val=&quot;00AF347F&quot;/&gt;&lt;wsp:rsid wsp:val=&quot;00AF35FB&quot;/&gt;&lt;wsp:rsid wsp:val=&quot;00AF391E&quot;/&gt;&lt;wsp:rsid wsp:val=&quot;00AF3E6B&quot;/&gt;&lt;wsp:rsid wsp:val=&quot;00AF3F63&quot;/&gt;&lt;wsp:rsid wsp:val=&quot;00AF3FFB&quot;/&gt;&lt;wsp:rsid wsp:val=&quot;00AF4507&quot;/&gt;&lt;wsp:rsid wsp:val=&quot;00AF453B&quot;/&gt;&lt;wsp:rsid wsp:val=&quot;00AF5859&quot;/&gt;&lt;wsp:rsid wsp:val=&quot;00AF5B41&quot;/&gt;&lt;wsp:rsid wsp:val=&quot;00AF63C0&quot;/&gt;&lt;wsp:rsid wsp:val=&quot;00AF68EB&quot;/&gt;&lt;wsp:rsid wsp:val=&quot;00AF732B&quot;/&gt;&lt;wsp:rsid wsp:val=&quot;00AF749A&quot;/&gt;&lt;wsp:rsid wsp:val=&quot;00AF7ED5&quot;/&gt;&lt;wsp:rsid wsp:val=&quot;00B000A3&quot;/&gt;&lt;wsp:rsid wsp:val=&quot;00B00341&quot;/&gt;&lt;wsp:rsid wsp:val=&quot;00B00644&quot;/&gt;&lt;wsp:rsid wsp:val=&quot;00B00680&quot;/&gt;&lt;wsp:rsid wsp:val=&quot;00B00E0F&quot;/&gt;&lt;wsp:rsid wsp:val=&quot;00B01791&quot;/&gt;&lt;wsp:rsid wsp:val=&quot;00B01851&quot;/&gt;&lt;wsp:rsid wsp:val=&quot;00B025DB&quot;/&gt;&lt;wsp:rsid wsp:val=&quot;00B02A43&quot;/&gt;&lt;wsp:rsid wsp:val=&quot;00B02C15&quot;/&gt;&lt;wsp:rsid wsp:val=&quot;00B03367&quot;/&gt;&lt;wsp:rsid wsp:val=&quot;00B037AB&quot;/&gt;&lt;wsp:rsid wsp:val=&quot;00B038D6&quot;/&gt;&lt;wsp:rsid wsp:val=&quot;00B0410F&quot;/&gt;&lt;wsp:rsid wsp:val=&quot;00B042E0&quot;/&gt;&lt;wsp:rsid wsp:val=&quot;00B04331&quot;/&gt;&lt;wsp:rsid wsp:val=&quot;00B04826&quot;/&gt;&lt;wsp:rsid wsp:val=&quot;00B0482D&quot;/&gt;&lt;wsp:rsid wsp:val=&quot;00B04E26&quot;/&gt;&lt;wsp:rsid wsp:val=&quot;00B05326&quot;/&gt;&lt;wsp:rsid wsp:val=&quot;00B05C3C&quot;/&gt;&lt;wsp:rsid wsp:val=&quot;00B0632D&quot;/&gt;&lt;wsp:rsid wsp:val=&quot;00B06456&quot;/&gt;&lt;wsp:rsid wsp:val=&quot;00B06ECC&quot;/&gt;&lt;wsp:rsid wsp:val=&quot;00B07562&quot;/&gt;&lt;wsp:rsid wsp:val=&quot;00B07A28&quot;/&gt;&lt;wsp:rsid wsp:val=&quot;00B07C76&quot;/&gt;&lt;wsp:rsid wsp:val=&quot;00B1003F&quot;/&gt;&lt;wsp:rsid wsp:val=&quot;00B1034C&quot;/&gt;&lt;wsp:rsid wsp:val=&quot;00B10350&quot;/&gt;&lt;wsp:rsid wsp:val=&quot;00B105DF&quot;/&gt;&lt;wsp:rsid wsp:val=&quot;00B1087F&quot;/&gt;&lt;wsp:rsid wsp:val=&quot;00B1094B&quot;/&gt;&lt;wsp:rsid wsp:val=&quot;00B10A5E&quot;/&gt;&lt;wsp:rsid wsp:val=&quot;00B10DF9&quot;/&gt;&lt;wsp:rsid wsp:val=&quot;00B11335&quot;/&gt;&lt;wsp:rsid wsp:val=&quot;00B11515&quot;/&gt;&lt;wsp:rsid wsp:val=&quot;00B12640&quot;/&gt;&lt;wsp:rsid wsp:val=&quot;00B128C1&quot;/&gt;&lt;wsp:rsid wsp:val=&quot;00B13361&quot;/&gt;&lt;wsp:rsid wsp:val=&quot;00B1377C&quot;/&gt;&lt;wsp:rsid wsp:val=&quot;00B13AAF&quot;/&gt;&lt;wsp:rsid wsp:val=&quot;00B14157&quot;/&gt;&lt;wsp:rsid wsp:val=&quot;00B141C7&quot;/&gt;&lt;wsp:rsid wsp:val=&quot;00B14577&quot;/&gt;&lt;wsp:rsid wsp:val=&quot;00B145E0&quot;/&gt;&lt;wsp:rsid wsp:val=&quot;00B14B90&quot;/&gt;&lt;wsp:rsid wsp:val=&quot;00B14D6F&quot;/&gt;&lt;wsp:rsid wsp:val=&quot;00B154D1&quot;/&gt;&lt;wsp:rsid wsp:val=&quot;00B15541&quot;/&gt;&lt;wsp:rsid wsp:val=&quot;00B1683F&quot;/&gt;&lt;wsp:rsid wsp:val=&quot;00B16EF0&quot;/&gt;&lt;wsp:rsid wsp:val=&quot;00B177CE&quot;/&gt;&lt;wsp:rsid wsp:val=&quot;00B20331&quot;/&gt;&lt;wsp:rsid wsp:val=&quot;00B206F2&quot;/&gt;&lt;wsp:rsid wsp:val=&quot;00B20C63&quot;/&gt;&lt;wsp:rsid wsp:val=&quot;00B20FBC&quot;/&gt;&lt;wsp:rsid wsp:val=&quot;00B2148D&quot;/&gt;&lt;wsp:rsid wsp:val=&quot;00B21A1D&quot;/&gt;&lt;wsp:rsid wsp:val=&quot;00B21C14&quot;/&gt;&lt;wsp:rsid wsp:val=&quot;00B21F6D&quot;/&gt;&lt;wsp:rsid wsp:val=&quot;00B221A9&quot;/&gt;&lt;wsp:rsid wsp:val=&quot;00B23336&quot;/&gt;&lt;wsp:rsid wsp:val=&quot;00B236AC&quot;/&gt;&lt;wsp:rsid wsp:val=&quot;00B23B96&quot;/&gt;&lt;wsp:rsid wsp:val=&quot;00B23EF4&quot;/&gt;&lt;wsp:rsid wsp:val=&quot;00B24A59&quot;/&gt;&lt;wsp:rsid wsp:val=&quot;00B24BC2&quot;/&gt;&lt;wsp:rsid wsp:val=&quot;00B24CC4&quot;/&gt;&lt;wsp:rsid wsp:val=&quot;00B257A9&quot;/&gt;&lt;wsp:rsid wsp:val=&quot;00B25EF5&quot;/&gt;&lt;wsp:rsid wsp:val=&quot;00B25F8F&quot;/&gt;&lt;wsp:rsid wsp:val=&quot;00B25FA4&quot;/&gt;&lt;wsp:rsid wsp:val=&quot;00B270E8&quot;/&gt;&lt;wsp:rsid wsp:val=&quot;00B27B91&quot;/&gt;&lt;wsp:rsid wsp:val=&quot;00B27D6A&quot;/&gt;&lt;wsp:rsid wsp:val=&quot;00B30472&quot;/&gt;&lt;wsp:rsid wsp:val=&quot;00B3056F&quot;/&gt;&lt;wsp:rsid wsp:val=&quot;00B314E9&quot;/&gt;&lt;wsp:rsid wsp:val=&quot;00B316A1&quot;/&gt;&lt;wsp:rsid wsp:val=&quot;00B31BB6&quot;/&gt;&lt;wsp:rsid wsp:val=&quot;00B31E15&quot;/&gt;&lt;wsp:rsid wsp:val=&quot;00B32938&quot;/&gt;&lt;wsp:rsid wsp:val=&quot;00B32D18&quot;/&gt;&lt;wsp:rsid wsp:val=&quot;00B336F0&quot;/&gt;&lt;wsp:rsid wsp:val=&quot;00B337D6&quot;/&gt;&lt;wsp:rsid wsp:val=&quot;00B3414D&quot;/&gt;&lt;wsp:rsid wsp:val=&quot;00B34A12&quot;/&gt;&lt;wsp:rsid wsp:val=&quot;00B353E8&quot;/&gt;&lt;wsp:rsid wsp:val=&quot;00B360F6&quot;/&gt;&lt;wsp:rsid wsp:val=&quot;00B361B9&quot;/&gt;&lt;wsp:rsid wsp:val=&quot;00B3662E&quot;/&gt;&lt;wsp:rsid wsp:val=&quot;00B37094&quot;/&gt;&lt;wsp:rsid wsp:val=&quot;00B3713C&quot;/&gt;&lt;wsp:rsid wsp:val=&quot;00B37550&quot;/&gt;&lt;wsp:rsid wsp:val=&quot;00B377DA&quot;/&gt;&lt;wsp:rsid wsp:val=&quot;00B37D2B&quot;/&gt;&lt;wsp:rsid wsp:val=&quot;00B40158&quot;/&gt;&lt;wsp:rsid wsp:val=&quot;00B40214&quot;/&gt;&lt;wsp:rsid wsp:val=&quot;00B40EC7&quot;/&gt;&lt;wsp:rsid wsp:val=&quot;00B4100B&quot;/&gt;&lt;wsp:rsid wsp:val=&quot;00B417E8&quot;/&gt;&lt;wsp:rsid wsp:val=&quot;00B4182A&quot;/&gt;&lt;wsp:rsid wsp:val=&quot;00B41BE6&quot;/&gt;&lt;wsp:rsid wsp:val=&quot;00B41EDE&quot;/&gt;&lt;wsp:rsid wsp:val=&quot;00B42386&quot;/&gt;&lt;wsp:rsid wsp:val=&quot;00B4245F&quot;/&gt;&lt;wsp:rsid wsp:val=&quot;00B42A3D&quot;/&gt;&lt;wsp:rsid wsp:val=&quot;00B43367&quot;/&gt;&lt;wsp:rsid wsp:val=&quot;00B4358C&quot;/&gt;&lt;wsp:rsid wsp:val=&quot;00B43B33&quot;/&gt;&lt;wsp:rsid wsp:val=&quot;00B43CE2&quot;/&gt;&lt;wsp:rsid wsp:val=&quot;00B44CA5&quot;/&gt;&lt;wsp:rsid wsp:val=&quot;00B45390&quot;/&gt;&lt;wsp:rsid wsp:val=&quot;00B453A4&quot;/&gt;&lt;wsp:rsid wsp:val=&quot;00B4544B&quot;/&gt;&lt;wsp:rsid wsp:val=&quot;00B45ADF&quot;/&gt;&lt;wsp:rsid wsp:val=&quot;00B45C15&quot;/&gt;&lt;wsp:rsid wsp:val=&quot;00B45F93&quot;/&gt;&lt;wsp:rsid wsp:val=&quot;00B4603D&quot;/&gt;&lt;wsp:rsid wsp:val=&quot;00B462E1&quot;/&gt;&lt;wsp:rsid wsp:val=&quot;00B46497&quot;/&gt;&lt;wsp:rsid wsp:val=&quot;00B46AEF&quot;/&gt;&lt;wsp:rsid wsp:val=&quot;00B4799A&quot;/&gt;&lt;wsp:rsid wsp:val=&quot;00B47E2C&quot;/&gt;&lt;wsp:rsid wsp:val=&quot;00B47FF3&quot;/&gt;&lt;wsp:rsid wsp:val=&quot;00B503C0&quot;/&gt;&lt;wsp:rsid wsp:val=&quot;00B50C28&quot;/&gt;&lt;wsp:rsid wsp:val=&quot;00B50C6C&quot;/&gt;&lt;wsp:rsid wsp:val=&quot;00B51E5D&quot;/&gt;&lt;wsp:rsid wsp:val=&quot;00B529D3&quot;/&gt;&lt;wsp:rsid wsp:val=&quot;00B53580&quot;/&gt;&lt;wsp:rsid wsp:val=&quot;00B535BC&quot;/&gt;&lt;wsp:rsid wsp:val=&quot;00B54423&quot;/&gt;&lt;wsp:rsid wsp:val=&quot;00B54CC4&quot;/&gt;&lt;wsp:rsid wsp:val=&quot;00B54D5F&quot;/&gt;&lt;wsp:rsid wsp:val=&quot;00B550CE&quot;/&gt;&lt;wsp:rsid wsp:val=&quot;00B55402&quot;/&gt;&lt;wsp:rsid wsp:val=&quot;00B55853&quot;/&gt;&lt;wsp:rsid wsp:val=&quot;00B55BC9&quot;/&gt;&lt;wsp:rsid wsp:val=&quot;00B55F75&quot;/&gt;&lt;wsp:rsid wsp:val=&quot;00B56247&quot;/&gt;&lt;wsp:rsid wsp:val=&quot;00B5681D&quot;/&gt;&lt;wsp:rsid wsp:val=&quot;00B56FA7&quot;/&gt;&lt;wsp:rsid wsp:val=&quot;00B5742A&quot;/&gt;&lt;wsp:rsid wsp:val=&quot;00B576D4&quot;/&gt;&lt;wsp:rsid wsp:val=&quot;00B577E5&quot;/&gt;&lt;wsp:rsid wsp:val=&quot;00B57D37&quot;/&gt;&lt;wsp:rsid wsp:val=&quot;00B57FD8&quot;/&gt;&lt;wsp:rsid wsp:val=&quot;00B6010B&quot;/&gt;&lt;wsp:rsid wsp:val=&quot;00B60248&quot;/&gt;&lt;wsp:rsid wsp:val=&quot;00B61459&quot;/&gt;&lt;wsp:rsid wsp:val=&quot;00B615F5&quot;/&gt;&lt;wsp:rsid wsp:val=&quot;00B61668&quot;/&gt;&lt;wsp:rsid wsp:val=&quot;00B622E5&quot;/&gt;&lt;wsp:rsid wsp:val=&quot;00B62AE8&quot;/&gt;&lt;wsp:rsid wsp:val=&quot;00B62D1A&quot;/&gt;&lt;wsp:rsid wsp:val=&quot;00B632A3&quot;/&gt;&lt;wsp:rsid wsp:val=&quot;00B63B45&quot;/&gt;&lt;wsp:rsid wsp:val=&quot;00B642F8&quot;/&gt;&lt;wsp:rsid wsp:val=&quot;00B644E8&quot;/&gt;&lt;wsp:rsid wsp:val=&quot;00B647F7&quot;/&gt;&lt;wsp:rsid wsp:val=&quot;00B6491D&quot;/&gt;&lt;wsp:rsid wsp:val=&quot;00B64F91&quot;/&gt;&lt;wsp:rsid wsp:val=&quot;00B65389&quot;/&gt;&lt;wsp:rsid wsp:val=&quot;00B657AD&quot;/&gt;&lt;wsp:rsid wsp:val=&quot;00B65C1D&quot;/&gt;&lt;wsp:rsid wsp:val=&quot;00B65CE9&quot;/&gt;&lt;wsp:rsid wsp:val=&quot;00B65D8F&quot;/&gt;&lt;wsp:rsid wsp:val=&quot;00B65EA8&quot;/&gt;&lt;wsp:rsid wsp:val=&quot;00B65F62&quot;/&gt;&lt;wsp:rsid wsp:val=&quot;00B66190&quot;/&gt;&lt;wsp:rsid wsp:val=&quot;00B66240&quot;/&gt;&lt;wsp:rsid wsp:val=&quot;00B66372&quot;/&gt;&lt;wsp:rsid wsp:val=&quot;00B6746F&quot;/&gt;&lt;wsp:rsid wsp:val=&quot;00B674A3&quot;/&gt;&lt;wsp:rsid wsp:val=&quot;00B678DD&quot;/&gt;&lt;wsp:rsid wsp:val=&quot;00B67B30&quot;/&gt;&lt;wsp:rsid wsp:val=&quot;00B7012B&quot;/&gt;&lt;wsp:rsid wsp:val=&quot;00B70B23&quot;/&gt;&lt;wsp:rsid wsp:val=&quot;00B70F58&quot;/&gt;&lt;wsp:rsid wsp:val=&quot;00B71419&quot;/&gt;&lt;wsp:rsid wsp:val=&quot;00B7155D&quot;/&gt;&lt;wsp:rsid wsp:val=&quot;00B716D3&quot;/&gt;&lt;wsp:rsid wsp:val=&quot;00B71B53&quot;/&gt;&lt;wsp:rsid wsp:val=&quot;00B73386&quot;/&gt;&lt;wsp:rsid wsp:val=&quot;00B73915&quot;/&gt;&lt;wsp:rsid wsp:val=&quot;00B73994&quot;/&gt;&lt;wsp:rsid wsp:val=&quot;00B741EE&quot;/&gt;&lt;wsp:rsid wsp:val=&quot;00B744EF&quot;/&gt;&lt;wsp:rsid wsp:val=&quot;00B74CB2&quot;/&gt;&lt;wsp:rsid wsp:val=&quot;00B74FD6&quot;/&gt;&lt;wsp:rsid wsp:val=&quot;00B7511A&quot;/&gt;&lt;wsp:rsid wsp:val=&quot;00B75661&quot;/&gt;&lt;wsp:rsid wsp:val=&quot;00B76588&quot;/&gt;&lt;wsp:rsid wsp:val=&quot;00B77617&quot;/&gt;&lt;wsp:rsid wsp:val=&quot;00B776BD&quot;/&gt;&lt;wsp:rsid wsp:val=&quot;00B7775B&quot;/&gt;&lt;wsp:rsid wsp:val=&quot;00B77B17&quot;/&gt;&lt;wsp:rsid wsp:val=&quot;00B77B98&quot;/&gt;&lt;wsp:rsid wsp:val=&quot;00B77E04&quot;/&gt;&lt;wsp:rsid wsp:val=&quot;00B8032E&quot;/&gt;&lt;wsp:rsid wsp:val=&quot;00B80F49&quot;/&gt;&lt;wsp:rsid wsp:val=&quot;00B8101D&quot;/&gt;&lt;wsp:rsid wsp:val=&quot;00B81543&quot;/&gt;&lt;wsp:rsid wsp:val=&quot;00B81E7F&quot;/&gt;&lt;wsp:rsid wsp:val=&quot;00B8284A&quot;/&gt;&lt;wsp:rsid wsp:val=&quot;00B828B0&quot;/&gt;&lt;wsp:rsid wsp:val=&quot;00B83130&quot;/&gt;&lt;wsp:rsid wsp:val=&quot;00B83551&quot;/&gt;&lt;wsp:rsid wsp:val=&quot;00B837BF&quot;/&gt;&lt;wsp:rsid wsp:val=&quot;00B84006&quot;/&gt;&lt;wsp:rsid wsp:val=&quot;00B84172&quot;/&gt;&lt;wsp:rsid wsp:val=&quot;00B84A64&quot;/&gt;&lt;wsp:rsid wsp:val=&quot;00B84DB3&quot;/&gt;&lt;wsp:rsid wsp:val=&quot;00B85AD2&quot;/&gt;&lt;wsp:rsid wsp:val=&quot;00B85BFC&quot;/&gt;&lt;wsp:rsid wsp:val=&quot;00B85CF1&quot;/&gt;&lt;wsp:rsid wsp:val=&quot;00B867B6&quot;/&gt;&lt;wsp:rsid wsp:val=&quot;00B86F6D&quot;/&gt;&lt;wsp:rsid wsp:val=&quot;00B874DB&quot;/&gt;&lt;wsp:rsid wsp:val=&quot;00B876BE&quot;/&gt;&lt;wsp:rsid wsp:val=&quot;00B877B9&quot;/&gt;&lt;wsp:rsid wsp:val=&quot;00B90129&quot;/&gt;&lt;wsp:rsid wsp:val=&quot;00B909DC&quot;/&gt;&lt;wsp:rsid wsp:val=&quot;00B90BF1&quot;/&gt;&lt;wsp:rsid wsp:val=&quot;00B91396&quot;/&gt;&lt;wsp:rsid wsp:val=&quot;00B91627&quot;/&gt;&lt;wsp:rsid wsp:val=&quot;00B91C99&quot;/&gt;&lt;wsp:rsid wsp:val=&quot;00B91E72&quot;/&gt;&lt;wsp:rsid wsp:val=&quot;00B920C6&quot;/&gt;&lt;wsp:rsid wsp:val=&quot;00B92161&quot;/&gt;&lt;wsp:rsid wsp:val=&quot;00B925DE&quot;/&gt;&lt;wsp:rsid wsp:val=&quot;00B926DB&quot;/&gt;&lt;wsp:rsid wsp:val=&quot;00B9280A&quot;/&gt;&lt;wsp:rsid wsp:val=&quot;00B9284D&quot;/&gt;&lt;wsp:rsid wsp:val=&quot;00B9338F&quot;/&gt;&lt;wsp:rsid wsp:val=&quot;00B937E3&quot;/&gt;&lt;wsp:rsid wsp:val=&quot;00B93A94&quot;/&gt;&lt;wsp:rsid wsp:val=&quot;00B94018&quot;/&gt;&lt;wsp:rsid wsp:val=&quot;00B94B59&quot;/&gt;&lt;wsp:rsid wsp:val=&quot;00B952A3&quot;/&gt;&lt;wsp:rsid wsp:val=&quot;00B9568B&quot;/&gt;&lt;wsp:rsid wsp:val=&quot;00B95CBF&quot;/&gt;&lt;wsp:rsid wsp:val=&quot;00B95D07&quot;/&gt;&lt;wsp:rsid wsp:val=&quot;00B95DE1&quot;/&gt;&lt;wsp:rsid wsp:val=&quot;00B95FBA&quot;/&gt;&lt;wsp:rsid wsp:val=&quot;00B96559&quot;/&gt;&lt;wsp:rsid wsp:val=&quot;00B97BE2&quot;/&gt;&lt;wsp:rsid wsp:val=&quot;00B97FEE&quot;/&gt;&lt;wsp:rsid wsp:val=&quot;00BA0187&quot;/&gt;&lt;wsp:rsid wsp:val=&quot;00BA0DE5&quot;/&gt;&lt;wsp:rsid wsp:val=&quot;00BA0EC1&quot;/&gt;&lt;wsp:rsid wsp:val=&quot;00BA10DD&quot;/&gt;&lt;wsp:rsid wsp:val=&quot;00BA1532&quot;/&gt;&lt;wsp:rsid wsp:val=&quot;00BA19A5&quot;/&gt;&lt;wsp:rsid wsp:val=&quot;00BA2F5F&quot;/&gt;&lt;wsp:rsid wsp:val=&quot;00BA3015&quot;/&gt;&lt;wsp:rsid wsp:val=&quot;00BA30A8&quot;/&gt;&lt;wsp:rsid wsp:val=&quot;00BA31A3&quot;/&gt;&lt;wsp:rsid wsp:val=&quot;00BA32E4&quot;/&gt;&lt;wsp:rsid wsp:val=&quot;00BA3A65&quot;/&gt;&lt;wsp:rsid wsp:val=&quot;00BA3C1F&quot;/&gt;&lt;wsp:rsid wsp:val=&quot;00BA3FA4&quot;/&gt;&lt;wsp:rsid wsp:val=&quot;00BA430C&quot;/&gt;&lt;wsp:rsid wsp:val=&quot;00BA4A71&quot;/&gt;&lt;wsp:rsid wsp:val=&quot;00BA4E6E&quot;/&gt;&lt;wsp:rsid wsp:val=&quot;00BA582E&quot;/&gt;&lt;wsp:rsid wsp:val=&quot;00BA5B1D&quot;/&gt;&lt;wsp:rsid wsp:val=&quot;00BA61AC&quot;/&gt;&lt;wsp:rsid wsp:val=&quot;00BA61EA&quot;/&gt;&lt;wsp:rsid wsp:val=&quot;00BA6209&quot;/&gt;&lt;wsp:rsid wsp:val=&quot;00BA6520&quot;/&gt;&lt;wsp:rsid wsp:val=&quot;00BA6FF1&quot;/&gt;&lt;wsp:rsid wsp:val=&quot;00BA7289&quot;/&gt;&lt;wsp:rsid wsp:val=&quot;00BA76C8&quot;/&gt;&lt;wsp:rsid wsp:val=&quot;00BA775A&quot;/&gt;&lt;wsp:rsid wsp:val=&quot;00BA7952&quot;/&gt;&lt;wsp:rsid wsp:val=&quot;00BA7A65&quot;/&gt;&lt;wsp:rsid wsp:val=&quot;00BA7C9B&quot;/&gt;&lt;wsp:rsid wsp:val=&quot;00BB0BFB&quot;/&gt;&lt;wsp:rsid wsp:val=&quot;00BB1645&quot;/&gt;&lt;wsp:rsid wsp:val=&quot;00BB1DCD&quot;/&gt;&lt;wsp:rsid wsp:val=&quot;00BB1E4A&quot;/&gt;&lt;wsp:rsid wsp:val=&quot;00BB1F9C&quot;/&gt;&lt;wsp:rsid wsp:val=&quot;00BB23AD&quot;/&gt;&lt;wsp:rsid wsp:val=&quot;00BB2D92&quot;/&gt;&lt;wsp:rsid wsp:val=&quot;00BB2E89&quot;/&gt;&lt;wsp:rsid wsp:val=&quot;00BB3635&quot;/&gt;&lt;wsp:rsid wsp:val=&quot;00BB408B&quot;/&gt;&lt;wsp:rsid wsp:val=&quot;00BB40D6&quot;/&gt;&lt;wsp:rsid wsp:val=&quot;00BB422B&quot;/&gt;&lt;wsp:rsid wsp:val=&quot;00BB4671&quot;/&gt;&lt;wsp:rsid wsp:val=&quot;00BB46A7&quot;/&gt;&lt;wsp:rsid wsp:val=&quot;00BB4F48&quot;/&gt;&lt;wsp:rsid wsp:val=&quot;00BB5023&quot;/&gt;&lt;wsp:rsid wsp:val=&quot;00BB56CC&quot;/&gt;&lt;wsp:rsid wsp:val=&quot;00BB57A1&quot;/&gt;&lt;wsp:rsid wsp:val=&quot;00BB593B&quot;/&gt;&lt;wsp:rsid wsp:val=&quot;00BB593D&quot;/&gt;&lt;wsp:rsid wsp:val=&quot;00BB5D3F&quot;/&gt;&lt;wsp:rsid wsp:val=&quot;00BB6547&quot;/&gt;&lt;wsp:rsid wsp:val=&quot;00BB711F&quot;/&gt;&lt;wsp:rsid wsp:val=&quot;00BB73A3&quot;/&gt;&lt;wsp:rsid wsp:val=&quot;00BB73EF&quot;/&gt;&lt;wsp:rsid wsp:val=&quot;00BB7B99&quot;/&gt;&lt;wsp:rsid wsp:val=&quot;00BB7C18&quot;/&gt;&lt;wsp:rsid wsp:val=&quot;00BC000B&quot;/&gt;&lt;wsp:rsid wsp:val=&quot;00BC013E&quot;/&gt;&lt;wsp:rsid wsp:val=&quot;00BC0376&quot;/&gt;&lt;wsp:rsid wsp:val=&quot;00BC0399&quot;/&gt;&lt;wsp:rsid wsp:val=&quot;00BC058D&quot;/&gt;&lt;wsp:rsid wsp:val=&quot;00BC1335&quot;/&gt;&lt;wsp:rsid wsp:val=&quot;00BC20F2&quot;/&gt;&lt;wsp:rsid wsp:val=&quot;00BC28F8&quot;/&gt;&lt;wsp:rsid wsp:val=&quot;00BC2F59&quot;/&gt;&lt;wsp:rsid wsp:val=&quot;00BC354B&quot;/&gt;&lt;wsp:rsid wsp:val=&quot;00BC3CFB&quot;/&gt;&lt;wsp:rsid wsp:val=&quot;00BC43C5&quot;/&gt;&lt;wsp:rsid wsp:val=&quot;00BC444F&quot;/&gt;&lt;wsp:rsid wsp:val=&quot;00BC458A&quot;/&gt;&lt;wsp:rsid wsp:val=&quot;00BC4A43&quot;/&gt;&lt;wsp:rsid wsp:val=&quot;00BC4C23&quot;/&gt;&lt;wsp:rsid wsp:val=&quot;00BC4DB5&quot;/&gt;&lt;wsp:rsid wsp:val=&quot;00BC4FDF&quot;/&gt;&lt;wsp:rsid wsp:val=&quot;00BC665F&quot;/&gt;&lt;wsp:rsid wsp:val=&quot;00BC70DE&quot;/&gt;&lt;wsp:rsid wsp:val=&quot;00BC7316&quot;/&gt;&lt;wsp:rsid wsp:val=&quot;00BC7445&quot;/&gt;&lt;wsp:rsid wsp:val=&quot;00BC78CD&quot;/&gt;&lt;wsp:rsid wsp:val=&quot;00BC7909&quot;/&gt;&lt;wsp:rsid wsp:val=&quot;00BD0D07&quot;/&gt;&lt;wsp:rsid wsp:val=&quot;00BD0DF4&quot;/&gt;&lt;wsp:rsid wsp:val=&quot;00BD186B&quot;/&gt;&lt;wsp:rsid wsp:val=&quot;00BD1A7C&quot;/&gt;&lt;wsp:rsid wsp:val=&quot;00BD2560&quot;/&gt;&lt;wsp:rsid wsp:val=&quot;00BD25A3&quot;/&gt;&lt;wsp:rsid wsp:val=&quot;00BD2671&quot;/&gt;&lt;wsp:rsid wsp:val=&quot;00BD2B45&quot;/&gt;&lt;wsp:rsid wsp:val=&quot;00BD2B74&quot;/&gt;&lt;wsp:rsid wsp:val=&quot;00BD36BD&quot;/&gt;&lt;wsp:rsid wsp:val=&quot;00BD44FB&quot;/&gt;&lt;wsp:rsid wsp:val=&quot;00BD4531&quot;/&gt;&lt;wsp:rsid wsp:val=&quot;00BD4676&quot;/&gt;&lt;wsp:rsid wsp:val=&quot;00BD4D93&quot;/&gt;&lt;wsp:rsid wsp:val=&quot;00BD4E74&quot;/&gt;&lt;wsp:rsid wsp:val=&quot;00BD5046&quot;/&gt;&lt;wsp:rsid wsp:val=&quot;00BD5313&quot;/&gt;&lt;wsp:rsid wsp:val=&quot;00BD5437&quot;/&gt;&lt;wsp:rsid wsp:val=&quot;00BD5F90&quot;/&gt;&lt;wsp:rsid wsp:val=&quot;00BD61BB&quot;/&gt;&lt;wsp:rsid wsp:val=&quot;00BD6624&quot;/&gt;&lt;wsp:rsid wsp:val=&quot;00BD6F2F&quot;/&gt;&lt;wsp:rsid wsp:val=&quot;00BD7086&quot;/&gt;&lt;wsp:rsid wsp:val=&quot;00BD7F8F&quot;/&gt;&lt;wsp:rsid wsp:val=&quot;00BE003F&quot;/&gt;&lt;wsp:rsid wsp:val=&quot;00BE020E&quot;/&gt;&lt;wsp:rsid wsp:val=&quot;00BE06D2&quot;/&gt;&lt;wsp:rsid wsp:val=&quot;00BE0E2C&quot;/&gt;&lt;wsp:rsid wsp:val=&quot;00BE1EFA&quot;/&gt;&lt;wsp:rsid wsp:val=&quot;00BE21BC&quot;/&gt;&lt;wsp:rsid wsp:val=&quot;00BE23FF&quot;/&gt;&lt;wsp:rsid wsp:val=&quot;00BE3124&quot;/&gt;&lt;wsp:rsid wsp:val=&quot;00BE371A&quot;/&gt;&lt;wsp:rsid wsp:val=&quot;00BE3921&quot;/&gt;&lt;wsp:rsid wsp:val=&quot;00BE4355&quot;/&gt;&lt;wsp:rsid wsp:val=&quot;00BE5156&quot;/&gt;&lt;wsp:rsid wsp:val=&quot;00BE5165&quot;/&gt;&lt;wsp:rsid wsp:val=&quot;00BE59D7&quot;/&gt;&lt;wsp:rsid wsp:val=&quot;00BE5A94&quot;/&gt;&lt;wsp:rsid wsp:val=&quot;00BE5C24&quot;/&gt;&lt;wsp:rsid wsp:val=&quot;00BE604F&quot;/&gt;&lt;wsp:rsid wsp:val=&quot;00BE63CC&quot;/&gt;&lt;wsp:rsid wsp:val=&quot;00BE6414&quot;/&gt;&lt;wsp:rsid wsp:val=&quot;00BE6840&quot;/&gt;&lt;wsp:rsid wsp:val=&quot;00BE6B3D&quot;/&gt;&lt;wsp:rsid wsp:val=&quot;00BE7026&quot;/&gt;&lt;wsp:rsid wsp:val=&quot;00BE70D6&quot;/&gt;&lt;wsp:rsid wsp:val=&quot;00BE74A9&quot;/&gt;&lt;wsp:rsid wsp:val=&quot;00BE7C5D&quot;/&gt;&lt;wsp:rsid wsp:val=&quot;00BF0D61&quot;/&gt;&lt;wsp:rsid wsp:val=&quot;00BF12EC&quot;/&gt;&lt;wsp:rsid wsp:val=&quot;00BF1572&quot;/&gt;&lt;wsp:rsid wsp:val=&quot;00BF1C5F&quot;/&gt;&lt;wsp:rsid wsp:val=&quot;00BF2102&quot;/&gt;&lt;wsp:rsid wsp:val=&quot;00BF21D2&quot;/&gt;&lt;wsp:rsid wsp:val=&quot;00BF26F8&quot;/&gt;&lt;wsp:rsid wsp:val=&quot;00BF2CD7&quot;/&gt;&lt;wsp:rsid wsp:val=&quot;00BF30BD&quot;/&gt;&lt;wsp:rsid wsp:val=&quot;00BF361C&quot;/&gt;&lt;wsp:rsid wsp:val=&quot;00BF365B&quot;/&gt;&lt;wsp:rsid wsp:val=&quot;00BF3753&quot;/&gt;&lt;wsp:rsid wsp:val=&quot;00BF37A1&quot;/&gt;&lt;wsp:rsid wsp:val=&quot;00BF37D8&quot;/&gt;&lt;wsp:rsid wsp:val=&quot;00BF3888&quot;/&gt;&lt;wsp:rsid wsp:val=&quot;00BF39A4&quot;/&gt;&lt;wsp:rsid wsp:val=&quot;00BF3A3B&quot;/&gt;&lt;wsp:rsid wsp:val=&quot;00BF5394&quot;/&gt;&lt;wsp:rsid wsp:val=&quot;00BF5541&quot;/&gt;&lt;wsp:rsid wsp:val=&quot;00BF60BC&quot;/&gt;&lt;wsp:rsid wsp:val=&quot;00BF6A75&quot;/&gt;&lt;wsp:rsid wsp:val=&quot;00BF6DDA&quot;/&gt;&lt;wsp:rsid wsp:val=&quot;00BF73D9&quot;/&gt;&lt;wsp:rsid wsp:val=&quot;00BF7413&quot;/&gt;&lt;wsp:rsid wsp:val=&quot;00BF7B6A&quot;/&gt;&lt;wsp:rsid wsp:val=&quot;00C00484&quot;/&gt;&lt;wsp:rsid wsp:val=&quot;00C008C3&quot;/&gt;&lt;wsp:rsid wsp:val=&quot;00C00B4C&quot;/&gt;&lt;wsp:rsid wsp:val=&quot;00C00BFF&quot;/&gt;&lt;wsp:rsid wsp:val=&quot;00C02003&quot;/&gt;&lt;wsp:rsid wsp:val=&quot;00C02161&quot;/&gt;&lt;wsp:rsid wsp:val=&quot;00C022B9&quot;/&gt;&lt;wsp:rsid wsp:val=&quot;00C02375&quot;/&gt;&lt;wsp:rsid wsp:val=&quot;00C0265F&quot;/&gt;&lt;wsp:rsid wsp:val=&quot;00C02AE7&quot;/&gt;&lt;wsp:rsid wsp:val=&quot;00C02E71&quot;/&gt;&lt;wsp:rsid wsp:val=&quot;00C0311F&quot;/&gt;&lt;wsp:rsid wsp:val=&quot;00C03BF3&quot;/&gt;&lt;wsp:rsid wsp:val=&quot;00C03FEF&quot;/&gt;&lt;wsp:rsid wsp:val=&quot;00C0426A&quot;/&gt;&lt;wsp:rsid wsp:val=&quot;00C042AC&quot;/&gt;&lt;wsp:rsid wsp:val=&quot;00C0441E&quot;/&gt;&lt;wsp:rsid wsp:val=&quot;00C0474E&quot;/&gt;&lt;wsp:rsid wsp:val=&quot;00C049DE&quot;/&gt;&lt;wsp:rsid wsp:val=&quot;00C04BC7&quot;/&gt;&lt;wsp:rsid wsp:val=&quot;00C053FD&quot;/&gt;&lt;wsp:rsid wsp:val=&quot;00C05A3B&quot;/&gt;&lt;wsp:rsid wsp:val=&quot;00C06230&quot;/&gt;&lt;wsp:rsid wsp:val=&quot;00C065C5&quot;/&gt;&lt;wsp:rsid wsp:val=&quot;00C0695B&quot;/&gt;&lt;wsp:rsid wsp:val=&quot;00C06BC5&quot;/&gt;&lt;wsp:rsid wsp:val=&quot;00C078DF&quot;/&gt;&lt;wsp:rsid wsp:val=&quot;00C100B4&quot;/&gt;&lt;wsp:rsid wsp:val=&quot;00C108B2&quot;/&gt;&lt;wsp:rsid wsp:val=&quot;00C109B6&quot;/&gt;&lt;wsp:rsid wsp:val=&quot;00C10E53&quot;/&gt;&lt;wsp:rsid wsp:val=&quot;00C1141F&quot;/&gt;&lt;wsp:rsid wsp:val=&quot;00C11C4E&quot;/&gt;&lt;wsp:rsid wsp:val=&quot;00C11D4C&quot;/&gt;&lt;wsp:rsid wsp:val=&quot;00C12034&quot;/&gt;&lt;wsp:rsid wsp:val=&quot;00C12624&quot;/&gt;&lt;wsp:rsid wsp:val=&quot;00C130EF&quot;/&gt;&lt;wsp:rsid wsp:val=&quot;00C13FA2&quot;/&gt;&lt;wsp:rsid wsp:val=&quot;00C147EF&quot;/&gt;&lt;wsp:rsid wsp:val=&quot;00C148CA&quot;/&gt;&lt;wsp:rsid wsp:val=&quot;00C14AA6&quot;/&gt;&lt;wsp:rsid wsp:val=&quot;00C1549C&quot;/&gt;&lt;wsp:rsid wsp:val=&quot;00C16C58&quot;/&gt;&lt;wsp:rsid wsp:val=&quot;00C16D80&quot;/&gt;&lt;wsp:rsid wsp:val=&quot;00C16F86&quot;/&gt;&lt;wsp:rsid wsp:val=&quot;00C173EC&quot;/&gt;&lt;wsp:rsid wsp:val=&quot;00C17561&quot;/&gt;&lt;wsp:rsid wsp:val=&quot;00C1789B&quot;/&gt;&lt;wsp:rsid wsp:val=&quot;00C203A0&quot;/&gt;&lt;wsp:rsid wsp:val=&quot;00C2112F&quot;/&gt;&lt;wsp:rsid wsp:val=&quot;00C21EF6&quot;/&gt;&lt;wsp:rsid wsp:val=&quot;00C2208E&quot;/&gt;&lt;wsp:rsid wsp:val=&quot;00C2213E&quot;/&gt;&lt;wsp:rsid wsp:val=&quot;00C221E2&quot;/&gt;&lt;wsp:rsid wsp:val=&quot;00C2222E&quot;/&gt;&lt;wsp:rsid wsp:val=&quot;00C22757&quot;/&gt;&lt;wsp:rsid wsp:val=&quot;00C23478&quot;/&gt;&lt;wsp:rsid wsp:val=&quot;00C23CC8&quot;/&gt;&lt;wsp:rsid wsp:val=&quot;00C241B0&quot;/&gt;&lt;wsp:rsid wsp:val=&quot;00C2470C&quot;/&gt;&lt;wsp:rsid wsp:val=&quot;00C247EE&quot;/&gt;&lt;wsp:rsid wsp:val=&quot;00C25377&quot;/&gt;&lt;wsp:rsid wsp:val=&quot;00C25945&quot;/&gt;&lt;wsp:rsid wsp:val=&quot;00C266B5&quot;/&gt;&lt;wsp:rsid wsp:val=&quot;00C266C5&quot;/&gt;&lt;wsp:rsid wsp:val=&quot;00C26715&quot;/&gt;&lt;wsp:rsid wsp:val=&quot;00C26954&quot;/&gt;&lt;wsp:rsid wsp:val=&quot;00C26BE7&quot;/&gt;&lt;wsp:rsid wsp:val=&quot;00C26F7E&quot;/&gt;&lt;wsp:rsid wsp:val=&quot;00C270ED&quot;/&gt;&lt;wsp:rsid wsp:val=&quot;00C278E3&quot;/&gt;&lt;wsp:rsid wsp:val=&quot;00C3177F&quot;/&gt;&lt;wsp:rsid wsp:val=&quot;00C31781&quot;/&gt;&lt;wsp:rsid wsp:val=&quot;00C317F6&quot;/&gt;&lt;wsp:rsid wsp:val=&quot;00C318BC&quot;/&gt;&lt;wsp:rsid wsp:val=&quot;00C319CB&quot;/&gt;&lt;wsp:rsid wsp:val=&quot;00C31DB9&quot;/&gt;&lt;wsp:rsid wsp:val=&quot;00C31DC4&quot;/&gt;&lt;wsp:rsid wsp:val=&quot;00C31E52&quot;/&gt;&lt;wsp:rsid wsp:val=&quot;00C32B45&quot;/&gt;&lt;wsp:rsid wsp:val=&quot;00C335FB&quot;/&gt;&lt;wsp:rsid wsp:val=&quot;00C33EE4&quot;/&gt;&lt;wsp:rsid wsp:val=&quot;00C346F8&quot;/&gt;&lt;wsp:rsid wsp:val=&quot;00C35066&quot;/&gt;&lt;wsp:rsid wsp:val=&quot;00C350CA&quot;/&gt;&lt;wsp:rsid wsp:val=&quot;00C354E3&quot;/&gt;&lt;wsp:rsid wsp:val=&quot;00C35631&quot;/&gt;&lt;wsp:rsid wsp:val=&quot;00C35AFA&quot;/&gt;&lt;wsp:rsid wsp:val=&quot;00C35C0D&quot;/&gt;&lt;wsp:rsid wsp:val=&quot;00C35E9C&quot;/&gt;&lt;wsp:rsid wsp:val=&quot;00C362E1&quot;/&gt;&lt;wsp:rsid wsp:val=&quot;00C3682A&quot;/&gt;&lt;wsp:rsid wsp:val=&quot;00C36DC1&quot;/&gt;&lt;wsp:rsid wsp:val=&quot;00C37A89&quot;/&gt;&lt;wsp:rsid wsp:val=&quot;00C37BF5&quot;/&gt;&lt;wsp:rsid wsp:val=&quot;00C37CEB&quot;/&gt;&lt;wsp:rsid wsp:val=&quot;00C37E52&quot;/&gt;&lt;wsp:rsid wsp:val=&quot;00C37FEE&quot;/&gt;&lt;wsp:rsid wsp:val=&quot;00C403D6&quot;/&gt;&lt;wsp:rsid wsp:val=&quot;00C40479&quot;/&gt;&lt;wsp:rsid wsp:val=&quot;00C4091F&quot;/&gt;&lt;wsp:rsid wsp:val=&quot;00C412CF&quot;/&gt;&lt;wsp:rsid wsp:val=&quot;00C427A0&quot;/&gt;&lt;wsp:rsid wsp:val=&quot;00C427D7&quot;/&gt;&lt;wsp:rsid wsp:val=&quot;00C42B67&quot;/&gt;&lt;wsp:rsid wsp:val=&quot;00C42F34&quot;/&gt;&lt;wsp:rsid wsp:val=&quot;00C42F4B&quot;/&gt;&lt;wsp:rsid wsp:val=&quot;00C43755&quot;/&gt;&lt;wsp:rsid wsp:val=&quot;00C440D4&quot;/&gt;&lt;wsp:rsid wsp:val=&quot;00C4459F&quot;/&gt;&lt;wsp:rsid wsp:val=&quot;00C44E92&quot;/&gt;&lt;wsp:rsid wsp:val=&quot;00C452E8&quot;/&gt;&lt;wsp:rsid wsp:val=&quot;00C45379&quot;/&gt;&lt;wsp:rsid wsp:val=&quot;00C45646&quot;/&gt;&lt;wsp:rsid wsp:val=&quot;00C45BD0&quot;/&gt;&lt;wsp:rsid wsp:val=&quot;00C45BD4&quot;/&gt;&lt;wsp:rsid wsp:val=&quot;00C45C8F&quot;/&gt;&lt;wsp:rsid wsp:val=&quot;00C45E52&quot;/&gt;&lt;wsp:rsid wsp:val=&quot;00C4629D&quot;/&gt;&lt;wsp:rsid wsp:val=&quot;00C46442&quot;/&gt;&lt;wsp:rsid wsp:val=&quot;00C46D02&quot;/&gt;&lt;wsp:rsid wsp:val=&quot;00C50005&quot;/&gt;&lt;wsp:rsid wsp:val=&quot;00C50331&quot;/&gt;&lt;wsp:rsid wsp:val=&quot;00C50E5F&quot;/&gt;&lt;wsp:rsid wsp:val=&quot;00C50F8D&quot;/&gt;&lt;wsp:rsid wsp:val=&quot;00C51ABA&quot;/&gt;&lt;wsp:rsid wsp:val=&quot;00C51EDF&quot;/&gt;&lt;wsp:rsid wsp:val=&quot;00C528EA&quot;/&gt;&lt;wsp:rsid wsp:val=&quot;00C52D39&quot;/&gt;&lt;wsp:rsid wsp:val=&quot;00C54194&quot;/&gt;&lt;wsp:rsid wsp:val=&quot;00C55066&quot;/&gt;&lt;wsp:rsid wsp:val=&quot;00C5618C&quot;/&gt;&lt;wsp:rsid wsp:val=&quot;00C568DD&quot;/&gt;&lt;wsp:rsid wsp:val=&quot;00C56B84&quot;/&gt;&lt;wsp:rsid wsp:val=&quot;00C57541&quot;/&gt;&lt;wsp:rsid wsp:val=&quot;00C57A64&quot;/&gt;&lt;wsp:rsid wsp:val=&quot;00C57D53&quot;/&gt;&lt;wsp:rsid wsp:val=&quot;00C57F28&quot;/&gt;&lt;wsp:rsid wsp:val=&quot;00C60740&quot;/&gt;&lt;wsp:rsid wsp:val=&quot;00C60A71&quot;/&gt;&lt;wsp:rsid wsp:val=&quot;00C60B3A&quot;/&gt;&lt;wsp:rsid wsp:val=&quot;00C62055&quot;/&gt;&lt;wsp:rsid wsp:val=&quot;00C6224C&quot;/&gt;&lt;wsp:rsid wsp:val=&quot;00C62734&quot;/&gt;&lt;wsp:rsid wsp:val=&quot;00C62846&quot;/&gt;&lt;wsp:rsid wsp:val=&quot;00C62F47&quot;/&gt;&lt;wsp:rsid wsp:val=&quot;00C63021&quot;/&gt;&lt;wsp:rsid wsp:val=&quot;00C638E5&quot;/&gt;&lt;wsp:rsid wsp:val=&quot;00C63B14&quot;/&gt;&lt;wsp:rsid wsp:val=&quot;00C64768&quot;/&gt;&lt;wsp:rsid wsp:val=&quot;00C64A76&quot;/&gt;&lt;wsp:rsid wsp:val=&quot;00C64BFD&quot;/&gt;&lt;wsp:rsid wsp:val=&quot;00C65BEF&quot;/&gt;&lt;wsp:rsid wsp:val=&quot;00C66281&quot;/&gt;&lt;wsp:rsid wsp:val=&quot;00C670A4&quot;/&gt;&lt;wsp:rsid wsp:val=&quot;00C675B8&quot;/&gt;&lt;wsp:rsid wsp:val=&quot;00C703BB&quot;/&gt;&lt;wsp:rsid wsp:val=&quot;00C70DBF&quot;/&gt;&lt;wsp:rsid wsp:val=&quot;00C70E15&quot;/&gt;&lt;wsp:rsid wsp:val=&quot;00C70F56&quot;/&gt;&lt;wsp:rsid wsp:val=&quot;00C70FFA&quot;/&gt;&lt;wsp:rsid wsp:val=&quot;00C713CD&quot;/&gt;&lt;wsp:rsid wsp:val=&quot;00C71440&quot;/&gt;&lt;wsp:rsid wsp:val=&quot;00C71935&quot;/&gt;&lt;wsp:rsid wsp:val=&quot;00C71BA5&quot;/&gt;&lt;wsp:rsid wsp:val=&quot;00C71CDB&quot;/&gt;&lt;wsp:rsid wsp:val=&quot;00C71EBE&quot;/&gt;&lt;wsp:rsid wsp:val=&quot;00C73BAB&quot;/&gt;&lt;wsp:rsid wsp:val=&quot;00C748B0&quot;/&gt;&lt;wsp:rsid wsp:val=&quot;00C75170&quot;/&gt;&lt;wsp:rsid wsp:val=&quot;00C752ED&quot;/&gt;&lt;wsp:rsid wsp:val=&quot;00C75502&quot;/&gt;&lt;wsp:rsid wsp:val=&quot;00C75742&quot;/&gt;&lt;wsp:rsid wsp:val=&quot;00C75D72&quot;/&gt;&lt;wsp:rsid wsp:val=&quot;00C76366&quot;/&gt;&lt;wsp:rsid wsp:val=&quot;00C7773C&quot;/&gt;&lt;wsp:rsid wsp:val=&quot;00C778BF&quot;/&gt;&lt;wsp:rsid wsp:val=&quot;00C779F6&quot;/&gt;&lt;wsp:rsid wsp:val=&quot;00C77C87&quot;/&gt;&lt;wsp:rsid wsp:val=&quot;00C80421&quot;/&gt;&lt;wsp:rsid wsp:val=&quot;00C8073C&quot;/&gt;&lt;wsp:rsid wsp:val=&quot;00C80CD9&quot;/&gt;&lt;wsp:rsid wsp:val=&quot;00C81B60&quot;/&gt;&lt;wsp:rsid wsp:val=&quot;00C82117&quot;/&gt;&lt;wsp:rsid wsp:val=&quot;00C82465&quot;/&gt;&lt;wsp:rsid wsp:val=&quot;00C83328&quot;/&gt;&lt;wsp:rsid wsp:val=&quot;00C836F7&quot;/&gt;&lt;wsp:rsid wsp:val=&quot;00C84624&quot;/&gt;&lt;wsp:rsid wsp:val=&quot;00C849B6&quot;/&gt;&lt;wsp:rsid wsp:val=&quot;00C853D1&quot;/&gt;&lt;wsp:rsid wsp:val=&quot;00C8599B&quot;/&gt;&lt;wsp:rsid wsp:val=&quot;00C859E1&quot;/&gt;&lt;wsp:rsid wsp:val=&quot;00C85F5E&quot;/&gt;&lt;wsp:rsid wsp:val=&quot;00C86033&quot;/&gt;&lt;wsp:rsid wsp:val=&quot;00C862C9&quot;/&gt;&lt;wsp:rsid wsp:val=&quot;00C86773&quot;/&gt;&lt;wsp:rsid wsp:val=&quot;00C86BA9&quot;/&gt;&lt;wsp:rsid wsp:val=&quot;00C86FEE&quot;/&gt;&lt;wsp:rsid wsp:val=&quot;00C87282&quot;/&gt;&lt;wsp:rsid wsp:val=&quot;00C87364&quot;/&gt;&lt;wsp:rsid wsp:val=&quot;00C874B2&quot;/&gt;&lt;wsp:rsid wsp:val=&quot;00C87C59&quot;/&gt;&lt;wsp:rsid wsp:val=&quot;00C87F36&quot;/&gt;&lt;wsp:rsid wsp:val=&quot;00C90651&quot;/&gt;&lt;wsp:rsid wsp:val=&quot;00C90BFE&quot;/&gt;&lt;wsp:rsid wsp:val=&quot;00C90CD5&quot;/&gt;&lt;wsp:rsid wsp:val=&quot;00C92252&quot;/&gt;&lt;wsp:rsid wsp:val=&quot;00C926DB&quot;/&gt;&lt;wsp:rsid wsp:val=&quot;00C933C3&quot;/&gt;&lt;wsp:rsid wsp:val=&quot;00C93799&quot;/&gt;&lt;wsp:rsid wsp:val=&quot;00C93EA8&quot;/&gt;&lt;wsp:rsid wsp:val=&quot;00C943DA&quot;/&gt;&lt;wsp:rsid wsp:val=&quot;00C94934&quot;/&gt;&lt;wsp:rsid wsp:val=&quot;00C94B0F&quot;/&gt;&lt;wsp:rsid wsp:val=&quot;00C94BE7&quot;/&gt;&lt;wsp:rsid wsp:val=&quot;00C94DD4&quot;/&gt;&lt;wsp:rsid wsp:val=&quot;00C9550B&quot;/&gt;&lt;wsp:rsid wsp:val=&quot;00C9632B&quot;/&gt;&lt;wsp:rsid wsp:val=&quot;00C9685B&quot;/&gt;&lt;wsp:rsid wsp:val=&quot;00C96CED&quot;/&gt;&lt;wsp:rsid wsp:val=&quot;00C9783D&quot;/&gt;&lt;wsp:rsid wsp:val=&quot;00CA05DF&quot;/&gt;&lt;wsp:rsid wsp:val=&quot;00CA0F68&quot;/&gt;&lt;wsp:rsid wsp:val=&quot;00CA1F83&quot;/&gt;&lt;wsp:rsid wsp:val=&quot;00CA2993&quot;/&gt;&lt;wsp:rsid wsp:val=&quot;00CA2D15&quot;/&gt;&lt;wsp:rsid wsp:val=&quot;00CA2F69&quot;/&gt;&lt;wsp:rsid wsp:val=&quot;00CA3291&quot;/&gt;&lt;wsp:rsid wsp:val=&quot;00CA332A&quot;/&gt;&lt;wsp:rsid wsp:val=&quot;00CA3BC0&quot;/&gt;&lt;wsp:rsid wsp:val=&quot;00CA3BD8&quot;/&gt;&lt;wsp:rsid wsp:val=&quot;00CA3CD1&quot;/&gt;&lt;wsp:rsid wsp:val=&quot;00CA5425&quot;/&gt;&lt;wsp:rsid wsp:val=&quot;00CA5489&quot;/&gt;&lt;wsp:rsid wsp:val=&quot;00CA5978&quot;/&gt;&lt;wsp:rsid wsp:val=&quot;00CA6036&quot;/&gt;&lt;wsp:rsid wsp:val=&quot;00CA6141&quot;/&gt;&lt;wsp:rsid wsp:val=&quot;00CA634D&quot;/&gt;&lt;wsp:rsid wsp:val=&quot;00CA65E8&quot;/&gt;&lt;wsp:rsid wsp:val=&quot;00CA6BCF&quot;/&gt;&lt;wsp:rsid wsp:val=&quot;00CA6F82&quot;/&gt;&lt;wsp:rsid wsp:val=&quot;00CA712E&quot;/&gt;&lt;wsp:rsid wsp:val=&quot;00CA749A&quot;/&gt;&lt;wsp:rsid wsp:val=&quot;00CA7985&quot;/&gt;&lt;wsp:rsid wsp:val=&quot;00CB0B0A&quot;/&gt;&lt;wsp:rsid wsp:val=&quot;00CB0B4B&quot;/&gt;&lt;wsp:rsid wsp:val=&quot;00CB0DA8&quot;/&gt;&lt;wsp:rsid wsp:val=&quot;00CB1FC3&quot;/&gt;&lt;wsp:rsid wsp:val=&quot;00CB274D&quot;/&gt;&lt;wsp:rsid wsp:val=&quot;00CB31BA&quot;/&gt;&lt;wsp:rsid wsp:val=&quot;00CB32BE&quot;/&gt;&lt;wsp:rsid wsp:val=&quot;00CB3D5A&quot;/&gt;&lt;wsp:rsid wsp:val=&quot;00CB401B&quot;/&gt;&lt;wsp:rsid wsp:val=&quot;00CB42B6&quot;/&gt;&lt;wsp:rsid wsp:val=&quot;00CB491B&quot;/&gt;&lt;wsp:rsid wsp:val=&quot;00CB55FC&quot;/&gt;&lt;wsp:rsid wsp:val=&quot;00CB5816&quot;/&gt;&lt;wsp:rsid wsp:val=&quot;00CB6917&quot;/&gt;&lt;wsp:rsid wsp:val=&quot;00CB6A3E&quot;/&gt;&lt;wsp:rsid wsp:val=&quot;00CB7170&quot;/&gt;&lt;wsp:rsid wsp:val=&quot;00CB73FF&quot;/&gt;&lt;wsp:rsid wsp:val=&quot;00CB77ED&quot;/&gt;&lt;wsp:rsid wsp:val=&quot;00CC0244&quot;/&gt;&lt;wsp:rsid wsp:val=&quot;00CC0403&quot;/&gt;&lt;wsp:rsid wsp:val=&quot;00CC0FFF&quot;/&gt;&lt;wsp:rsid wsp:val=&quot;00CC1610&quot;/&gt;&lt;wsp:rsid wsp:val=&quot;00CC22D3&quot;/&gt;&lt;wsp:rsid wsp:val=&quot;00CC2652&quot;/&gt;&lt;wsp:rsid wsp:val=&quot;00CC2C41&quot;/&gt;&lt;wsp:rsid wsp:val=&quot;00CC2C7B&quot;/&gt;&lt;wsp:rsid wsp:val=&quot;00CC2E66&quot;/&gt;&lt;wsp:rsid wsp:val=&quot;00CC3896&quot;/&gt;&lt;wsp:rsid wsp:val=&quot;00CC3F9E&quot;/&gt;&lt;wsp:rsid wsp:val=&quot;00CC4E98&quot;/&gt;&lt;wsp:rsid wsp:val=&quot;00CC512B&quot;/&gt;&lt;wsp:rsid wsp:val=&quot;00CC53E6&quot;/&gt;&lt;wsp:rsid wsp:val=&quot;00CC54D7&quot;/&gt;&lt;wsp:rsid wsp:val=&quot;00CC55B5&quot;/&gt;&lt;wsp:rsid wsp:val=&quot;00CC5E40&quot;/&gt;&lt;wsp:rsid wsp:val=&quot;00CC5E62&quot;/&gt;&lt;wsp:rsid wsp:val=&quot;00CC5EE5&quot;/&gt;&lt;wsp:rsid wsp:val=&quot;00CC6576&quot;/&gt;&lt;wsp:rsid wsp:val=&quot;00CC696E&quot;/&gt;&lt;wsp:rsid wsp:val=&quot;00CC6A69&quot;/&gt;&lt;wsp:rsid wsp:val=&quot;00CC6C54&quot;/&gt;&lt;wsp:rsid wsp:val=&quot;00CC7030&quot;/&gt;&lt;wsp:rsid wsp:val=&quot;00CC741B&quot;/&gt;&lt;wsp:rsid wsp:val=&quot;00CC7926&quot;/&gt;&lt;wsp:rsid wsp:val=&quot;00CD0A29&quot;/&gt;&lt;wsp:rsid wsp:val=&quot;00CD1281&quot;/&gt;&lt;wsp:rsid wsp:val=&quot;00CD19ED&quot;/&gt;&lt;wsp:rsid wsp:val=&quot;00CD1CE3&quot;/&gt;&lt;wsp:rsid wsp:val=&quot;00CD2074&quot;/&gt;&lt;wsp:rsid wsp:val=&quot;00CD213E&quot;/&gt;&lt;wsp:rsid wsp:val=&quot;00CD218F&quot;/&gt;&lt;wsp:rsid wsp:val=&quot;00CD2288&quot;/&gt;&lt;wsp:rsid wsp:val=&quot;00CD2DF9&quot;/&gt;&lt;wsp:rsid wsp:val=&quot;00CD3084&quot;/&gt;&lt;wsp:rsid wsp:val=&quot;00CD30FE&quot;/&gt;&lt;wsp:rsid wsp:val=&quot;00CD3692&quot;/&gt;&lt;wsp:rsid wsp:val=&quot;00CD3774&quot;/&gt;&lt;wsp:rsid wsp:val=&quot;00CD37CD&quot;/&gt;&lt;wsp:rsid wsp:val=&quot;00CD3B71&quot;/&gt;&lt;wsp:rsid wsp:val=&quot;00CD51CA&quot;/&gt;&lt;wsp:rsid wsp:val=&quot;00CD52E8&quot;/&gt;&lt;wsp:rsid wsp:val=&quot;00CD5CCE&quot;/&gt;&lt;wsp:rsid wsp:val=&quot;00CD5EED&quot;/&gt;&lt;wsp:rsid wsp:val=&quot;00CD6514&quot;/&gt;&lt;wsp:rsid wsp:val=&quot;00CD65A2&quot;/&gt;&lt;wsp:rsid wsp:val=&quot;00CD6637&quot;/&gt;&lt;wsp:rsid wsp:val=&quot;00CD66A4&quot;/&gt;&lt;wsp:rsid wsp:val=&quot;00CD694B&quot;/&gt;&lt;wsp:rsid wsp:val=&quot;00CD69E7&quot;/&gt;&lt;wsp:rsid wsp:val=&quot;00CD69E9&quot;/&gt;&lt;wsp:rsid wsp:val=&quot;00CD6A70&quot;/&gt;&lt;wsp:rsid wsp:val=&quot;00CD74D8&quot;/&gt;&lt;wsp:rsid wsp:val=&quot;00CD7999&quot;/&gt;&lt;wsp:rsid wsp:val=&quot;00CD7BF1&quot;/&gt;&lt;wsp:rsid wsp:val=&quot;00CE0AB2&quot;/&gt;&lt;wsp:rsid wsp:val=&quot;00CE0C16&quot;/&gt;&lt;wsp:rsid wsp:val=&quot;00CE0CA0&quot;/&gt;&lt;wsp:rsid wsp:val=&quot;00CE1CCE&quot;/&gt;&lt;wsp:rsid wsp:val=&quot;00CE21FB&quot;/&gt;&lt;wsp:rsid wsp:val=&quot;00CE376E&quot;/&gt;&lt;wsp:rsid wsp:val=&quot;00CE3866&quot;/&gt;&lt;wsp:rsid wsp:val=&quot;00CE399C&quot;/&gt;&lt;wsp:rsid wsp:val=&quot;00CE4C8A&quot;/&gt;&lt;wsp:rsid wsp:val=&quot;00CE4FD3&quot;/&gt;&lt;wsp:rsid wsp:val=&quot;00CE576A&quot;/&gt;&lt;wsp:rsid wsp:val=&quot;00CE5853&quot;/&gt;&lt;wsp:rsid wsp:val=&quot;00CE5BD9&quot;/&gt;&lt;wsp:rsid wsp:val=&quot;00CE5D8F&quot;/&gt;&lt;wsp:rsid wsp:val=&quot;00CE6025&quot;/&gt;&lt;wsp:rsid wsp:val=&quot;00CE6071&quot;/&gt;&lt;wsp:rsid wsp:val=&quot;00CE611F&quot;/&gt;&lt;wsp:rsid wsp:val=&quot;00CE61F5&quot;/&gt;&lt;wsp:rsid wsp:val=&quot;00CE6ABF&quot;/&gt;&lt;wsp:rsid wsp:val=&quot;00CE6BA9&quot;/&gt;&lt;wsp:rsid wsp:val=&quot;00CE6F0E&quot;/&gt;&lt;wsp:rsid wsp:val=&quot;00CE7151&quot;/&gt;&lt;wsp:rsid wsp:val=&quot;00CF09BF&quot;/&gt;&lt;wsp:rsid wsp:val=&quot;00CF1B2A&quot;/&gt;&lt;wsp:rsid wsp:val=&quot;00CF1CFA&quot;/&gt;&lt;wsp:rsid wsp:val=&quot;00CF22DE&quot;/&gt;&lt;wsp:rsid wsp:val=&quot;00CF2B49&quot;/&gt;&lt;wsp:rsid wsp:val=&quot;00CF2EA1&quot;/&gt;&lt;wsp:rsid wsp:val=&quot;00CF2FB9&quot;/&gt;&lt;wsp:rsid wsp:val=&quot;00CF31DC&quot;/&gt;&lt;wsp:rsid wsp:val=&quot;00CF3F30&quot;/&gt;&lt;wsp:rsid wsp:val=&quot;00CF3FEF&quot;/&gt;&lt;wsp:rsid wsp:val=&quot;00CF4B77&quot;/&gt;&lt;wsp:rsid wsp:val=&quot;00CF51DB&quot;/&gt;&lt;wsp:rsid wsp:val=&quot;00CF5B2E&quot;/&gt;&lt;wsp:rsid wsp:val=&quot;00CF5BDF&quot;/&gt;&lt;wsp:rsid wsp:val=&quot;00CF5D64&quot;/&gt;&lt;wsp:rsid wsp:val=&quot;00CF6B2C&quot;/&gt;&lt;wsp:rsid wsp:val=&quot;00CF7115&quot;/&gt;&lt;wsp:rsid wsp:val=&quot;00CF7996&quot;/&gt;&lt;wsp:rsid wsp:val=&quot;00D00238&quot;/&gt;&lt;wsp:rsid wsp:val=&quot;00D00DC6&quot;/&gt;&lt;wsp:rsid wsp:val=&quot;00D00EF3&quot;/&gt;&lt;wsp:rsid wsp:val=&quot;00D01224&quot;/&gt;&lt;wsp:rsid wsp:val=&quot;00D01783&quot;/&gt;&lt;wsp:rsid wsp:val=&quot;00D01B32&quot;/&gt;&lt;wsp:rsid wsp:val=&quot;00D01C6C&quot;/&gt;&lt;wsp:rsid wsp:val=&quot;00D01F24&quot;/&gt;&lt;wsp:rsid wsp:val=&quot;00D02011&quot;/&gt;&lt;wsp:rsid wsp:val=&quot;00D02109&quot;/&gt;&lt;wsp:rsid wsp:val=&quot;00D029A1&quot;/&gt;&lt;wsp:rsid wsp:val=&quot;00D02EE9&quot;/&gt;&lt;wsp:rsid wsp:val=&quot;00D0360E&quot;/&gt;&lt;wsp:rsid wsp:val=&quot;00D03C5C&quot;/&gt;&lt;wsp:rsid wsp:val=&quot;00D0458F&quot;/&gt;&lt;wsp:rsid wsp:val=&quot;00D0461D&quot;/&gt;&lt;wsp:rsid wsp:val=&quot;00D04749&quot;/&gt;&lt;wsp:rsid wsp:val=&quot;00D04A59&quot;/&gt;&lt;wsp:rsid wsp:val=&quot;00D0500A&quot;/&gt;&lt;wsp:rsid wsp:val=&quot;00D05301&quot;/&gt;&lt;wsp:rsid wsp:val=&quot;00D06BB5&quot;/&gt;&lt;wsp:rsid wsp:val=&quot;00D06C66&quot;/&gt;&lt;wsp:rsid wsp:val=&quot;00D0705E&quot;/&gt;&lt;wsp:rsid wsp:val=&quot;00D072B4&quot;/&gt;&lt;wsp:rsid wsp:val=&quot;00D07CA7&quot;/&gt;&lt;wsp:rsid wsp:val=&quot;00D1001E&quot;/&gt;&lt;wsp:rsid wsp:val=&quot;00D10129&quot;/&gt;&lt;wsp:rsid wsp:val=&quot;00D103C2&quot;/&gt;&lt;wsp:rsid wsp:val=&quot;00D1040B&quot;/&gt;&lt;wsp:rsid wsp:val=&quot;00D10740&quot;/&gt;&lt;wsp:rsid wsp:val=&quot;00D109E2&quot;/&gt;&lt;wsp:rsid wsp:val=&quot;00D10DD5&quot;/&gt;&lt;wsp:rsid wsp:val=&quot;00D10EA0&quot;/&gt;&lt;wsp:rsid wsp:val=&quot;00D10F30&quot;/&gt;&lt;wsp:rsid wsp:val=&quot;00D10F73&quot;/&gt;&lt;wsp:rsid wsp:val=&quot;00D12115&quot;/&gt;&lt;wsp:rsid wsp:val=&quot;00D1261E&quot;/&gt;&lt;wsp:rsid wsp:val=&quot;00D12AE5&quot;/&gt;&lt;wsp:rsid wsp:val=&quot;00D13184&quot;/&gt;&lt;wsp:rsid wsp:val=&quot;00D13CF7&quot;/&gt;&lt;wsp:rsid wsp:val=&quot;00D14195&quot;/&gt;&lt;wsp:rsid wsp:val=&quot;00D14A38&quot;/&gt;&lt;wsp:rsid wsp:val=&quot;00D14FDD&quot;/&gt;&lt;wsp:rsid wsp:val=&quot;00D1586E&quot;/&gt;&lt;wsp:rsid wsp:val=&quot;00D158B9&quot;/&gt;&lt;wsp:rsid wsp:val=&quot;00D15EFE&quot;/&gt;&lt;wsp:rsid wsp:val=&quot;00D1676A&quot;/&gt;&lt;wsp:rsid wsp:val=&quot;00D168FF&quot;/&gt;&lt;wsp:rsid wsp:val=&quot;00D16E18&quot;/&gt;&lt;wsp:rsid wsp:val=&quot;00D17550&quot;/&gt;&lt;wsp:rsid wsp:val=&quot;00D17560&quot;/&gt;&lt;wsp:rsid wsp:val=&quot;00D20CCA&quot;/&gt;&lt;wsp:rsid wsp:val=&quot;00D2117D&quot;/&gt;&lt;wsp:rsid wsp:val=&quot;00D21199&quot;/&gt;&lt;wsp:rsid wsp:val=&quot;00D215AC&quot;/&gt;&lt;wsp:rsid wsp:val=&quot;00D2209F&quot;/&gt;&lt;wsp:rsid wsp:val=&quot;00D222AA&quot;/&gt;&lt;wsp:rsid wsp:val=&quot;00D223CB&quot;/&gt;&lt;wsp:rsid wsp:val=&quot;00D228B5&quot;/&gt;&lt;wsp:rsid wsp:val=&quot;00D22C6A&quot;/&gt;&lt;wsp:rsid wsp:val=&quot;00D230DE&quot;/&gt;&lt;wsp:rsid wsp:val=&quot;00D23301&quot;/&gt;&lt;wsp:rsid wsp:val=&quot;00D238BE&quot;/&gt;&lt;wsp:rsid wsp:val=&quot;00D23DD5&quot;/&gt;&lt;wsp:rsid wsp:val=&quot;00D2415B&quot;/&gt;&lt;wsp:rsid wsp:val=&quot;00D249B8&quot;/&gt;&lt;wsp:rsid wsp:val=&quot;00D258A2&quot;/&gt;&lt;wsp:rsid wsp:val=&quot;00D262DE&quot;/&gt;&lt;wsp:rsid wsp:val=&quot;00D2643A&quot;/&gt;&lt;wsp:rsid wsp:val=&quot;00D268A0&quot;/&gt;&lt;wsp:rsid wsp:val=&quot;00D26C6B&quot;/&gt;&lt;wsp:rsid wsp:val=&quot;00D26E1A&quot;/&gt;&lt;wsp:rsid wsp:val=&quot;00D271FF&quot;/&gt;&lt;wsp:rsid wsp:val=&quot;00D27EA4&quot;/&gt;&lt;wsp:rsid wsp:val=&quot;00D30019&quot;/&gt;&lt;wsp:rsid wsp:val=&quot;00D306A9&quot;/&gt;&lt;wsp:rsid wsp:val=&quot;00D30D67&quot;/&gt;&lt;wsp:rsid wsp:val=&quot;00D31279&quot;/&gt;&lt;wsp:rsid wsp:val=&quot;00D31676&quot;/&gt;&lt;wsp:rsid wsp:val=&quot;00D321F1&quot;/&gt;&lt;wsp:rsid wsp:val=&quot;00D333CA&quot;/&gt;&lt;wsp:rsid wsp:val=&quot;00D33F76&quot;/&gt;&lt;wsp:rsid wsp:val=&quot;00D342D5&quot;/&gt;&lt;wsp:rsid wsp:val=&quot;00D3449C&quot;/&gt;&lt;wsp:rsid wsp:val=&quot;00D34AE0&quot;/&gt;&lt;wsp:rsid wsp:val=&quot;00D34C28&quot;/&gt;&lt;wsp:rsid wsp:val=&quot;00D34F95&quot;/&gt;&lt;wsp:rsid wsp:val=&quot;00D35492&quot;/&gt;&lt;wsp:rsid wsp:val=&quot;00D35C79&quot;/&gt;&lt;wsp:rsid wsp:val=&quot;00D3664E&quot;/&gt;&lt;wsp:rsid wsp:val=&quot;00D366C3&quot;/&gt;&lt;wsp:rsid wsp:val=&quot;00D36E16&quot;/&gt;&lt;wsp:rsid wsp:val=&quot;00D3707F&quot;/&gt;&lt;wsp:rsid wsp:val=&quot;00D371F3&quot;/&gt;&lt;wsp:rsid wsp:val=&quot;00D3739A&quot;/&gt;&lt;wsp:rsid wsp:val=&quot;00D375D0&quot;/&gt;&lt;wsp:rsid wsp:val=&quot;00D37749&quot;/&gt;&lt;wsp:rsid wsp:val=&quot;00D378EA&quot;/&gt;&lt;wsp:rsid wsp:val=&quot;00D405DB&quot;/&gt;&lt;wsp:rsid wsp:val=&quot;00D41606&quot;/&gt;&lt;wsp:rsid wsp:val=&quot;00D416BF&quot;/&gt;&lt;wsp:rsid wsp:val=&quot;00D4238F&quot;/&gt;&lt;wsp:rsid wsp:val=&quot;00D42C6A&quot;/&gt;&lt;wsp:rsid wsp:val=&quot;00D43761&quot;/&gt;&lt;wsp:rsid wsp:val=&quot;00D43F01&quot;/&gt;&lt;wsp:rsid wsp:val=&quot;00D440D6&quot;/&gt;&lt;wsp:rsid wsp:val=&quot;00D44A24&quot;/&gt;&lt;wsp:rsid wsp:val=&quot;00D44D03&quot;/&gt;&lt;wsp:rsid wsp:val=&quot;00D46A5A&quot;/&gt;&lt;wsp:rsid wsp:val=&quot;00D46C33&quot;/&gt;&lt;wsp:rsid wsp:val=&quot;00D46E0D&quot;/&gt;&lt;wsp:rsid wsp:val=&quot;00D47036&quot;/&gt;&lt;wsp:rsid wsp:val=&quot;00D476FA&quot;/&gt;&lt;wsp:rsid wsp:val=&quot;00D503B9&quot;/&gt;&lt;wsp:rsid wsp:val=&quot;00D503EA&quot;/&gt;&lt;wsp:rsid wsp:val=&quot;00D50EED&quot;/&gt;&lt;wsp:rsid wsp:val=&quot;00D51033&quot;/&gt;&lt;wsp:rsid wsp:val=&quot;00D51EDF&quot;/&gt;&lt;wsp:rsid wsp:val=&quot;00D520D5&quot;/&gt;&lt;wsp:rsid wsp:val=&quot;00D522B4&quot;/&gt;&lt;wsp:rsid wsp:val=&quot;00D523B6&quot;/&gt;&lt;wsp:rsid wsp:val=&quot;00D52513&quot;/&gt;&lt;wsp:rsid wsp:val=&quot;00D526CB&quot;/&gt;&lt;wsp:rsid wsp:val=&quot;00D528CE&quot;/&gt;&lt;wsp:rsid wsp:val=&quot;00D52A90&quot;/&gt;&lt;wsp:rsid wsp:val=&quot;00D52A94&quot;/&gt;&lt;wsp:rsid wsp:val=&quot;00D53085&quot;/&gt;&lt;wsp:rsid wsp:val=&quot;00D543FB&quot;/&gt;&lt;wsp:rsid wsp:val=&quot;00D5527B&quot;/&gt;&lt;wsp:rsid wsp:val=&quot;00D55EA7&quot;/&gt;&lt;wsp:rsid wsp:val=&quot;00D56130&quot;/&gt;&lt;wsp:rsid wsp:val=&quot;00D56EFA&quot;/&gt;&lt;wsp:rsid wsp:val=&quot;00D572BE&quot;/&gt;&lt;wsp:rsid wsp:val=&quot;00D5764C&quot;/&gt;&lt;wsp:rsid wsp:val=&quot;00D57B52&quot;/&gt;&lt;wsp:rsid wsp:val=&quot;00D60B33&quot;/&gt;&lt;wsp:rsid wsp:val=&quot;00D60B71&quot;/&gt;&lt;wsp:rsid wsp:val=&quot;00D60B7E&quot;/&gt;&lt;wsp:rsid wsp:val=&quot;00D611AF&quot;/&gt;&lt;wsp:rsid wsp:val=&quot;00D6135B&quot;/&gt;&lt;wsp:rsid wsp:val=&quot;00D617A8&quot;/&gt;&lt;wsp:rsid wsp:val=&quot;00D61E44&quot;/&gt;&lt;wsp:rsid wsp:val=&quot;00D62A06&quot;/&gt;&lt;wsp:rsid wsp:val=&quot;00D62C1A&quot;/&gt;&lt;wsp:rsid wsp:val=&quot;00D62F5E&quot;/&gt;&lt;wsp:rsid wsp:val=&quot;00D6377F&quot;/&gt;&lt;wsp:rsid wsp:val=&quot;00D64AED&quot;/&gt;&lt;wsp:rsid wsp:val=&quot;00D64CA7&quot;/&gt;&lt;wsp:rsid wsp:val=&quot;00D64DB1&quot;/&gt;&lt;wsp:rsid wsp:val=&quot;00D64E8D&quot;/&gt;&lt;wsp:rsid wsp:val=&quot;00D6501D&quot;/&gt;&lt;wsp:rsid wsp:val=&quot;00D65ADA&quot;/&gt;&lt;wsp:rsid wsp:val=&quot;00D66990&quot;/&gt;&lt;wsp:rsid wsp:val=&quot;00D66AA9&quot;/&gt;&lt;wsp:rsid wsp:val=&quot;00D66DC7&quot;/&gt;&lt;wsp:rsid wsp:val=&quot;00D67EB1&quot;/&gt;&lt;wsp:rsid wsp:val=&quot;00D67F1D&quot;/&gt;&lt;wsp:rsid wsp:val=&quot;00D70231&quot;/&gt;&lt;wsp:rsid wsp:val=&quot;00D70B1B&quot;/&gt;&lt;wsp:rsid wsp:val=&quot;00D70B59&quot;/&gt;&lt;wsp:rsid wsp:val=&quot;00D71152&quot;/&gt;&lt;wsp:rsid wsp:val=&quot;00D71913&quot;/&gt;&lt;wsp:rsid wsp:val=&quot;00D7193C&quot;/&gt;&lt;wsp:rsid wsp:val=&quot;00D71B3E&quot;/&gt;&lt;wsp:rsid wsp:val=&quot;00D7265F&quot;/&gt;&lt;wsp:rsid wsp:val=&quot;00D729F6&quot;/&gt;&lt;wsp:rsid wsp:val=&quot;00D729FA&quot;/&gt;&lt;wsp:rsid wsp:val=&quot;00D72BDA&quot;/&gt;&lt;wsp:rsid wsp:val=&quot;00D73677&quot;/&gt;&lt;wsp:rsid wsp:val=&quot;00D7389C&quot;/&gt;&lt;wsp:rsid wsp:val=&quot;00D74D59&quot;/&gt;&lt;wsp:rsid wsp:val=&quot;00D74DBC&quot;/&gt;&lt;wsp:rsid wsp:val=&quot;00D74DDD&quot;/&gt;&lt;wsp:rsid wsp:val=&quot;00D74E1A&quot;/&gt;&lt;wsp:rsid wsp:val=&quot;00D74E94&quot;/&gt;&lt;wsp:rsid wsp:val=&quot;00D75835&quot;/&gt;&lt;wsp:rsid wsp:val=&quot;00D75D47&quot;/&gt;&lt;wsp:rsid wsp:val=&quot;00D76048&quot;/&gt;&lt;wsp:rsid wsp:val=&quot;00D760E7&quot;/&gt;&lt;wsp:rsid wsp:val=&quot;00D762E8&quot;/&gt;&lt;wsp:rsid wsp:val=&quot;00D762EF&quot;/&gt;&lt;wsp:rsid wsp:val=&quot;00D76517&quot;/&gt;&lt;wsp:rsid wsp:val=&quot;00D76689&quot;/&gt;&lt;wsp:rsid wsp:val=&quot;00D766D2&quot;/&gt;&lt;wsp:rsid wsp:val=&quot;00D76919&quot;/&gt;&lt;wsp:rsid wsp:val=&quot;00D77E41&quot;/&gt;&lt;wsp:rsid wsp:val=&quot;00D77EE5&quot;/&gt;&lt;wsp:rsid wsp:val=&quot;00D8039A&quot;/&gt;&lt;wsp:rsid wsp:val=&quot;00D80913&quot;/&gt;&lt;wsp:rsid wsp:val=&quot;00D8099C&quot;/&gt;&lt;wsp:rsid wsp:val=&quot;00D81B99&quot;/&gt;&lt;wsp:rsid wsp:val=&quot;00D81FEC&quot;/&gt;&lt;wsp:rsid wsp:val=&quot;00D823EE&quot;/&gt;&lt;wsp:rsid wsp:val=&quot;00D82815&quot;/&gt;&lt;wsp:rsid wsp:val=&quot;00D82C31&quot;/&gt;&lt;wsp:rsid wsp:val=&quot;00D832A4&quot;/&gt;&lt;wsp:rsid wsp:val=&quot;00D8349C&quot;/&gt;&lt;wsp:rsid wsp:val=&quot;00D838AF&quot;/&gt;&lt;wsp:rsid wsp:val=&quot;00D84113&quot;/&gt;&lt;wsp:rsid wsp:val=&quot;00D84285&quot;/&gt;&lt;wsp:rsid wsp:val=&quot;00D84349&quot;/&gt;&lt;wsp:rsid wsp:val=&quot;00D84901&quot;/&gt;&lt;wsp:rsid wsp:val=&quot;00D8560C&quot;/&gt;&lt;wsp:rsid wsp:val=&quot;00D861CD&quot;/&gt;&lt;wsp:rsid wsp:val=&quot;00D8659C&quot;/&gt;&lt;wsp:rsid wsp:val=&quot;00D870F2&quot;/&gt;&lt;wsp:rsid wsp:val=&quot;00D87463&quot;/&gt;&lt;wsp:rsid wsp:val=&quot;00D87753&quot;/&gt;&lt;wsp:rsid wsp:val=&quot;00D87A65&quot;/&gt;&lt;wsp:rsid wsp:val=&quot;00D87E2C&quot;/&gt;&lt;wsp:rsid wsp:val=&quot;00D90202&quot;/&gt;&lt;wsp:rsid wsp:val=&quot;00D902F2&quot;/&gt;&lt;wsp:rsid wsp:val=&quot;00D90B88&quot;/&gt;&lt;wsp:rsid wsp:val=&quot;00D91448&quot;/&gt;&lt;wsp:rsid wsp:val=&quot;00D92263&quot;/&gt;&lt;wsp:rsid wsp:val=&quot;00D92855&quot;/&gt;&lt;wsp:rsid wsp:val=&quot;00D92C6B&quot;/&gt;&lt;wsp:rsid wsp:val=&quot;00D93D26&quot;/&gt;&lt;wsp:rsid wsp:val=&quot;00D94199&quot;/&gt;&lt;wsp:rsid wsp:val=&quot;00D956DD&quot;/&gt;&lt;wsp:rsid wsp:val=&quot;00D96206&quot;/&gt;&lt;wsp:rsid wsp:val=&quot;00D964F2&quot;/&gt;&lt;wsp:rsid wsp:val=&quot;00D96C27&quot;/&gt;&lt;wsp:rsid wsp:val=&quot;00D96EEC&quot;/&gt;&lt;wsp:rsid wsp:val=&quot;00D97034&quot;/&gt;&lt;wsp:rsid wsp:val=&quot;00D97574&quot;/&gt;&lt;wsp:rsid wsp:val=&quot;00D97F4E&quot;/&gt;&lt;wsp:rsid wsp:val=&quot;00DA0AFC&quot;/&gt;&lt;wsp:rsid wsp:val=&quot;00DA0B47&quot;/&gt;&lt;wsp:rsid wsp:val=&quot;00DA0BC9&quot;/&gt;&lt;wsp:rsid wsp:val=&quot;00DA0CD5&quot;/&gt;&lt;wsp:rsid wsp:val=&quot;00DA11A5&quot;/&gt;&lt;wsp:rsid wsp:val=&quot;00DA1871&quot;/&gt;&lt;wsp:rsid wsp:val=&quot;00DA1A41&quot;/&gt;&lt;wsp:rsid wsp:val=&quot;00DA20CD&quot;/&gt;&lt;wsp:rsid wsp:val=&quot;00DA21DD&quot;/&gt;&lt;wsp:rsid wsp:val=&quot;00DA2471&quot;/&gt;&lt;wsp:rsid wsp:val=&quot;00DA280C&quot;/&gt;&lt;wsp:rsid wsp:val=&quot;00DA2C4F&quot;/&gt;&lt;wsp:rsid wsp:val=&quot;00DA2E49&quot;/&gt;&lt;wsp:rsid wsp:val=&quot;00DA2E96&quot;/&gt;&lt;wsp:rsid wsp:val=&quot;00DA2EA7&quot;/&gt;&lt;wsp:rsid wsp:val=&quot;00DA2FE0&quot;/&gt;&lt;wsp:rsid wsp:val=&quot;00DA3027&quot;/&gt;&lt;wsp:rsid wsp:val=&quot;00DA32EB&quot;/&gt;&lt;wsp:rsid wsp:val=&quot;00DA337D&quot;/&gt;&lt;wsp:rsid wsp:val=&quot;00DA486E&quot;/&gt;&lt;wsp:rsid wsp:val=&quot;00DA512F&quot;/&gt;&lt;wsp:rsid wsp:val=&quot;00DA5201&quot;/&gt;&lt;wsp:rsid wsp:val=&quot;00DA54D4&quot;/&gt;&lt;wsp:rsid wsp:val=&quot;00DA5D21&quot;/&gt;&lt;wsp:rsid wsp:val=&quot;00DA617F&quot;/&gt;&lt;wsp:rsid wsp:val=&quot;00DA66B8&quot;/&gt;&lt;wsp:rsid wsp:val=&quot;00DA706A&quot;/&gt;&lt;wsp:rsid wsp:val=&quot;00DA72CF&quot;/&gt;&lt;wsp:rsid wsp:val=&quot;00DA734D&quot;/&gt;&lt;wsp:rsid wsp:val=&quot;00DA7727&quot;/&gt;&lt;wsp:rsid wsp:val=&quot;00DA78D0&quot;/&gt;&lt;wsp:rsid wsp:val=&quot;00DA7B02&quot;/&gt;&lt;wsp:rsid wsp:val=&quot;00DA7D0F&quot;/&gt;&lt;wsp:rsid wsp:val=&quot;00DB0281&quot;/&gt;&lt;wsp:rsid wsp:val=&quot;00DB03D0&quot;/&gt;&lt;wsp:rsid wsp:val=&quot;00DB0A6E&quot;/&gt;&lt;wsp:rsid wsp:val=&quot;00DB0D6F&quot;/&gt;&lt;wsp:rsid wsp:val=&quot;00DB1E42&quot;/&gt;&lt;wsp:rsid wsp:val=&quot;00DB1FB2&quot;/&gt;&lt;wsp:rsid wsp:val=&quot;00DB2616&quot;/&gt;&lt;wsp:rsid wsp:val=&quot;00DB2AD8&quot;/&gt;&lt;wsp:rsid wsp:val=&quot;00DB303C&quot;/&gt;&lt;wsp:rsid wsp:val=&quot;00DB31D4&quot;/&gt;&lt;wsp:rsid wsp:val=&quot;00DB34E0&quot;/&gt;&lt;wsp:rsid wsp:val=&quot;00DB4138&quot;/&gt;&lt;wsp:rsid wsp:val=&quot;00DB4491&quot;/&gt;&lt;wsp:rsid wsp:val=&quot;00DB4872&quot;/&gt;&lt;wsp:rsid wsp:val=&quot;00DB49C5&quot;/&gt;&lt;wsp:rsid wsp:val=&quot;00DB5001&quot;/&gt;&lt;wsp:rsid wsp:val=&quot;00DB589E&quot;/&gt;&lt;wsp:rsid wsp:val=&quot;00DB62A5&quot;/&gt;&lt;wsp:rsid wsp:val=&quot;00DB62A6&quot;/&gt;&lt;wsp:rsid wsp:val=&quot;00DB6606&quot;/&gt;&lt;wsp:rsid wsp:val=&quot;00DB6D36&quot;/&gt;&lt;wsp:rsid wsp:val=&quot;00DB7756&quot;/&gt;&lt;wsp:rsid wsp:val=&quot;00DB7784&quot;/&gt;&lt;wsp:rsid wsp:val=&quot;00DB7905&quot;/&gt;&lt;wsp:rsid wsp:val=&quot;00DB7A2A&quot;/&gt;&lt;wsp:rsid wsp:val=&quot;00DB7B75&quot;/&gt;&lt;wsp:rsid wsp:val=&quot;00DC0325&quot;/&gt;&lt;wsp:rsid wsp:val=&quot;00DC0A1C&quot;/&gt;&lt;wsp:rsid wsp:val=&quot;00DC169C&quot;/&gt;&lt;wsp:rsid wsp:val=&quot;00DC1922&quot;/&gt;&lt;wsp:rsid wsp:val=&quot;00DC2AED&quot;/&gt;&lt;wsp:rsid wsp:val=&quot;00DC3209&quot;/&gt;&lt;wsp:rsid wsp:val=&quot;00DC3548&quot;/&gt;&lt;wsp:rsid wsp:val=&quot;00DC3654&quot;/&gt;&lt;wsp:rsid wsp:val=&quot;00DC3CEF&quot;/&gt;&lt;wsp:rsid wsp:val=&quot;00DC40B0&quot;/&gt;&lt;wsp:rsid wsp:val=&quot;00DC4A31&quot;/&gt;&lt;wsp:rsid wsp:val=&quot;00DC4DEE&quot;/&gt;&lt;wsp:rsid wsp:val=&quot;00DC4F31&quot;/&gt;&lt;wsp:rsid wsp:val=&quot;00DC528E&quot;/&gt;&lt;wsp:rsid wsp:val=&quot;00DC54AC&quot;/&gt;&lt;wsp:rsid wsp:val=&quot;00DC5621&quot;/&gt;&lt;wsp:rsid wsp:val=&quot;00DC5AF4&quot;/&gt;&lt;wsp:rsid wsp:val=&quot;00DC6079&quot;/&gt;&lt;wsp:rsid wsp:val=&quot;00DC6567&quot;/&gt;&lt;wsp:rsid wsp:val=&quot;00DC692B&quot;/&gt;&lt;wsp:rsid wsp:val=&quot;00DC6977&quot;/&gt;&lt;wsp:rsid wsp:val=&quot;00DC6CD6&quot;/&gt;&lt;wsp:rsid wsp:val=&quot;00DC6DAF&quot;/&gt;&lt;wsp:rsid wsp:val=&quot;00DC6FFC&quot;/&gt;&lt;wsp:rsid wsp:val=&quot;00DC715F&quot;/&gt;&lt;wsp:rsid wsp:val=&quot;00DC7C84&quot;/&gt;&lt;wsp:rsid wsp:val=&quot;00DD00E1&quot;/&gt;&lt;wsp:rsid wsp:val=&quot;00DD0308&quot;/&gt;&lt;wsp:rsid wsp:val=&quot;00DD05E0&quot;/&gt;&lt;wsp:rsid wsp:val=&quot;00DD0BB7&quot;/&gt;&lt;wsp:rsid wsp:val=&quot;00DD0E63&quot;/&gt;&lt;wsp:rsid wsp:val=&quot;00DD1075&quot;/&gt;&lt;wsp:rsid wsp:val=&quot;00DD1586&quot;/&gt;&lt;wsp:rsid wsp:val=&quot;00DD1F25&quot;/&gt;&lt;wsp:rsid wsp:val=&quot;00DD258A&quot;/&gt;&lt;wsp:rsid wsp:val=&quot;00DD25DF&quot;/&gt;&lt;wsp:rsid wsp:val=&quot;00DD2ADC&quot;/&gt;&lt;wsp:rsid wsp:val=&quot;00DD2C56&quot;/&gt;&lt;wsp:rsid wsp:val=&quot;00DD2F38&quot;/&gt;&lt;wsp:rsid wsp:val=&quot;00DD39C8&quot;/&gt;&lt;wsp:rsid wsp:val=&quot;00DD4759&quot;/&gt;&lt;wsp:rsid wsp:val=&quot;00DD4A3C&quot;/&gt;&lt;wsp:rsid wsp:val=&quot;00DD4F3D&quot;/&gt;&lt;wsp:rsid wsp:val=&quot;00DD521B&quot;/&gt;&lt;wsp:rsid wsp:val=&quot;00DD5432&quot;/&gt;&lt;wsp:rsid wsp:val=&quot;00DD5BBC&quot;/&gt;&lt;wsp:rsid wsp:val=&quot;00DD60D4&quot;/&gt;&lt;wsp:rsid wsp:val=&quot;00DD736C&quot;/&gt;&lt;wsp:rsid wsp:val=&quot;00DD76FC&quot;/&gt;&lt;wsp:rsid wsp:val=&quot;00DD7B4A&quot;/&gt;&lt;wsp:rsid wsp:val=&quot;00DE0182&quot;/&gt;&lt;wsp:rsid wsp:val=&quot;00DE1966&quot;/&gt;&lt;wsp:rsid wsp:val=&quot;00DE1999&quot;/&gt;&lt;wsp:rsid wsp:val=&quot;00DE1C00&quot;/&gt;&lt;wsp:rsid wsp:val=&quot;00DE2353&quot;/&gt;&lt;wsp:rsid wsp:val=&quot;00DE2665&quot;/&gt;&lt;wsp:rsid wsp:val=&quot;00DE278C&quot;/&gt;&lt;wsp:rsid wsp:val=&quot;00DE2CEC&quot;/&gt;&lt;wsp:rsid wsp:val=&quot;00DE2D9A&quot;/&gt;&lt;wsp:rsid wsp:val=&quot;00DE32DF&quot;/&gt;&lt;wsp:rsid wsp:val=&quot;00DE3400&quot;/&gt;&lt;wsp:rsid wsp:val=&quot;00DE3546&quot;/&gt;&lt;wsp:rsid wsp:val=&quot;00DE3CE4&quot;/&gt;&lt;wsp:rsid wsp:val=&quot;00DE3F26&quot;/&gt;&lt;wsp:rsid wsp:val=&quot;00DE429F&quot;/&gt;&lt;wsp:rsid wsp:val=&quot;00DE4733&quot;/&gt;&lt;wsp:rsid wsp:val=&quot;00DE5249&quot;/&gt;&lt;wsp:rsid wsp:val=&quot;00DE5A9C&quot;/&gt;&lt;wsp:rsid wsp:val=&quot;00DE5F92&quot;/&gt;&lt;wsp:rsid wsp:val=&quot;00DE620B&quot;/&gt;&lt;wsp:rsid wsp:val=&quot;00DE6CF2&quot;/&gt;&lt;wsp:rsid wsp:val=&quot;00DE7276&quot;/&gt;&lt;wsp:rsid wsp:val=&quot;00DF0C04&quot;/&gt;&lt;wsp:rsid wsp:val=&quot;00DF0F6D&quot;/&gt;&lt;wsp:rsid wsp:val=&quot;00DF13FD&quot;/&gt;&lt;wsp:rsid wsp:val=&quot;00DF1D30&quot;/&gt;&lt;wsp:rsid wsp:val=&quot;00DF1D9F&quot;/&gt;&lt;wsp:rsid wsp:val=&quot;00DF20DE&quot;/&gt;&lt;wsp:rsid wsp:val=&quot;00DF213A&quot;/&gt;&lt;wsp:rsid wsp:val=&quot;00DF2ED7&quot;/&gt;&lt;wsp:rsid wsp:val=&quot;00DF3311&quot;/&gt;&lt;wsp:rsid wsp:val=&quot;00DF337F&quot;/&gt;&lt;wsp:rsid wsp:val=&quot;00DF354A&quot;/&gt;&lt;wsp:rsid wsp:val=&quot;00DF45BC&quot;/&gt;&lt;wsp:rsid wsp:val=&quot;00DF4636&quot;/&gt;&lt;wsp:rsid wsp:val=&quot;00DF4698&quot;/&gt;&lt;wsp:rsid wsp:val=&quot;00DF478E&quot;/&gt;&lt;wsp:rsid wsp:val=&quot;00DF4BB2&quot;/&gt;&lt;wsp:rsid wsp:val=&quot;00DF4D7E&quot;/&gt;&lt;wsp:rsid wsp:val=&quot;00DF4EE2&quot;/&gt;&lt;wsp:rsid wsp:val=&quot;00DF5CB5&quot;/&gt;&lt;wsp:rsid wsp:val=&quot;00DF5FFE&quot;/&gt;&lt;wsp:rsid wsp:val=&quot;00DF6303&quot;/&gt;&lt;wsp:rsid wsp:val=&quot;00DF65F7&quot;/&gt;&lt;wsp:rsid wsp:val=&quot;00DF66AB&quot;/&gt;&lt;wsp:rsid wsp:val=&quot;00DF6820&quot;/&gt;&lt;wsp:rsid wsp:val=&quot;00DF6CDB&quot;/&gt;&lt;wsp:rsid wsp:val=&quot;00DF6D56&quot;/&gt;&lt;wsp:rsid wsp:val=&quot;00DF70D7&quot;/&gt;&lt;wsp:rsid wsp:val=&quot;00DF7A17&quot;/&gt;&lt;wsp:rsid wsp:val=&quot;00DF7AF3&quot;/&gt;&lt;wsp:rsid wsp:val=&quot;00DF7E57&quot;/&gt;&lt;wsp:rsid wsp:val=&quot;00DF7EDA&quot;/&gt;&lt;wsp:rsid wsp:val=&quot;00E00515&quot;/&gt;&lt;wsp:rsid wsp:val=&quot;00E011A8&quot;/&gt;&lt;wsp:rsid wsp:val=&quot;00E01436&quot;/&gt;&lt;wsp:rsid wsp:val=&quot;00E01975&quot;/&gt;&lt;wsp:rsid wsp:val=&quot;00E01A8C&quot;/&gt;&lt;wsp:rsid wsp:val=&quot;00E01B70&quot;/&gt;&lt;wsp:rsid wsp:val=&quot;00E01BFC&quot;/&gt;&lt;wsp:rsid wsp:val=&quot;00E01C05&quot;/&gt;&lt;wsp:rsid wsp:val=&quot;00E02292&quot;/&gt;&lt;wsp:rsid wsp:val=&quot;00E02581&quot;/&gt;&lt;wsp:rsid wsp:val=&quot;00E028D3&quot;/&gt;&lt;wsp:rsid wsp:val=&quot;00E02C39&quot;/&gt;&lt;wsp:rsid wsp:val=&quot;00E02DA9&quot;/&gt;&lt;wsp:rsid wsp:val=&quot;00E02FEA&quot;/&gt;&lt;wsp:rsid wsp:val=&quot;00E036E9&quot;/&gt;&lt;wsp:rsid wsp:val=&quot;00E03E72&quot;/&gt;&lt;wsp:rsid wsp:val=&quot;00E03FD4&quot;/&gt;&lt;wsp:rsid wsp:val=&quot;00E045BD&quot;/&gt;&lt;wsp:rsid wsp:val=&quot;00E04F65&quot;/&gt;&lt;wsp:rsid wsp:val=&quot;00E050A8&quot;/&gt;&lt;wsp:rsid wsp:val=&quot;00E057FE&quot;/&gt;&lt;wsp:rsid wsp:val=&quot;00E05A7B&quot;/&gt;&lt;wsp:rsid wsp:val=&quot;00E05C1C&quot;/&gt;&lt;wsp:rsid wsp:val=&quot;00E05C54&quot;/&gt;&lt;wsp:rsid wsp:val=&quot;00E05DBB&quot;/&gt;&lt;wsp:rsid wsp:val=&quot;00E060B7&quot;/&gt;&lt;wsp:rsid wsp:val=&quot;00E06579&quot;/&gt;&lt;wsp:rsid wsp:val=&quot;00E06777&quot;/&gt;&lt;wsp:rsid wsp:val=&quot;00E071DD&quot;/&gt;&lt;wsp:rsid wsp:val=&quot;00E07269&quot;/&gt;&lt;wsp:rsid wsp:val=&quot;00E0794A&quot;/&gt;&lt;wsp:rsid wsp:val=&quot;00E100F4&quot;/&gt;&lt;wsp:rsid wsp:val=&quot;00E10B0C&quot;/&gt;&lt;wsp:rsid wsp:val=&quot;00E10F47&quot;/&gt;&lt;wsp:rsid wsp:val=&quot;00E10F6C&quot;/&gt;&lt;wsp:rsid wsp:val=&quot;00E11274&quot;/&gt;&lt;wsp:rsid wsp:val=&quot;00E11398&quot;/&gt;&lt;wsp:rsid wsp:val=&quot;00E11AE8&quot;/&gt;&lt;wsp:rsid wsp:val=&quot;00E11EA2&quot;/&gt;&lt;wsp:rsid wsp:val=&quot;00E1218B&quot;/&gt;&lt;wsp:rsid wsp:val=&quot;00E121DA&quot;/&gt;&lt;wsp:rsid wsp:val=&quot;00E1277D&quot;/&gt;&lt;wsp:rsid wsp:val=&quot;00E13113&quot;/&gt;&lt;wsp:rsid wsp:val=&quot;00E13334&quot;/&gt;&lt;wsp:rsid wsp:val=&quot;00E13ADC&quot;/&gt;&lt;wsp:rsid wsp:val=&quot;00E13EE1&quot;/&gt;&lt;wsp:rsid wsp:val=&quot;00E140D1&quot;/&gt;&lt;wsp:rsid wsp:val=&quot;00E15621&quot;/&gt;&lt;wsp:rsid wsp:val=&quot;00E15877&quot;/&gt;&lt;wsp:rsid wsp:val=&quot;00E15C2D&quot;/&gt;&lt;wsp:rsid wsp:val=&quot;00E16461&quot;/&gt;&lt;wsp:rsid wsp:val=&quot;00E165BA&quot;/&gt;&lt;wsp:rsid wsp:val=&quot;00E165EE&quot;/&gt;&lt;wsp:rsid wsp:val=&quot;00E166BB&quot;/&gt;&lt;wsp:rsid wsp:val=&quot;00E16E0D&quot;/&gt;&lt;wsp:rsid wsp:val=&quot;00E16ED0&quot;/&gt;&lt;wsp:rsid wsp:val=&quot;00E178EE&quot;/&gt;&lt;wsp:rsid wsp:val=&quot;00E17958&quot;/&gt;&lt;wsp:rsid wsp:val=&quot;00E20191&quot;/&gt;&lt;wsp:rsid wsp:val=&quot;00E20806&quot;/&gt;&lt;wsp:rsid wsp:val=&quot;00E20956&quot;/&gt;&lt;wsp:rsid wsp:val=&quot;00E2097B&quot;/&gt;&lt;wsp:rsid wsp:val=&quot;00E20ED0&quot;/&gt;&lt;wsp:rsid wsp:val=&quot;00E2123B&quot;/&gt;&lt;wsp:rsid wsp:val=&quot;00E213AA&quot;/&gt;&lt;wsp:rsid wsp:val=&quot;00E2156A&quot;/&gt;&lt;wsp:rsid wsp:val=&quot;00E21795&quot;/&gt;&lt;wsp:rsid wsp:val=&quot;00E22191&quot;/&gt;&lt;wsp:rsid wsp:val=&quot;00E22241&quot;/&gt;&lt;wsp:rsid wsp:val=&quot;00E227F3&quot;/&gt;&lt;wsp:rsid wsp:val=&quot;00E228D3&quot;/&gt;&lt;wsp:rsid wsp:val=&quot;00E22B18&quot;/&gt;&lt;wsp:rsid wsp:val=&quot;00E22D2E&quot;/&gt;&lt;wsp:rsid wsp:val=&quot;00E22E47&quot;/&gt;&lt;wsp:rsid wsp:val=&quot;00E22F48&quot;/&gt;&lt;wsp:rsid wsp:val=&quot;00E22FB4&quot;/&gt;&lt;wsp:rsid wsp:val=&quot;00E235E7&quot;/&gt;&lt;wsp:rsid wsp:val=&quot;00E237F6&quot;/&gt;&lt;wsp:rsid wsp:val=&quot;00E24428&quot;/&gt;&lt;wsp:rsid wsp:val=&quot;00E24C65&quot;/&gt;&lt;wsp:rsid wsp:val=&quot;00E24E03&quot;/&gt;&lt;wsp:rsid wsp:val=&quot;00E24E3A&quot;/&gt;&lt;wsp:rsid wsp:val=&quot;00E250E8&quot;/&gt;&lt;wsp:rsid wsp:val=&quot;00E25218&quot;/&gt;&lt;wsp:rsid wsp:val=&quot;00E255E5&quot;/&gt;&lt;wsp:rsid wsp:val=&quot;00E256B9&quot;/&gt;&lt;wsp:rsid wsp:val=&quot;00E2585B&quot;/&gt;&lt;wsp:rsid wsp:val=&quot;00E25F1C&quot;/&gt;&lt;wsp:rsid wsp:val=&quot;00E25FD7&quot;/&gt;&lt;wsp:rsid wsp:val=&quot;00E260EA&quot;/&gt;&lt;wsp:rsid wsp:val=&quot;00E260FA&quot;/&gt;&lt;wsp:rsid wsp:val=&quot;00E26148&quot;/&gt;&lt;wsp:rsid wsp:val=&quot;00E2640D&quot;/&gt;&lt;wsp:rsid wsp:val=&quot;00E266CD&quot;/&gt;&lt;wsp:rsid wsp:val=&quot;00E26A5E&quot;/&gt;&lt;wsp:rsid wsp:val=&quot;00E26F84&quot;/&gt;&lt;wsp:rsid wsp:val=&quot;00E2721F&quot;/&gt;&lt;wsp:rsid wsp:val=&quot;00E27BB7&quot;/&gt;&lt;wsp:rsid wsp:val=&quot;00E30150&quot;/&gt;&lt;wsp:rsid wsp:val=&quot;00E304FB&quot;/&gt;&lt;wsp:rsid wsp:val=&quot;00E305DF&quot;/&gt;&lt;wsp:rsid wsp:val=&quot;00E3064C&quot;/&gt;&lt;wsp:rsid wsp:val=&quot;00E30936&quot;/&gt;&lt;wsp:rsid wsp:val=&quot;00E30AE1&quot;/&gt;&lt;wsp:rsid wsp:val=&quot;00E30DD1&quot;/&gt;&lt;wsp:rsid wsp:val=&quot;00E312D3&quot;/&gt;&lt;wsp:rsid wsp:val=&quot;00E31B59&quot;/&gt;&lt;wsp:rsid wsp:val=&quot;00E32A0A&quot;/&gt;&lt;wsp:rsid wsp:val=&quot;00E32A4E&quot;/&gt;&lt;wsp:rsid wsp:val=&quot;00E33904&quot;/&gt;&lt;wsp:rsid wsp:val=&quot;00E33DBB&quot;/&gt;&lt;wsp:rsid wsp:val=&quot;00E33EAE&quot;/&gt;&lt;wsp:rsid wsp:val=&quot;00E33EDA&quot;/&gt;&lt;wsp:rsid wsp:val=&quot;00E35513&quot;/&gt;&lt;wsp:rsid wsp:val=&quot;00E35FF9&quot;/&gt;&lt;wsp:rsid wsp:val=&quot;00E36334&quot;/&gt;&lt;wsp:rsid wsp:val=&quot;00E36C08&quot;/&gt;&lt;wsp:rsid wsp:val=&quot;00E370CD&quot;/&gt;&lt;wsp:rsid wsp:val=&quot;00E37150&quot;/&gt;&lt;wsp:rsid wsp:val=&quot;00E37BAB&quot;/&gt;&lt;wsp:rsid wsp:val=&quot;00E40E27&quot;/&gt;&lt;wsp:rsid wsp:val=&quot;00E40E7C&quot;/&gt;&lt;wsp:rsid wsp:val=&quot;00E4128D&quot;/&gt;&lt;wsp:rsid wsp:val=&quot;00E4136D&quot;/&gt;&lt;wsp:rsid wsp:val=&quot;00E413B5&quot;/&gt;&lt;wsp:rsid wsp:val=&quot;00E4142B&quot;/&gt;&lt;wsp:rsid wsp:val=&quot;00E4153E&quot;/&gt;&lt;wsp:rsid wsp:val=&quot;00E4376C&quot;/&gt;&lt;wsp:rsid wsp:val=&quot;00E44071&quot;/&gt;&lt;wsp:rsid wsp:val=&quot;00E44CBE&quot;/&gt;&lt;wsp:rsid wsp:val=&quot;00E44E97&quot;/&gt;&lt;wsp:rsid wsp:val=&quot;00E453A7&quot;/&gt;&lt;wsp:rsid wsp:val=&quot;00E453B1&quot;/&gt;&lt;wsp:rsid wsp:val=&quot;00E457C1&quot;/&gt;&lt;wsp:rsid wsp:val=&quot;00E4595B&quot;/&gt;&lt;wsp:rsid wsp:val=&quot;00E471B3&quot;/&gt;&lt;wsp:rsid wsp:val=&quot;00E4754D&quot;/&gt;&lt;wsp:rsid wsp:val=&quot;00E4784C&quot;/&gt;&lt;wsp:rsid wsp:val=&quot;00E47A8A&quot;/&gt;&lt;wsp:rsid wsp:val=&quot;00E50A99&quot;/&gt;&lt;wsp:rsid wsp:val=&quot;00E51B44&quot;/&gt;&lt;wsp:rsid wsp:val=&quot;00E51C8A&quot;/&gt;&lt;wsp:rsid wsp:val=&quot;00E51E98&quot;/&gt;&lt;wsp:rsid wsp:val=&quot;00E51F84&quot;/&gt;&lt;wsp:rsid wsp:val=&quot;00E530EF&quot;/&gt;&lt;wsp:rsid wsp:val=&quot;00E53AB6&quot;/&gt;&lt;wsp:rsid wsp:val=&quot;00E5464C&quot;/&gt;&lt;wsp:rsid wsp:val=&quot;00E54B97&quot;/&gt;&lt;wsp:rsid wsp:val=&quot;00E54C65&quot;/&gt;&lt;wsp:rsid wsp:val=&quot;00E550DF&quot;/&gt;&lt;wsp:rsid wsp:val=&quot;00E55200&quot;/&gt;&lt;wsp:rsid wsp:val=&quot;00E552F6&quot;/&gt;&lt;wsp:rsid wsp:val=&quot;00E5535D&quot;/&gt;&lt;wsp:rsid wsp:val=&quot;00E5539D&quot;/&gt;&lt;wsp:rsid wsp:val=&quot;00E556B0&quot;/&gt;&lt;wsp:rsid wsp:val=&quot;00E557B2&quot;/&gt;&lt;wsp:rsid wsp:val=&quot;00E55AF2&quot;/&gt;&lt;wsp:rsid wsp:val=&quot;00E55CAA&quot;/&gt;&lt;wsp:rsid wsp:val=&quot;00E55EA3&quot;/&gt;&lt;wsp:rsid wsp:val=&quot;00E56614&quot;/&gt;&lt;wsp:rsid wsp:val=&quot;00E57202&quot;/&gt;&lt;wsp:rsid wsp:val=&quot;00E5751F&quot;/&gt;&lt;wsp:rsid wsp:val=&quot;00E5753A&quot;/&gt;&lt;wsp:rsid wsp:val=&quot;00E602DD&quot;/&gt;&lt;wsp:rsid wsp:val=&quot;00E609F9&quot;/&gt;&lt;wsp:rsid wsp:val=&quot;00E61222&quot;/&gt;&lt;wsp:rsid wsp:val=&quot;00E61788&quot;/&gt;&lt;wsp:rsid wsp:val=&quot;00E6181C&quot;/&gt;&lt;wsp:rsid wsp:val=&quot;00E61C7F&quot;/&gt;&lt;wsp:rsid wsp:val=&quot;00E629A8&quot;/&gt;&lt;wsp:rsid wsp:val=&quot;00E62F4C&quot;/&gt;&lt;wsp:rsid wsp:val=&quot;00E6361F&quot;/&gt;&lt;wsp:rsid wsp:val=&quot;00E63889&quot;/&gt;&lt;wsp:rsid wsp:val=&quot;00E65295&quot;/&gt;&lt;wsp:rsid wsp:val=&quot;00E654CD&quot;/&gt;&lt;wsp:rsid wsp:val=&quot;00E65642&quot;/&gt;&lt;wsp:rsid wsp:val=&quot;00E65A60&quot;/&gt;&lt;wsp:rsid wsp:val=&quot;00E65BFC&quot;/&gt;&lt;wsp:rsid wsp:val=&quot;00E65DE0&quot;/&gt;&lt;wsp:rsid wsp:val=&quot;00E661F4&quot;/&gt;&lt;wsp:rsid wsp:val=&quot;00E67921&quot;/&gt;&lt;wsp:rsid wsp:val=&quot;00E67A81&quot;/&gt;&lt;wsp:rsid wsp:val=&quot;00E67E88&quot;/&gt;&lt;wsp:rsid wsp:val=&quot;00E705F2&quot;/&gt;&lt;wsp:rsid wsp:val=&quot;00E71329&quot;/&gt;&lt;wsp:rsid wsp:val=&quot;00E71370&quot;/&gt;&lt;wsp:rsid wsp:val=&quot;00E71989&quot;/&gt;&lt;wsp:rsid wsp:val=&quot;00E71E64&quot;/&gt;&lt;wsp:rsid wsp:val=&quot;00E7293E&quot;/&gt;&lt;wsp:rsid wsp:val=&quot;00E72B30&quot;/&gt;&lt;wsp:rsid wsp:val=&quot;00E730E8&quot;/&gt;&lt;wsp:rsid wsp:val=&quot;00E7331A&quot;/&gt;&lt;wsp:rsid wsp:val=&quot;00E73BC3&quot;/&gt;&lt;wsp:rsid wsp:val=&quot;00E74541&quot;/&gt;&lt;wsp:rsid wsp:val=&quot;00E74E9C&quot;/&gt;&lt;wsp:rsid wsp:val=&quot;00E76534&quot;/&gt;&lt;wsp:rsid wsp:val=&quot;00E76A71&quot;/&gt;&lt;wsp:rsid wsp:val=&quot;00E76F07&quot;/&gt;&lt;wsp:rsid wsp:val=&quot;00E77367&quot;/&gt;&lt;wsp:rsid wsp:val=&quot;00E7736B&quot;/&gt;&lt;wsp:rsid wsp:val=&quot;00E77491&quot;/&gt;&lt;wsp:rsid wsp:val=&quot;00E7783E&quot;/&gt;&lt;wsp:rsid wsp:val=&quot;00E80742&quot;/&gt;&lt;wsp:rsid wsp:val=&quot;00E8076A&quot;/&gt;&lt;wsp:rsid wsp:val=&quot;00E80E38&quot;/&gt;&lt;wsp:rsid wsp:val=&quot;00E81065&quot;/&gt;&lt;wsp:rsid wsp:val=&quot;00E81080&quot;/&gt;&lt;wsp:rsid wsp:val=&quot;00E8151B&quot;/&gt;&lt;wsp:rsid wsp:val=&quot;00E81D41&quot;/&gt;&lt;wsp:rsid wsp:val=&quot;00E81DE7&quot;/&gt;&lt;wsp:rsid wsp:val=&quot;00E8306E&quot;/&gt;&lt;wsp:rsid wsp:val=&quot;00E83392&quot;/&gt;&lt;wsp:rsid wsp:val=&quot;00E8358C&quot;/&gt;&lt;wsp:rsid wsp:val=&quot;00E83AB2&quot;/&gt;&lt;wsp:rsid wsp:val=&quot;00E83AD9&quot;/&gt;&lt;wsp:rsid wsp:val=&quot;00E842F3&quot;/&gt;&lt;wsp:rsid wsp:val=&quot;00E84594&quot;/&gt;&lt;wsp:rsid wsp:val=&quot;00E84708&quot;/&gt;&lt;wsp:rsid wsp:val=&quot;00E84D3F&quot;/&gt;&lt;wsp:rsid wsp:val=&quot;00E851E6&quot;/&gt;&lt;wsp:rsid wsp:val=&quot;00E8579F&quot;/&gt;&lt;wsp:rsid wsp:val=&quot;00E85A3C&quot;/&gt;&lt;wsp:rsid wsp:val=&quot;00E85DF9&quot;/&gt;&lt;wsp:rsid wsp:val=&quot;00E86904&quot;/&gt;&lt;wsp:rsid wsp:val=&quot;00E86CCA&quot;/&gt;&lt;wsp:rsid wsp:val=&quot;00E879D3&quot;/&gt;&lt;wsp:rsid wsp:val=&quot;00E87FB4&quot;/&gt;&lt;wsp:rsid wsp:val=&quot;00E901D0&quot;/&gt;&lt;wsp:rsid wsp:val=&quot;00E90708&quot;/&gt;&lt;wsp:rsid wsp:val=&quot;00E9070C&quot;/&gt;&lt;wsp:rsid wsp:val=&quot;00E9085E&quot;/&gt;&lt;wsp:rsid wsp:val=&quot;00E90D6E&quot;/&gt;&lt;wsp:rsid wsp:val=&quot;00E912EE&quot;/&gt;&lt;wsp:rsid wsp:val=&quot;00E914CD&quot;/&gt;&lt;wsp:rsid wsp:val=&quot;00E915CC&quot;/&gt;&lt;wsp:rsid wsp:val=&quot;00E91F68&quot;/&gt;&lt;wsp:rsid wsp:val=&quot;00E91F7C&quot;/&gt;&lt;wsp:rsid wsp:val=&quot;00E92949&quot;/&gt;&lt;wsp:rsid wsp:val=&quot;00E92BAF&quot;/&gt;&lt;wsp:rsid wsp:val=&quot;00E93270&quot;/&gt;&lt;wsp:rsid wsp:val=&quot;00E94296&quot;/&gt;&lt;wsp:rsid wsp:val=&quot;00E94607&quot;/&gt;&lt;wsp:rsid wsp:val=&quot;00E9471D&quot;/&gt;&lt;wsp:rsid wsp:val=&quot;00E94937&quot;/&gt;&lt;wsp:rsid wsp:val=&quot;00E94C77&quot;/&gt;&lt;wsp:rsid wsp:val=&quot;00E94DC9&quot;/&gt;&lt;wsp:rsid wsp:val=&quot;00E94F57&quot;/&gt;&lt;wsp:rsid wsp:val=&quot;00E94FDF&quot;/&gt;&lt;wsp:rsid wsp:val=&quot;00E9500A&quot;/&gt;&lt;wsp:rsid wsp:val=&quot;00E95855&quot;/&gt;&lt;wsp:rsid wsp:val=&quot;00E95A0B&quot;/&gt;&lt;wsp:rsid wsp:val=&quot;00E960CE&quot;/&gt;&lt;wsp:rsid wsp:val=&quot;00E960FF&quot;/&gt;&lt;wsp:rsid wsp:val=&quot;00E961CF&quot;/&gt;&lt;wsp:rsid wsp:val=&quot;00E96CED&quot;/&gt;&lt;wsp:rsid wsp:val=&quot;00E976F6&quot;/&gt;&lt;wsp:rsid wsp:val=&quot;00E9774A&quot;/&gt;&lt;wsp:rsid wsp:val=&quot;00E97C94&quot;/&gt;&lt;wsp:rsid wsp:val=&quot;00E97E5A&quot;/&gt;&lt;wsp:rsid wsp:val=&quot;00EA026C&quot;/&gt;&lt;wsp:rsid wsp:val=&quot;00EA1D2F&quot;/&gt;&lt;wsp:rsid wsp:val=&quot;00EA1F19&quot;/&gt;&lt;wsp:rsid wsp:val=&quot;00EA2C5B&quot;/&gt;&lt;wsp:rsid wsp:val=&quot;00EA32D8&quot;/&gt;&lt;wsp:rsid wsp:val=&quot;00EA33C2&quot;/&gt;&lt;wsp:rsid wsp:val=&quot;00EA351D&quot;/&gt;&lt;wsp:rsid wsp:val=&quot;00EA3EBC&quot;/&gt;&lt;wsp:rsid wsp:val=&quot;00EA4258&quot;/&gt;&lt;wsp:rsid wsp:val=&quot;00EA5058&quot;/&gt;&lt;wsp:rsid wsp:val=&quot;00EA5338&quot;/&gt;&lt;wsp:rsid wsp:val=&quot;00EA5509&quot;/&gt;&lt;wsp:rsid wsp:val=&quot;00EA567F&quot;/&gt;&lt;wsp:rsid wsp:val=&quot;00EA67CA&quot;/&gt;&lt;wsp:rsid wsp:val=&quot;00EB01A5&quot;/&gt;&lt;wsp:rsid wsp:val=&quot;00EB01EE&quot;/&gt;&lt;wsp:rsid wsp:val=&quot;00EB0AA1&quot;/&gt;&lt;wsp:rsid wsp:val=&quot;00EB0B79&quot;/&gt;&lt;wsp:rsid wsp:val=&quot;00EB16FA&quot;/&gt;&lt;wsp:rsid wsp:val=&quot;00EB1B40&quot;/&gt;&lt;wsp:rsid wsp:val=&quot;00EB1E5B&quot;/&gt;&lt;wsp:rsid wsp:val=&quot;00EB2223&quot;/&gt;&lt;wsp:rsid wsp:val=&quot;00EB22EF&quot;/&gt;&lt;wsp:rsid wsp:val=&quot;00EB234D&quot;/&gt;&lt;wsp:rsid wsp:val=&quot;00EB2676&quot;/&gt;&lt;wsp:rsid wsp:val=&quot;00EB2C53&quot;/&gt;&lt;wsp:rsid wsp:val=&quot;00EB2F62&quot;/&gt;&lt;wsp:rsid wsp:val=&quot;00EB3835&quot;/&gt;&lt;wsp:rsid wsp:val=&quot;00EB4476&quot;/&gt;&lt;wsp:rsid wsp:val=&quot;00EB4C66&quot;/&gt;&lt;wsp:rsid wsp:val=&quot;00EB52C2&quot;/&gt;&lt;wsp:rsid wsp:val=&quot;00EB54AC&quot;/&gt;&lt;wsp:rsid wsp:val=&quot;00EB5A3F&quot;/&gt;&lt;wsp:rsid wsp:val=&quot;00EB637D&quot;/&gt;&lt;wsp:rsid wsp:val=&quot;00EB6AEA&quot;/&gt;&lt;wsp:rsid wsp:val=&quot;00EB6B22&quot;/&gt;&lt;wsp:rsid wsp:val=&quot;00EB7452&quot;/&gt;&lt;wsp:rsid wsp:val=&quot;00EB74F7&quot;/&gt;&lt;wsp:rsid wsp:val=&quot;00EB7501&quot;/&gt;&lt;wsp:rsid wsp:val=&quot;00EB7B7A&quot;/&gt;&lt;wsp:rsid wsp:val=&quot;00EC015C&quot;/&gt;&lt;wsp:rsid wsp:val=&quot;00EC0796&quot;/&gt;&lt;wsp:rsid wsp:val=&quot;00EC0D2B&quot;/&gt;&lt;wsp:rsid wsp:val=&quot;00EC0FB3&quot;/&gt;&lt;wsp:rsid wsp:val=&quot;00EC102D&quot;/&gt;&lt;wsp:rsid wsp:val=&quot;00EC1C5B&quot;/&gt;&lt;wsp:rsid wsp:val=&quot;00EC1E78&quot;/&gt;&lt;wsp:rsid wsp:val=&quot;00EC2279&quot;/&gt;&lt;wsp:rsid wsp:val=&quot;00EC27C5&quot;/&gt;&lt;wsp:rsid wsp:val=&quot;00EC3C9E&quot;/&gt;&lt;wsp:rsid wsp:val=&quot;00EC3E18&quot;/&gt;&lt;wsp:rsid wsp:val=&quot;00EC3E1E&quot;/&gt;&lt;wsp:rsid wsp:val=&quot;00EC3E2C&quot;/&gt;&lt;wsp:rsid wsp:val=&quot;00EC43D3&quot;/&gt;&lt;wsp:rsid wsp:val=&quot;00EC4891&quot;/&gt;&lt;wsp:rsid wsp:val=&quot;00EC4B44&quot;/&gt;&lt;wsp:rsid wsp:val=&quot;00EC4D1F&quot;/&gt;&lt;wsp:rsid wsp:val=&quot;00EC6673&quot;/&gt;&lt;wsp:rsid wsp:val=&quot;00EC74D4&quot;/&gt;&lt;wsp:rsid wsp:val=&quot;00EC7AE9&quot;/&gt;&lt;wsp:rsid wsp:val=&quot;00EC7E81&quot;/&gt;&lt;wsp:rsid wsp:val=&quot;00ED0702&quot;/&gt;&lt;wsp:rsid wsp:val=&quot;00ED0904&quot;/&gt;&lt;wsp:rsid wsp:val=&quot;00ED0E0F&quot;/&gt;&lt;wsp:rsid wsp:val=&quot;00ED129E&quot;/&gt;&lt;wsp:rsid wsp:val=&quot;00ED13EF&quot;/&gt;&lt;wsp:rsid wsp:val=&quot;00ED1B04&quot;/&gt;&lt;wsp:rsid wsp:val=&quot;00ED27C3&quot;/&gt;&lt;wsp:rsid wsp:val=&quot;00ED28FF&quot;/&gt;&lt;wsp:rsid wsp:val=&quot;00ED2E1B&quot;/&gt;&lt;wsp:rsid wsp:val=&quot;00ED3496&quot;/&gt;&lt;wsp:rsid wsp:val=&quot;00ED3D22&quot;/&gt;&lt;wsp:rsid wsp:val=&quot;00ED417D&quot;/&gt;&lt;wsp:rsid wsp:val=&quot;00ED4790&quot;/&gt;&lt;wsp:rsid wsp:val=&quot;00ED5087&quot;/&gt;&lt;wsp:rsid wsp:val=&quot;00ED522B&quot;/&gt;&lt;wsp:rsid wsp:val=&quot;00ED544C&quot;/&gt;&lt;wsp:rsid wsp:val=&quot;00ED59B1&quot;/&gt;&lt;wsp:rsid wsp:val=&quot;00ED63FE&quot;/&gt;&lt;wsp:rsid wsp:val=&quot;00ED66B3&quot;/&gt;&lt;wsp:rsid wsp:val=&quot;00ED68FC&quot;/&gt;&lt;wsp:rsid wsp:val=&quot;00ED6BC5&quot;/&gt;&lt;wsp:rsid wsp:val=&quot;00ED6DA3&quot;/&gt;&lt;wsp:rsid wsp:val=&quot;00ED73B9&quot;/&gt;&lt;wsp:rsid wsp:val=&quot;00ED7595&quot;/&gt;&lt;wsp:rsid wsp:val=&quot;00ED7620&quot;/&gt;&lt;wsp:rsid wsp:val=&quot;00ED77C7&quot;/&gt;&lt;wsp:rsid wsp:val=&quot;00ED784D&quot;/&gt;&lt;wsp:rsid wsp:val=&quot;00ED7E7C&quot;/&gt;&lt;wsp:rsid wsp:val=&quot;00ED7EBC&quot;/&gt;&lt;wsp:rsid wsp:val=&quot;00EE00E1&quot;/&gt;&lt;wsp:rsid wsp:val=&quot;00EE0B2F&quot;/&gt;&lt;wsp:rsid wsp:val=&quot;00EE0F8D&quot;/&gt;&lt;wsp:rsid wsp:val=&quot;00EE136C&quot;/&gt;&lt;wsp:rsid wsp:val=&quot;00EE1886&quot;/&gt;&lt;wsp:rsid wsp:val=&quot;00EE1907&quot;/&gt;&lt;wsp:rsid wsp:val=&quot;00EE1D05&quot;/&gt;&lt;wsp:rsid wsp:val=&quot;00EE20E9&quot;/&gt;&lt;wsp:rsid wsp:val=&quot;00EE2CBE&quot;/&gt;&lt;wsp:rsid wsp:val=&quot;00EE2CDA&quot;/&gt;&lt;wsp:rsid wsp:val=&quot;00EE37A6&quot;/&gt;&lt;wsp:rsid wsp:val=&quot;00EE3F5B&quot;/&gt;&lt;wsp:rsid wsp:val=&quot;00EE509E&quot;/&gt;&lt;wsp:rsid wsp:val=&quot;00EE5C92&quot;/&gt;&lt;wsp:rsid wsp:val=&quot;00EE5E3D&quot;/&gt;&lt;wsp:rsid wsp:val=&quot;00EE6309&quot;/&gt;&lt;wsp:rsid wsp:val=&quot;00EE6D1B&quot;/&gt;&lt;wsp:rsid wsp:val=&quot;00EE6DE6&quot;/&gt;&lt;wsp:rsid wsp:val=&quot;00EE72DA&quot;/&gt;&lt;wsp:rsid wsp:val=&quot;00EE76F6&quot;/&gt;&lt;wsp:rsid wsp:val=&quot;00EE78F9&quot;/&gt;&lt;wsp:rsid wsp:val=&quot;00EE7DCA&quot;/&gt;&lt;wsp:rsid wsp:val=&quot;00EE7E16&quot;/&gt;&lt;wsp:rsid wsp:val=&quot;00EF1170&quot;/&gt;&lt;wsp:rsid wsp:val=&quot;00EF1741&quot;/&gt;&lt;wsp:rsid wsp:val=&quot;00EF19FC&quot;/&gt;&lt;wsp:rsid wsp:val=&quot;00EF1ED2&quot;/&gt;&lt;wsp:rsid wsp:val=&quot;00EF322D&quot;/&gt;&lt;wsp:rsid wsp:val=&quot;00EF3A83&quot;/&gt;&lt;wsp:rsid wsp:val=&quot;00EF3AAD&quot;/&gt;&lt;wsp:rsid wsp:val=&quot;00EF3C53&quot;/&gt;&lt;wsp:rsid wsp:val=&quot;00EF456F&quot;/&gt;&lt;wsp:rsid wsp:val=&quot;00EF4608&quot;/&gt;&lt;wsp:rsid wsp:val=&quot;00EF5FBE&quot;/&gt;&lt;wsp:rsid wsp:val=&quot;00EF70F4&quot;/&gt;&lt;wsp:rsid wsp:val=&quot;00EF7615&quot;/&gt;&lt;wsp:rsid wsp:val=&quot;00EF7924&quot;/&gt;&lt;wsp:rsid wsp:val=&quot;00EF7EEB&quot;/&gt;&lt;wsp:rsid wsp:val=&quot;00F00139&quot;/&gt;&lt;wsp:rsid wsp:val=&quot;00F0025F&quot;/&gt;&lt;wsp:rsid wsp:val=&quot;00F003C5&quot;/&gt;&lt;wsp:rsid wsp:val=&quot;00F012F4&quot;/&gt;&lt;wsp:rsid wsp:val=&quot;00F0170D&quot;/&gt;&lt;wsp:rsid wsp:val=&quot;00F02A0C&quot;/&gt;&lt;wsp:rsid wsp:val=&quot;00F02BC1&quot;/&gt;&lt;wsp:rsid wsp:val=&quot;00F03119&quot;/&gt;&lt;wsp:rsid wsp:val=&quot;00F0348C&quot;/&gt;&lt;wsp:rsid wsp:val=&quot;00F03DCF&quot;/&gt;&lt;wsp:rsid wsp:val=&quot;00F03FEC&quot;/&gt;&lt;wsp:rsid wsp:val=&quot;00F047DD&quot;/&gt;&lt;wsp:rsid wsp:val=&quot;00F04A7C&quot;/&gt;&lt;wsp:rsid wsp:val=&quot;00F04D10&quot;/&gt;&lt;wsp:rsid wsp:val=&quot;00F04F1F&quot;/&gt;&lt;wsp:rsid wsp:val=&quot;00F05C4A&quot;/&gt;&lt;wsp:rsid wsp:val=&quot;00F06AE0&quot;/&gt;&lt;wsp:rsid wsp:val=&quot;00F07021&quot;/&gt;&lt;wsp:rsid wsp:val=&quot;00F07036&quot;/&gt;&lt;wsp:rsid wsp:val=&quot;00F079D2&quot;/&gt;&lt;wsp:rsid wsp:val=&quot;00F07C4F&quot;/&gt;&lt;wsp:rsid wsp:val=&quot;00F10144&quot;/&gt;&lt;wsp:rsid wsp:val=&quot;00F1017B&quot;/&gt;&lt;wsp:rsid wsp:val=&quot;00F10A43&quot;/&gt;&lt;wsp:rsid wsp:val=&quot;00F10BB0&quot;/&gt;&lt;wsp:rsid wsp:val=&quot;00F111E6&quot;/&gt;&lt;wsp:rsid wsp:val=&quot;00F11A05&quot;/&gt;&lt;wsp:rsid wsp:val=&quot;00F11F2D&quot;/&gt;&lt;wsp:rsid wsp:val=&quot;00F120A8&quot;/&gt;&lt;wsp:rsid wsp:val=&quot;00F12607&quot;/&gt;&lt;wsp:rsid wsp:val=&quot;00F1275A&quot;/&gt;&lt;wsp:rsid wsp:val=&quot;00F127C8&quot;/&gt;&lt;wsp:rsid wsp:val=&quot;00F129F3&quot;/&gt;&lt;wsp:rsid wsp:val=&quot;00F12AED&quot;/&gt;&lt;wsp:rsid wsp:val=&quot;00F13705&quot;/&gt;&lt;wsp:rsid wsp:val=&quot;00F138F2&quot;/&gt;&lt;wsp:rsid wsp:val=&quot;00F13A51&quot;/&gt;&lt;wsp:rsid wsp:val=&quot;00F144D6&quot;/&gt;&lt;wsp:rsid wsp:val=&quot;00F14DF2&quot;/&gt;&lt;wsp:rsid wsp:val=&quot;00F14E9B&quot;/&gt;&lt;wsp:rsid wsp:val=&quot;00F151F5&quot;/&gt;&lt;wsp:rsid wsp:val=&quot;00F1532F&quot;/&gt;&lt;wsp:rsid wsp:val=&quot;00F16167&quot;/&gt;&lt;wsp:rsid wsp:val=&quot;00F161C4&quot;/&gt;&lt;wsp:rsid wsp:val=&quot;00F1631A&quot;/&gt;&lt;wsp:rsid wsp:val=&quot;00F1644F&quot;/&gt;&lt;wsp:rsid wsp:val=&quot;00F168A7&quot;/&gt;&lt;wsp:rsid wsp:val=&quot;00F1694B&quot;/&gt;&lt;wsp:rsid wsp:val=&quot;00F16DB6&quot;/&gt;&lt;wsp:rsid wsp:val=&quot;00F17122&quot;/&gt;&lt;wsp:rsid wsp:val=&quot;00F17274&quot;/&gt;&lt;wsp:rsid wsp:val=&quot;00F17410&quot;/&gt;&lt;wsp:rsid wsp:val=&quot;00F179D0&quot;/&gt;&lt;wsp:rsid wsp:val=&quot;00F179E1&quot;/&gt;&lt;wsp:rsid wsp:val=&quot;00F17D12&quot;/&gt;&lt;wsp:rsid wsp:val=&quot;00F203B8&quot;/&gt;&lt;wsp:rsid wsp:val=&quot;00F209A8&quot;/&gt;&lt;wsp:rsid wsp:val=&quot;00F20AE8&quot;/&gt;&lt;wsp:rsid wsp:val=&quot;00F210F3&quot;/&gt;&lt;wsp:rsid wsp:val=&quot;00F212E0&quot;/&gt;&lt;wsp:rsid wsp:val=&quot;00F213A0&quot;/&gt;&lt;wsp:rsid wsp:val=&quot;00F21434&quot;/&gt;&lt;wsp:rsid wsp:val=&quot;00F21ACB&quot;/&gt;&lt;wsp:rsid wsp:val=&quot;00F22B0A&quot;/&gt;&lt;wsp:rsid wsp:val=&quot;00F2318E&quot;/&gt;&lt;wsp:rsid wsp:val=&quot;00F23FAD&quot;/&gt;&lt;wsp:rsid wsp:val=&quot;00F25BCA&quot;/&gt;&lt;wsp:rsid wsp:val=&quot;00F25D19&quot;/&gt;&lt;wsp:rsid wsp:val=&quot;00F25D3E&quot;/&gt;&lt;wsp:rsid wsp:val=&quot;00F26151&quot;/&gt;&lt;wsp:rsid wsp:val=&quot;00F261FF&quot;/&gt;&lt;wsp:rsid wsp:val=&quot;00F26C12&quot;/&gt;&lt;wsp:rsid wsp:val=&quot;00F26D40&quot;/&gt;&lt;wsp:rsid wsp:val=&quot;00F26DE5&quot;/&gt;&lt;wsp:rsid wsp:val=&quot;00F26E9B&quot;/&gt;&lt;wsp:rsid wsp:val=&quot;00F26FC5&quot;/&gt;&lt;wsp:rsid wsp:val=&quot;00F27428&quot;/&gt;&lt;wsp:rsid wsp:val=&quot;00F276CF&quot;/&gt;&lt;wsp:rsid wsp:val=&quot;00F27F5B&quot;/&gt;&lt;wsp:rsid wsp:val=&quot;00F30057&quot;/&gt;&lt;wsp:rsid wsp:val=&quot;00F30113&quot;/&gt;&lt;wsp:rsid wsp:val=&quot;00F303FC&quot;/&gt;&lt;wsp:rsid wsp:val=&quot;00F305D4&quot;/&gt;&lt;wsp:rsid wsp:val=&quot;00F318EA&quot;/&gt;&lt;wsp:rsid wsp:val=&quot;00F31B64&quot;/&gt;&lt;wsp:rsid wsp:val=&quot;00F321DB&quot;/&gt;&lt;wsp:rsid wsp:val=&quot;00F32B74&quot;/&gt;&lt;wsp:rsid wsp:val=&quot;00F32C1A&quot;/&gt;&lt;wsp:rsid wsp:val=&quot;00F33119&quot;/&gt;&lt;wsp:rsid wsp:val=&quot;00F3323B&quot;/&gt;&lt;wsp:rsid wsp:val=&quot;00F3365C&quot;/&gt;&lt;wsp:rsid wsp:val=&quot;00F33C62&quot;/&gt;&lt;wsp:rsid wsp:val=&quot;00F34491&quot;/&gt;&lt;wsp:rsid wsp:val=&quot;00F3458D&quot;/&gt;&lt;wsp:rsid wsp:val=&quot;00F34A79&quot;/&gt;&lt;wsp:rsid wsp:val=&quot;00F34C74&quot;/&gt;&lt;wsp:rsid wsp:val=&quot;00F35253&quot;/&gt;&lt;wsp:rsid wsp:val=&quot;00F35303&quot;/&gt;&lt;wsp:rsid wsp:val=&quot;00F35627&quot;/&gt;&lt;wsp:rsid wsp:val=&quot;00F35659&quot;/&gt;&lt;wsp:rsid wsp:val=&quot;00F35AAA&quot;/&gt;&lt;wsp:rsid wsp:val=&quot;00F35F9D&quot;/&gt;&lt;wsp:rsid wsp:val=&quot;00F3615E&quot;/&gt;&lt;wsp:rsid wsp:val=&quot;00F361C5&quot;/&gt;&lt;wsp:rsid wsp:val=&quot;00F3669D&quot;/&gt;&lt;wsp:rsid wsp:val=&quot;00F3767A&quot;/&gt;&lt;wsp:rsid wsp:val=&quot;00F3779C&quot;/&gt;&lt;wsp:rsid wsp:val=&quot;00F414C8&quot;/&gt;&lt;wsp:rsid wsp:val=&quot;00F41ACC&quot;/&gt;&lt;wsp:rsid wsp:val=&quot;00F41AFB&quot;/&gt;&lt;wsp:rsid wsp:val=&quot;00F428C8&quot;/&gt;&lt;wsp:rsid wsp:val=&quot;00F431B3&quot;/&gt;&lt;wsp:rsid wsp:val=&quot;00F433B8&quot;/&gt;&lt;wsp:rsid wsp:val=&quot;00F4391C&quot;/&gt;&lt;wsp:rsid wsp:val=&quot;00F43F55&quot;/&gt;&lt;wsp:rsid wsp:val=&quot;00F445E2&quot;/&gt;&lt;wsp:rsid wsp:val=&quot;00F4550F&quot;/&gt;&lt;wsp:rsid wsp:val=&quot;00F45E60&quot;/&gt;&lt;wsp:rsid wsp:val=&quot;00F46106&quot;/&gt;&lt;wsp:rsid wsp:val=&quot;00F4625A&quot;/&gt;&lt;wsp:rsid wsp:val=&quot;00F469C2&quot;/&gt;&lt;wsp:rsid wsp:val=&quot;00F46FBB&quot;/&gt;&lt;wsp:rsid wsp:val=&quot;00F4710B&quot;/&gt;&lt;wsp:rsid wsp:val=&quot;00F477C9&quot;/&gt;&lt;wsp:rsid wsp:val=&quot;00F47958&quot;/&gt;&lt;wsp:rsid wsp:val=&quot;00F47A7F&quot;/&gt;&lt;wsp:rsid wsp:val=&quot;00F47CE9&quot;/&gt;&lt;wsp:rsid wsp:val=&quot;00F502FD&quot;/&gt;&lt;wsp:rsid wsp:val=&quot;00F503A7&quot;/&gt;&lt;wsp:rsid wsp:val=&quot;00F50673&quot;/&gt;&lt;wsp:rsid wsp:val=&quot;00F508D8&quot;/&gt;&lt;wsp:rsid wsp:val=&quot;00F50B1C&quot;/&gt;&lt;wsp:rsid wsp:val=&quot;00F51164&quot;/&gt;&lt;wsp:rsid wsp:val=&quot;00F51A53&quot;/&gt;&lt;wsp:rsid wsp:val=&quot;00F51EB3&quot;/&gt;&lt;wsp:rsid wsp:val=&quot;00F51F90&quot;/&gt;&lt;wsp:rsid wsp:val=&quot;00F52141&quot;/&gt;&lt;wsp:rsid wsp:val=&quot;00F52185&quot;/&gt;&lt;wsp:rsid wsp:val=&quot;00F52A6D&quot;/&gt;&lt;wsp:rsid wsp:val=&quot;00F5327D&quot;/&gt;&lt;wsp:rsid wsp:val=&quot;00F53CA9&quot;/&gt;&lt;wsp:rsid wsp:val=&quot;00F53E30&quot;/&gt;&lt;wsp:rsid wsp:val=&quot;00F5481D&quot;/&gt;&lt;wsp:rsid wsp:val=&quot;00F55101&quot;/&gt;&lt;wsp:rsid wsp:val=&quot;00F553A0&quot;/&gt;&lt;wsp:rsid wsp:val=&quot;00F55AA1&quot;/&gt;&lt;wsp:rsid wsp:val=&quot;00F55BFE&quot;/&gt;&lt;wsp:rsid wsp:val=&quot;00F56762&quot;/&gt;&lt;wsp:rsid wsp:val=&quot;00F567D8&quot;/&gt;&lt;wsp:rsid wsp:val=&quot;00F56CA6&quot;/&gt;&lt;wsp:rsid wsp:val=&quot;00F571DE&quot;/&gt;&lt;wsp:rsid wsp:val=&quot;00F57629&quot;/&gt;&lt;wsp:rsid wsp:val=&quot;00F57C0E&quot;/&gt;&lt;wsp:rsid wsp:val=&quot;00F603B8&quot;/&gt;&lt;wsp:rsid wsp:val=&quot;00F6054C&quot;/&gt;&lt;wsp:rsid wsp:val=&quot;00F6089D&quot;/&gt;&lt;wsp:rsid wsp:val=&quot;00F60977&quot;/&gt;&lt;wsp:rsid wsp:val=&quot;00F6124D&quot;/&gt;&lt;wsp:rsid wsp:val=&quot;00F6168E&quot;/&gt;&lt;wsp:rsid wsp:val=&quot;00F617DE&quot;/&gt;&lt;wsp:rsid wsp:val=&quot;00F618E5&quot;/&gt;&lt;wsp:rsid wsp:val=&quot;00F61919&quot;/&gt;&lt;wsp:rsid wsp:val=&quot;00F619D8&quot;/&gt;&lt;wsp:rsid wsp:val=&quot;00F6211D&quot;/&gt;&lt;wsp:rsid wsp:val=&quot;00F62A9A&quot;/&gt;&lt;wsp:rsid wsp:val=&quot;00F62B9B&quot;/&gt;&lt;wsp:rsid wsp:val=&quot;00F62EE2&quot;/&gt;&lt;wsp:rsid wsp:val=&quot;00F630B7&quot;/&gt;&lt;wsp:rsid wsp:val=&quot;00F63489&quot;/&gt;&lt;wsp:rsid wsp:val=&quot;00F634CF&quot;/&gt;&lt;wsp:rsid wsp:val=&quot;00F642BC&quot;/&gt;&lt;wsp:rsid wsp:val=&quot;00F64DD1&quot;/&gt;&lt;wsp:rsid wsp:val=&quot;00F65225&quot;/&gt;&lt;wsp:rsid wsp:val=&quot;00F657DB&quot;/&gt;&lt;wsp:rsid wsp:val=&quot;00F6628C&quot;/&gt;&lt;wsp:rsid wsp:val=&quot;00F6655F&quot;/&gt;&lt;wsp:rsid wsp:val=&quot;00F6669B&quot;/&gt;&lt;wsp:rsid wsp:val=&quot;00F67000&quot;/&gt;&lt;wsp:rsid wsp:val=&quot;00F67B51&quot;/&gt;&lt;wsp:rsid wsp:val=&quot;00F67E92&quot;/&gt;&lt;wsp:rsid wsp:val=&quot;00F70BE3&quot;/&gt;&lt;wsp:rsid wsp:val=&quot;00F70E87&quot;/&gt;&lt;wsp:rsid wsp:val=&quot;00F70E9B&quot;/&gt;&lt;wsp:rsid wsp:val=&quot;00F71204&quot;/&gt;&lt;wsp:rsid wsp:val=&quot;00F71894&quot;/&gt;&lt;wsp:rsid wsp:val=&quot;00F71D0E&quot;/&gt;&lt;wsp:rsid wsp:val=&quot;00F72FF5&quot;/&gt;&lt;wsp:rsid wsp:val=&quot;00F7309C&quot;/&gt;&lt;wsp:rsid wsp:val=&quot;00F73759&quot;/&gt;&lt;wsp:rsid wsp:val=&quot;00F73B87&quot;/&gt;&lt;wsp:rsid wsp:val=&quot;00F74599&quot;/&gt;&lt;wsp:rsid wsp:val=&quot;00F74B29&quot;/&gt;&lt;wsp:rsid wsp:val=&quot;00F74F0B&quot;/&gt;&lt;wsp:rsid wsp:val=&quot;00F74F68&quot;/&gt;&lt;wsp:rsid wsp:val=&quot;00F75032&quot;/&gt;&lt;wsp:rsid wsp:val=&quot;00F75744&quot;/&gt;&lt;wsp:rsid wsp:val=&quot;00F757E7&quot;/&gt;&lt;wsp:rsid wsp:val=&quot;00F758FB&quot;/&gt;&lt;wsp:rsid wsp:val=&quot;00F75D53&quot;/&gt;&lt;wsp:rsid wsp:val=&quot;00F761EF&quot;/&gt;&lt;wsp:rsid wsp:val=&quot;00F76330&quot;/&gt;&lt;wsp:rsid wsp:val=&quot;00F766E0&quot;/&gt;&lt;wsp:rsid wsp:val=&quot;00F76C27&quot;/&gt;&lt;wsp:rsid wsp:val=&quot;00F77564&quot;/&gt;&lt;wsp:rsid wsp:val=&quot;00F80109&quot;/&gt;&lt;wsp:rsid wsp:val=&quot;00F80D60&quot;/&gt;&lt;wsp:rsid wsp:val=&quot;00F811F8&quot;/&gt;&lt;wsp:rsid wsp:val=&quot;00F81CA2&quot;/&gt;&lt;wsp:rsid wsp:val=&quot;00F81DE4&quot;/&gt;&lt;wsp:rsid wsp:val=&quot;00F81E1F&quot;/&gt;&lt;wsp:rsid wsp:val=&quot;00F82813&quot;/&gt;&lt;wsp:rsid wsp:val=&quot;00F82A61&quot;/&gt;&lt;wsp:rsid wsp:val=&quot;00F82ABB&quot;/&gt;&lt;wsp:rsid wsp:val=&quot;00F84930&quot;/&gt;&lt;wsp:rsid wsp:val=&quot;00F84B1F&quot;/&gt;&lt;wsp:rsid wsp:val=&quot;00F84BC5&quot;/&gt;&lt;wsp:rsid wsp:val=&quot;00F8534E&quot;/&gt;&lt;wsp:rsid wsp:val=&quot;00F85445&quot;/&gt;&lt;wsp:rsid wsp:val=&quot;00F85DC9&quot;/&gt;&lt;wsp:rsid wsp:val=&quot;00F86368&quot;/&gt;&lt;wsp:rsid wsp:val=&quot;00F86B2D&quot;/&gt;&lt;wsp:rsid wsp:val=&quot;00F8734F&quot;/&gt;&lt;wsp:rsid wsp:val=&quot;00F87875&quot;/&gt;&lt;wsp:rsid wsp:val=&quot;00F87B63&quot;/&gt;&lt;wsp:rsid wsp:val=&quot;00F9065E&quot;/&gt;&lt;wsp:rsid wsp:val=&quot;00F9094E&quot;/&gt;&lt;wsp:rsid wsp:val=&quot;00F90EC1&quot;/&gt;&lt;wsp:rsid wsp:val=&quot;00F90FCB&quot;/&gt;&lt;wsp:rsid wsp:val=&quot;00F910BB&quot;/&gt;&lt;wsp:rsid wsp:val=&quot;00F914BD&quot;/&gt;&lt;wsp:rsid wsp:val=&quot;00F91529&quot;/&gt;&lt;wsp:rsid wsp:val=&quot;00F9172C&quot;/&gt;&lt;wsp:rsid wsp:val=&quot;00F91A35&quot;/&gt;&lt;wsp:rsid wsp:val=&quot;00F91F04&quot;/&gt;&lt;wsp:rsid wsp:val=&quot;00F92504&quot;/&gt;&lt;wsp:rsid wsp:val=&quot;00F928F4&quot;/&gt;&lt;wsp:rsid wsp:val=&quot;00F92B78&quot;/&gt;&lt;wsp:rsid wsp:val=&quot;00F92DBE&quot;/&gt;&lt;wsp:rsid wsp:val=&quot;00F93A6D&quot;/&gt;&lt;wsp:rsid wsp:val=&quot;00F93B1B&quot;/&gt;&lt;wsp:rsid wsp:val=&quot;00F93E01&quot;/&gt;&lt;wsp:rsid wsp:val=&quot;00F9415F&quot;/&gt;&lt;wsp:rsid wsp:val=&quot;00F946B7&quot;/&gt;&lt;wsp:rsid wsp:val=&quot;00F94A12&quot;/&gt;&lt;wsp:rsid wsp:val=&quot;00F94AAB&quot;/&gt;&lt;wsp:rsid wsp:val=&quot;00F94E5B&quot;/&gt;&lt;wsp:rsid wsp:val=&quot;00F94ED5&quot;/&gt;&lt;wsp:rsid wsp:val=&quot;00F953DC&quot;/&gt;&lt;wsp:rsid wsp:val=&quot;00F95705&quot;/&gt;&lt;wsp:rsid wsp:val=&quot;00F96148&quot;/&gt;&lt;wsp:rsid wsp:val=&quot;00F964B6&quot;/&gt;&lt;wsp:rsid wsp:val=&quot;00F96591&quot;/&gt;&lt;wsp:rsid wsp:val=&quot;00F96663&quot;/&gt;&lt;wsp:rsid wsp:val=&quot;00F96A55&quot;/&gt;&lt;wsp:rsid wsp:val=&quot;00F96E6C&quot;/&gt;&lt;wsp:rsid wsp:val=&quot;00F96F01&quot;/&gt;&lt;wsp:rsid wsp:val=&quot;00F97185&quot;/&gt;&lt;wsp:rsid wsp:val=&quot;00FA020E&quot;/&gt;&lt;wsp:rsid wsp:val=&quot;00FA0331&quot;/&gt;&lt;wsp:rsid wsp:val=&quot;00FA042A&quot;/&gt;&lt;wsp:rsid wsp:val=&quot;00FA0999&quot;/&gt;&lt;wsp:rsid wsp:val=&quot;00FA09FE&quot;/&gt;&lt;wsp:rsid wsp:val=&quot;00FA1BD0&quot;/&gt;&lt;wsp:rsid wsp:val=&quot;00FA1E8A&quot;/&gt;&lt;wsp:rsid wsp:val=&quot;00FA244A&quot;/&gt;&lt;wsp:rsid wsp:val=&quot;00FA2DFD&quot;/&gt;&lt;wsp:rsid wsp:val=&quot;00FA2EE2&quot;/&gt;&lt;wsp:rsid wsp:val=&quot;00FA3033&quot;/&gt;&lt;wsp:rsid wsp:val=&quot;00FA3261&quot;/&gt;&lt;wsp:rsid wsp:val=&quot;00FA35A4&quot;/&gt;&lt;wsp:rsid wsp:val=&quot;00FA40DA&quot;/&gt;&lt;wsp:rsid wsp:val=&quot;00FA4223&quot;/&gt;&lt;wsp:rsid wsp:val=&quot;00FA485C&quot;/&gt;&lt;wsp:rsid wsp:val=&quot;00FA48B4&quot;/&gt;&lt;wsp:rsid wsp:val=&quot;00FA7892&quot;/&gt;&lt;wsp:rsid wsp:val=&quot;00FA7FEB&quot;/&gt;&lt;wsp:rsid wsp:val=&quot;00FB0CE7&quot;/&gt;&lt;wsp:rsid wsp:val=&quot;00FB0F4D&quot;/&gt;&lt;wsp:rsid wsp:val=&quot;00FB1034&quot;/&gt;&lt;wsp:rsid wsp:val=&quot;00FB14E5&quot;/&gt;&lt;wsp:rsid wsp:val=&quot;00FB1647&quot;/&gt;&lt;wsp:rsid wsp:val=&quot;00FB1C16&quot;/&gt;&lt;wsp:rsid wsp:val=&quot;00FB246E&quot;/&gt;&lt;wsp:rsid wsp:val=&quot;00FB415E&quot;/&gt;&lt;wsp:rsid wsp:val=&quot;00FB4719&quot;/&gt;&lt;wsp:rsid wsp:val=&quot;00FB49B4&quot;/&gt;&lt;wsp:rsid wsp:val=&quot;00FB517E&quot;/&gt;&lt;wsp:rsid wsp:val=&quot;00FB5704&quot;/&gt;&lt;wsp:rsid wsp:val=&quot;00FB581F&quot;/&gt;&lt;wsp:rsid wsp:val=&quot;00FB60E4&quot;/&gt;&lt;wsp:rsid wsp:val=&quot;00FB6580&quot;/&gt;&lt;wsp:rsid wsp:val=&quot;00FB6749&quot;/&gt;&lt;wsp:rsid wsp:val=&quot;00FB6A72&quot;/&gt;&lt;wsp:rsid wsp:val=&quot;00FB6BA8&quot;/&gt;&lt;wsp:rsid wsp:val=&quot;00FB6E04&quot;/&gt;&lt;wsp:rsid wsp:val=&quot;00FB71AB&quot;/&gt;&lt;wsp:rsid wsp:val=&quot;00FB71C1&quot;/&gt;&lt;wsp:rsid wsp:val=&quot;00FB7348&quot;/&gt;&lt;wsp:rsid wsp:val=&quot;00FB739F&quot;/&gt;&lt;wsp:rsid wsp:val=&quot;00FC033D&quot;/&gt;&lt;wsp:rsid wsp:val=&quot;00FC07B8&quot;/&gt;&lt;wsp:rsid wsp:val=&quot;00FC08F0&quot;/&gt;&lt;wsp:rsid wsp:val=&quot;00FC0CBE&quot;/&gt;&lt;wsp:rsid wsp:val=&quot;00FC0CF6&quot;/&gt;&lt;wsp:rsid wsp:val=&quot;00FC0FAD&quot;/&gt;&lt;wsp:rsid wsp:val=&quot;00FC1AE0&quot;/&gt;&lt;wsp:rsid wsp:val=&quot;00FC1D98&quot;/&gt;&lt;wsp:rsid wsp:val=&quot;00FC1E72&quot;/&gt;&lt;wsp:rsid wsp:val=&quot;00FC1FAC&quot;/&gt;&lt;wsp:rsid wsp:val=&quot;00FC3FE0&quot;/&gt;&lt;wsp:rsid wsp:val=&quot;00FC4251&quot;/&gt;&lt;wsp:rsid wsp:val=&quot;00FC4557&quot;/&gt;&lt;wsp:rsid wsp:val=&quot;00FC46F1&quot;/&gt;&lt;wsp:rsid wsp:val=&quot;00FC5328&quot;/&gt;&lt;wsp:rsid wsp:val=&quot;00FC5583&quot;/&gt;&lt;wsp:rsid wsp:val=&quot;00FC5A6F&quot;/&gt;&lt;wsp:rsid wsp:val=&quot;00FC5AA1&quot;/&gt;&lt;wsp:rsid wsp:val=&quot;00FC5B85&quot;/&gt;&lt;wsp:rsid wsp:val=&quot;00FC6C16&quot;/&gt;&lt;wsp:rsid wsp:val=&quot;00FC6C1E&quot;/&gt;&lt;wsp:rsid wsp:val=&quot;00FC6CD3&quot;/&gt;&lt;wsp:rsid wsp:val=&quot;00FC6D57&quot;/&gt;&lt;wsp:rsid wsp:val=&quot;00FC7EC4&quot;/&gt;&lt;wsp:rsid wsp:val=&quot;00FD0982&quot;/&gt;&lt;wsp:rsid wsp:val=&quot;00FD0A94&quot;/&gt;&lt;wsp:rsid wsp:val=&quot;00FD0F4E&quot;/&gt;&lt;wsp:rsid wsp:val=&quot;00FD1450&quot;/&gt;&lt;wsp:rsid wsp:val=&quot;00FD147F&quot;/&gt;&lt;wsp:rsid wsp:val=&quot;00FD1912&quot;/&gt;&lt;wsp:rsid wsp:val=&quot;00FD20F7&quot;/&gt;&lt;wsp:rsid wsp:val=&quot;00FD28F9&quot;/&gt;&lt;wsp:rsid wsp:val=&quot;00FD30FB&quot;/&gt;&lt;wsp:rsid wsp:val=&quot;00FD33A4&quot;/&gt;&lt;wsp:rsid wsp:val=&quot;00FD36C7&quot;/&gt;&lt;wsp:rsid wsp:val=&quot;00FD3A38&quot;/&gt;&lt;wsp:rsid wsp:val=&quot;00FD3B99&quot;/&gt;&lt;wsp:rsid wsp:val=&quot;00FD3C42&quot;/&gt;&lt;wsp:rsid wsp:val=&quot;00FD4E2B&quot;/&gt;&lt;wsp:rsid wsp:val=&quot;00FD5974&quot;/&gt;&lt;wsp:rsid wsp:val=&quot;00FD60FD&quot;/&gt;&lt;wsp:rsid wsp:val=&quot;00FD6213&quot;/&gt;&lt;wsp:rsid wsp:val=&quot;00FD6403&quot;/&gt;&lt;wsp:rsid wsp:val=&quot;00FD6435&quot;/&gt;&lt;wsp:rsid wsp:val=&quot;00FD6548&quot;/&gt;&lt;wsp:rsid wsp:val=&quot;00FD69AE&quot;/&gt;&lt;wsp:rsid wsp:val=&quot;00FD6D0C&quot;/&gt;&lt;wsp:rsid wsp:val=&quot;00FD797E&quot;/&gt;&lt;wsp:rsid wsp:val=&quot;00FD7AB3&quot;/&gt;&lt;wsp:rsid wsp:val=&quot;00FD7CB8&quot;/&gt;&lt;wsp:rsid wsp:val=&quot;00FD7E27&quot;/&gt;&lt;wsp:rsid wsp:val=&quot;00FE02DB&quot;/&gt;&lt;wsp:rsid wsp:val=&quot;00FE02F8&quot;/&gt;&lt;wsp:rsid wsp:val=&quot;00FE04D6&quot;/&gt;&lt;wsp:rsid wsp:val=&quot;00FE0BAC&quot;/&gt;&lt;wsp:rsid wsp:val=&quot;00FE135A&quot;/&gt;&lt;wsp:rsid wsp:val=&quot;00FE1443&quot;/&gt;&lt;wsp:rsid wsp:val=&quot;00FE15A0&quot;/&gt;&lt;wsp:rsid wsp:val=&quot;00FE1A02&quot;/&gt;&lt;wsp:rsid wsp:val=&quot;00FE224A&quot;/&gt;&lt;wsp:rsid wsp:val=&quot;00FE22F8&quot;/&gt;&lt;wsp:rsid wsp:val=&quot;00FE2580&quot;/&gt;&lt;wsp:rsid wsp:val=&quot;00FE2D89&quot;/&gt;&lt;wsp:rsid wsp:val=&quot;00FE31F6&quot;/&gt;&lt;wsp:rsid wsp:val=&quot;00FE380C&quot;/&gt;&lt;wsp:rsid wsp:val=&quot;00FE3D97&quot;/&gt;&lt;wsp:rsid wsp:val=&quot;00FE4A8B&quot;/&gt;&lt;wsp:rsid wsp:val=&quot;00FE4CF0&quot;/&gt;&lt;wsp:rsid wsp:val=&quot;00FE59BB&quot;/&gt;&lt;wsp:rsid wsp:val=&quot;00FE5D59&quot;/&gt;&lt;wsp:rsid wsp:val=&quot;00FE5F42&quot;/&gt;&lt;wsp:rsid wsp:val=&quot;00FE631F&quot;/&gt;&lt;wsp:rsid wsp:val=&quot;00FE695E&quot;/&gt;&lt;wsp:rsid wsp:val=&quot;00FE6A8F&quot;/&gt;&lt;wsp:rsid wsp:val=&quot;00FE6A9F&quot;/&gt;&lt;wsp:rsid wsp:val=&quot;00FE6BB5&quot;/&gt;&lt;wsp:rsid wsp:val=&quot;00FF1644&quot;/&gt;&lt;wsp:rsid wsp:val=&quot;00FF25A7&quot;/&gt;&lt;wsp:rsid wsp:val=&quot;00FF2888&quot;/&gt;&lt;wsp:rsid wsp:val=&quot;00FF2953&quot;/&gt;&lt;wsp:rsid wsp:val=&quot;00FF2EA3&quot;/&gt;&lt;wsp:rsid wsp:val=&quot;00FF414C&quot;/&gt;&lt;wsp:rsid wsp:val=&quot;00FF4764&quot;/&gt;&lt;wsp:rsid wsp:val=&quot;00FF4CCA&quot;/&gt;&lt;wsp:rsid wsp:val=&quot;00FF50FD&quot;/&gt;&lt;wsp:rsid wsp:val=&quot;00FF5E00&quot;/&gt;&lt;wsp:rsid wsp:val=&quot;00FF5E10&quot;/&gt;&lt;wsp:rsid wsp:val=&quot;00FF6DB6&quot;/&gt;&lt;wsp:rsid wsp:val=&quot;00FF73A1&quot;/&gt;&lt;wsp:rsid wsp:val=&quot;02B26B56&quot;/&gt;&lt;wsp:rsid wsp:val=&quot;03D66BA6&quot;/&gt;&lt;wsp:rsid wsp:val=&quot;051A0D14&quot;/&gt;&lt;wsp:rsid wsp:val=&quot;08373D17&quot;/&gt;&lt;wsp:rsid wsp:val=&quot;08D31906&quot;/&gt;&lt;wsp:rsid wsp:val=&quot;099B57EC&quot;/&gt;&lt;wsp:rsid wsp:val=&quot;09C35E1E&quot;/&gt;&lt;wsp:rsid wsp:val=&quot;0A7B2255&quot;/&gt;&lt;wsp:rsid wsp:val=&quot;0AA30366&quot;/&gt;&lt;wsp:rsid wsp:val=&quot;0CC7731D&quot;/&gt;&lt;wsp:rsid wsp:val=&quot;0FCD6BA8&quot;/&gt;&lt;wsp:rsid wsp:val=&quot;0FF419B0&quot;/&gt;&lt;wsp:rsid wsp:val=&quot;11A14B86&quot;/&gt;&lt;wsp:rsid wsp:val=&quot;12E11476&quot;/&gt;&lt;wsp:rsid wsp:val=&quot;13CA5776&quot;/&gt;&lt;wsp:rsid wsp:val=&quot;1451781E&quot;/&gt;&lt;wsp:rsid wsp:val=&quot;15151F29&quot;/&gt;&lt;wsp:rsid wsp:val=&quot;1BC22817&quot;/&gt;&lt;wsp:rsid wsp:val=&quot;1F14103B&quot;/&gt;&lt;wsp:rsid wsp:val=&quot;1F83778A&quot;/&gt;&lt;wsp:rsid wsp:val=&quot;224631C9&quot;/&gt;&lt;wsp:rsid wsp:val=&quot;240F2DC9&quot;/&gt;&lt;wsp:rsid wsp:val=&quot;24C30629&quot;/&gt;&lt;wsp:rsid wsp:val=&quot;25763D25&quot;/&gt;&lt;wsp:rsid wsp:val=&quot;26A5092E&quot;/&gt;&lt;wsp:rsid wsp:val=&quot;29BC0105&quot;/&gt;&lt;wsp:rsid wsp:val=&quot;2B6770FF&quot;/&gt;&lt;wsp:rsid wsp:val=&quot;2D123049&quot;/&gt;&lt;wsp:rsid wsp:val=&quot;2D947006&quot;/&gt;&lt;wsp:rsid wsp:val=&quot;2E3276DD&quot;/&gt;&lt;wsp:rsid wsp:val=&quot;314A0E14&quot;/&gt;&lt;wsp:rsid wsp:val=&quot;32037751&quot;/&gt;&lt;wsp:rsid wsp:val=&quot;330D18BF&quot;/&gt;&lt;wsp:rsid wsp:val=&quot;33CE629A&quot;/&gt;&lt;wsp:rsid wsp:val=&quot;342521FB&quot;/&gt;&lt;wsp:rsid wsp:val=&quot;350308E2&quot;/&gt;&lt;wsp:rsid wsp:val=&quot;38042FDA&quot;/&gt;&lt;wsp:rsid wsp:val=&quot;3A184B1B&quot;/&gt;&lt;wsp:rsid wsp:val=&quot;3AA1137B&quot;/&gt;&lt;wsp:rsid wsp:val=&quot;3BC67B86&quot;/&gt;&lt;wsp:rsid wsp:val=&quot;3CB74F79&quot;/&gt;&lt;wsp:rsid wsp:val=&quot;3CC80A7A&quot;/&gt;&lt;wsp:rsid wsp:val=&quot;3E63644F&quot;/&gt;&lt;wsp:rsid wsp:val=&quot;42211EC1&quot;/&gt;&lt;wsp:rsid wsp:val=&quot;42C06726&quot;/&gt;&lt;wsp:rsid wsp:val=&quot;430E56F4&quot;/&gt;&lt;wsp:rsid wsp:val=&quot;48CC13D9&quot;/&gt;&lt;wsp:rsid wsp:val=&quot;4CD34ADE&quot;/&gt;&lt;wsp:rsid wsp:val=&quot;4CDB2302&quot;/&gt;&lt;wsp:rsid wsp:val=&quot;500F7705&quot;/&gt;&lt;wsp:rsid wsp:val=&quot;50223AD5&quot;/&gt;&lt;wsp:rsid wsp:val=&quot;52231D58&quot;/&gt;&lt;wsp:rsid wsp:val=&quot;57A606AC&quot;/&gt;&lt;wsp:rsid wsp:val=&quot;58C45316&quot;/&gt;&lt;wsp:rsid wsp:val=&quot;59F7468F&quot;/&gt;&lt;wsp:rsid wsp:val=&quot;5B3C50B8&quot;/&gt;&lt;wsp:rsid wsp:val=&quot;5FF37537&quot;/&gt;&lt;wsp:rsid wsp:val=&quot;60BB0848&quot;/&gt;&lt;wsp:rsid wsp:val=&quot;60CF1B28&quot;/&gt;&lt;wsp:rsid wsp:val=&quot;61A22D98&quot;/&gt;&lt;wsp:rsid wsp:val=&quot;648C3B2E&quot;/&gt;&lt;wsp:rsid wsp:val=&quot;67702502&quot;/&gt;&lt;wsp:rsid wsp:val=&quot;68B106FE&quot;/&gt;&lt;wsp:rsid wsp:val=&quot;69845BA5&quot;/&gt;&lt;wsp:rsid wsp:val=&quot;699340F5&quot;/&gt;&lt;wsp:rsid wsp:val=&quot;6ABB51FD&quot;/&gt;&lt;wsp:rsid wsp:val=&quot;6BA51E03&quot;/&gt;&lt;wsp:rsid wsp:val=&quot;6D0F48A1&quot;/&gt;&lt;wsp:rsid wsp:val=&quot;6E5E1E17&quot;/&gt;&lt;wsp:rsid wsp:val=&quot;6ECF755A&quot;/&gt;&lt;wsp:rsid wsp:val=&quot;6F060991&quot;/&gt;&lt;wsp:rsid wsp:val=&quot;6FD1670D&quot;/&gt;&lt;wsp:rsid wsp:val=&quot;73EA2AA9&quot;/&gt;&lt;wsp:rsid wsp:val=&quot;76117BAB&quot;/&gt;&lt;wsp:rsid wsp:val=&quot;76244F59&quot;/&gt;&lt;wsp:rsid wsp:val=&quot;76854E63&quot;/&gt;&lt;wsp:rsid wsp:val=&quot;777E3C5F&quot;/&gt;&lt;wsp:rsid wsp:val=&quot;7A0F70A9&quot;/&gt;&lt;wsp:rsid wsp:val=&quot;7BD70A60&quot;/&gt;&lt;wsp:rsid wsp:val=&quot;7E21356B&quot;/&gt;&lt;wsp:rsid wsp:val=&quot;7EFE0D38&quot;/&gt;&lt;/wsp:rsids&gt;&lt;/w:docPr&gt;&lt;w:body&gt;&lt;wx:sect&gt;&lt;w:p wsp:rsidR=&quot;00000000&quot; wsp:rsidRPr=&quot;00DE1966&quot; wsp:rsidRDefault=&quot;00DE1966&quot; wsp:rsidP=&quot;00DE1966&quot;&gt;&lt;m:oMathPara&gt;&lt;m:oMath&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L&lt;/m:t&gt;&lt;/m:r&gt;&lt;/m:e&gt;&lt;m:sub&gt;&lt;m:r&gt;&lt;m:rPr&gt;&lt;m:nor/&gt;&lt;/m:rPr&gt;&lt;w:rPr&gt;&lt;w:b-cs/&gt;&lt;w:i/&gt;&lt;w:color w:val=&quot;000000&quot;/&gt;&lt;w:sz w:val=&quot;24&quot;/&gt;&lt;w:sz-cs w:val=&quot;24&quot;/&gt;&lt;/w:rPr&gt;&lt;m:t&gt;p&lt;/m:t&gt;&lt;/m:r&gt;&lt;/m:sub&gt;&lt;/m:sSub&gt;&lt;m:d&gt;&lt;m:dPr&gt;&lt;m:begChr m:val=&quot;锛?/&gt;&lt;m:endChrz-------------------------- m:val=&quot;锛?/&gt;&lt;m:ctrlPr&gt;&lt;w:rPr&gt;&lt;w:rFonts w:ascii=&quot;Cambria Math&quot; w:h-ansi=&quot;Cambria Math&quot;/&gt;&lt;wx:font wx:val=&quot;Cambria Math&quot;/&gt;&lt;w:b-cs/&gt;&lt;w:i/&gt;&lt;w:color w:val=&quot;000000&quot;/&gt;&lt;w:sz w:val=&quot;24&quot;/&gt;&lt;w:sz-cs w:val=&quot;24&quot;/&gt;&lt;/w:rPr&gt;&lt;/m:ctrlPr&gt;&lt;/m:dPr&gt;&lt;m:e-&gt;-&lt;-m-:-r-&gt;-&lt;-m-:-r-P-r-&gt;-&lt;-m-:-n-o-r-/-&gt;-&lt;-/-m-z-:rPr&gt;&lt;w:rPr&gt;&lt;w:b-cs/&gt;&lt;w:i/&gt;&lt;w:color w:val=&quot;000000&quot;/&gt;&lt;w:sz w:val=&quot;24&quot;/&gt;&lt;w:sz-cs w:val=&quot;24&quot;/&gt;&lt;/w:rPr&gt;&lt;m:t&gt;r&lt;/m:t&gt;&lt;/m:r&gt;&lt;/m:e&gt;&lt;/m:d&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L&lt;/m:t&gt;&lt;/m:r&gt;&lt;/m:e&gt;&lt;m:sub&gt;&lt;m:r&gt;&lt;m:rPr&gt;&lt;m:nor/&gt;&lt;/m:rPr&gt;&lt;w:rPr&gt;&lt;w:b-cs/&gt;&lt;w:i/&gt;&lt;w:color w:val=&quot;000000&quot;/&gt;&lt;w:sz w:val=&quot;24&quot;/&gt;&lt;w:sz-cs w:val=&quot;24&quot;/&gt;&lt;/w:rPr&gt;&lt;m:t&gt;p&lt;/m:t&gt;&lt;/m:r&gt;&lt;/m:sub&gt;&lt;/m:sSub&gt;&lt;m:d&gt;&lt;m:dPr&gt;&lt;m:begChr m:val=&quot;锛?/&gt;&lt;m:endChr m:val=&quot;锛?/&gt;&lt;m:ctrlPr&gt;&lt;w:rPr&gt;&lt;w:rFonts w:ascii=&quot;Cambria Math&quot; w:h-ansi=&quot;Cambria Math&quot;/&gt;&lt;wx:font wx:val=&quot;Camb:criola orMa wth:v&quot;/al&gt;&lt;=&quot;w:00b-00cs00/&gt;&quot;/&lt;w&gt;&lt;:iw:/&gt;sz&lt;w w:c:volalor=&quot; w24:v&quot;/al&gt;&lt;=&quot;w:00sz00-c00s s w:&quot;/&gt;&lt;w:sz w:val=&quot;24&quot;/&gt;&lt;w:sz-cs w:val=&quot;24&quot;/&gt;&lt;/w:rPr&gt;&lt;/m:ctrlPr&gt;&lt;/m:dPr&gt;&lt;m:e&gt;&lt;m:sSub&gt;&lt;m:sSubPr&gt;&lt;m:ctrlPr&gt;&lt;w:rPr&gt;&lt;w:rFonts w:ascii=&quot;Cambria Math&quot; w:h-ansi=&quot;Cambria Math&quot;/&gt;&lt;wx:font wx:val=&quot;Cambria Math&quot;/&gt;&lt;w:b-cs/&gt;&lt;w:i/&gt;&lt;w:color w:val=&quot;000000&quot;/&gt;&lt;w:sz w:val=&quot;24&quot;/&gt;&lt;w:sz-cs w:val=&quot;24&quot;/&gt;&lt;/w:rPr&gt;&lt;/m:ctrlPr&gt;&lt;/m:sSubPr&gt;&lt;m:e&gt;&lt;m:r&gt;&lt;w:rPr&gt;&lt;w:rFonts w:ascii=&quot;Cambria Math&quot; w:h-ansi=&quot;Cambria Math&quot;/&gt;&lt;wx:font wx:val=&quot;Cambria Math&quot;/&gt;&lt;w:i/&gt;&lt;w:color w:val=&quot;000000&quot;/&gt;&lt;w:sz w:val=&quot;24&quot;/&gt;&lt;w:sz-cs w:val=&quot;24&quot;/&gt;&lt;/w:rPr&gt;&lt;m:t&gt;r&lt;/m:t&gt;&lt;/m:r&gt;&lt;/m:e&gt;&lt;m:sub&gt;&lt;m:r&gt;&lt;w:rPr&gt;&lt;w:rFonts w:ascii=&quot;Cambria Math&quot; w:h-ansi=&quot;Cambria Math&quot;/&gt;&lt;wx:font wx:val=&quot;Cambria Math&quot;/&gt;&lt;w:i/&gt;&lt;w:color w:val=&quot;000000&quot;/&gt;&lt;w:sz w:val=&quot;24&quot;/&gt;&lt;w:sz-cs w:val=&quot;24&quot;/&gt;&lt;/w:rPr&gt;&lt;m:t&gt;0&lt;/m:t&gt;&lt;/m:r&gt;&lt;/m:sub&gt;&lt;/m:sSub&gt;&lt;/m:e&gt;&lt;/m:d&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D&lt;/m:t&gt;&lt;/m:r&gt;&lt;/m:e&gt;&lt;m:sub&gt;&lt;m:r&gt;&lt;m:rPr&gt;&lt;m:nor/&gt;&lt;/m:rPr&gt;&lt;w:rPr&gt;&lt;w:b-cs/&gt;&lt;w:i/&gt;&lt;w:color w:val=&quot;000000&quot;/&gt;&lt;w:sz w:val=&quot;24&quot;/&gt;&lt;w:sz-cs w:val=&quot;24&quot;/&gt;&lt;/w:rPr&gt;&lt;m:t&gt;C&lt;/m:t&gt;&lt;/m:r&gt;&lt;/m:sub&gt;&lt;/m:sSub&gt;&lt;m:r&gt;&lt;m:rPr&gt;&lt;m:nor/&gt;&lt;/m:rPr&gt;&lt;w:rPr&gt;&lt;w:b-cs/&gt;&lt;w:i/&gt;&lt;w:color w:val=&quot;000000&quot;/&gt;&lt;w:sz w:val=&quot;24&quot;/&gt;&lt;w:sz-cs w:val=&quot;24&quot;/&gt;&lt;/w:rPr&gt;&lt;m:t&gt;-&lt;/m:t&gt;&lt;/m:r&gt;&lt;m:r&gt;&lt;m:rPr&gt;&lt;m:nor/&gt;&lt;/m:rPr&gt;&lt;w:rPr&gt;&lt;wx:font wx:val=&quot;瀹嬩綋&quot;/&gt;&lt;w:b-cs/&gt;&lt;w:i/&gt;&lt;w:color w:val=&quot;000000&quot;/&gt;&lt;w:ssubz w:&lt;/mval=sSu&quot;24&quot;&gt;&lt;m/&gt;&lt;wr&gt;&lt;:sz-:rPcs w&gt;&lt;m:valnor=&quot;24&gt;&lt;/&quot;/&gt;&lt;:rP/w:r&gt;&lt;wPr&gt;&lt;rPrm:t&gt;&lt;w:锛?/b-csm:t&gt;/&gt;&lt;w&lt;/m::i/&gt;r&gt;&lt;m&lt;w:c:sSuolorb&gt;&lt;m w:v:sSual=&quot;bPr&gt;0000&lt;m:c00&quot;/trlP&gt;&lt;w:r&gt;&lt;wsz w:rPr:val&gt;&lt;wl=&quot;24:rFonts w:ascii=&quot;Cambria Math&quot; w:h-ansi=&quot;Cambria Math&quot;/&gt;&lt;wx:font wxb:val=&quot;Cmambria uMath&quot;/&gt;m&lt;w:b-cs&lt;/&gt;&lt;w:i/P&gt;&lt;w:colmor w:varl=&quot;0000/00&quot;/&gt;&lt;wP:sz w:vwal=&quot;24&quot;r/&gt;&lt;w:sz:-cs w:val=&quot;24&quot;/&gt;&lt;/w:rPr&gt;&lt;/m:ctrlPr&gt;&lt;/m:sSubPr&gt;&lt;m:e&gt;&lt;m:r&gt;&lt;m:rPr&gt;&lt;m:nor/&gt;&lt;/m:rPr&gt;&lt;w:rPr&gt;&lt;w:b-cs/&gt;&lt;w:i/&gt;&lt;w:color w:val=&quot;000000&quot;/&gt;&lt;w:sz w:val=&quot;24&quot;/&gt;&lt;w:sz-cs w:val=&quot;24&quot;/&gt;&lt;/w:rPr&gt;&lt;m:t&gt;A&lt;/m:t&gt;&lt;/m:r&gt;&lt;/m:e&gt;&lt;m:sub&gt;&lt;m:r&gt;&lt;m:rPr&gt;&lt;m:nor/&gt;&lt;/m:rPr&gt;&lt;w:rPr&gt;&lt;w:b-cs/&gt;&lt;w:i/&gt;&lt;w:color w:val=&quot;000000&quot;/&gt;&lt;w:sz w:val=&quot;24&quot;/&gt;&lt;w:sz-cs w:val=&quot;24&quot;/&gt;&lt;/w:rPr&gt;&lt;m:t&gt;div&lt;/m:t&gt;&lt;/m:r&gt;&lt;/m:sub&gt;&lt;/m:sSub&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A&lt;/m:t&gt;&lt;/m:r&gt;&lt;/m:e&gt;&lt;m:sub&gt;&lt;m:r&gt;&lt;m:rPr&gt;&lt;m:nor/&gt;&lt;/m:rPr&gt;&lt;w:rPr&gt;&lt;w:b-cs/&gt;&lt;w:i/&gt;&lt;w:color w:val=&quot;000000&quot;/&gt;&lt;w:sz w:val=&quot;24&quot;/&gt;&lt;w:sz-cs w:val=&quot;24&quot;/&gt;&lt;/w:rPr&gt;&lt;m:t&gt;atm&lt;/m:t&gt;&lt;/m:r&gt;&lt;/m:sub&gt;&lt;/m:sSub&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A&lt;/m:t&gt;&lt;/m:r&gt;&lt;/m:e&gt;&lt;m:sub&gt;&lt;m:r&gt;&lt;m:rPr&gt;&lt;m:nor/&gt;&lt;/m:rPr&gt;&lt;w:rPr&gt;&lt;w:b-cs/&gt;&lt;w:i/&gt;&lt;w:color w:val=&quot;000000&quot;/&gt;&lt;w:sz w:val=&quot;24&quot;/&gt;&lt;w:sz-cs w:val=&quot;24&quot;/&gt;&lt;/w:rPr&gt;&lt;m:t&gt;gr&lt;/m:t&gt;&lt;/m:r&gt;&lt;/m:sub&gt;&lt;/m:sSub&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A&lt;/m:t&gt;&lt;/m:r&gt;&lt;/m:e&gt;&lt;m:sub&gt;&lt;m:r&gt;&lt;m:rPr&gt;&lt;m:nor/&gt;&lt;/m:rPr&gt;&lt;w:rPr&gt;&lt;w:b-cs/&gt;&lt;w:i/&gt;&lt;w:color w:val=&quot;000000&quot;/&gt;&lt;w:sz w:val=&quot;24&quot;/&gt;&lt;w:sz-cs w:val=&quot;24&quot;/&gt;&lt;/w:rPr&gt;&lt;m:t&gt;bar&lt;/m:t&gt;&lt;/m:r&gt;&lt;/m:sub&gt;&lt;/m:sSub&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A&lt;/m:t&gt;&lt;/m:r&gt;&lt;/m:e&gt;&lt;m:sub&gt;&lt;m:r&gt;&lt;m:rPr&gt;&lt;m:nor/&gt;&lt;/m:rPr&gt;&lt;w:rPr&gt;&lt;w:b-cs/&gt;&lt;w:i/&gt;&lt;w:color w:val=&quot;000000&quot;/&gt;&lt;w:sz w:val=&quot;24&quot;/&gt;&lt;w:sz-cs w:val=&quot;24&quot;/&gt;&lt;/w:rPr&gt;&lt;m:t&gt;misc&lt;/m:t&gt;&lt;/m:r&gt;&lt;/m:sub&gt;&lt;/m:sSub&gt;&lt;m:r&gt;&lt;m:rPr&gt;&lt;m:nor/&gt;&lt;/m:rPr&gt;&lt;w:rPr&gt;&lt;wx:font wx:val=&quot;瀹嬩綋&quot;/&gt;&lt;w:b-cs/&gt;&lt;w:i/&gt;&lt;w:color w:val=&quot;m:s000000&quot;/:r&gt;&gt;&lt;w:sz wr&gt;&lt;:val=&quot;24/&gt;&lt;&quot;/&gt;&lt;w:szr&gt;&lt;-cs w:va&gt;&lt;wl=&quot;24&quot;/&gt;/&gt;&lt;&lt;/w:rPr&gt;&lt;w:&lt;m:t&gt;锛?r w:/m:t&gt;&lt;/m&quot;000:r&gt;&lt;/m:o/&gt;&lt;wMath&gt;&lt;/mw:va:oMathPa4&quot;/&gt;ra&gt;&lt;/w:pz-cs&gt;&lt;w:sectal=&quot;Pr wsp:r&gt;&lt;/wsidR=&quot;00&gt;&lt;m:000000&quot; sc&lt;/wsp:rsid&lt;/m:RPr=&quot;00Dm:suE1966&quot;&gt;&lt;m:sSw:pgSz wm:r&gt;:w=&quot;1224Prs&gt;&lt;0&quot; w:h=&quot;r&gt;/&gt;&lt;15840&quot;/&gt;&lt;Pr&gt;&lt;&lt;w:pgMa&lt;Pr&gt;&lt;wr w:to&lt;p=&quot;1440&quot; w:wright=&quot;1800&lt;&quot; w:bottom=:&quot;1440&quot; w:left=&quot;1800&quot; w:header=&quot;720&quot; w:footer=&quot;720&quot; w:gutter=&quot;0&quot;/&gt;&lt;w:cols w:space=&quot;720&quot;/&gt;&lt;/w:sectPr&gt;&lt;/wx:sect&gt;&lt;/w:body&gt;&lt;/w:wordDocument&gt;">
                  <v:path/>
                  <v:fill on="f" focussize="0,0"/>
                  <v:stroke on="f" joinstyle="miter"/>
                  <v:imagedata r:id="rId18" chromakey="#FFFFFF" o:title=""/>
                  <o:lock v:ext="edit" aspectratio="t"/>
                  <w10:wrap type="none"/>
                  <w10:anchorlock/>
                </v:shape>
              </w:pict>
            </w:r>
          </w:p>
          <w:p w14:paraId="51266574">
            <w:pPr>
              <w:adjustRightInd w:val="0"/>
              <w:snapToGrid w:val="0"/>
              <w:spacing w:line="360" w:lineRule="auto"/>
              <w:ind w:firstLine="480" w:firstLineChars="200"/>
              <w:rPr>
                <w:bCs/>
                <w:color w:val="000000"/>
                <w:sz w:val="24"/>
                <w:szCs w:val="24"/>
              </w:rPr>
            </w:pPr>
            <w:r>
              <w:rPr>
                <w:bCs/>
                <w:color w:val="000000"/>
                <w:sz w:val="24"/>
                <w:szCs w:val="24"/>
              </w:rPr>
              <w:fldChar w:fldCharType="begin"/>
            </w:r>
            <w:r>
              <w:rPr>
                <w:bCs/>
                <w:color w:val="000000"/>
                <w:sz w:val="24"/>
                <w:szCs w:val="24"/>
              </w:rPr>
              <w:instrText xml:space="preserve"> = 2 \* GB3 \* MERGEFORMAT </w:instrText>
            </w:r>
            <w:r>
              <w:rPr>
                <w:bCs/>
                <w:color w:val="000000"/>
                <w:sz w:val="24"/>
                <w:szCs w:val="24"/>
              </w:rPr>
              <w:fldChar w:fldCharType="separate"/>
            </w:r>
            <w:r>
              <w:rPr>
                <w:rFonts w:hint="eastAsia" w:ascii="宋体" w:hAnsi="宋体" w:cs="宋体"/>
                <w:bCs/>
                <w:color w:val="000000"/>
                <w:sz w:val="24"/>
                <w:szCs w:val="24"/>
              </w:rPr>
              <w:t>②</w:t>
            </w:r>
            <w:r>
              <w:rPr>
                <w:bCs/>
                <w:color w:val="000000"/>
                <w:sz w:val="24"/>
                <w:szCs w:val="24"/>
              </w:rPr>
              <w:fldChar w:fldCharType="end"/>
            </w:r>
            <w:r>
              <w:rPr>
                <w:bCs/>
                <w:color w:val="000000"/>
                <w:sz w:val="24"/>
                <w:szCs w:val="24"/>
              </w:rPr>
              <w:t>室内声源等效室外声源声功率级计算方法</w:t>
            </w:r>
          </w:p>
          <w:p w14:paraId="490EF61F">
            <w:pPr>
              <w:adjustRightInd w:val="0"/>
              <w:snapToGrid w:val="0"/>
              <w:spacing w:line="360" w:lineRule="auto"/>
              <w:ind w:firstLine="480" w:firstLineChars="200"/>
              <w:rPr>
                <w:bCs/>
                <w:color w:val="000000"/>
                <w:sz w:val="24"/>
                <w:szCs w:val="24"/>
              </w:rPr>
            </w:pPr>
            <w:r>
              <w:rPr>
                <w:bCs/>
                <w:color w:val="000000"/>
                <w:sz w:val="24"/>
                <w:szCs w:val="24"/>
              </w:rPr>
              <w:t>本项目位于室内的声源，室内声源采用等效室外声源声功率级法进行计算。室外的倍频带声压级参考附录B中B.1公式近似求出：</w:t>
            </w:r>
          </w:p>
          <w:p w14:paraId="5E04DB13">
            <w:pPr>
              <w:adjustRightInd w:val="0"/>
              <w:snapToGrid w:val="0"/>
              <w:spacing w:line="360" w:lineRule="auto"/>
              <w:ind w:firstLine="420" w:firstLineChars="200"/>
              <w:rPr>
                <w:bCs/>
                <w:color w:val="000000"/>
                <w:sz w:val="24"/>
                <w:szCs w:val="24"/>
              </w:rPr>
            </w:pPr>
            <w:r>
              <w:pict>
                <v:shape id="_x0000_i1029" o:spt="75" type="#_x0000_t75" style="height:15.6pt;width:95.75pt;" filled="f" o:preferrelative="t" stroked="f" coordsize="21600,21600"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80&quot;/&gt;&lt;w:displayBackgroundShape/&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docVars&gt;&lt;w:docVar w:name=&quot;commondata&quot; w:val=&quot;eyJoZGlkIjoiYzYxMTk3NTc1NzI3NTBmNjE3NTg5YTVhYmVmNzdhOWQifQ==&quot;/&gt;&lt;/w:docVars&gt;&lt;wsp:rsids&gt;&lt;wsp:rsidRoot wsp:val=&quot;00172A27&quot;/&gt;&lt;wsp:rsid wsp:val=&quot;000000E1&quot;/&gt;&lt;wsp:rsid wsp:val=&quot;00000384&quot;/&gt;&lt;wsp:rsid wsp:val=&quot;000006AB&quot;/&gt;&lt;wsp:rsid wsp:val=&quot;000009D1&quot;/&gt;&lt;wsp:rsid wsp:val=&quot;00001235&quot;/&gt;&lt;wsp:rsid wsp:val=&quot;000014A9&quot;/&gt;&lt;wsp:rsid wsp:val=&quot;000022C8&quot;/&gt;&lt;wsp:rsid wsp:val=&quot;00002B6D&quot;/&gt;&lt;wsp:rsid wsp:val=&quot;00002DC4&quot;/&gt;&lt;wsp:rsid wsp:val=&quot;000032CD&quot;/&gt;&lt;wsp:rsid wsp:val=&quot;000034AA&quot;/&gt;&lt;wsp:rsid wsp:val=&quot;0000355C&quot;/&gt;&lt;wsp:rsid wsp:val=&quot;00003718&quot;/&gt;&lt;wsp:rsid wsp:val=&quot;000038BB&quot;/&gt;&lt;wsp:rsid wsp:val=&quot;00003FCC&quot;/&gt;&lt;wsp:rsid wsp:val=&quot;00004021&quot;/&gt;&lt;wsp:rsid wsp:val=&quot;00004A8A&quot;/&gt;&lt;wsp:rsid wsp:val=&quot;00005F47&quot;/&gt;&lt;wsp:rsid wsp:val=&quot;00006EB1&quot;/&gt;&lt;wsp:rsid wsp:val=&quot;0000713A&quot;/&gt;&lt;wsp:rsid wsp:val=&quot;000072D5&quot;/&gt;&lt;wsp:rsid wsp:val=&quot;00007BE5&quot;/&gt;&lt;wsp:rsid wsp:val=&quot;0001075F&quot;/&gt;&lt;wsp:rsid wsp:val=&quot;000114A3&quot;/&gt;&lt;wsp:rsid wsp:val=&quot;000122D0&quot;/&gt;&lt;wsp:rsid wsp:val=&quot;00012356&quot;/&gt;&lt;wsp:rsid wsp:val=&quot;000123CF&quot;/&gt;&lt;wsp:rsid wsp:val=&quot;000130F0&quot;/&gt;&lt;wsp:rsid wsp:val=&quot;0001348A&quot;/&gt;&lt;wsp:rsid wsp:val=&quot;00013BF5&quot;/&gt;&lt;wsp:rsid wsp:val=&quot;00013CBF&quot;/&gt;&lt;wsp:rsid wsp:val=&quot;00014340&quot;/&gt;&lt;wsp:rsid wsp:val=&quot;00014DB6&quot;/&gt;&lt;wsp:rsid wsp:val=&quot;0001517C&quot;/&gt;&lt;wsp:rsid wsp:val=&quot;000154A5&quot;/&gt;&lt;wsp:rsid wsp:val=&quot;00015A1F&quot;/&gt;&lt;wsp:rsid wsp:val=&quot;00015BB0&quot;/&gt;&lt;wsp:rsid wsp:val=&quot;00016A81&quot;/&gt;&lt;wsp:rsid wsp:val=&quot;00016EC0&quot;/&gt;&lt;wsp:rsid wsp:val=&quot;0001730A&quot;/&gt;&lt;wsp:rsid wsp:val=&quot;00017469&quot;/&gt;&lt;wsp:rsid wsp:val=&quot;0001755D&quot;/&gt;&lt;wsp:rsid wsp:val=&quot;00017CEA&quot;/&gt;&lt;wsp:rsid wsp:val=&quot;00017F89&quot;/&gt;&lt;wsp:rsid wsp:val=&quot;00020D89&quot;/&gt;&lt;wsp:rsid wsp:val=&quot;00021E12&quot;/&gt;&lt;wsp:rsid wsp:val=&quot;00021E6B&quot;/&gt;&lt;wsp:rsid wsp:val=&quot;000224B7&quot;/&gt;&lt;wsp:rsid wsp:val=&quot;0002338D&quot;/&gt;&lt;wsp:rsid wsp:val=&quot;00023A95&quot;/&gt;&lt;wsp:rsid wsp:val=&quot;000240ED&quot;/&gt;&lt;wsp:rsid wsp:val=&quot;00024481&quot;/&gt;&lt;wsp:rsid wsp:val=&quot;000245B2&quot;/&gt;&lt;wsp:rsid wsp:val=&quot;00024E4C&quot;/&gt;&lt;wsp:rsid wsp:val=&quot;00025204&quot;/&gt;&lt;wsp:rsid wsp:val=&quot;00025A1D&quot;/&gt;&lt;wsp:rsid wsp:val=&quot;00025FDA&quot;/&gt;&lt;wsp:rsid wsp:val=&quot;000261E7&quot;/&gt;&lt;wsp:rsid wsp:val=&quot;00026A7E&quot;/&gt;&lt;wsp:rsid wsp:val=&quot;00026E58&quot;/&gt;&lt;wsp:rsid wsp:val=&quot;000275E4&quot;/&gt;&lt;wsp:rsid wsp:val=&quot;00027BBB&quot;/&gt;&lt;wsp:rsid wsp:val=&quot;00027E5A&quot;/&gt;&lt;wsp:rsid wsp:val=&quot;00027F18&quot;/&gt;&lt;wsp:rsid wsp:val=&quot;0003029B&quot;/&gt;&lt;wsp:rsid wsp:val=&quot;000303DC&quot;/&gt;&lt;wsp:rsid wsp:val=&quot;0003057F&quot;/&gt;&lt;wsp:rsid wsp:val=&quot;00030993&quot;/&gt;&lt;wsp:rsid wsp:val=&quot;00030CCD&quot;/&gt;&lt;wsp:rsid wsp:val=&quot;00032665&quot;/&gt;&lt;wsp:rsid wsp:val=&quot;000327B7&quot;/&gt;&lt;wsp:rsid wsp:val=&quot;00032A9F&quot;/&gt;&lt;wsp:rsid wsp:val=&quot;00032BFA&quot;/&gt;&lt;wsp:rsid wsp:val=&quot;00032D02&quot;/&gt;&lt;wsp:rsid wsp:val=&quot;00032FB9&quot;/&gt;&lt;wsp:rsid wsp:val=&quot;0003314E&quot;/&gt;&lt;wsp:rsid wsp:val=&quot;000332B9&quot;/&gt;&lt;wsp:rsid wsp:val=&quot;00033402&quot;/&gt;&lt;wsp:rsid wsp:val=&quot;00033925&quot;/&gt;&lt;wsp:rsid wsp:val=&quot;000339F8&quot;/&gt;&lt;wsp:rsid wsp:val=&quot;00033EEB&quot;/&gt;&lt;wsp:rsid wsp:val=&quot;000343C9&quot;/&gt;&lt;wsp:rsid wsp:val=&quot;00034E5F&quot;/&gt;&lt;wsp:rsid wsp:val=&quot;00035946&quot;/&gt;&lt;wsp:rsid wsp:val=&quot;00035DBC&quot;/&gt;&lt;wsp:rsid wsp:val=&quot;0003607A&quot;/&gt;&lt;wsp:rsid wsp:val=&quot;000368CA&quot;/&gt;&lt;wsp:rsid wsp:val=&quot;000369B8&quot;/&gt;&lt;wsp:rsid wsp:val=&quot;00036D60&quot;/&gt;&lt;wsp:rsid wsp:val=&quot;00036F18&quot;/&gt;&lt;wsp:rsid wsp:val=&quot;000379E1&quot;/&gt;&lt;wsp:rsid wsp:val=&quot;00037B71&quot;/&gt;&lt;wsp:rsid wsp:val=&quot;00037C97&quot;/&gt;&lt;wsp:rsid wsp:val=&quot;000403A0&quot;/&gt;&lt;wsp:rsid wsp:val=&quot;00040E2F&quot;/&gt;&lt;wsp:rsid wsp:val=&quot;00040FAB&quot;/&gt;&lt;wsp:rsid wsp:val=&quot;0004133E&quot;/&gt;&lt;wsp:rsid wsp:val=&quot;000419F0&quot;/&gt;&lt;wsp:rsid wsp:val=&quot;00041DDD&quot;/&gt;&lt;wsp:rsid wsp:val=&quot;00041DF7&quot;/&gt;&lt;wsp:rsid wsp:val=&quot;0004231E&quot;/&gt;&lt;wsp:rsid wsp:val=&quot;000428F9&quot;/&gt;&lt;wsp:rsid wsp:val=&quot;0004324C&quot;/&gt;&lt;wsp:rsid wsp:val=&quot;00043302&quot;/&gt;&lt;wsp:rsid wsp:val=&quot;00043460&quot;/&gt;&lt;wsp:rsid wsp:val=&quot;0004381A&quot;/&gt;&lt;wsp:rsid wsp:val=&quot;00043A61&quot;/&gt;&lt;wsp:rsid wsp:val=&quot;00044079&quot;/&gt;&lt;wsp:rsid wsp:val=&quot;00044735&quot;/&gt;&lt;wsp:rsid wsp:val=&quot;00044945&quot;/&gt;&lt;wsp:rsid wsp:val=&quot;000451D9&quot;/&gt;&lt;wsp:rsid wsp:val=&quot;00046136&quot;/&gt;&lt;wsp:rsid wsp:val=&quot;00046842&quot;/&gt;&lt;wsp:rsid wsp:val=&quot;00047117&quot;/&gt;&lt;wsp:rsid wsp:val=&quot;00047226&quot;/&gt;&lt;wsp:rsid wsp:val=&quot;0004742D&quot;/&gt;&lt;wsp:rsid wsp:val=&quot;000478BE&quot;/&gt;&lt;wsp:rsid wsp:val=&quot;00047D6E&quot;/&gt;&lt;wsp:rsid wsp:val=&quot;00047DA1&quot;/&gt;&lt;wsp:rsid wsp:val=&quot;0005042F&quot;/&gt;&lt;wsp:rsid wsp:val=&quot;00050A8E&quot;/&gt;&lt;wsp:rsid wsp:val=&quot;00050AF8&quot;/&gt;&lt;wsp:rsid wsp:val=&quot;00050BBA&quot;/&gt;&lt;wsp:rsid wsp:val=&quot;00050E97&quot;/&gt;&lt;wsp:rsid wsp:val=&quot;00050EF2&quot;/&gt;&lt;wsp:rsid wsp:val=&quot;000510FC&quot;/&gt;&lt;wsp:rsid wsp:val=&quot;000513EB&quot;/&gt;&lt;wsp:rsid wsp:val=&quot;0005152E&quot;/&gt;&lt;wsp:rsid wsp:val=&quot;00051CE8&quot;/&gt;&lt;wsp:rsid wsp:val=&quot;00051EC6&quot;/&gt;&lt;wsp:rsid wsp:val=&quot;0005203D&quot;/&gt;&lt;wsp:rsid wsp:val=&quot;000525A1&quot;/&gt;&lt;wsp:rsid wsp:val=&quot;00052790&quot;/&gt;&lt;wsp:rsid wsp:val=&quot;00053ABF&quot;/&gt;&lt;wsp:rsid wsp:val=&quot;00053CC4&quot;/&gt;&lt;wsp:rsid wsp:val=&quot;00053FC8&quot;/&gt;&lt;wsp:rsid wsp:val=&quot;0005435D&quot;/&gt;&lt;wsp:rsid wsp:val=&quot;00054CBF&quot;/&gt;&lt;wsp:rsid wsp:val=&quot;00054CF1&quot;/&gt;&lt;wsp:rsid wsp:val=&quot;00054E06&quot;/&gt;&lt;wsp:rsid wsp:val=&quot;00054E67&quot;/&gt;&lt;wsp:rsid wsp:val=&quot;00056697&quot;/&gt;&lt;wsp:rsid wsp:val=&quot;0005719D&quot;/&gt;&lt;wsp:rsid wsp:val=&quot;00057445&quot;/&gt;&lt;wsp:rsid wsp:val=&quot;000575FC&quot;/&gt;&lt;wsp:rsid wsp:val=&quot;00057AC4&quot;/&gt;&lt;wsp:rsid wsp:val=&quot;00057D9D&quot;/&gt;&lt;wsp:rsid wsp:val=&quot;00060708&quot;/&gt;&lt;wsp:rsid wsp:val=&quot;00060AC3&quot;/&gt;&lt;wsp:rsid wsp:val=&quot;00060BF1&quot;/&gt;&lt;wsp:rsid wsp:val=&quot;00061A2B&quot;/&gt;&lt;wsp:rsid wsp:val=&quot;00062344&quot;/&gt;&lt;wsp:rsid wsp:val=&quot;00062606&quot;/&gt;&lt;wsp:rsid wsp:val=&quot;00062675&quot;/&gt;&lt;wsp:rsid wsp:val=&quot;00062692&quot;/&gt;&lt;wsp:rsid wsp:val=&quot;00062AC1&quot;/&gt;&lt;wsp:rsid wsp:val=&quot;00062FD6&quot;/&gt;&lt;wsp:rsid wsp:val=&quot;00063457&quot;/&gt;&lt;wsp:rsid wsp:val=&quot;000639DD&quot;/&gt;&lt;wsp:rsid wsp:val=&quot;00063BB0&quot;/&gt;&lt;wsp:rsid wsp:val=&quot;00063CDE&quot;/&gt;&lt;wsp:rsid wsp:val=&quot;00063E4C&quot;/&gt;&lt;wsp:rsid wsp:val=&quot;00063F85&quot;/&gt;&lt;wsp:rsid wsp:val=&quot;0006454E&quot;/&gt;&lt;wsp:rsid wsp:val=&quot;00065025&quot;/&gt;&lt;wsp:rsid wsp:val=&quot;0006572B&quot;/&gt;&lt;wsp:rsid wsp:val=&quot;000665A5&quot;/&gt;&lt;wsp:rsid wsp:val=&quot;000672FE&quot;/&gt;&lt;wsp:rsid wsp:val=&quot;00070280&quot;/&gt;&lt;wsp:rsid wsp:val=&quot;00070A32&quot;/&gt;&lt;wsp:rsid wsp:val=&quot;00070F4C&quot;/&gt;&lt;wsp:rsid wsp:val=&quot;000713B5&quot;/&gt;&lt;wsp:rsid wsp:val=&quot;00071AD0&quot;/&gt;&lt;wsp:rsid wsp:val=&quot;00071E2D&quot;/&gt;&lt;wsp:rsid wsp:val=&quot;0007206C&quot;/&gt;&lt;wsp:rsid wsp:val=&quot;00072397&quot;/&gt;&lt;wsp:rsid wsp:val=&quot;00072D6D&quot;/&gt;&lt;wsp:rsid wsp:val=&quot;000731EF&quot;/&gt;&lt;wsp:rsid wsp:val=&quot;00073780&quot;/&gt;&lt;wsp:rsid wsp:val=&quot;00073A88&quot;/&gt;&lt;wsp:rsid wsp:val=&quot;00073B30&quot;/&gt;&lt;wsp:rsid wsp:val=&quot;00074EF3&quot;/&gt;&lt;wsp:rsid wsp:val=&quot;000750CA&quot;/&gt;&lt;wsp:rsid wsp:val=&quot;0007642D&quot;/&gt;&lt;wsp:rsid wsp:val=&quot;00076989&quot;/&gt;&lt;wsp:rsid wsp:val=&quot;00076B05&quot;/&gt;&lt;wsp:rsid wsp:val=&quot;0008046A&quot;/&gt;&lt;wsp:rsid wsp:val=&quot;000820A1&quot;/&gt;&lt;wsp:rsid wsp:val=&quot;00082718&quot;/&gt;&lt;wsp:rsid wsp:val=&quot;00082780&quot;/&gt;&lt;wsp:rsid wsp:val=&quot;00082836&quot;/&gt;&lt;wsp:rsid wsp:val=&quot;00082A7E&quot;/&gt;&lt;wsp:rsid wsp:val=&quot;00082B73&quot;/&gt;&lt;wsp:rsid wsp:val=&quot;00082BB1&quot;/&gt;&lt;wsp:rsid wsp:val=&quot;00082C63&quot;/&gt;&lt;wsp:rsid wsp:val=&quot;00083256&quot;/&gt;&lt;wsp:rsid wsp:val=&quot;00083A9D&quot;/&gt;&lt;wsp:rsid wsp:val=&quot;000847DE&quot;/&gt;&lt;wsp:rsid wsp:val=&quot;00084C61&quot;/&gt;&lt;wsp:rsid wsp:val=&quot;00084E5B&quot;/&gt;&lt;wsp:rsid wsp:val=&quot;0008524B&quot;/&gt;&lt;wsp:rsid wsp:val=&quot;0008557C&quot;/&gt;&lt;wsp:rsid wsp:val=&quot;00085970&quot;/&gt;&lt;wsp:rsid wsp:val=&quot;00085F0E&quot;/&gt;&lt;wsp:rsid wsp:val=&quot;00086DA3&quot;/&gt;&lt;wsp:rsid wsp:val=&quot;00087183&quot;/&gt;&lt;wsp:rsid wsp:val=&quot;00087EB8&quot;/&gt;&lt;wsp:rsid wsp:val=&quot;0009007B&quot;/&gt;&lt;wsp:rsid wsp:val=&quot;00090B2E&quot;/&gt;&lt;wsp:rsid wsp:val=&quot;00090B96&quot;/&gt;&lt;wsp:rsid wsp:val=&quot;00090BE8&quot;/&gt;&lt;wsp:rsid wsp:val=&quot;00090CAD&quot;/&gt;&lt;wsp:rsid wsp:val=&quot;00091336&quot;/&gt;&lt;wsp:rsid wsp:val=&quot;00091435&quot;/&gt;&lt;wsp:rsid wsp:val=&quot;00091EAE&quot;/&gt;&lt;wsp:rsid wsp:val=&quot;00092501&quot;/&gt;&lt;wsp:rsid wsp:val=&quot;00093107&quot;/&gt;&lt;wsp:rsid wsp:val=&quot;000937A1&quot;/&gt;&lt;wsp:rsid wsp:val=&quot;0009433D&quot;/&gt;&lt;wsp:rsid wsp:val=&quot;00095509&quot;/&gt;&lt;wsp:rsid wsp:val=&quot;00095519&quot;/&gt;&lt;wsp:rsid wsp:val=&quot;000957BC&quot;/&gt;&lt;wsp:rsid wsp:val=&quot;00095A1A&quot;/&gt;&lt;wsp:rsid wsp:val=&quot;00095BDC&quot;/&gt;&lt;wsp:rsid wsp:val=&quot;0009632C&quot;/&gt;&lt;wsp:rsid wsp:val=&quot;0009675A&quot;/&gt;&lt;wsp:rsid wsp:val=&quot;00096A33&quot;/&gt;&lt;wsp:rsid wsp:val=&quot;00096C0E&quot;/&gt;&lt;wsp:rsid wsp:val=&quot;00097294&quot;/&gt;&lt;wsp:rsid wsp:val=&quot;00097BBF&quot;/&gt;&lt;wsp:rsid wsp:val=&quot;00097E40&quot;/&gt;&lt;wsp:rsid wsp:val=&quot;000A0A75&quot;/&gt;&lt;wsp:rsid wsp:val=&quot;000A0B0C&quot;/&gt;&lt;wsp:rsid wsp:val=&quot;000A0F15&quot;/&gt;&lt;wsp:rsid wsp:val=&quot;000A1578&quot;/&gt;&lt;wsp:rsid wsp:val=&quot;000A19B5&quot;/&gt;&lt;wsp:rsid wsp:val=&quot;000A19B7&quot;/&gt;&lt;wsp:rsid wsp:val=&quot;000A1DD4&quot;/&gt;&lt;wsp:rsid wsp:val=&quot;000A1EAF&quot;/&gt;&lt;wsp:rsid wsp:val=&quot;000A1EFA&quot;/&gt;&lt;wsp:rsid wsp:val=&quot;000A2DEC&quot;/&gt;&lt;wsp:rsid wsp:val=&quot;000A3147&quot;/&gt;&lt;wsp:rsid wsp:val=&quot;000A3333&quot;/&gt;&lt;wsp:rsid wsp:val=&quot;000A3931&quot;/&gt;&lt;wsp:rsid wsp:val=&quot;000A44C6&quot;/&gt;&lt;wsp:rsid wsp:val=&quot;000A46B2&quot;/&gt;&lt;wsp:rsid wsp:val=&quot;000A4D6D&quot;/&gt;&lt;wsp:rsid wsp:val=&quot;000A61DB&quot;/&gt;&lt;wsp:rsid wsp:val=&quot;000A675B&quot;/&gt;&lt;wsp:rsid wsp:val=&quot;000A7337&quot;/&gt;&lt;wsp:rsid wsp:val=&quot;000A741E&quot;/&gt;&lt;wsp:rsid wsp:val=&quot;000A7CE7&quot;/&gt;&lt;wsp:rsid wsp:val=&quot;000B0216&quot;/&gt;&lt;wsp:rsid wsp:val=&quot;000B03F5&quot;/&gt;&lt;wsp:rsid wsp:val=&quot;000B064B&quot;/&gt;&lt;wsp:rsid wsp:val=&quot;000B0F8E&quot;/&gt;&lt;wsp:rsid wsp:val=&quot;000B0FCB&quot;/&gt;&lt;wsp:rsid wsp:val=&quot;000B1EC8&quot;/&gt;&lt;wsp:rsid wsp:val=&quot;000B264B&quot;/&gt;&lt;wsp:rsid wsp:val=&quot;000B2DAA&quot;/&gt;&lt;wsp:rsid wsp:val=&quot;000B2E4A&quot;/&gt;&lt;wsp:rsid wsp:val=&quot;000B31CA&quot;/&gt;&lt;wsp:rsid wsp:val=&quot;000B31F7&quot;/&gt;&lt;wsp:rsid wsp:val=&quot;000B4062&quot;/&gt;&lt;wsp:rsid wsp:val=&quot;000B45A4&quot;/&gt;&lt;wsp:rsid wsp:val=&quot;000B4AD7&quot;/&gt;&lt;wsp:rsid wsp:val=&quot;000B5458&quot;/&gt;&lt;wsp:rsid wsp:val=&quot;000B55AF&quot;/&gt;&lt;wsp:rsid wsp:val=&quot;000B5B93&quot;/&gt;&lt;wsp:rsid wsp:val=&quot;000B5E06&quot;/&gt;&lt;wsp:rsid wsp:val=&quot;000B6106&quot;/&gt;&lt;wsp:rsid wsp:val=&quot;000B6678&quot;/&gt;&lt;wsp:rsid wsp:val=&quot;000B671F&quot;/&gt;&lt;wsp:rsid wsp:val=&quot;000B70F1&quot;/&gt;&lt;wsp:rsid wsp:val=&quot;000B744B&quot;/&gt;&lt;wsp:rsid wsp:val=&quot;000B7B79&quot;/&gt;&lt;wsp:rsid wsp:val=&quot;000C0B5E&quot;/&gt;&lt;wsp:rsid wsp:val=&quot;000C0C18&quot;/&gt;&lt;wsp:rsid wsp:val=&quot;000C0D66&quot;/&gt;&lt;wsp:rsid wsp:val=&quot;000C1120&quot;/&gt;&lt;wsp:rsid wsp:val=&quot;000C1252&quot;/&gt;&lt;wsp:rsid wsp:val=&quot;000C1AF2&quot;/&gt;&lt;wsp:rsid wsp:val=&quot;000C1EF9&quot;/&gt;&lt;wsp:rsid wsp:val=&quot;000C2262&quot;/&gt;&lt;wsp:rsid wsp:val=&quot;000C235E&quot;/&gt;&lt;wsp:rsid wsp:val=&quot;000C2459&quot;/&gt;&lt;wsp:rsid wsp:val=&quot;000C2967&quot;/&gt;&lt;wsp:rsid wsp:val=&quot;000C2C75&quot;/&gt;&lt;wsp:rsid wsp:val=&quot;000C2F5D&quot;/&gt;&lt;wsp:rsid wsp:val=&quot;000C3017&quot;/&gt;&lt;wsp:rsid wsp:val=&quot;000C316A&quot;/&gt;&lt;wsp:rsid wsp:val=&quot;000C369E&quot;/&gt;&lt;wsp:rsid wsp:val=&quot;000C436C&quot;/&gt;&lt;wsp:rsid wsp:val=&quot;000C47D6&quot;/&gt;&lt;wsp:rsid wsp:val=&quot;000C4E3B&quot;/&gt;&lt;wsp:rsid wsp:val=&quot;000C5CE0&quot;/&gt;&lt;wsp:rsid wsp:val=&quot;000C5E17&quot;/&gt;&lt;wsp:rsid wsp:val=&quot;000C5E29&quot;/&gt;&lt;wsp:rsid wsp:val=&quot;000C5F29&quot;/&gt;&lt;wsp:rsid wsp:val=&quot;000C61E6&quot;/&gt;&lt;wsp:rsid wsp:val=&quot;000C7137&quot;/&gt;&lt;wsp:rsid wsp:val=&quot;000C75A5&quot;/&gt;&lt;wsp:rsid wsp:val=&quot;000C79B7&quot;/&gt;&lt;wsp:rsid wsp:val=&quot;000C7C56&quot;/&gt;&lt;wsp:rsid wsp:val=&quot;000C7C5F&quot;/&gt;&lt;wsp:rsid wsp:val=&quot;000C7DBB&quot;/&gt;&lt;wsp:rsid wsp:val=&quot;000C7E0F&quot;/&gt;&lt;wsp:rsid wsp:val=&quot;000D06E9&quot;/&gt;&lt;wsp:rsid wsp:val=&quot;000D09C4&quot;/&gt;&lt;wsp:rsid wsp:val=&quot;000D0ECA&quot;/&gt;&lt;wsp:rsid wsp:val=&quot;000D22EE&quot;/&gt;&lt;wsp:rsid wsp:val=&quot;000D243F&quot;/&gt;&lt;wsp:rsid wsp:val=&quot;000D24E0&quot;/&gt;&lt;wsp:rsid wsp:val=&quot;000D385C&quot;/&gt;&lt;wsp:rsid wsp:val=&quot;000D4110&quot;/&gt;&lt;wsp:rsid wsp:val=&quot;000D4E93&quot;/&gt;&lt;wsp:rsid wsp:val=&quot;000D51E7&quot;/&gt;&lt;wsp:rsid wsp:val=&quot;000D573D&quot;/&gt;&lt;wsp:rsid wsp:val=&quot;000D5F41&quot;/&gt;&lt;wsp:rsid wsp:val=&quot;000D5F7F&quot;/&gt;&lt;wsp:rsid wsp:val=&quot;000D6463&quot;/&gt;&lt;wsp:rsid wsp:val=&quot;000D6FC9&quot;/&gt;&lt;wsp:rsid wsp:val=&quot;000D78F8&quot;/&gt;&lt;wsp:rsid wsp:val=&quot;000E0B11&quot;/&gt;&lt;wsp:rsid wsp:val=&quot;000E0B9B&quot;/&gt;&lt;wsp:rsid wsp:val=&quot;000E0D49&quot;/&gt;&lt;wsp:rsid wsp:val=&quot;000E0D4F&quot;/&gt;&lt;wsp:rsid wsp:val=&quot;000E1CB4&quot;/&gt;&lt;wsp:rsid wsp:val=&quot;000E1D2A&quot;/&gt;&lt;wsp:rsid wsp:val=&quot;000E24C3&quot;/&gt;&lt;wsp:rsid wsp:val=&quot;000E27B5&quot;/&gt;&lt;wsp:rsid wsp:val=&quot;000E2925&quot;/&gt;&lt;wsp:rsid wsp:val=&quot;000E2E1C&quot;/&gt;&lt;wsp:rsid wsp:val=&quot;000E3485&quot;/&gt;&lt;wsp:rsid wsp:val=&quot;000E34CD&quot;/&gt;&lt;wsp:rsid wsp:val=&quot;000E37E4&quot;/&gt;&lt;wsp:rsid wsp:val=&quot;000E492D&quot;/&gt;&lt;wsp:rsid wsp:val=&quot;000E4957&quot;/&gt;&lt;wsp:rsid wsp:val=&quot;000E4C70&quot;/&gt;&lt;wsp:rsid wsp:val=&quot;000E4D7D&quot;/&gt;&lt;wsp:rsid wsp:val=&quot;000E51C4&quot;/&gt;&lt;wsp:rsid wsp:val=&quot;000E55E2&quot;/&gt;&lt;wsp:rsid wsp:val=&quot;000E5CC4&quot;/&gt;&lt;wsp:rsid wsp:val=&quot;000E5E2A&quot;/&gt;&lt;wsp:rsid wsp:val=&quot;000E6CE0&quot;/&gt;&lt;wsp:rsid wsp:val=&quot;000E71DC&quot;/&gt;&lt;wsp:rsid wsp:val=&quot;000E7850&quot;/&gt;&lt;wsp:rsid wsp:val=&quot;000E7882&quot;/&gt;&lt;wsp:rsid wsp:val=&quot;000F06FB&quot;/&gt;&lt;wsp:rsid wsp:val=&quot;000F15F1&quot;/&gt;&lt;wsp:rsid wsp:val=&quot;000F1A26&quot;/&gt;&lt;wsp:rsid wsp:val=&quot;000F1C34&quot;/&gt;&lt;wsp:rsid wsp:val=&quot;000F1CE3&quot;/&gt;&lt;wsp:rsid wsp:val=&quot;000F2080&quot;/&gt;&lt;wsp:rsid wsp:val=&quot;000F2E83&quot;/&gt;&lt;wsp:rsid wsp:val=&quot;000F3DC7&quot;/&gt;&lt;wsp:rsid wsp:val=&quot;000F3EA9&quot;/&gt;&lt;wsp:rsid wsp:val=&quot;000F3FF0&quot;/&gt;&lt;wsp:rsid wsp:val=&quot;000F401A&quot;/&gt;&lt;wsp:rsid wsp:val=&quot;000F4380&quot;/&gt;&lt;wsp:rsid wsp:val=&quot;000F6629&quot;/&gt;&lt;wsp:rsid wsp:val=&quot;000F66BD&quot;/&gt;&lt;wsp:rsid wsp:val=&quot;000F7BC2&quot;/&gt;&lt;wsp:rsid wsp:val=&quot;001001EC&quot;/&gt;&lt;wsp:rsid wsp:val=&quot;001001ED&quot;/&gt;&lt;wsp:rsid wsp:val=&quot;001003BB&quot;/&gt;&lt;wsp:rsid wsp:val=&quot;00100D34&quot;/&gt;&lt;wsp:rsid wsp:val=&quot;001012DC&quot;/&gt;&lt;wsp:rsid wsp:val=&quot;001016E3&quot;/&gt;&lt;wsp:rsid wsp:val=&quot;0010206A&quot;/&gt;&lt;wsp:rsid wsp:val=&quot;001020EC&quot;/&gt;&lt;wsp:rsid wsp:val=&quot;0010273F&quot;/&gt;&lt;wsp:rsid wsp:val=&quot;00102EDF&quot;/&gt;&lt;wsp:rsid wsp:val=&quot;001034DB&quot;/&gt;&lt;wsp:rsid wsp:val=&quot;00103774&quot;/&gt;&lt;wsp:rsid wsp:val=&quot;0010390E&quot;/&gt;&lt;wsp:rsid wsp:val=&quot;001039C1&quot;/&gt;&lt;wsp:rsid wsp:val=&quot;00103C31&quot;/&gt;&lt;wsp:rsid wsp:val=&quot;0010503D&quot;/&gt;&lt;wsp:rsid wsp:val=&quot;001055E3&quot;/&gt;&lt;wsp:rsid wsp:val=&quot;00105C3A&quot;/&gt;&lt;wsp:rsid wsp:val=&quot;001071B2&quot;/&gt;&lt;wsp:rsid wsp:val=&quot;001073D3&quot;/&gt;&lt;wsp:rsid wsp:val=&quot;001075EA&quot;/&gt;&lt;wsp:rsid wsp:val=&quot;0010772D&quot;/&gt;&lt;wsp:rsid wsp:val=&quot;00107808&quot;/&gt;&lt;wsp:rsid wsp:val=&quot;00107CF3&quot;/&gt;&lt;wsp:rsid wsp:val=&quot;00107D8D&quot;/&gt;&lt;wsp:rsid wsp:val=&quot;00110191&quot;/&gt;&lt;wsp:rsid wsp:val=&quot;001106D8&quot;/&gt;&lt;wsp:rsid wsp:val=&quot;00110D9F&quot;/&gt;&lt;wsp:rsid wsp:val=&quot;00111EF3&quot;/&gt;&lt;wsp:rsid wsp:val=&quot;0011207F&quot;/&gt;&lt;wsp:rsid wsp:val=&quot;001121DC&quot;/&gt;&lt;wsp:rsid wsp:val=&quot;00113030&quot;/&gt;&lt;wsp:rsid wsp:val=&quot;00113291&quot;/&gt;&lt;wsp:rsid wsp:val=&quot;00113E68&quot;/&gt;&lt;wsp:rsid wsp:val=&quot;001147D7&quot;/&gt;&lt;wsp:rsid wsp:val=&quot;001150A9&quot;/&gt;&lt;wsp:rsid wsp:val=&quot;001165B3&quot;/&gt;&lt;wsp:rsid wsp:val=&quot;00117786&quot;/&gt;&lt;wsp:rsid wsp:val=&quot;00117AB9&quot;/&gt;&lt;wsp:rsid wsp:val=&quot;00117AE8&quot;/&gt;&lt;wsp:rsid wsp:val=&quot;001200DF&quot;/&gt;&lt;wsp:rsid wsp:val=&quot;001204F1&quot;/&gt;&lt;wsp:rsid wsp:val=&quot;00120677&quot;/&gt;&lt;wsp:rsid wsp:val=&quot;00120E1C&quot;/&gt;&lt;wsp:rsid wsp:val=&quot;00120EAD&quot;/&gt;&lt;wsp:rsid wsp:val=&quot;001211FD&quot;/&gt;&lt;wsp:rsid wsp:val=&quot;00121875&quot;/&gt;&lt;wsp:rsid wsp:val=&quot;001218B4&quot;/&gt;&lt;wsp:rsid wsp:val=&quot;00121B39&quot;/&gt;&lt;wsp:rsid wsp:val=&quot;00121DA9&quot;/&gt;&lt;wsp:rsid wsp:val=&quot;00122016&quot;/&gt;&lt;wsp:rsid wsp:val=&quot;00122099&quot;/&gt;&lt;wsp:rsid wsp:val=&quot;00122293&quot;/&gt;&lt;wsp:rsid wsp:val=&quot;00122C29&quot;/&gt;&lt;wsp:rsid wsp:val=&quot;00122E6C&quot;/&gt;&lt;wsp:rsid wsp:val=&quot;00123150&quot;/&gt;&lt;wsp:rsid wsp:val=&quot;001239C7&quot;/&gt;&lt;wsp:rsid wsp:val=&quot;00123B28&quot;/&gt;&lt;wsp:rsid wsp:val=&quot;00123B74&quot;/&gt;&lt;wsp:rsid wsp:val=&quot;001240F1&quot;/&gt;&lt;wsp:rsid wsp:val=&quot;00124460&quot;/&gt;&lt;wsp:rsid wsp:val=&quot;00124CF3&quot;/&gt;&lt;wsp:rsid wsp:val=&quot;00124D34&quot;/&gt;&lt;wsp:rsid wsp:val=&quot;00125145&quot;/&gt;&lt;wsp:rsid wsp:val=&quot;00126167&quot;/&gt;&lt;wsp:rsid wsp:val=&quot;00126AD4&quot;/&gt;&lt;wsp:rsid wsp:val=&quot;00127245&quot;/&gt;&lt;wsp:rsid wsp:val=&quot;0012729C&quot;/&gt;&lt;wsp:rsid wsp:val=&quot;001276BE&quot;/&gt;&lt;wsp:rsid wsp:val=&quot;00130AE8&quot;/&gt;&lt;wsp:rsid wsp:val=&quot;00131B56&quot;/&gt;&lt;wsp:rsid wsp:val=&quot;001329E5&quot;/&gt;&lt;wsp:rsid wsp:val=&quot;001330B9&quot;/&gt;&lt;wsp:rsid wsp:val=&quot;00133676&quot;/&gt;&lt;wsp:rsid wsp:val=&quot;00133A41&quot;/&gt;&lt;wsp:rsid wsp:val=&quot;00133C5F&quot;/&gt;&lt;wsp:rsid wsp:val=&quot;00133D0E&quot;/&gt;&lt;wsp:rsid wsp:val=&quot;00134204&quot;/&gt;&lt;wsp:rsid wsp:val=&quot;001345C5&quot;/&gt;&lt;wsp:rsid wsp:val=&quot;00134ED3&quot;/&gt;&lt;wsp:rsid wsp:val=&quot;001351E5&quot;/&gt;&lt;wsp:rsid wsp:val=&quot;00135303&quot;/&gt;&lt;wsp:rsid wsp:val=&quot;00135674&quot;/&gt;&lt;wsp:rsid wsp:val=&quot;001356A6&quot;/&gt;&lt;wsp:rsid wsp:val=&quot;00135733&quot;/&gt;&lt;wsp:rsid wsp:val=&quot;00135791&quot;/&gt;&lt;wsp:rsid wsp:val=&quot;0013585D&quot;/&gt;&lt;wsp:rsid wsp:val=&quot;001359A0&quot;/&gt;&lt;wsp:rsid wsp:val=&quot;0013611F&quot;/&gt;&lt;wsp:rsid wsp:val=&quot;0013619C&quot;/&gt;&lt;wsp:rsid wsp:val=&quot;00136DF3&quot;/&gt;&lt;wsp:rsid wsp:val=&quot;001372FF&quot;/&gt;&lt;wsp:rsid wsp:val=&quot;001378EF&quot;/&gt;&lt;wsp:rsid wsp:val=&quot;00137988&quot;/&gt;&lt;wsp:rsid wsp:val=&quot;00140863&quot;/&gt;&lt;wsp:rsid wsp:val=&quot;001412A7&quot;/&gt;&lt;wsp:rsid wsp:val=&quot;0014131F&quot;/&gt;&lt;wsp:rsid wsp:val=&quot;001420AB&quot;/&gt;&lt;wsp:rsid wsp:val=&quot;001420B8&quot;/&gt;&lt;wsp:rsid wsp:val=&quot;001428CC&quot;/&gt;&lt;wsp:rsid wsp:val=&quot;00142AC5&quot;/&gt;&lt;wsp:rsid wsp:val=&quot;00142E23&quot;/&gt;&lt;wsp:rsid wsp:val=&quot;00143B23&quot;/&gt;&lt;wsp:rsid wsp:val=&quot;001444D2&quot;/&gt;&lt;wsp:rsid wsp:val=&quot;0014466A&quot;/&gt;&lt;wsp:rsid wsp:val=&quot;00144FBB&quot;/&gt;&lt;wsp:rsid wsp:val=&quot;00145316&quot;/&gt;&lt;wsp:rsid wsp:val=&quot;00145633&quot;/&gt;&lt;wsp:rsid wsp:val=&quot;00145DFF&quot;/&gt;&lt;wsp:rsid wsp:val=&quot;00145E35&quot;/&gt;&lt;wsp:rsid wsp:val=&quot;0014641F&quot;/&gt;&lt;wsp:rsid wsp:val=&quot;00146DC1&quot;/&gt;&lt;wsp:rsid wsp:val=&quot;001470EC&quot;/&gt;&lt;wsp:rsid wsp:val=&quot;0014788C&quot;/&gt;&lt;wsp:rsid wsp:val=&quot;001478F2&quot;/&gt;&lt;wsp:rsid wsp:val=&quot;00147EE2&quot;/&gt;&lt;wsp:rsid wsp:val=&quot;00147F6A&quot;/&gt;&lt;wsp:rsid wsp:val=&quot;00150275&quot;/&gt;&lt;wsp:rsid wsp:val=&quot;0015077B&quot;/&gt;&lt;wsp:rsid wsp:val=&quot;001517C2&quot;/&gt;&lt;wsp:rsid wsp:val=&quot;0015180A&quot;/&gt;&lt;wsp:rsid wsp:val=&quot;001519EF&quot;/&gt;&lt;wsp:rsid wsp:val=&quot;00151FF5&quot;/&gt;&lt;wsp:rsid wsp:val=&quot;0015215A&quot;/&gt;&lt;wsp:rsid wsp:val=&quot;001523DF&quot;/&gt;&lt;wsp:rsid wsp:val=&quot;00152B94&quot;/&gt;&lt;wsp:rsid wsp:val=&quot;00152F03&quot;/&gt;&lt;wsp:rsid wsp:val=&quot;00152F47&quot;/&gt;&lt;wsp:rsid wsp:val=&quot;00153BB4&quot;/&gt;&lt;wsp:rsid wsp:val=&quot;00153C79&quot;/&gt;&lt;wsp:rsid wsp:val=&quot;00154095&quot;/&gt;&lt;wsp:rsid wsp:val=&quot;00155276&quot;/&gt;&lt;wsp:rsid wsp:val=&quot;001554AD&quot;/&gt;&lt;wsp:rsid wsp:val=&quot;001555DC&quot;/&gt;&lt;wsp:rsid wsp:val=&quot;001557DB&quot;/&gt;&lt;wsp:rsid wsp:val=&quot;00155B27&quot;/&gt;&lt;wsp:rsid wsp:val=&quot;00155D6E&quot;/&gt;&lt;wsp:rsid wsp:val=&quot;0015638E&quot;/&gt;&lt;wsp:rsid wsp:val=&quot;00156DA3&quot;/&gt;&lt;wsp:rsid wsp:val=&quot;00156EBD&quot;/&gt;&lt;wsp:rsid wsp:val=&quot;001572D2&quot;/&gt;&lt;wsp:rsid wsp:val=&quot;0015752E&quot;/&gt;&lt;wsp:rsid wsp:val=&quot;00160B9A&quot;/&gt;&lt;wsp:rsid wsp:val=&quot;00160EF9&quot;/&gt;&lt;wsp:rsid wsp:val=&quot;00161081&quot;/&gt;&lt;wsp:rsid wsp:val=&quot;00161266&quot;/&gt;&lt;wsp:rsid wsp:val=&quot;001613D9&quot;/&gt;&lt;wsp:rsid wsp:val=&quot;0016151A&quot;/&gt;&lt;wsp:rsid wsp:val=&quot;001619F2&quot;/&gt;&lt;wsp:rsid wsp:val=&quot;00161A19&quot;/&gt;&lt;wsp:rsid wsp:val=&quot;00161A8F&quot;/&gt;&lt;wsp:rsid wsp:val=&quot;00161A90&quot;/&gt;&lt;wsp:rsid wsp:val=&quot;00161FB8&quot;/&gt;&lt;wsp:rsid wsp:val=&quot;00162064&quot;/&gt;&lt;wsp:rsid wsp:val=&quot;00163235&quot;/&gt;&lt;wsp:rsid wsp:val=&quot;00163325&quot;/&gt;&lt;wsp:rsid wsp:val=&quot;00163ED9&quot;/&gt;&lt;wsp:rsid wsp:val=&quot;00164141&quot;/&gt;&lt;wsp:rsid wsp:val=&quot;001642AF&quot;/&gt;&lt;wsp:rsid wsp:val=&quot;00164885&quot;/&gt;&lt;wsp:rsid wsp:val=&quot;00165016&quot;/&gt;&lt;wsp:rsid wsp:val=&quot;001650CD&quot;/&gt;&lt;wsp:rsid wsp:val=&quot;00165397&quot;/&gt;&lt;wsp:rsid wsp:val=&quot;001654CE&quot;/&gt;&lt;wsp:rsid wsp:val=&quot;00165581&quot;/&gt;&lt;wsp:rsid wsp:val=&quot;00165EBF&quot;/&gt;&lt;wsp:rsid wsp:val=&quot;00165F81&quot;/&gt;&lt;wsp:rsid wsp:val=&quot;00166374&quot;/&gt;&lt;wsp:rsid wsp:val=&quot;00166F00&quot;/&gt;&lt;wsp:rsid wsp:val=&quot;001678B3&quot;/&gt;&lt;wsp:rsid wsp:val=&quot;00167D65&quot;/&gt;&lt;wsp:rsid wsp:val=&quot;001700D0&quot;/&gt;&lt;wsp:rsid wsp:val=&quot;001708B9&quot;/&gt;&lt;wsp:rsid wsp:val=&quot;0017099E&quot;/&gt;&lt;wsp:rsid wsp:val=&quot;00170D02&quot;/&gt;&lt;wsp:rsid wsp:val=&quot;00172045&quot;/&gt;&lt;wsp:rsid wsp:val=&quot;0017209E&quot;/&gt;&lt;wsp:rsid wsp:val=&quot;00172DC8&quot;/&gt;&lt;wsp:rsid wsp:val=&quot;00173E3D&quot;/&gt;&lt;wsp:rsid wsp:val=&quot;00173E8F&quot;/&gt;&lt;wsp:rsid wsp:val=&quot;001741D6&quot;/&gt;&lt;wsp:rsid wsp:val=&quot;0017420E&quot;/&gt;&lt;wsp:rsid wsp:val=&quot;0017442B&quot;/&gt;&lt;wsp:rsid wsp:val=&quot;00174C68&quot;/&gt;&lt;wsp:rsid wsp:val=&quot;00174DB9&quot;/&gt;&lt;wsp:rsid wsp:val=&quot;001754BB&quot;/&gt;&lt;wsp:rsid wsp:val=&quot;00175917&quot;/&gt;&lt;wsp:rsid wsp:val=&quot;00175CE5&quot;/&gt;&lt;wsp:rsid wsp:val=&quot;00176593&quot;/&gt;&lt;wsp:rsid wsp:val=&quot;00176D19&quot;/&gt;&lt;wsp:rsid wsp:val=&quot;0017779C&quot;/&gt;&lt;wsp:rsid wsp:val=&quot;00177AAE&quot;/&gt;&lt;wsp:rsid wsp:val=&quot;00177BE0&quot;/&gt;&lt;wsp:rsid wsp:val=&quot;00177EE7&quot;/&gt;&lt;wsp:rsid wsp:val=&quot;00177F06&quot;/&gt;&lt;wsp:rsid wsp:val=&quot;00180278&quot;/&gt;&lt;wsp:rsid wsp:val=&quot;00180B93&quot;/&gt;&lt;wsp:rsid wsp:val=&quot;0018107E&quot;/&gt;&lt;wsp:rsid wsp:val=&quot;001812E7&quot;/&gt;&lt;wsp:rsid wsp:val=&quot;001814EB&quot;/&gt;&lt;wsp:rsid wsp:val=&quot;001828D0&quot;/&gt;&lt;wsp:rsid wsp:val=&quot;00182990&quot;/&gt;&lt;wsp:rsid wsp:val=&quot;00182F4A&quot;/&gt;&lt;wsp:rsid wsp:val=&quot;0018316A&quot;/&gt;&lt;wsp:rsid wsp:val=&quot;001832A3&quot;/&gt;&lt;wsp:rsid wsp:val=&quot;00183651&quot;/&gt;&lt;wsp:rsid wsp:val=&quot;00183FD1&quot;/&gt;&lt;wsp:rsid wsp:val=&quot;001841B4&quot;/&gt;&lt;wsp:rsid wsp:val=&quot;001859F3&quot;/&gt;&lt;wsp:rsid wsp:val=&quot;00185BAB&quot;/&gt;&lt;wsp:rsid wsp:val=&quot;001860DE&quot;/&gt;&lt;wsp:rsid wsp:val=&quot;001860E7&quot;/&gt;&lt;wsp:rsid wsp:val=&quot;00186DFB&quot;/&gt;&lt;wsp:rsid wsp:val=&quot;001871A4&quot;/&gt;&lt;wsp:rsid wsp:val=&quot;00187BE3&quot;/&gt;&lt;wsp:rsid wsp:val=&quot;00190459&quot;/&gt;&lt;wsp:rsid wsp:val=&quot;0019068E&quot;/&gt;&lt;wsp:rsid wsp:val=&quot;00190BF9&quot;/&gt;&lt;wsp:rsid wsp:val=&quot;0019118D&quot;/&gt;&lt;wsp:rsid wsp:val=&quot;001913DC&quot;/&gt;&lt;wsp:rsid wsp:val=&quot;00191BA2&quot;/&gt;&lt;wsp:rsid wsp:val=&quot;00192216&quot;/&gt;&lt;wsp:rsid wsp:val=&quot;00192413&quot;/&gt;&lt;wsp:rsid wsp:val=&quot;00192F23&quot;/&gt;&lt;wsp:rsid wsp:val=&quot;00192F25&quot;/&gt;&lt;wsp:rsid wsp:val=&quot;00193163&quot;/&gt;&lt;wsp:rsid wsp:val=&quot;00193A03&quot;/&gt;&lt;wsp:rsid wsp:val=&quot;00193EA6&quot;/&gt;&lt;wsp:rsid wsp:val=&quot;0019440C&quot;/&gt;&lt;wsp:rsid wsp:val=&quot;00194428&quot;/&gt;&lt;wsp:rsid wsp:val=&quot;0019479F&quot;/&gt;&lt;wsp:rsid wsp:val=&quot;00194B3B&quot;/&gt;&lt;wsp:rsid wsp:val=&quot;0019521E&quot;/&gt;&lt;wsp:rsid wsp:val=&quot;00195362&quot;/&gt;&lt;wsp:rsid wsp:val=&quot;001955CA&quot;/&gt;&lt;wsp:rsid wsp:val=&quot;00195866&quot;/&gt;&lt;wsp:rsid wsp:val=&quot;00195E8E&quot;/&gt;&lt;wsp:rsid wsp:val=&quot;0019613A&quot;/&gt;&lt;wsp:rsid wsp:val=&quot;0019622D&quot;/&gt;&lt;wsp:rsid wsp:val=&quot;00196C46&quot;/&gt;&lt;wsp:rsid wsp:val=&quot;00196FFE&quot;/&gt;&lt;wsp:rsid wsp:val=&quot;0019719C&quot;/&gt;&lt;wsp:rsid wsp:val=&quot;0019731C&quot;/&gt;&lt;wsp:rsid wsp:val=&quot;00197334&quot;/&gt;&lt;wsp:rsid wsp:val=&quot;00197C0E&quot;/&gt;&lt;wsp:rsid wsp:val=&quot;001A02A7&quot;/&gt;&lt;wsp:rsid wsp:val=&quot;001A040F&quot;/&gt;&lt;wsp:rsid wsp:val=&quot;001A05EC&quot;/&gt;&lt;wsp:rsid wsp:val=&quot;001A1261&quot;/&gt;&lt;wsp:rsid wsp:val=&quot;001A1DD3&quot;/&gt;&lt;wsp:rsid wsp:val=&quot;001A26A9&quot;/&gt;&lt;wsp:rsid wsp:val=&quot;001A3997&quot;/&gt;&lt;wsp:rsid wsp:val=&quot;001A3B2C&quot;/&gt;&lt;wsp:rsid wsp:val=&quot;001A4034&quot;/&gt;&lt;wsp:rsid wsp:val=&quot;001A443C&quot;/&gt;&lt;wsp:rsid wsp:val=&quot;001A4BEE&quot;/&gt;&lt;wsp:rsid wsp:val=&quot;001A54C7&quot;/&gt;&lt;wsp:rsid wsp:val=&quot;001A5F6C&quot;/&gt;&lt;wsp:rsid wsp:val=&quot;001A64AD&quot;/&gt;&lt;wsp:rsid wsp:val=&quot;001A68D7&quot;/&gt;&lt;wsp:rsid wsp:val=&quot;001A6E4C&quot;/&gt;&lt;wsp:rsid wsp:val=&quot;001A6FF5&quot;/&gt;&lt;wsp:rsid wsp:val=&quot;001A78BE&quot;/&gt;&lt;wsp:rsid wsp:val=&quot;001A78C4&quot;/&gt;&lt;wsp:rsid wsp:val=&quot;001A790A&quot;/&gt;&lt;wsp:rsid wsp:val=&quot;001A7F5B&quot;/&gt;&lt;wsp:rsid wsp:val=&quot;001B052B&quot;/&gt;&lt;wsp:rsid wsp:val=&quot;001B0909&quot;/&gt;&lt;wsp:rsid wsp:val=&quot;001B1211&quot;/&gt;&lt;wsp:rsid wsp:val=&quot;001B1270&quot;/&gt;&lt;wsp:rsid wsp:val=&quot;001B1EC0&quot;/&gt;&lt;wsp:rsid wsp:val=&quot;001B2290&quot;/&gt;&lt;wsp:rsid wsp:val=&quot;001B27B0&quot;/&gt;&lt;wsp:rsid wsp:val=&quot;001B28D1&quot;/&gt;&lt;wsp:rsid wsp:val=&quot;001B3242&quot;/&gt;&lt;wsp:rsid wsp:val=&quot;001B37D4&quot;/&gt;&lt;wsp:rsid wsp:val=&quot;001B46D0&quot;/&gt;&lt;wsp:rsid wsp:val=&quot;001B4909&quot;/&gt;&lt;wsp:rsid wsp:val=&quot;001B5072&quot;/&gt;&lt;wsp:rsid wsp:val=&quot;001B549A&quot;/&gt;&lt;wsp:rsid wsp:val=&quot;001B5D25&quot;/&gt;&lt;wsp:rsid wsp:val=&quot;001B5F7C&quot;/&gt;&lt;wsp:rsid wsp:val=&quot;001B5F93&quot;/&gt;&lt;wsp:rsid wsp:val=&quot;001B6E22&quot;/&gt;&lt;wsp:rsid wsp:val=&quot;001B71BE&quot;/&gt;&lt;wsp:rsid wsp:val=&quot;001B7310&quot;/&gt;&lt;wsp:rsid wsp:val=&quot;001B78E9&quot;/&gt;&lt;wsp:rsid wsp:val=&quot;001B7DEE&quot;/&gt;&lt;wsp:rsid wsp:val=&quot;001B7FCF&quot;/&gt;&lt;wsp:rsid wsp:val=&quot;001C0540&quot;/&gt;&lt;wsp:rsid wsp:val=&quot;001C0739&quot;/&gt;&lt;wsp:rsid wsp:val=&quot;001C0985&quot;/&gt;&lt;wsp:rsid wsp:val=&quot;001C0A70&quot;/&gt;&lt;wsp:rsid wsp:val=&quot;001C0D50&quot;/&gt;&lt;wsp:rsid wsp:val=&quot;001C19FA&quot;/&gt;&lt;wsp:rsid wsp:val=&quot;001C1A49&quot;/&gt;&lt;wsp:rsid wsp:val=&quot;001C1D4E&quot;/&gt;&lt;wsp:rsid wsp:val=&quot;001C2355&quot;/&gt;&lt;wsp:rsid wsp:val=&quot;001C2781&quot;/&gt;&lt;wsp:rsid wsp:val=&quot;001C2D97&quot;/&gt;&lt;wsp:rsid wsp:val=&quot;001C2F84&quot;/&gt;&lt;wsp:rsid wsp:val=&quot;001C345A&quot;/&gt;&lt;wsp:rsid wsp:val=&quot;001C376E&quot;/&gt;&lt;wsp:rsid wsp:val=&quot;001C3C03&quot;/&gt;&lt;wsp:rsid wsp:val=&quot;001C3D43&quot;/&gt;&lt;wsp:rsid wsp:val=&quot;001C43E7&quot;/&gt;&lt;wsp:rsid wsp:val=&quot;001C4745&quot;/&gt;&lt;wsp:rsid wsp:val=&quot;001C48FB&quot;/&gt;&lt;wsp:rsid wsp:val=&quot;001C49AE&quot;/&gt;&lt;wsp:rsid wsp:val=&quot;001C5049&quot;/&gt;&lt;wsp:rsid wsp:val=&quot;001C50B1&quot;/&gt;&lt;wsp:rsid wsp:val=&quot;001C5F03&quot;/&gt;&lt;wsp:rsid wsp:val=&quot;001C5FE9&quot;/&gt;&lt;wsp:rsid wsp:val=&quot;001C63FE&quot;/&gt;&lt;wsp:rsid wsp:val=&quot;001C66CD&quot;/&gt;&lt;wsp:rsid wsp:val=&quot;001C6A96&quot;/&gt;&lt;wsp:rsid wsp:val=&quot;001C77A1&quot;/&gt;&lt;wsp:rsid wsp:val=&quot;001C7F81&quot;/&gt;&lt;wsp:rsid wsp:val=&quot;001D0B01&quot;/&gt;&lt;wsp:rsid wsp:val=&quot;001D10DA&quot;/&gt;&lt;wsp:rsid wsp:val=&quot;001D1737&quot;/&gt;&lt;wsp:rsid wsp:val=&quot;001D1CCD&quot;/&gt;&lt;wsp:rsid wsp:val=&quot;001D1FBD&quot;/&gt;&lt;wsp:rsid wsp:val=&quot;001D2028&quot;/&gt;&lt;wsp:rsid wsp:val=&quot;001D2652&quot;/&gt;&lt;wsp:rsid wsp:val=&quot;001D2BD8&quot;/&gt;&lt;wsp:rsid wsp:val=&quot;001D3181&quot;/&gt;&lt;wsp:rsid wsp:val=&quot;001D36A8&quot;/&gt;&lt;wsp:rsid wsp:val=&quot;001D36BA&quot;/&gt;&lt;wsp:rsid wsp:val=&quot;001D37A6&quot;/&gt;&lt;wsp:rsid wsp:val=&quot;001D404E&quot;/&gt;&lt;wsp:rsid wsp:val=&quot;001D4BDD&quot;/&gt;&lt;wsp:rsid wsp:val=&quot;001D4FB3&quot;/&gt;&lt;wsp:rsid wsp:val=&quot;001D6332&quot;/&gt;&lt;wsp:rsid wsp:val=&quot;001D78C8&quot;/&gt;&lt;wsp:rsid wsp:val=&quot;001D792C&quot;/&gt;&lt;wsp:rsid wsp:val=&quot;001D7A4C&quot;/&gt;&lt;wsp:rsid wsp:val=&quot;001D7A61&quot;/&gt;&lt;wsp:rsid wsp:val=&quot;001D7E0B&quot;/&gt;&lt;wsp:rsid wsp:val=&quot;001D7F98&quot;/&gt;&lt;wsp:rsid wsp:val=&quot;001E01E7&quot;/&gt;&lt;wsp:rsid wsp:val=&quot;001E05AA&quot;/&gt;&lt;wsp:rsid wsp:val=&quot;001E0AF2&quot;/&gt;&lt;wsp:rsid wsp:val=&quot;001E10F5&quot;/&gt;&lt;wsp:rsid wsp:val=&quot;001E113C&quot;/&gt;&lt;wsp:rsid wsp:val=&quot;001E156A&quot;/&gt;&lt;wsp:rsid wsp:val=&quot;001E1605&quot;/&gt;&lt;wsp:rsid wsp:val=&quot;001E2C32&quot;/&gt;&lt;wsp:rsid wsp:val=&quot;001E3385&quot;/&gt;&lt;wsp:rsid wsp:val=&quot;001E3583&quot;/&gt;&lt;wsp:rsid wsp:val=&quot;001E42B7&quot;/&gt;&lt;wsp:rsid wsp:val=&quot;001E4752&quot;/&gt;&lt;wsp:rsid wsp:val=&quot;001E483C&quot;/&gt;&lt;wsp:rsid wsp:val=&quot;001E4861&quot;/&gt;&lt;wsp:rsid wsp:val=&quot;001E4983&quot;/&gt;&lt;wsp:rsid wsp:val=&quot;001E4B90&quot;/&gt;&lt;wsp:rsid wsp:val=&quot;001E50E3&quot;/&gt;&lt;wsp:rsid wsp:val=&quot;001E523B&quot;/&gt;&lt;wsp:rsid wsp:val=&quot;001E54FA&quot;/&gt;&lt;wsp:rsid wsp:val=&quot;001E5BC7&quot;/&gt;&lt;wsp:rsid wsp:val=&quot;001E664D&quot;/&gt;&lt;wsp:rsid wsp:val=&quot;001E73A7&quot;/&gt;&lt;wsp:rsid wsp:val=&quot;001E74C8&quot;/&gt;&lt;wsp:rsid wsp:val=&quot;001E7E38&quot;/&gt;&lt;wsp:rsid wsp:val=&quot;001F0080&quot;/&gt;&lt;wsp:rsid wsp:val=&quot;001F076E&quot;/&gt;&lt;wsp:rsid wsp:val=&quot;001F19F5&quot;/&gt;&lt;wsp:rsid wsp:val=&quot;001F1DA9&quot;/&gt;&lt;wsp:rsid wsp:val=&quot;001F2588&quot;/&gt;&lt;wsp:rsid wsp:val=&quot;001F31CA&quot;/&gt;&lt;wsp:rsid wsp:val=&quot;001F382C&quot;/&gt;&lt;wsp:rsid wsp:val=&quot;001F38B9&quot;/&gt;&lt;wsp:rsid wsp:val=&quot;001F3AF4&quot;/&gt;&lt;wsp:rsid wsp:val=&quot;001F3B6B&quot;/&gt;&lt;wsp:rsid wsp:val=&quot;001F3F65&quot;/&gt;&lt;wsp:rsid wsp:val=&quot;001F4E7C&quot;/&gt;&lt;wsp:rsid wsp:val=&quot;001F51FB&quot;/&gt;&lt;wsp:rsid wsp:val=&quot;001F5B86&quot;/&gt;&lt;wsp:rsid wsp:val=&quot;001F6C73&quot;/&gt;&lt;wsp:rsid wsp:val=&quot;001F740C&quot;/&gt;&lt;wsp:rsid wsp:val=&quot;001F7BE7&quot;/&gt;&lt;wsp:rsid wsp:val=&quot;002000B6&quot;/&gt;&lt;wsp:rsid wsp:val=&quot;00200526&quot;/&gt;&lt;wsp:rsid wsp:val=&quot;002006AD&quot;/&gt;&lt;wsp:rsid wsp:val=&quot;002013BF&quot;/&gt;&lt;wsp:rsid wsp:val=&quot;002015F9&quot;/&gt;&lt;wsp:rsid wsp:val=&quot;0020218C&quot;/&gt;&lt;wsp:rsid wsp:val=&quot;00202AB5&quot;/&gt;&lt;wsp:rsid wsp:val=&quot;002039D4&quot;/&gt;&lt;wsp:rsid wsp:val=&quot;00203CC6&quot;/&gt;&lt;wsp:rsid wsp:val=&quot;0020466E&quot;/&gt;&lt;wsp:rsid wsp:val=&quot;0020491B&quot;/&gt;&lt;wsp:rsid wsp:val=&quot;00204C9C&quot;/&gt;&lt;wsp:rsid wsp:val=&quot;00204E02&quot;/&gt;&lt;wsp:rsid wsp:val=&quot;00205158&quot;/&gt;&lt;wsp:rsid wsp:val=&quot;00205639&quot;/&gt;&lt;wsp:rsid wsp:val=&quot;00205910&quot;/&gt;&lt;wsp:rsid wsp:val=&quot;00205B6C&quot;/&gt;&lt;wsp:rsid wsp:val=&quot;00205BC4&quot;/&gt;&lt;wsp:rsid wsp:val=&quot;00205D7B&quot;/&gt;&lt;wsp:rsid wsp:val=&quot;00205D82&quot;/&gt;&lt;wsp:rsid wsp:val=&quot;002062DE&quot;/&gt;&lt;wsp:rsid wsp:val=&quot;00206487&quot;/&gt;&lt;wsp:rsid wsp:val=&quot;00206866&quot;/&gt;&lt;wsp:rsid wsp:val=&quot;00206BA0&quot;/&gt;&lt;wsp:rsid wsp:val=&quot;00207A48&quot;/&gt;&lt;wsp:rsid wsp:val=&quot;00210679&quot;/&gt;&lt;wsp:rsid wsp:val=&quot;00210851&quot;/&gt;&lt;wsp:rsid wsp:val=&quot;0021127A&quot;/&gt;&lt;wsp:rsid wsp:val=&quot;0021239D&quot;/&gt;&lt;wsp:rsid wsp:val=&quot;00212513&quot;/&gt;&lt;wsp:rsid wsp:val=&quot;00212659&quot;/&gt;&lt;wsp:rsid wsp:val=&quot;0021275D&quot;/&gt;&lt;wsp:rsid wsp:val=&quot;002128EC&quot;/&gt;&lt;wsp:rsid wsp:val=&quot;0021311B&quot;/&gt;&lt;wsp:rsid wsp:val=&quot;00213745&quot;/&gt;&lt;wsp:rsid wsp:val=&quot;00214702&quot;/&gt;&lt;wsp:rsid wsp:val=&quot;00214AB4&quot;/&gt;&lt;wsp:rsid wsp:val=&quot;002150CC&quot;/&gt;&lt;wsp:rsid wsp:val=&quot;00215361&quot;/&gt;&lt;wsp:rsid wsp:val=&quot;0021553B&quot;/&gt;&lt;wsp:rsid wsp:val=&quot;0021595F&quot;/&gt;&lt;wsp:rsid wsp:val=&quot;0021635E&quot;/&gt;&lt;wsp:rsid wsp:val=&quot;00216563&quot;/&gt;&lt;wsp:rsid wsp:val=&quot;00216C94&quot;/&gt;&lt;wsp:rsid wsp:val=&quot;00216F38&quot;/&gt;&lt;wsp:rsid wsp:val=&quot;00217273&quot;/&gt;&lt;wsp:rsid wsp:val=&quot;00217BF8&quot;/&gt;&lt;wsp:rsid wsp:val=&quot;00217C29&quot;/&gt;&lt;wsp:rsid wsp:val=&quot;00221154&quot;/&gt;&lt;wsp:rsid wsp:val=&quot;00221AFB&quot;/&gt;&lt;wsp:rsid wsp:val=&quot;00221D17&quot;/&gt;&lt;wsp:rsid wsp:val=&quot;00222395&quot;/&gt;&lt;wsp:rsid wsp:val=&quot;002228F0&quot;/&gt;&lt;wsp:rsid wsp:val=&quot;00222950&quot;/&gt;&lt;wsp:rsid wsp:val=&quot;00222C50&quot;/&gt;&lt;wsp:rsid wsp:val=&quot;00222C6E&quot;/&gt;&lt;wsp:rsid wsp:val=&quot;00222FCB&quot;/&gt;&lt;wsp:rsid wsp:val=&quot;00223028&quot;/&gt;&lt;wsp:rsid wsp:val=&quot;00223E06&quot;/&gt;&lt;wsp:rsid wsp:val=&quot;00223EAF&quot;/&gt;&lt;wsp:rsid wsp:val=&quot;00224119&quot;/&gt;&lt;wsp:rsid wsp:val=&quot;00224493&quot;/&gt;&lt;wsp:rsid wsp:val=&quot;002247B1&quot;/&gt;&lt;wsp:rsid wsp:val=&quot;00225162&quot;/&gt;&lt;wsp:rsid wsp:val=&quot;002257A3&quot;/&gt;&lt;wsp:rsid wsp:val=&quot;002267FD&quot;/&gt;&lt;wsp:rsid wsp:val=&quot;00226D86&quot;/&gt;&lt;wsp:rsid wsp:val=&quot;00227EE9&quot;/&gt;&lt;wsp:rsid wsp:val=&quot;00230340&quot;/&gt;&lt;wsp:rsid wsp:val=&quot;002309EE&quot;/&gt;&lt;wsp:rsid wsp:val=&quot;00230BCF&quot;/&gt;&lt;wsp:rsid wsp:val=&quot;00230FD2&quot;/&gt;&lt;wsp:rsid wsp:val=&quot;00231351&quot;/&gt;&lt;wsp:rsid wsp:val=&quot;00231630&quot;/&gt;&lt;wsp:rsid wsp:val=&quot;002339DB&quot;/&gt;&lt;wsp:rsid wsp:val=&quot;00233BA5&quot;/&gt;&lt;wsp:rsid wsp:val=&quot;00233D21&quot;/&gt;&lt;wsp:rsid wsp:val=&quot;002341D5&quot;/&gt;&lt;wsp:rsid wsp:val=&quot;00234C44&quot;/&gt;&lt;wsp:rsid wsp:val=&quot;00234DFB&quot;/&gt;&lt;wsp:rsid wsp:val=&quot;002353DC&quot;/&gt;&lt;wsp:rsid wsp:val=&quot;00235782&quot;/&gt;&lt;wsp:rsid wsp:val=&quot;00235866&quot;/&gt;&lt;wsp:rsid wsp:val=&quot;00235AB4&quot;/&gt;&lt;wsp:rsid wsp:val=&quot;00235F2A&quot;/&gt;&lt;wsp:rsid wsp:val=&quot;00236228&quot;/&gt;&lt;wsp:rsid wsp:val=&quot;00236A1D&quot;/&gt;&lt;wsp:rsid wsp:val=&quot;00237449&quot;/&gt;&lt;wsp:rsid wsp:val=&quot;002377CE&quot;/&gt;&lt;wsp:rsid wsp:val=&quot;002379D2&quot;/&gt;&lt;wsp:rsid wsp:val=&quot;0024042A&quot;/&gt;&lt;wsp:rsid wsp:val=&quot;00240DE0&quot;/&gt;&lt;wsp:rsid wsp:val=&quot;00242432&quot;/&gt;&lt;wsp:rsid wsp:val=&quot;00243004&quot;/&gt;&lt;wsp:rsid wsp:val=&quot;0024302F&quot;/&gt;&lt;wsp:rsid wsp:val=&quot;00243292&quot;/&gt;&lt;wsp:rsid wsp:val=&quot;002433DB&quot;/&gt;&lt;wsp:rsid wsp:val=&quot;00243720&quot;/&gt;&lt;wsp:rsid wsp:val=&quot;00243CDD&quot;/&gt;&lt;wsp:rsid wsp:val=&quot;00243D4F&quot;/&gt;&lt;wsp:rsid wsp:val=&quot;00243FCD&quot;/&gt;&lt;wsp:rsid wsp:val=&quot;002446E6&quot;/&gt;&lt;wsp:rsid wsp:val=&quot;002449E0&quot;/&gt;&lt;wsp:rsid wsp:val=&quot;00244C0C&quot;/&gt;&lt;wsp:rsid wsp:val=&quot;002456AF&quot;/&gt;&lt;wsp:rsid wsp:val=&quot;00245E86&quot;/&gt;&lt;wsp:rsid wsp:val=&quot;002462E6&quot;/&gt;&lt;wsp:rsid wsp:val=&quot;00246627&quot;/&gt;&lt;wsp:rsid wsp:val=&quot;00246C89&quot;/&gt;&lt;wsp:rsid wsp:val=&quot;00250E7A&quot;/&gt;&lt;wsp:rsid wsp:val=&quot;0025166D&quot;/&gt;&lt;wsp:rsid wsp:val=&quot;002517E7&quot;/&gt;&lt;wsp:rsid wsp:val=&quot;0025302B&quot;/&gt;&lt;wsp:rsid wsp:val=&quot;0025388A&quot;/&gt;&lt;wsp:rsid wsp:val=&quot;00253AEC&quot;/&gt;&lt;wsp:rsid wsp:val=&quot;00253C12&quot;/&gt;&lt;wsp:rsid wsp:val=&quot;00253D4F&quot;/&gt;&lt;wsp:rsid wsp:val=&quot;002544FE&quot;/&gt;&lt;wsp:rsid wsp:val=&quot;00254661&quot;/&gt;&lt;wsp:rsid wsp:val=&quot;0025485D&quot;/&gt;&lt;wsp:rsid wsp:val=&quot;00254C9A&quot;/&gt;&lt;wsp:rsid wsp:val=&quot;002572CD&quot;/&gt;&lt;wsp:rsid wsp:val=&quot;002575F1&quot;/&gt;&lt;wsp:rsid wsp:val=&quot;00257E2E&quot;/&gt;&lt;wsp:rsid wsp:val=&quot;00260AFC&quot;/&gt;&lt;wsp:rsid wsp:val=&quot;00260F41&quot;/&gt;&lt;wsp:rsid wsp:val=&quot;002613A9&quot;/&gt;&lt;wsp:rsid wsp:val=&quot;002619BE&quot;/&gt;&lt;wsp:rsid wsp:val=&quot;00261E78&quot;/&gt;&lt;wsp:rsid wsp:val=&quot;00261E93&quot;/&gt;&lt;wsp:rsid wsp:val=&quot;0026212F&quot;/&gt;&lt;wsp:rsid wsp:val=&quot;0026345B&quot;/&gt;&lt;wsp:rsid wsp:val=&quot;0026348E&quot;/&gt;&lt;wsp:rsid wsp:val=&quot;00263A11&quot;/&gt;&lt;wsp:rsid wsp:val=&quot;00263CF2&quot;/&gt;&lt;wsp:rsid wsp:val=&quot;00263D24&quot;/&gt;&lt;wsp:rsid wsp:val=&quot;00264032&quot;/&gt;&lt;wsp:rsid wsp:val=&quot;002644CA&quot;/&gt;&lt;wsp:rsid wsp:val=&quot;0026473B&quot;/&gt;&lt;wsp:rsid wsp:val=&quot;00264EC5&quot;/&gt;&lt;wsp:rsid wsp:val=&quot;002658CC&quot;/&gt;&lt;wsp:rsid wsp:val=&quot;00265A1D&quot;/&gt;&lt;wsp:rsid wsp:val=&quot;00265BC4&quot;/&gt;&lt;wsp:rsid wsp:val=&quot;002660BC&quot;/&gt;&lt;wsp:rsid wsp:val=&quot;00266192&quot;/&gt;&lt;wsp:rsid wsp:val=&quot;002662C8&quot;/&gt;&lt;wsp:rsid wsp:val=&quot;002665FC&quot;/&gt;&lt;wsp:rsid wsp:val=&quot;002669E3&quot;/&gt;&lt;wsp:rsid wsp:val=&quot;002669EA&quot;/&gt;&lt;wsp:rsid wsp:val=&quot;00266B49&quot;/&gt;&lt;wsp:rsid wsp:val=&quot;0026753C&quot;/&gt;&lt;wsp:rsid wsp:val=&quot;00267744&quot;/&gt;&lt;wsp:rsid wsp:val=&quot;00267E2B&quot;/&gt;&lt;wsp:rsid wsp:val=&quot;00270D5B&quot;/&gt;&lt;wsp:rsid wsp:val=&quot;00270F6B&quot;/&gt;&lt;wsp:rsid wsp:val=&quot;0027139C&quot;/&gt;&lt;wsp:rsid wsp:val=&quot;00271CBA&quot;/&gt;&lt;wsp:rsid wsp:val=&quot;002723C7&quot;/&gt;&lt;wsp:rsid wsp:val=&quot;002723C8&quot;/&gt;&lt;wsp:rsid wsp:val=&quot;002725F4&quot;/&gt;&lt;wsp:rsid wsp:val=&quot;00272DF2&quot;/&gt;&lt;wsp:rsid wsp:val=&quot;00273542&quot;/&gt;&lt;wsp:rsid wsp:val=&quot;00273559&quot;/&gt;&lt;wsp:rsid wsp:val=&quot;002738EB&quot;/&gt;&lt;wsp:rsid wsp:val=&quot;00273E72&quot;/&gt;&lt;wsp:rsid wsp:val=&quot;00274817&quot;/&gt;&lt;wsp:rsid wsp:val=&quot;002748BD&quot;/&gt;&lt;wsp:rsid wsp:val=&quot;00275111&quot;/&gt;&lt;wsp:rsid wsp:val=&quot;002753BD&quot;/&gt;&lt;wsp:rsid wsp:val=&quot;002765D3&quot;/&gt;&lt;wsp:rsid wsp:val=&quot;0027667E&quot;/&gt;&lt;wsp:rsid wsp:val=&quot;002769A3&quot;/&gt;&lt;wsp:rsid wsp:val=&quot;00276C8A&quot;/&gt;&lt;wsp:rsid wsp:val=&quot;00276D44&quot;/&gt;&lt;wsp:rsid wsp:val=&quot;00277816&quot;/&gt;&lt;wsp:rsid wsp:val=&quot;0028050E&quot;/&gt;&lt;wsp:rsid wsp:val=&quot;002805AC&quot;/&gt;&lt;wsp:rsid wsp:val=&quot;00280D14&quot;/&gt;&lt;wsp:rsid wsp:val=&quot;00281208&quot;/&gt;&lt;wsp:rsid wsp:val=&quot;002816E1&quot;/&gt;&lt;wsp:rsid wsp:val=&quot;00281B4E&quot;/&gt;&lt;wsp:rsid wsp:val=&quot;00281DCB&quot;/&gt;&lt;wsp:rsid wsp:val=&quot;00282366&quot;/&gt;&lt;wsp:rsid wsp:val=&quot;002836BD&quot;/&gt;&lt;wsp:rsid wsp:val=&quot;00283939&quot;/&gt;&lt;wsp:rsid wsp:val=&quot;00284250&quot;/&gt;&lt;wsp:rsid wsp:val=&quot;002843E1&quot;/&gt;&lt;wsp:rsid wsp:val=&quot;00284D5B&quot;/&gt;&lt;wsp:rsid wsp:val=&quot;00284F7B&quot;/&gt;&lt;wsp:rsid wsp:val=&quot;00285078&quot;/&gt;&lt;wsp:rsid wsp:val=&quot;002851F6&quot;/&gt;&lt;wsp:rsid wsp:val=&quot;00285323&quot;/&gt;&lt;wsp:rsid wsp:val=&quot;002854F3&quot;/&gt;&lt;wsp:rsid wsp:val=&quot;002857D1&quot;/&gt;&lt;wsp:rsid wsp:val=&quot;00285D12&quot;/&gt;&lt;wsp:rsid wsp:val=&quot;002864D5&quot;/&gt;&lt;wsp:rsid wsp:val=&quot;00286967&quot;/&gt;&lt;wsp:rsid wsp:val=&quot;00287612&quot;/&gt;&lt;wsp:rsid wsp:val=&quot;002878C7&quot;/&gt;&lt;wsp:rsid wsp:val=&quot;00287CAD&quot;/&gt;&lt;wsp:rsid wsp:val=&quot;0029021D&quot;/&gt;&lt;wsp:rsid wsp:val=&quot;00290391&quot;/&gt;&lt;wsp:rsid wsp:val=&quot;00290470&quot;/&gt;&lt;wsp:rsid wsp:val=&quot;00290BDC&quot;/&gt;&lt;wsp:rsid wsp:val=&quot;0029181F&quot;/&gt;&lt;wsp:rsid wsp:val=&quot;002918E2&quot;/&gt;&lt;wsp:rsid wsp:val=&quot;00291955&quot;/&gt;&lt;wsp:rsid wsp:val=&quot;00292212&quot;/&gt;&lt;wsp:rsid wsp:val=&quot;002929CC&quot;/&gt;&lt;wsp:rsid wsp:val=&quot;00292CDB&quot;/&gt;&lt;wsp:rsid wsp:val=&quot;00293DD5&quot;/&gt;&lt;wsp:rsid wsp:val=&quot;00293EEF&quot;/&gt;&lt;wsp:rsid wsp:val=&quot;00293F84&quot;/&gt;&lt;wsp:rsid wsp:val=&quot;00293FD5&quot;/&gt;&lt;wsp:rsid wsp:val=&quot;0029445A&quot;/&gt;&lt;wsp:rsid wsp:val=&quot;0029460E&quot;/&gt;&lt;wsp:rsid wsp:val=&quot;0029478B&quot;/&gt;&lt;wsp:rsid wsp:val=&quot;0029543F&quot;/&gt;&lt;wsp:rsid wsp:val=&quot;002959BC&quot;/&gt;&lt;wsp:rsid wsp:val=&quot;00295ABF&quot;/&gt;&lt;wsp:rsid wsp:val=&quot;00295D19&quot;/&gt;&lt;wsp:rsid wsp:val=&quot;00296A75&quot;/&gt;&lt;wsp:rsid wsp:val=&quot;00296A82&quot;/&gt;&lt;wsp:rsid wsp:val=&quot;00296F8E&quot;/&gt;&lt;wsp:rsid wsp:val=&quot;00297267&quot;/&gt;&lt;wsp:rsid wsp:val=&quot;002978D9&quot;/&gt;&lt;wsp:rsid wsp:val=&quot;00297CE4&quot;/&gt;&lt;wsp:rsid wsp:val=&quot;00297F94&quot;/&gt;&lt;wsp:rsid wsp:val=&quot;002A05DB&quot;/&gt;&lt;wsp:rsid wsp:val=&quot;002A0838&quot;/&gt;&lt;wsp:rsid wsp:val=&quot;002A0A67&quot;/&gt;&lt;wsp:rsid wsp:val=&quot;002A0DC1&quot;/&gt;&lt;wsp:rsid wsp:val=&quot;002A15D1&quot;/&gt;&lt;wsp:rsid wsp:val=&quot;002A1F25&quot;/&gt;&lt;wsp:rsid wsp:val=&quot;002A2407&quot;/&gt;&lt;wsp:rsid wsp:val=&quot;002A279A&quot;/&gt;&lt;wsp:rsid wsp:val=&quot;002A37A1&quot;/&gt;&lt;wsp:rsid wsp:val=&quot;002A3F0F&quot;/&gt;&lt;wsp:rsid wsp:val=&quot;002A48DD&quot;/&gt;&lt;wsp:rsid wsp:val=&quot;002A514E&quot;/&gt;&lt;wsp:rsid wsp:val=&quot;002A65CE&quot;/&gt;&lt;wsp:rsid wsp:val=&quot;002A6BE7&quot;/&gt;&lt;wsp:rsid wsp:val=&quot;002A7D1F&quot;/&gt;&lt;wsp:rsid wsp:val=&quot;002A7F68&quot;/&gt;&lt;wsp:rsid wsp:val=&quot;002B0A8F&quot;/&gt;&lt;wsp:rsid wsp:val=&quot;002B0C31&quot;/&gt;&lt;wsp:rsid wsp:val=&quot;002B0D32&quot;/&gt;&lt;wsp:rsid wsp:val=&quot;002B0D51&quot;/&gt;&lt;wsp:rsid wsp:val=&quot;002B1EF8&quot;/&gt;&lt;wsp:rsid wsp:val=&quot;002B2D71&quot;/&gt;&lt;wsp:rsid wsp:val=&quot;002B352F&quot;/&gt;&lt;wsp:rsid wsp:val=&quot;002B37BA&quot;/&gt;&lt;wsp:rsid wsp:val=&quot;002B4B79&quot;/&gt;&lt;wsp:rsid wsp:val=&quot;002B4F66&quot;/&gt;&lt;wsp:rsid wsp:val=&quot;002B5119&quot;/&gt;&lt;wsp:rsid wsp:val=&quot;002B5146&quot;/&gt;&lt;wsp:rsid wsp:val=&quot;002B51B6&quot;/&gt;&lt;wsp:rsid wsp:val=&quot;002B60EF&quot;/&gt;&lt;wsp:rsid wsp:val=&quot;002B749F&quot;/&gt;&lt;wsp:rsid wsp:val=&quot;002B79D1&quot;/&gt;&lt;wsp:rsid wsp:val=&quot;002B7DFF&quot;/&gt;&lt;wsp:rsid wsp:val=&quot;002C00D4&quot;/&gt;&lt;wsp:rsid wsp:val=&quot;002C0824&quot;/&gt;&lt;wsp:rsid wsp:val=&quot;002C09FC&quot;/&gt;&lt;wsp:rsid wsp:val=&quot;002C1FBE&quot;/&gt;&lt;wsp:rsid wsp:val=&quot;002C283B&quot;/&gt;&lt;wsp:rsid wsp:val=&quot;002C33EB&quot;/&gt;&lt;wsp:rsid wsp:val=&quot;002C3771&quot;/&gt;&lt;wsp:rsid wsp:val=&quot;002C3BEA&quot;/&gt;&lt;wsp:rsid wsp:val=&quot;002C4CA6&quot;/&gt;&lt;wsp:rsid wsp:val=&quot;002C526F&quot;/&gt;&lt;wsp:rsid wsp:val=&quot;002C536D&quot;/&gt;&lt;wsp:rsid wsp:val=&quot;002C56F6&quot;/&gt;&lt;wsp:rsid wsp:val=&quot;002C6986&quot;/&gt;&lt;wsp:rsid wsp:val=&quot;002C6A81&quot;/&gt;&lt;wsp:rsid wsp:val=&quot;002C7A4C&quot;/&gt;&lt;wsp:rsid wsp:val=&quot;002C7E90&quot;/&gt;&lt;wsp:rsid wsp:val=&quot;002C7F8F&quot;/&gt;&lt;wsp:rsid wsp:val=&quot;002D10FD&quot;/&gt;&lt;wsp:rsid wsp:val=&quot;002D1407&quot;/&gt;&lt;wsp:rsid wsp:val=&quot;002D1731&quot;/&gt;&lt;wsp:rsid wsp:val=&quot;002D19FB&quot;/&gt;&lt;wsp:rsid wsp:val=&quot;002D1C70&quot;/&gt;&lt;wsp:rsid wsp:val=&quot;002D23CF&quot;/&gt;&lt;wsp:rsid wsp:val=&quot;002D36F2&quot;/&gt;&lt;wsp:rsid wsp:val=&quot;002D3CFE&quot;/&gt;&lt;wsp:rsid wsp:val=&quot;002D444C&quot;/&gt;&lt;wsp:rsid wsp:val=&quot;002D4868&quot;/&gt;&lt;wsp:rsid wsp:val=&quot;002D4DE8&quot;/&gt;&lt;wsp:rsid wsp:val=&quot;002D4E6C&quot;/&gt;&lt;wsp:rsid wsp:val=&quot;002D51C3&quot;/&gt;&lt;wsp:rsid wsp:val=&quot;002D5564&quot;/&gt;&lt;wsp:rsid wsp:val=&quot;002D71DF&quot;/&gt;&lt;wsp:rsid wsp:val=&quot;002D7283&quot;/&gt;&lt;wsp:rsid wsp:val=&quot;002D7641&quot;/&gt;&lt;wsp:rsid wsp:val=&quot;002D7C37&quot;/&gt;&lt;wsp:rsid wsp:val=&quot;002E012D&quot;/&gt;&lt;wsp:rsid wsp:val=&quot;002E0376&quot;/&gt;&lt;wsp:rsid wsp:val=&quot;002E047B&quot;/&gt;&lt;wsp:rsid wsp:val=&quot;002E0A74&quot;/&gt;&lt;wsp:rsid wsp:val=&quot;002E0B7C&quot;/&gt;&lt;wsp:rsid wsp:val=&quot;002E1599&quot;/&gt;&lt;wsp:rsid wsp:val=&quot;002E17EF&quot;/&gt;&lt;wsp:rsid wsp:val=&quot;002E1BA3&quot;/&gt;&lt;wsp:rsid wsp:val=&quot;002E2074&quot;/&gt;&lt;wsp:rsid wsp:val=&quot;002E2610&quot;/&gt;&lt;wsp:rsid wsp:val=&quot;002E2882&quot;/&gt;&lt;wsp:rsid wsp:val=&quot;002E2969&quot;/&gt;&lt;wsp:rsid wsp:val=&quot;002E37B6&quot;/&gt;&lt;wsp:rsid wsp:val=&quot;002E3E87&quot;/&gt;&lt;wsp:rsid wsp:val=&quot;002E41D0&quot;/&gt;&lt;wsp:rsid wsp:val=&quot;002E450F&quot;/&gt;&lt;wsp:rsid wsp:val=&quot;002E46EA&quot;/&gt;&lt;wsp:rsid wsp:val=&quot;002E5927&quot;/&gt;&lt;wsp:rsid wsp:val=&quot;002E593F&quot;/&gt;&lt;wsp:rsid wsp:val=&quot;002E5D1A&quot;/&gt;&lt;wsp:rsid wsp:val=&quot;002E5DEA&quot;/&gt;&lt;wsp:rsid wsp:val=&quot;002E5E90&quot;/&gt;&lt;wsp:rsid wsp:val=&quot;002E6430&quot;/&gt;&lt;wsp:rsid wsp:val=&quot;002E686B&quot;/&gt;&lt;wsp:rsid wsp:val=&quot;002E6D4F&quot;/&gt;&lt;wsp:rsid wsp:val=&quot;002E7AB9&quot;/&gt;&lt;wsp:rsid wsp:val=&quot;002E7CBA&quot;/&gt;&lt;wsp:rsid wsp:val=&quot;002F0AFE&quot;/&gt;&lt;wsp:rsid wsp:val=&quot;002F0C3A&quot;/&gt;&lt;wsp:rsid wsp:val=&quot;002F158D&quot;/&gt;&lt;wsp:rsid wsp:val=&quot;002F1AA6&quot;/&gt;&lt;wsp:rsid wsp:val=&quot;002F27EC&quot;/&gt;&lt;wsp:rsid wsp:val=&quot;002F28A7&quot;/&gt;&lt;wsp:rsid wsp:val=&quot;002F2BEA&quot;/&gt;&lt;wsp:rsid wsp:val=&quot;002F35BA&quot;/&gt;&lt;wsp:rsid wsp:val=&quot;002F35BE&quot;/&gt;&lt;wsp:rsid wsp:val=&quot;002F4A0F&quot;/&gt;&lt;wsp:rsid wsp:val=&quot;002F4F82&quot;/&gt;&lt;wsp:rsid wsp:val=&quot;002F51F7&quot;/&gt;&lt;wsp:rsid wsp:val=&quot;002F54E6&quot;/&gt;&lt;wsp:rsid wsp:val=&quot;002F58EB&quot;/&gt;&lt;wsp:rsid wsp:val=&quot;002F59FB&quot;/&gt;&lt;wsp:rsid wsp:val=&quot;002F5DDF&quot;/&gt;&lt;wsp:rsid wsp:val=&quot;002F5FE1&quot;/&gt;&lt;wsp:rsid wsp:val=&quot;002F672C&quot;/&gt;&lt;wsp:rsid wsp:val=&quot;002F6AB7&quot;/&gt;&lt;wsp:rsid wsp:val=&quot;002F6F33&quot;/&gt;&lt;wsp:rsid wsp:val=&quot;002F7283&quot;/&gt;&lt;wsp:rsid wsp:val=&quot;002F72D0&quot;/&gt;&lt;wsp:rsid wsp:val=&quot;002F775E&quot;/&gt;&lt;wsp:rsid wsp:val=&quot;003006B4&quot;/&gt;&lt;wsp:rsid wsp:val=&quot;00300911&quot;/&gt;&lt;wsp:rsid wsp:val=&quot;00300A0B&quot;/&gt;&lt;wsp:rsid wsp:val=&quot;00300BE9&quot;/&gt;&lt;wsp:rsid wsp:val=&quot;00301DD3&quot;/&gt;&lt;wsp:rsid wsp:val=&quot;003020A5&quot;/&gt;&lt;wsp:rsid wsp:val=&quot;00302F27&quot;/&gt;&lt;wsp:rsid wsp:val=&quot;0030387B&quot;/&gt;&lt;wsp:rsid wsp:val=&quot;00303CD4&quot;/&gt;&lt;wsp:rsid wsp:val=&quot;00303E7E&quot;/&gt;&lt;wsp:rsid wsp:val=&quot;00304903&quot;/&gt;&lt;wsp:rsid wsp:val=&quot;00304B93&quot;/&gt;&lt;wsp:rsid wsp:val=&quot;00304E76&quot;/&gt;&lt;wsp:rsid wsp:val=&quot;00305381&quot;/&gt;&lt;wsp:rsid wsp:val=&quot;003058BB&quot;/&gt;&lt;wsp:rsid wsp:val=&quot;00306096&quot;/&gt;&lt;wsp:rsid wsp:val=&quot;003061F1&quot;/&gt;&lt;wsp:rsid wsp:val=&quot;003064B8&quot;/&gt;&lt;wsp:rsid wsp:val=&quot;003066C9&quot;/&gt;&lt;wsp:rsid wsp:val=&quot;003069ED&quot;/&gt;&lt;wsp:rsid wsp:val=&quot;003070C2&quot;/&gt;&lt;wsp:rsid wsp:val=&quot;00307A1D&quot;/&gt;&lt;wsp:rsid wsp:val=&quot;00307B2A&quot;/&gt;&lt;wsp:rsid wsp:val=&quot;00307E14&quot;/&gt;&lt;wsp:rsid wsp:val=&quot;00311451&quot;/&gt;&lt;wsp:rsid wsp:val=&quot;00311E22&quot;/&gt;&lt;wsp:rsid wsp:val=&quot;00312064&quot;/&gt;&lt;wsp:rsid wsp:val=&quot;0031225F&quot;/&gt;&lt;wsp:rsid wsp:val=&quot;003127A4&quot;/&gt;&lt;wsp:rsid wsp:val=&quot;003129AF&quot;/&gt;&lt;wsp:rsid wsp:val=&quot;00313B90&quot;/&gt;&lt;wsp:rsid wsp:val=&quot;00313D97&quot;/&gt;&lt;wsp:rsid wsp:val=&quot;0031408A&quot;/&gt;&lt;wsp:rsid wsp:val=&quot;00314373&quot;/&gt;&lt;wsp:rsid wsp:val=&quot;00314D50&quot;/&gt;&lt;wsp:rsid wsp:val=&quot;0031534E&quot;/&gt;&lt;wsp:rsid wsp:val=&quot;003153AA&quot;/&gt;&lt;wsp:rsid wsp:val=&quot;00315558&quot;/&gt;&lt;wsp:rsid wsp:val=&quot;0031582E&quot;/&gt;&lt;wsp:rsid wsp:val=&quot;00315C11&quot;/&gt;&lt;wsp:rsid wsp:val=&quot;00316175&quot;/&gt;&lt;wsp:rsid wsp:val=&quot;00316672&quot;/&gt;&lt;wsp:rsid wsp:val=&quot;00316881&quot;/&gt;&lt;wsp:rsid wsp:val=&quot;00316ED2&quot;/&gt;&lt;wsp:rsid wsp:val=&quot;00316F51&quot;/&gt;&lt;wsp:rsid wsp:val=&quot;00317048&quot;/&gt;&lt;wsp:rsid wsp:val=&quot;003170E1&quot;/&gt;&lt;wsp:rsid wsp:val=&quot;00317678&quot;/&gt;&lt;wsp:rsid wsp:val=&quot;0031787C&quot;/&gt;&lt;wsp:rsid wsp:val=&quot;00317A8C&quot;/&gt;&lt;wsp:rsid wsp:val=&quot;00317B4E&quot;/&gt;&lt;wsp:rsid wsp:val=&quot;00317BBD&quot;/&gt;&lt;wsp:rsid wsp:val=&quot;00317C0F&quot;/&gt;&lt;wsp:rsid wsp:val=&quot;00317F2E&quot;/&gt;&lt;wsp:rsid wsp:val=&quot;00320517&quot;/&gt;&lt;wsp:rsid wsp:val=&quot;00320667&quot;/&gt;&lt;wsp:rsid wsp:val=&quot;003206EE&quot;/&gt;&lt;wsp:rsid wsp:val=&quot;003208AB&quot;/&gt;&lt;wsp:rsid wsp:val=&quot;00320E7E&quot;/&gt;&lt;wsp:rsid wsp:val=&quot;00321278&quot;/&gt;&lt;wsp:rsid wsp:val=&quot;00321A74&quot;/&gt;&lt;wsp:rsid wsp:val=&quot;0032297F&quot;/&gt;&lt;wsp:rsid wsp:val=&quot;00322D0E&quot;/&gt;&lt;wsp:rsid wsp:val=&quot;00322E5A&quot;/&gt;&lt;wsp:rsid wsp:val=&quot;0032348E&quot;/&gt;&lt;wsp:rsid wsp:val=&quot;00323875&quot;/&gt;&lt;wsp:rsid wsp:val=&quot;00323EFC&quot;/&gt;&lt;wsp:rsid wsp:val=&quot;00323F72&quot;/&gt;&lt;wsp:rsid wsp:val=&quot;003241A2&quot;/&gt;&lt;wsp:rsid wsp:val=&quot;003245A2&quot;/&gt;&lt;wsp:rsid wsp:val=&quot;00326107&quot;/&gt;&lt;wsp:rsid wsp:val=&quot;00326496&quot;/&gt;&lt;wsp:rsid wsp:val=&quot;00326868&quot;/&gt;&lt;wsp:rsid wsp:val=&quot;00326C51&quot;/&gt;&lt;wsp:rsid wsp:val=&quot;003272C2&quot;/&gt;&lt;wsp:rsid wsp:val=&quot;00327705&quot;/&gt;&lt;wsp:rsid wsp:val=&quot;00327D26&quot;/&gt;&lt;wsp:rsid wsp:val=&quot;00330064&quot;/&gt;&lt;wsp:rsid wsp:val=&quot;003300EF&quot;/&gt;&lt;wsp:rsid wsp:val=&quot;00331760&quot;/&gt;&lt;wsp:rsid wsp:val=&quot;00331956&quot;/&gt;&lt;wsp:rsid wsp:val=&quot;00331F61&quot;/&gt;&lt;wsp:rsid wsp:val=&quot;003324CD&quot;/&gt;&lt;wsp:rsid wsp:val=&quot;0033252B&quot;/&gt;&lt;wsp:rsid wsp:val=&quot;003339D2&quot;/&gt;&lt;wsp:rsid wsp:val=&quot;00333BE7&quot;/&gt;&lt;wsp:rsid wsp:val=&quot;00333D92&quot;/&gt;&lt;wsp:rsid wsp:val=&quot;0033499D&quot;/&gt;&lt;wsp:rsid wsp:val=&quot;00334D17&quot;/&gt;&lt;wsp:rsid wsp:val=&quot;00335407&quot;/&gt;&lt;wsp:rsid wsp:val=&quot;00335AED&quot;/&gt;&lt;wsp:rsid wsp:val=&quot;00336F24&quot;/&gt;&lt;wsp:rsid wsp:val=&quot;00336F60&quot;/&gt;&lt;wsp:rsid wsp:val=&quot;003370CA&quot;/&gt;&lt;wsp:rsid wsp:val=&quot;0033710F&quot;/&gt;&lt;wsp:rsid wsp:val=&quot;003379A2&quot;/&gt;&lt;wsp:rsid wsp:val=&quot;00340DEA&quot;/&gt;&lt;wsp:rsid wsp:val=&quot;003410CC&quot;/&gt;&lt;wsp:rsid wsp:val=&quot;00341338&quot;/&gt;&lt;wsp:rsid wsp:val=&quot;0034169C&quot;/&gt;&lt;wsp:rsid wsp:val=&quot;00342A0B&quot;/&gt;&lt;wsp:rsid wsp:val=&quot;00342B14&quot;/&gt;&lt;wsp:rsid wsp:val=&quot;00343344&quot;/&gt;&lt;wsp:rsid wsp:val=&quot;003436B7&quot;/&gt;&lt;wsp:rsid wsp:val=&quot;00343B2F&quot;/&gt;&lt;wsp:rsid wsp:val=&quot;00343CD2&quot;/&gt;&lt;wsp:rsid wsp:val=&quot;00343F0B&quot;/&gt;&lt;wsp:rsid wsp:val=&quot;003444BC&quot;/&gt;&lt;wsp:rsid wsp:val=&quot;0034468A&quot;/&gt;&lt;wsp:rsid wsp:val=&quot;00344B81&quot;/&gt;&lt;wsp:rsid wsp:val=&quot;0034501A&quot;/&gt;&lt;wsp:rsid wsp:val=&quot;0034503E&quot;/&gt;&lt;wsp:rsid wsp:val=&quot;00345049&quot;/&gt;&lt;wsp:rsid wsp:val=&quot;0034582E&quot;/&gt;&lt;wsp:rsid wsp:val=&quot;003463C4&quot;/&gt;&lt;wsp:rsid wsp:val=&quot;00346C07&quot;/&gt;&lt;wsp:rsid wsp:val=&quot;00346CFA&quot;/&gt;&lt;wsp:rsid wsp:val=&quot;00346DE1&quot;/&gt;&lt;wsp:rsid wsp:val=&quot;00346F8F&quot;/&gt;&lt;wsp:rsid wsp:val=&quot;003472ED&quot;/&gt;&lt;wsp:rsid wsp:val=&quot;00347B4E&quot;/&gt;&lt;wsp:rsid wsp:val=&quot;00347D12&quot;/&gt;&lt;wsp:rsid wsp:val=&quot;00347DD4&quot;/&gt;&lt;wsp:rsid wsp:val=&quot;00347FE0&quot;/&gt;&lt;wsp:rsid wsp:val=&quot;003504FA&quot;/&gt;&lt;wsp:rsid wsp:val=&quot;00350E89&quot;/&gt;&lt;wsp:rsid wsp:val=&quot;00351514&quot;/&gt;&lt;wsp:rsid wsp:val=&quot;00351693&quot;/&gt;&lt;wsp:rsid wsp:val=&quot;0035177A&quot;/&gt;&lt;wsp:rsid wsp:val=&quot;00351797&quot;/&gt;&lt;wsp:rsid wsp:val=&quot;003519DE&quot;/&gt;&lt;wsp:rsid wsp:val=&quot;00351C31&quot;/&gt;&lt;wsp:rsid wsp:val=&quot;003522B5&quot;/&gt;&lt;wsp:rsid wsp:val=&quot;00352472&quot;/&gt;&lt;wsp:rsid wsp:val=&quot;00352A20&quot;/&gt;&lt;wsp:rsid wsp:val=&quot;00352B14&quot;/&gt;&lt;wsp:rsid wsp:val=&quot;00352E27&quot;/&gt;&lt;wsp:rsid wsp:val=&quot;0035415C&quot;/&gt;&lt;wsp:rsid wsp:val=&quot;0035420A&quot;/&gt;&lt;wsp:rsid wsp:val=&quot;00354239&quot;/&gt;&lt;wsp:rsid wsp:val=&quot;00354343&quot;/&gt;&lt;wsp:rsid wsp:val=&quot;003551D7&quot;/&gt;&lt;wsp:rsid wsp:val=&quot;00355B00&quot;/&gt;&lt;wsp:rsid wsp:val=&quot;003561AE&quot;/&gt;&lt;wsp:rsid wsp:val=&quot;0035633E&quot;/&gt;&lt;wsp:rsid wsp:val=&quot;00356DDF&quot;/&gt;&lt;wsp:rsid wsp:val=&quot;00356E78&quot;/&gt;&lt;wsp:rsid wsp:val=&quot;00357020&quot;/&gt;&lt;wsp:rsid wsp:val=&quot;0035728C&quot;/&gt;&lt;wsp:rsid wsp:val=&quot;003576FA&quot;/&gt;&lt;wsp:rsid wsp:val=&quot;00357E2F&quot;/&gt;&lt;wsp:rsid wsp:val=&quot;0036032C&quot;/&gt;&lt;wsp:rsid wsp:val=&quot;003605B7&quot;/&gt;&lt;wsp:rsid wsp:val=&quot;0036062F&quot;/&gt;&lt;wsp:rsid wsp:val=&quot;003611C0&quot;/&gt;&lt;wsp:rsid wsp:val=&quot;0036249D&quot;/&gt;&lt;wsp:rsid wsp:val=&quot;00362758&quot;/&gt;&lt;wsp:rsid wsp:val=&quot;003628FC&quot;/&gt;&lt;wsp:rsid wsp:val=&quot;00362969&quot;/&gt;&lt;wsp:rsid wsp:val=&quot;00362F3B&quot;/&gt;&lt;wsp:rsid wsp:val=&quot;003631AE&quot;/&gt;&lt;wsp:rsid wsp:val=&quot;00363456&quot;/&gt;&lt;wsp:rsid wsp:val=&quot;00363FC6&quot;/&gt;&lt;wsp:rsid wsp:val=&quot;0036456B&quot;/&gt;&lt;wsp:rsid wsp:val=&quot;0036473B&quot;/&gt;&lt;wsp:rsid wsp:val=&quot;00365258&quot;/&gt;&lt;wsp:rsid wsp:val=&quot;003656FE&quot;/&gt;&lt;wsp:rsid wsp:val=&quot;00365884&quot;/&gt;&lt;wsp:rsid wsp:val=&quot;003659BD&quot;/&gt;&lt;wsp:rsid wsp:val=&quot;003659D0&quot;/&gt;&lt;wsp:rsid wsp:val=&quot;00366197&quot;/&gt;&lt;wsp:rsid wsp:val=&quot;00366634&quot;/&gt;&lt;wsp:rsid wsp:val=&quot;00366705&quot;/&gt;&lt;wsp:rsid wsp:val=&quot;003676DA&quot;/&gt;&lt;wsp:rsid wsp:val=&quot;00367787&quot;/&gt;&lt;wsp:rsid wsp:val=&quot;00367AA4&quot;/&gt;&lt;wsp:rsid wsp:val=&quot;00367D8C&quot;/&gt;&lt;wsp:rsid wsp:val=&quot;00367F0D&quot;/&gt;&lt;wsp:rsid wsp:val=&quot;00370A6D&quot;/&gt;&lt;wsp:rsid wsp:val=&quot;003710C6&quot;/&gt;&lt;wsp:rsid wsp:val=&quot;003713C8&quot;/&gt;&lt;wsp:rsid wsp:val=&quot;00371A86&quot;/&gt;&lt;wsp:rsid wsp:val=&quot;003725C6&quot;/&gt;&lt;wsp:rsid wsp:val=&quot;00372944&quot;/&gt;&lt;wsp:rsid wsp:val=&quot;0037295C&quot;/&gt;&lt;wsp:rsid wsp:val=&quot;0037320C&quot;/&gt;&lt;wsp:rsid wsp:val=&quot;0037332E&quot;/&gt;&lt;wsp:rsid wsp:val=&quot;003736A1&quot;/&gt;&lt;wsp:rsid wsp:val=&quot;0037384D&quot;/&gt;&lt;wsp:rsid wsp:val=&quot;0037389B&quot;/&gt;&lt;wsp:rsid wsp:val=&quot;003739E1&quot;/&gt;&lt;wsp:rsid wsp:val=&quot;00374983&quot;/&gt;&lt;wsp:rsid wsp:val=&quot;00374EBA&quot;/&gt;&lt;wsp:rsid wsp:val=&quot;00375523&quot;/&gt;&lt;wsp:rsid wsp:val=&quot;00375E75&quot;/&gt;&lt;wsp:rsid wsp:val=&quot;003762A1&quot;/&gt;&lt;wsp:rsid wsp:val=&quot;00377079&quot;/&gt;&lt;wsp:rsid wsp:val=&quot;003772D7&quot;/&gt;&lt;wsp:rsid wsp:val=&quot;003774A5&quot;/&gt;&lt;wsp:rsid wsp:val=&quot;003775BF&quot;/&gt;&lt;wsp:rsid wsp:val=&quot;003776F6&quot;/&gt;&lt;wsp:rsid wsp:val=&quot;0037774F&quot;/&gt;&lt;wsp:rsid wsp:val=&quot;003777BC&quot;/&gt;&lt;wsp:rsid wsp:val=&quot;00377B7C&quot;/&gt;&lt;wsp:rsid wsp:val=&quot;00377CD1&quot;/&gt;&lt;wsp:rsid wsp:val=&quot;00380B06&quot;/&gt;&lt;wsp:rsid wsp:val=&quot;00380D26&quot;/&gt;&lt;wsp:rsid wsp:val=&quot;00381612&quot;/&gt;&lt;wsp:rsid wsp:val=&quot;003817C1&quot;/&gt;&lt;wsp:rsid wsp:val=&quot;00381B76&quot;/&gt;&lt;wsp:rsid wsp:val=&quot;00381E18&quot;/&gt;&lt;wsp:rsid wsp:val=&quot;003820F1&quot;/&gt;&lt;wsp:rsid wsp:val=&quot;00382F07&quot;/&gt;&lt;wsp:rsid wsp:val=&quot;00383007&quot;/&gt;&lt;wsp:rsid wsp:val=&quot;0038339D&quot;/&gt;&lt;wsp:rsid wsp:val=&quot;0038343F&quot;/&gt;&lt;wsp:rsid wsp:val=&quot;00383A5A&quot;/&gt;&lt;wsp:rsid wsp:val=&quot;00384442&quot;/&gt;&lt;wsp:rsid wsp:val=&quot;003849D9&quot;/&gt;&lt;wsp:rsid wsp:val=&quot;00385364&quot;/&gt;&lt;wsp:rsid wsp:val=&quot;0038682B&quot;/&gt;&lt;wsp:rsid wsp:val=&quot;00386992&quot;/&gt;&lt;wsp:rsid wsp:val=&quot;00386AE5&quot;/&gt;&lt;wsp:rsid wsp:val=&quot;00387BF3&quot;/&gt;&lt;wsp:rsid wsp:val=&quot;00387DCC&quot;/&gt;&lt;wsp:rsid wsp:val=&quot;0039001B&quot;/&gt;&lt;wsp:rsid wsp:val=&quot;0039059B&quot;/&gt;&lt;wsp:rsid wsp:val=&quot;00390F40&quot;/&gt;&lt;wsp:rsid wsp:val=&quot;00390F79&quot;/&gt;&lt;wsp:rsid wsp:val=&quot;00391288&quot;/&gt;&lt;wsp:rsid wsp:val=&quot;0039183A&quot;/&gt;&lt;wsp:rsid wsp:val=&quot;00391A9A&quot;/&gt;&lt;wsp:rsid wsp:val=&quot;0039282C&quot;/&gt;&lt;wsp:rsid wsp:val=&quot;00392980&quot;/&gt;&lt;wsp:rsid wsp:val=&quot;0039326A&quot;/&gt;&lt;wsp:rsid wsp:val=&quot;003933E7&quot;/&gt;&lt;wsp:rsid wsp:val=&quot;00393DD1&quot;/&gt;&lt;wsp:rsid wsp:val=&quot;0039447A&quot;/&gt;&lt;wsp:rsid wsp:val=&quot;0039494A&quot;/&gt;&lt;wsp:rsid wsp:val=&quot;00395164&quot;/&gt;&lt;wsp:rsid wsp:val=&quot;00395536&quot;/&gt;&lt;wsp:rsid wsp:val=&quot;0039585B&quot;/&gt;&lt;wsp:rsid wsp:val=&quot;00396085&quot;/&gt;&lt;wsp:rsid wsp:val=&quot;00396284&quot;/&gt;&lt;wsp:rsid wsp:val=&quot;0039687B&quot;/&gt;&lt;wsp:rsid wsp:val=&quot;0039715F&quot;/&gt;&lt;wsp:rsid wsp:val=&quot;00397161&quot;/&gt;&lt;wsp:rsid wsp:val=&quot;0039727C&quot;/&gt;&lt;wsp:rsid wsp:val=&quot;003A0192&quot;/&gt;&lt;wsp:rsid wsp:val=&quot;003A036B&quot;/&gt;&lt;wsp:rsid wsp:val=&quot;003A03E9&quot;/&gt;&lt;wsp:rsid wsp:val=&quot;003A0410&quot;/&gt;&lt;wsp:rsid wsp:val=&quot;003A0F30&quot;/&gt;&lt;wsp:rsid wsp:val=&quot;003A174D&quot;/&gt;&lt;wsp:rsid wsp:val=&quot;003A2CD6&quot;/&gt;&lt;wsp:rsid wsp:val=&quot;003A2D7A&quot;/&gt;&lt;wsp:rsid wsp:val=&quot;003A2FE4&quot;/&gt;&lt;wsp:rsid wsp:val=&quot;003A3009&quot;/&gt;&lt;wsp:rsid wsp:val=&quot;003A304E&quot;/&gt;&lt;wsp:rsid wsp:val=&quot;003A323F&quot;/&gt;&lt;wsp:rsid wsp:val=&quot;003A34C1&quot;/&gt;&lt;wsp:rsid wsp:val=&quot;003A35A1&quot;/&gt;&lt;wsp:rsid wsp:val=&quot;003A3967&quot;/&gt;&lt;wsp:rsid wsp:val=&quot;003A3FF6&quot;/&gt;&lt;wsp:rsid wsp:val=&quot;003A417D&quot;/&gt;&lt;wsp:rsid wsp:val=&quot;003A5896&quot;/&gt;&lt;wsp:rsid wsp:val=&quot;003A66C7&quot;/&gt;&lt;wsp:rsid wsp:val=&quot;003A6D58&quot;/&gt;&lt;wsp:rsid wsp:val=&quot;003A77AB&quot;/&gt;&lt;wsp:rsid wsp:val=&quot;003A7DC1&quot;/&gt;&lt;wsp:rsid wsp:val=&quot;003A7E7F&quot;/&gt;&lt;wsp:rsid wsp:val=&quot;003B05A7&quot;/&gt;&lt;wsp:rsid wsp:val=&quot;003B05C7&quot;/&gt;&lt;wsp:rsid wsp:val=&quot;003B05DD&quot;/&gt;&lt;wsp:rsid wsp:val=&quot;003B05FF&quot;/&gt;&lt;wsp:rsid wsp:val=&quot;003B07BB&quot;/&gt;&lt;wsp:rsid wsp:val=&quot;003B13D0&quot;/&gt;&lt;wsp:rsid wsp:val=&quot;003B1734&quot;/&gt;&lt;wsp:rsid wsp:val=&quot;003B1E97&quot;/&gt;&lt;wsp:rsid wsp:val=&quot;003B2B22&quot;/&gt;&lt;wsp:rsid wsp:val=&quot;003B2E8E&quot;/&gt;&lt;wsp:rsid wsp:val=&quot;003B3127&quot;/&gt;&lt;wsp:rsid wsp:val=&quot;003B32BA&quot;/&gt;&lt;wsp:rsid wsp:val=&quot;003B32CA&quot;/&gt;&lt;wsp:rsid wsp:val=&quot;003B32FB&quot;/&gt;&lt;wsp:rsid wsp:val=&quot;003B3A53&quot;/&gt;&lt;wsp:rsid wsp:val=&quot;003B4022&quot;/&gt;&lt;wsp:rsid wsp:val=&quot;003B4436&quot;/&gt;&lt;wsp:rsid wsp:val=&quot;003B5136&quot;/&gt;&lt;wsp:rsid wsp:val=&quot;003B60AF&quot;/&gt;&lt;wsp:rsid wsp:val=&quot;003B69F4&quot;/&gt;&lt;wsp:rsid wsp:val=&quot;003B717B&quot;/&gt;&lt;wsp:rsid wsp:val=&quot;003C01FD&quot;/&gt;&lt;wsp:rsid wsp:val=&quot;003C04D5&quot;/&gt;&lt;wsp:rsid wsp:val=&quot;003C0B24&quot;/&gt;&lt;wsp:rsid wsp:val=&quot;003C0D40&quot;/&gt;&lt;wsp:rsid wsp:val=&quot;003C0FB2&quot;/&gt;&lt;wsp:rsid wsp:val=&quot;003C26F8&quot;/&gt;&lt;wsp:rsid wsp:val=&quot;003C353C&quot;/&gt;&lt;wsp:rsid wsp:val=&quot;003C35F7&quot;/&gt;&lt;wsp:rsid wsp:val=&quot;003C3A3A&quot;/&gt;&lt;wsp:rsid wsp:val=&quot;003C49D7&quot;/&gt;&lt;wsp:rsid wsp:val=&quot;003C571C&quot;/&gt;&lt;wsp:rsid wsp:val=&quot;003C57EB&quot;/&gt;&lt;wsp:rsid wsp:val=&quot;003C6407&quot;/&gt;&lt;wsp:rsid wsp:val=&quot;003C6445&quot;/&gt;&lt;wsp:rsid wsp:val=&quot;003C6934&quot;/&gt;&lt;wsp:rsid wsp:val=&quot;003C6D5C&quot;/&gt;&lt;wsp:rsid wsp:val=&quot;003C6DE1&quot;/&gt;&lt;wsp:rsid wsp:val=&quot;003C6E6F&quot;/&gt;&lt;wsp:rsid wsp:val=&quot;003C74C7&quot;/&gt;&lt;wsp:rsid wsp:val=&quot;003C77A8&quot;/&gt;&lt;wsp:rsid wsp:val=&quot;003C78E5&quot;/&gt;&lt;wsp:rsid wsp:val=&quot;003D014A&quot;/&gt;&lt;wsp:rsid wsp:val=&quot;003D0211&quot;/&gt;&lt;wsp:rsid wsp:val=&quot;003D075C&quot;/&gt;&lt;wsp:rsid wsp:val=&quot;003D0854&quot;/&gt;&lt;wsp:rsid wsp:val=&quot;003D0FBF&quot;/&gt;&lt;wsp:rsid wsp:val=&quot;003D1600&quot;/&gt;&lt;wsp:rsid wsp:val=&quot;003D1863&quot;/&gt;&lt;wsp:rsid wsp:val=&quot;003D1A23&quot;/&gt;&lt;wsp:rsid wsp:val=&quot;003D219E&quot;/&gt;&lt;wsp:rsid wsp:val=&quot;003D2D07&quot;/&gt;&lt;wsp:rsid wsp:val=&quot;003D3650&quot;/&gt;&lt;wsp:rsid wsp:val=&quot;003D3931&quot;/&gt;&lt;wsp:rsid wsp:val=&quot;003D3A49&quot;/&gt;&lt;wsp:rsid wsp:val=&quot;003D3A99&quot;/&gt;&lt;wsp:rsid wsp:val=&quot;003D3E89&quot;/&gt;&lt;wsp:rsid wsp:val=&quot;003D42AB&quot;/&gt;&lt;wsp:rsid wsp:val=&quot;003D4410&quot;/&gt;&lt;wsp:rsid wsp:val=&quot;003D4F96&quot;/&gt;&lt;wsp:rsid wsp:val=&quot;003D5F46&quot;/&gt;&lt;wsp:rsid wsp:val=&quot;003D5FD3&quot;/&gt;&lt;wsp:rsid wsp:val=&quot;003D64A3&quot;/&gt;&lt;wsp:rsid wsp:val=&quot;003D65FE&quot;/&gt;&lt;wsp:rsid wsp:val=&quot;003D67D9&quot;/&gt;&lt;wsp:rsid wsp:val=&quot;003D6885&quot;/&gt;&lt;wsp:rsid wsp:val=&quot;003D6D1B&quot;/&gt;&lt;wsp:rsid wsp:val=&quot;003D7B92&quot;/&gt;&lt;wsp:rsid wsp:val=&quot;003E1D3B&quot;/&gt;&lt;wsp:rsid wsp:val=&quot;003E2454&quot;/&gt;&lt;wsp:rsid wsp:val=&quot;003E32FC&quot;/&gt;&lt;wsp:rsid wsp:val=&quot;003E3601&quot;/&gt;&lt;wsp:rsid wsp:val=&quot;003E3BF1&quot;/&gt;&lt;wsp:rsid wsp:val=&quot;003E3E55&quot;/&gt;&lt;wsp:rsid wsp:val=&quot;003E4381&quot;/&gt;&lt;wsp:rsid wsp:val=&quot;003E4415&quot;/&gt;&lt;wsp:rsid wsp:val=&quot;003E444C&quot;/&gt;&lt;wsp:rsid wsp:val=&quot;003E5017&quot;/&gt;&lt;wsp:rsid wsp:val=&quot;003E506C&quot;/&gt;&lt;wsp:rsid wsp:val=&quot;003E60C0&quot;/&gt;&lt;wsp:rsid wsp:val=&quot;003E68D1&quot;/&gt;&lt;wsp:rsid wsp:val=&quot;003E6A7F&quot;/&gt;&lt;wsp:rsid wsp:val=&quot;003E6B0E&quot;/&gt;&lt;wsp:rsid wsp:val=&quot;003E6F73&quot;/&gt;&lt;wsp:rsid wsp:val=&quot;003E6F96&quot;/&gt;&lt;wsp:rsid wsp:val=&quot;003E7AA6&quot;/&gt;&lt;wsp:rsid wsp:val=&quot;003E7B2A&quot;/&gt;&lt;wsp:rsid wsp:val=&quot;003F01DE&quot;/&gt;&lt;wsp:rsid wsp:val=&quot;003F0B5E&quot;/&gt;&lt;wsp:rsid wsp:val=&quot;003F0EB8&quot;/&gt;&lt;wsp:rsid wsp:val=&quot;003F1743&quot;/&gt;&lt;wsp:rsid wsp:val=&quot;003F2061&quot;/&gt;&lt;wsp:rsid wsp:val=&quot;003F216E&quot;/&gt;&lt;wsp:rsid wsp:val=&quot;003F24D8&quot;/&gt;&lt;wsp:rsid wsp:val=&quot;003F2979&quot;/&gt;&lt;wsp:rsid wsp:val=&quot;003F2A72&quot;/&gt;&lt;wsp:rsid wsp:val=&quot;003F3559&quot;/&gt;&lt;wsp:rsid wsp:val=&quot;003F397D&quot;/&gt;&lt;wsp:rsid wsp:val=&quot;003F4446&quot;/&gt;&lt;wsp:rsid wsp:val=&quot;003F4944&quot;/&gt;&lt;wsp:rsid wsp:val=&quot;003F4C02&quot;/&gt;&lt;wsp:rsid wsp:val=&quot;003F4F44&quot;/&gt;&lt;wsp:rsid wsp:val=&quot;003F65CA&quot;/&gt;&lt;wsp:rsid wsp:val=&quot;003F6669&quot;/&gt;&lt;wsp:rsid wsp:val=&quot;003F674E&quot;/&gt;&lt;wsp:rsid wsp:val=&quot;003F6AC2&quot;/&gt;&lt;wsp:rsid wsp:val=&quot;003F6B88&quot;/&gt;&lt;wsp:rsid wsp:val=&quot;003F7323&quot;/&gt;&lt;wsp:rsid wsp:val=&quot;003F7C18&quot;/&gt;&lt;wsp:rsid wsp:val=&quot;003F7E5F&quot;/&gt;&lt;wsp:rsid wsp:val=&quot;00400107&quot;/&gt;&lt;wsp:rsid wsp:val=&quot;004007C2&quot;/&gt;&lt;wsp:rsid wsp:val=&quot;00400835&quot;/&gt;&lt;wsp:rsid wsp:val=&quot;0040096A&quot;/&gt;&lt;wsp:rsid wsp:val=&quot;004009EA&quot;/&gt;&lt;wsp:rsid wsp:val=&quot;00400AF5&quot;/&gt;&lt;wsp:rsid wsp:val=&quot;00400EDC&quot;/&gt;&lt;wsp:rsid wsp:val=&quot;00400EEA&quot;/&gt;&lt;wsp:rsid wsp:val=&quot;0040106C&quot;/&gt;&lt;wsp:rsid wsp:val=&quot;00401D42&quot;/&gt;&lt;wsp:rsid wsp:val=&quot;004024B3&quot;/&gt;&lt;wsp:rsid wsp:val=&quot;00402B99&quot;/&gt;&lt;wsp:rsid wsp:val=&quot;00402C7B&quot;/&gt;&lt;wsp:rsid wsp:val=&quot;00402D5A&quot;/&gt;&lt;wsp:rsid wsp:val=&quot;0040316B&quot;/&gt;&lt;wsp:rsid wsp:val=&quot;00404247&quot;/&gt;&lt;wsp:rsid wsp:val=&quot;00404294&quot;/&gt;&lt;wsp:rsid wsp:val=&quot;004044A1&quot;/&gt;&lt;wsp:rsid wsp:val=&quot;004045B5&quot;/&gt;&lt;wsp:rsid wsp:val=&quot;00404DBD&quot;/&gt;&lt;wsp:rsid wsp:val=&quot;00404DEE&quot;/&gt;&lt;wsp:rsid wsp:val=&quot;00405A4F&quot;/&gt;&lt;wsp:rsid wsp:val=&quot;00405F50&quot;/&gt;&lt;wsp:rsid wsp:val=&quot;004060DB&quot;/&gt;&lt;wsp:rsid wsp:val=&quot;0040704B&quot;/&gt;&lt;wsp:rsid wsp:val=&quot;004079A0&quot;/&gt;&lt;wsp:rsid wsp:val=&quot;00407B0B&quot;/&gt;&lt;wsp:rsid wsp:val=&quot;00407CC0&quot;/&gt;&lt;wsp:rsid wsp:val=&quot;00407DD0&quot;/&gt;&lt;wsp:rsid wsp:val=&quot;00410419&quot;/&gt;&lt;wsp:rsid wsp:val=&quot;00410CAF&quot;/&gt;&lt;wsp:rsid wsp:val=&quot;004112A0&quot;/&gt;&lt;wsp:rsid wsp:val=&quot;00411B52&quot;/&gt;&lt;wsp:rsid wsp:val=&quot;00411CDF&quot;/&gt;&lt;wsp:rsid wsp:val=&quot;00412E0C&quot;/&gt;&lt;wsp:rsid wsp:val=&quot;0041307B&quot;/&gt;&lt;wsp:rsid wsp:val=&quot;004130C9&quot;/&gt;&lt;wsp:rsid wsp:val=&quot;004132EF&quot;/&gt;&lt;wsp:rsid wsp:val=&quot;00413EFC&quot;/&gt;&lt;wsp:rsid wsp:val=&quot;00413F5C&quot;/&gt;&lt;wsp:rsid wsp:val=&quot;00414048&quot;/&gt;&lt;wsp:rsid wsp:val=&quot;0041406F&quot;/&gt;&lt;wsp:rsid wsp:val=&quot;00414321&quot;/&gt;&lt;wsp:rsid wsp:val=&quot;00414916&quot;/&gt;&lt;wsp:rsid wsp:val=&quot;00414D06&quot;/&gt;&lt;wsp:rsid wsp:val=&quot;00415993&quot;/&gt;&lt;wsp:rsid wsp:val=&quot;00415E78&quot;/&gt;&lt;wsp:rsid wsp:val=&quot;0041631E&quot;/&gt;&lt;wsp:rsid wsp:val=&quot;004169AB&quot;/&gt;&lt;wsp:rsid wsp:val=&quot;00417052&quot;/&gt;&lt;wsp:rsid wsp:val=&quot;004201F3&quot;/&gt;&lt;wsp:rsid wsp:val=&quot;00420857&quot;/&gt;&lt;wsp:rsid wsp:val=&quot;00420BC5&quot;/&gt;&lt;wsp:rsid wsp:val=&quot;00420E3B&quot;/&gt;&lt;wsp:rsid wsp:val=&quot;004211FE&quot;/&gt;&lt;wsp:rsid wsp:val=&quot;00422422&quot;/&gt;&lt;wsp:rsid wsp:val=&quot;00422DE0&quot;/&gt;&lt;wsp:rsid wsp:val=&quot;004231C3&quot;/&gt;&lt;wsp:rsid wsp:val=&quot;00423878&quot;/&gt;&lt;wsp:rsid wsp:val=&quot;00423A46&quot;/&gt;&lt;wsp:rsid wsp:val=&quot;00424287&quot;/&gt;&lt;wsp:rsid wsp:val=&quot;0042429D&quot;/&gt;&lt;wsp:rsid wsp:val=&quot;004245FE&quot;/&gt;&lt;wsp:rsid wsp:val=&quot;00424E08&quot;/&gt;&lt;wsp:rsid wsp:val=&quot;00425A5B&quot;/&gt;&lt;wsp:rsid wsp:val=&quot;00425FF7&quot;/&gt;&lt;wsp:rsid wsp:val=&quot;004260EF&quot;/&gt;&lt;wsp:rsid wsp:val=&quot;00426BDC&quot;/&gt;&lt;wsp:rsid wsp:val=&quot;00426F32&quot;/&gt;&lt;wsp:rsid wsp:val=&quot;0042707B&quot;/&gt;&lt;wsp:rsid wsp:val=&quot;0042748E&quot;/&gt;&lt;wsp:rsid wsp:val=&quot;0042773D&quot;/&gt;&lt;wsp:rsid wsp:val=&quot;00427BD8&quot;/&gt;&lt;wsp:rsid wsp:val=&quot;00427F36&quot;/&gt;&lt;wsp:rsid wsp:val=&quot;00430F60&quot;/&gt;&lt;wsp:rsid wsp:val=&quot;00431036&quot;/&gt;&lt;wsp:rsid wsp:val=&quot;004312A0&quot;/&gt;&lt;wsp:rsid wsp:val=&quot;00431608&quot;/&gt;&lt;wsp:rsid wsp:val=&quot;0043197D&quot;/&gt;&lt;wsp:rsid wsp:val=&quot;0043289F&quot;/&gt;&lt;wsp:rsid wsp:val=&quot;00433AE7&quot;/&gt;&lt;wsp:rsid wsp:val=&quot;00433C07&quot;/&gt;&lt;wsp:rsid wsp:val=&quot;004342AB&quot;/&gt;&lt;wsp:rsid wsp:val=&quot;00434C50&quot;/&gt;&lt;wsp:rsid wsp:val=&quot;0043500A&quot;/&gt;&lt;wsp:rsid wsp:val=&quot;004358FD&quot;/&gt;&lt;wsp:rsid wsp:val=&quot;004359FF&quot;/&gt;&lt;wsp:rsid wsp:val=&quot;00435A77&quot;/&gt;&lt;wsp:rsid wsp:val=&quot;00435C7A&quot;/&gt;&lt;wsp:rsid wsp:val=&quot;004360C1&quot;/&gt;&lt;wsp:rsid wsp:val=&quot;004367CE&quot;/&gt;&lt;wsp:rsid wsp:val=&quot;00436BB8&quot;/&gt;&lt;wsp:rsid wsp:val=&quot;004376CD&quot;/&gt;&lt;wsp:rsid wsp:val=&quot;00437A27&quot;/&gt;&lt;wsp:rsid wsp:val=&quot;004400D7&quot;/&gt;&lt;wsp:rsid wsp:val=&quot;00440655&quot;/&gt;&lt;wsp:rsid wsp:val=&quot;0044144F&quot;/&gt;&lt;wsp:rsid wsp:val=&quot;0044173D&quot;/&gt;&lt;wsp:rsid wsp:val=&quot;00441812&quot;/&gt;&lt;wsp:rsid wsp:val=&quot;004421D6&quot;/&gt;&lt;wsp:rsid wsp:val=&quot;0044222C&quot;/&gt;&lt;wsp:rsid wsp:val=&quot;00442560&quot;/&gt;&lt;wsp:rsid wsp:val=&quot;00442E6E&quot;/&gt;&lt;wsp:rsid wsp:val=&quot;0044302C&quot;/&gt;&lt;wsp:rsid wsp:val=&quot;00444528&quot;/&gt;&lt;wsp:rsid wsp:val=&quot;00444B86&quot;/&gt;&lt;wsp:rsid wsp:val=&quot;004459FF&quot;/&gt;&lt;wsp:rsid wsp:val=&quot;00445A7A&quot;/&gt;&lt;wsp:rsid wsp:val=&quot;00446E75&quot;/&gt;&lt;wsp:rsid wsp:val=&quot;00447566&quot;/&gt;&lt;wsp:rsid wsp:val=&quot;004475AE&quot;/&gt;&lt;wsp:rsid wsp:val=&quot;0045054D&quot;/&gt;&lt;wsp:rsid wsp:val=&quot;00450938&quot;/&gt;&lt;wsp:rsid wsp:val=&quot;00450BE8&quot;/&gt;&lt;wsp:rsid wsp:val=&quot;00450F16&quot;/&gt;&lt;wsp:rsid wsp:val=&quot;00451501&quot;/&gt;&lt;wsp:rsid wsp:val=&quot;00451D9B&quot;/&gt;&lt;wsp:rsid wsp:val=&quot;00452229&quot;/&gt;&lt;wsp:rsid wsp:val=&quot;00452FFB&quot;/&gt;&lt;wsp:rsid wsp:val=&quot;00453778&quot;/&gt;&lt;wsp:rsid wsp:val=&quot;0045398A&quot;/&gt;&lt;wsp:rsid wsp:val=&quot;00453A0F&quot;/&gt;&lt;wsp:rsid wsp:val=&quot;004542B8&quot;/&gt;&lt;wsp:rsid wsp:val=&quot;004548D2&quot;/&gt;&lt;wsp:rsid wsp:val=&quot;0045551A&quot;/&gt;&lt;wsp:rsid wsp:val=&quot;00455599&quot;/&gt;&lt;wsp:rsid wsp:val=&quot;0045596A&quot;/&gt;&lt;wsp:rsid wsp:val=&quot;00457ACC&quot;/&gt;&lt;wsp:rsid wsp:val=&quot;00457B62&quot;/&gt;&lt;wsp:rsid wsp:val=&quot;00457B91&quot;/&gt;&lt;wsp:rsid wsp:val=&quot;00457CD6&quot;/&gt;&lt;wsp:rsid wsp:val=&quot;004601BF&quot;/&gt;&lt;wsp:rsid wsp:val=&quot;00460A1E&quot;/&gt;&lt;wsp:rsid wsp:val=&quot;00460D12&quot;/&gt;&lt;wsp:rsid wsp:val=&quot;0046107C&quot;/&gt;&lt;wsp:rsid wsp:val=&quot;00461F86&quot;/&gt;&lt;wsp:rsid wsp:val=&quot;00462000&quot;/&gt;&lt;wsp:rsid wsp:val=&quot;00462157&quot;/&gt;&lt;wsp:rsid wsp:val=&quot;004623EB&quot;/&gt;&lt;wsp:rsid wsp:val=&quot;004627E2&quot;/&gt;&lt;wsp:rsid wsp:val=&quot;0046284B&quot;/&gt;&lt;wsp:rsid wsp:val=&quot;004629E4&quot;/&gt;&lt;wsp:rsid wsp:val=&quot;00462E31&quot;/&gt;&lt;wsp:rsid wsp:val=&quot;00463117&quot;/&gt;&lt;wsp:rsid wsp:val=&quot;004633B6&quot;/&gt;&lt;wsp:rsid wsp:val=&quot;004637AE&quot;/&gt;&lt;wsp:rsid wsp:val=&quot;00463B8A&quot;/&gt;&lt;wsp:rsid wsp:val=&quot;00463C38&quot;/&gt;&lt;wsp:rsid wsp:val=&quot;0046440D&quot;/&gt;&lt;wsp:rsid wsp:val=&quot;00464FE9&quot;/&gt;&lt;wsp:rsid wsp:val=&quot;00465301&quot;/&gt;&lt;wsp:rsid wsp:val=&quot;0046559C&quot;/&gt;&lt;wsp:rsid wsp:val=&quot;004656B8&quot;/&gt;&lt;wsp:rsid wsp:val=&quot;0046588D&quot;/&gt;&lt;wsp:rsid wsp:val=&quot;00465AA1&quot;/&gt;&lt;wsp:rsid wsp:val=&quot;00465CD4&quot;/&gt;&lt;wsp:rsid wsp:val=&quot;004663BE&quot;/&gt;&lt;wsp:rsid wsp:val=&quot;004664CC&quot;/&gt;&lt;wsp:rsid wsp:val=&quot;00466541&quot;/&gt;&lt;wsp:rsid wsp:val=&quot;004665A7&quot;/&gt;&lt;wsp:rsid wsp:val=&quot;00467FDE&quot;/&gt;&lt;wsp:rsid wsp:val=&quot;004703F1&quot;/&gt;&lt;wsp:rsid wsp:val=&quot;0047070C&quot;/&gt;&lt;wsp:rsid wsp:val=&quot;00470C44&quot;/&gt;&lt;wsp:rsid wsp:val=&quot;00470EFE&quot;/&gt;&lt;wsp:rsid wsp:val=&quot;00471041&quot;/&gt;&lt;wsp:rsid wsp:val=&quot;00471351&quot;/&gt;&lt;wsp:rsid wsp:val=&quot;004722FE&quot;/&gt;&lt;wsp:rsid wsp:val=&quot;00472EF7&quot;/&gt;&lt;wsp:rsid wsp:val=&quot;004736C3&quot;/&gt;&lt;wsp:rsid wsp:val=&quot;00473C85&quot;/&gt;&lt;wsp:rsid wsp:val=&quot;0047418C&quot;/&gt;&lt;wsp:rsid wsp:val=&quot;0047449A&quot;/&gt;&lt;wsp:rsid wsp:val=&quot;004748B2&quot;/&gt;&lt;wsp:rsid wsp:val=&quot;00474957&quot;/&gt;&lt;wsp:rsid wsp:val=&quot;00474D9A&quot;/&gt;&lt;wsp:rsid wsp:val=&quot;00474F85&quot;/&gt;&lt;wsp:rsid wsp:val=&quot;00475646&quot;/&gt;&lt;wsp:rsid wsp:val=&quot;0047568C&quot;/&gt;&lt;wsp:rsid wsp:val=&quot;00475CA8&quot;/&gt;&lt;wsp:rsid wsp:val=&quot;00476098&quot;/&gt;&lt;wsp:rsid wsp:val=&quot;004762DA&quot;/&gt;&lt;wsp:rsid wsp:val=&quot;00476FFE&quot;/&gt;&lt;wsp:rsid wsp:val=&quot;00477055&quot;/&gt;&lt;wsp:rsid wsp:val=&quot;004771A3&quot;/&gt;&lt;wsp:rsid wsp:val=&quot;004810D5&quot;/&gt;&lt;wsp:rsid wsp:val=&quot;00481408&quot;/&gt;&lt;wsp:rsid wsp:val=&quot;00481411&quot;/&gt;&lt;wsp:rsid wsp:val=&quot;00481760&quot;/&gt;&lt;wsp:rsid wsp:val=&quot;00481965&quot;/&gt;&lt;wsp:rsid wsp:val=&quot;0048228D&quot;/&gt;&lt;wsp:rsid wsp:val=&quot;00482B2C&quot;/&gt;&lt;wsp:rsid wsp:val=&quot;004836B1&quot;/&gt;&lt;wsp:rsid wsp:val=&quot;004836F5&quot;/&gt;&lt;wsp:rsid wsp:val=&quot;00483B48&quot;/&gt;&lt;wsp:rsid wsp:val=&quot;00483E03&quot;/&gt;&lt;wsp:rsid wsp:val=&quot;00483F7C&quot;/&gt;&lt;wsp:rsid wsp:val=&quot;004840C2&quot;/&gt;&lt;wsp:rsid wsp:val=&quot;004845A7&quot;/&gt;&lt;wsp:rsid wsp:val=&quot;00484959&quot;/&gt;&lt;wsp:rsid wsp:val=&quot;00484987&quot;/&gt;&lt;wsp:rsid wsp:val=&quot;00485136&quot;/&gt;&lt;wsp:rsid wsp:val=&quot;004851EA&quot;/&gt;&lt;wsp:rsid wsp:val=&quot;0048553F&quot;/&gt;&lt;wsp:rsid wsp:val=&quot;004857FC&quot;/&gt;&lt;wsp:rsid wsp:val=&quot;00485E3D&quot;/&gt;&lt;wsp:rsid wsp:val=&quot;004868BD&quot;/&gt;&lt;wsp:rsid wsp:val=&quot;00486A15&quot;/&gt;&lt;wsp:rsid wsp:val=&quot;00486B6F&quot;/&gt;&lt;wsp:rsid wsp:val=&quot;0048710C&quot;/&gt;&lt;wsp:rsid wsp:val=&quot;004871E7&quot;/&gt;&lt;wsp:rsid wsp:val=&quot;004874C5&quot;/&gt;&lt;wsp:rsid wsp:val=&quot;0048767F&quot;/&gt;&lt;wsp:rsid wsp:val=&quot;004900AB&quot;/&gt;&lt;wsp:rsid wsp:val=&quot;004906D9&quot;/&gt;&lt;wsp:rsid wsp:val=&quot;0049164C&quot;/&gt;&lt;wsp:rsid wsp:val=&quot;004919E5&quot;/&gt;&lt;wsp:rsid wsp:val=&quot;00492275&quot;/&gt;&lt;wsp:rsid wsp:val=&quot;00492397&quot;/&gt;&lt;wsp:rsid wsp:val=&quot;0049261E&quot;/&gt;&lt;wsp:rsid wsp:val=&quot;00492792&quot;/&gt;&lt;wsp:rsid wsp:val=&quot;00493815&quot;/&gt;&lt;wsp:rsid wsp:val=&quot;004938AD&quot;/&gt;&lt;wsp:rsid wsp:val=&quot;0049422B&quot;/&gt;&lt;wsp:rsid wsp:val=&quot;004943A8&quot;/&gt;&lt;wsp:rsid wsp:val=&quot;004945C1&quot;/&gt;&lt;wsp:rsid wsp:val=&quot;00494F77&quot;/&gt;&lt;wsp:rsid wsp:val=&quot;00494FDA&quot;/&gt;&lt;wsp:rsid wsp:val=&quot;00495801&quot;/&gt;&lt;wsp:rsid wsp:val=&quot;00495BAC&quot;/&gt;&lt;wsp:rsid wsp:val=&quot;00495D57&quot;/&gt;&lt;wsp:rsid wsp:val=&quot;00496263&quot;/&gt;&lt;wsp:rsid wsp:val=&quot;004962A3&quot;/&gt;&lt;wsp:rsid wsp:val=&quot;0049677D&quot;/&gt;&lt;wsp:rsid wsp:val=&quot;00496B9D&quot;/&gt;&lt;wsp:rsid wsp:val=&quot;00496D28&quot;/&gt;&lt;wsp:rsid wsp:val=&quot;00496DC1&quot;/&gt;&lt;wsp:rsid wsp:val=&quot;00496DD2&quot;/&gt;&lt;wsp:rsid wsp:val=&quot;00497E46&quot;/&gt;&lt;wsp:rsid wsp:val=&quot;004A0279&quot;/&gt;&lt;wsp:rsid wsp:val=&quot;004A0299&quot;/&gt;&lt;wsp:rsid wsp:val=&quot;004A03D4&quot;/&gt;&lt;wsp:rsid wsp:val=&quot;004A159F&quot;/&gt;&lt;wsp:rsid wsp:val=&quot;004A1ED6&quot;/&gt;&lt;wsp:rsid wsp:val=&quot;004A205B&quot;/&gt;&lt;wsp:rsid wsp:val=&quot;004A219D&quot;/&gt;&lt;wsp:rsid wsp:val=&quot;004A248E&quot;/&gt;&lt;wsp:rsid wsp:val=&quot;004A25EB&quot;/&gt;&lt;wsp:rsid wsp:val=&quot;004A26EE&quot;/&gt;&lt;wsp:rsid wsp:val=&quot;004A29AE&quot;/&gt;&lt;wsp:rsid wsp:val=&quot;004A2AB4&quot;/&gt;&lt;wsp:rsid wsp:val=&quot;004A2B6E&quot;/&gt;&lt;wsp:rsid wsp:val=&quot;004A2E58&quot;/&gt;&lt;wsp:rsid wsp:val=&quot;004A2EB8&quot;/&gt;&lt;wsp:rsid wsp:val=&quot;004A31CA&quot;/&gt;&lt;wsp:rsid wsp:val=&quot;004A3387&quot;/&gt;&lt;wsp:rsid wsp:val=&quot;004A38E2&quot;/&gt;&lt;wsp:rsid wsp:val=&quot;004A3B28&quot;/&gt;&lt;wsp:rsid wsp:val=&quot;004A3C38&quot;/&gt;&lt;wsp:rsid wsp:val=&quot;004A427D&quot;/&gt;&lt;wsp:rsid wsp:val=&quot;004A4733&quot;/&gt;&lt;wsp:rsid wsp:val=&quot;004A4ADC&quot;/&gt;&lt;wsp:rsid wsp:val=&quot;004A5023&quot;/&gt;&lt;wsp:rsid wsp:val=&quot;004A5E72&quot;/&gt;&lt;wsp:rsid wsp:val=&quot;004A69A6&quot;/&gt;&lt;wsp:rsid wsp:val=&quot;004A70F9&quot;/&gt;&lt;wsp:rsid wsp:val=&quot;004A75AC&quot;/&gt;&lt;wsp:rsid wsp:val=&quot;004A7983&quot;/&gt;&lt;wsp:rsid wsp:val=&quot;004A7A03&quot;/&gt;&lt;wsp:rsid wsp:val=&quot;004B07DA&quot;/&gt;&lt;wsp:rsid wsp:val=&quot;004B0D95&quot;/&gt;&lt;wsp:rsid wsp:val=&quot;004B0F48&quot;/&gt;&lt;wsp:rsid wsp:val=&quot;004B165E&quot;/&gt;&lt;wsp:rsid wsp:val=&quot;004B1E42&quot;/&gt;&lt;wsp:rsid wsp:val=&quot;004B2259&quot;/&gt;&lt;wsp:rsid wsp:val=&quot;004B24D0&quot;/&gt;&lt;wsp:rsid wsp:val=&quot;004B34A1&quot;/&gt;&lt;wsp:rsid wsp:val=&quot;004B360E&quot;/&gt;&lt;wsp:rsid wsp:val=&quot;004B3A3E&quot;/&gt;&lt;wsp:rsid wsp:val=&quot;004B3B8D&quot;/&gt;&lt;wsp:rsid wsp:val=&quot;004B3F3F&quot;/&gt;&lt;wsp:rsid wsp:val=&quot;004B4092&quot;/&gt;&lt;wsp:rsid wsp:val=&quot;004B4816&quot;/&gt;&lt;wsp:rsid wsp:val=&quot;004B4C8C&quot;/&gt;&lt;wsp:rsid wsp:val=&quot;004B4FC8&quot;/&gt;&lt;wsp:rsid wsp:val=&quot;004B50A9&quot;/&gt;&lt;wsp:rsid wsp:val=&quot;004B58C6&quot;/&gt;&lt;wsp:rsid wsp:val=&quot;004B5994&quot;/&gt;&lt;wsp:rsid wsp:val=&quot;004B6268&quot;/&gt;&lt;wsp:rsid wsp:val=&quot;004B66CF&quot;/&gt;&lt;wsp:rsid wsp:val=&quot;004B6740&quot;/&gt;&lt;wsp:rsid wsp:val=&quot;004B6B04&quot;/&gt;&lt;wsp:rsid wsp:val=&quot;004B6C86&quot;/&gt;&lt;wsp:rsid wsp:val=&quot;004B6E4A&quot;/&gt;&lt;wsp:rsid wsp:val=&quot;004B72C6&quot;/&gt;&lt;wsp:rsid wsp:val=&quot;004B7514&quot;/&gt;&lt;wsp:rsid wsp:val=&quot;004B76F7&quot;/&gt;&lt;wsp:rsid wsp:val=&quot;004B79CF&quot;/&gt;&lt;wsp:rsid wsp:val=&quot;004B7B24&quot;/&gt;&lt;wsp:rsid wsp:val=&quot;004C093C&quot;/&gt;&lt;wsp:rsid wsp:val=&quot;004C0FE3&quot;/&gt;&lt;wsp:rsid wsp:val=&quot;004C105E&quot;/&gt;&lt;wsp:rsid wsp:val=&quot;004C14C3&quot;/&gt;&lt;wsp:rsid wsp:val=&quot;004C176D&quot;/&gt;&lt;wsp:rsid wsp:val=&quot;004C188F&quot;/&gt;&lt;wsp:rsid wsp:val=&quot;004C19B8&quot;/&gt;&lt;wsp:rsid wsp:val=&quot;004C1BE3&quot;/&gt;&lt;wsp:rsid wsp:val=&quot;004C1BEA&quot;/&gt;&lt;wsp:rsid wsp:val=&quot;004C28A8&quot;/&gt;&lt;wsp:rsid wsp:val=&quot;004C2D37&quot;/&gt;&lt;wsp:rsid wsp:val=&quot;004C3374&quot;/&gt;&lt;wsp:rsid wsp:val=&quot;004C37A6&quot;/&gt;&lt;wsp:rsid wsp:val=&quot;004C3D7E&quot;/&gt;&lt;wsp:rsid wsp:val=&quot;004C3E25&quot;/&gt;&lt;wsp:rsid wsp:val=&quot;004C3F60&quot;/&gt;&lt;wsp:rsid wsp:val=&quot;004C42A2&quot;/&gt;&lt;wsp:rsid wsp:val=&quot;004C43C0&quot;/&gt;&lt;wsp:rsid wsp:val=&quot;004C43E8&quot;/&gt;&lt;wsp:rsid wsp:val=&quot;004C4B4E&quot;/&gt;&lt;wsp:rsid wsp:val=&quot;004C4CA8&quot;/&gt;&lt;wsp:rsid wsp:val=&quot;004C4D7D&quot;/&gt;&lt;wsp:rsid wsp:val=&quot;004C4D9F&quot;/&gt;&lt;wsp:rsid wsp:val=&quot;004C507A&quot;/&gt;&lt;wsp:rsid wsp:val=&quot;004C5662&quot;/&gt;&lt;wsp:rsid wsp:val=&quot;004C5A3F&quot;/&gt;&lt;wsp:rsid wsp:val=&quot;004C60DB&quot;/&gt;&lt;wsp:rsid wsp:val=&quot;004C6AFF&quot;/&gt;&lt;wsp:rsid wsp:val=&quot;004C6B82&quot;/&gt;&lt;wsp:rsid wsp:val=&quot;004C71E5&quot;/&gt;&lt;wsp:rsid wsp:val=&quot;004C75F4&quot;/&gt;&lt;wsp:rsid wsp:val=&quot;004C7794&quot;/&gt;&lt;wsp:rsid wsp:val=&quot;004D02DF&quot;/&gt;&lt;wsp:rsid wsp:val=&quot;004D0737&quot;/&gt;&lt;wsp:rsid wsp:val=&quot;004D101C&quot;/&gt;&lt;wsp:rsid wsp:val=&quot;004D1543&quot;/&gt;&lt;wsp:rsid wsp:val=&quot;004D1D7E&quot;/&gt;&lt;wsp:rsid wsp:val=&quot;004D2B4B&quot;/&gt;&lt;wsp:rsid wsp:val=&quot;004D2B67&quot;/&gt;&lt;wsp:rsid wsp:val=&quot;004D2CF9&quot;/&gt;&lt;wsp:rsid wsp:val=&quot;004D30C8&quot;/&gt;&lt;wsp:rsid wsp:val=&quot;004D3191&quot;/&gt;&lt;wsp:rsid wsp:val=&quot;004D31BF&quot;/&gt;&lt;wsp:rsid wsp:val=&quot;004D379D&quot;/&gt;&lt;wsp:rsid wsp:val=&quot;004D397C&quot;/&gt;&lt;wsp:rsid wsp:val=&quot;004D4108&quot;/&gt;&lt;wsp:rsid wsp:val=&quot;004D436C&quot;/&gt;&lt;wsp:rsid wsp:val=&quot;004D4593&quot;/&gt;&lt;wsp:rsid wsp:val=&quot;004D471C&quot;/&gt;&lt;wsp:rsid wsp:val=&quot;004D4725&quot;/&gt;&lt;wsp:rsid wsp:val=&quot;004D4DE8&quot;/&gt;&lt;wsp:rsid wsp:val=&quot;004D579E&quot;/&gt;&lt;wsp:rsid wsp:val=&quot;004D5B0D&quot;/&gt;&lt;wsp:rsid wsp:val=&quot;004D61D6&quot;/&gt;&lt;wsp:rsid wsp:val=&quot;004D68B1&quot;/&gt;&lt;wsp:rsid wsp:val=&quot;004D6DD6&quot;/&gt;&lt;wsp:rsid wsp:val=&quot;004D76BC&quot;/&gt;&lt;wsp:rsid wsp:val=&quot;004D7A0A&quot;/&gt;&lt;wsp:rsid wsp:val=&quot;004D7AE6&quot;/&gt;&lt;wsp:rsid wsp:val=&quot;004E059E&quot;/&gt;&lt;wsp:rsid wsp:val=&quot;004E1531&quot;/&gt;&lt;wsp:rsid wsp:val=&quot;004E1C24&quot;/&gt;&lt;wsp:rsid wsp:val=&quot;004E276C&quot;/&gt;&lt;wsp:rsid wsp:val=&quot;004E2FF3&quot;/&gt;&lt;wsp:rsid wsp:val=&quot;004E3D03&quot;/&gt;&lt;wsp:rsid wsp:val=&quot;004E4BA9&quot;/&gt;&lt;wsp:rsid wsp:val=&quot;004E4D02&quot;/&gt;&lt;wsp:rsid wsp:val=&quot;004E4F9B&quot;/&gt;&lt;wsp:rsid wsp:val=&quot;004E5A94&quot;/&gt;&lt;wsp:rsid wsp:val=&quot;004E5CFB&quot;/&gt;&lt;wsp:rsid wsp:val=&quot;004E5EC6&quot;/&gt;&lt;wsp:rsid wsp:val=&quot;004E618C&quot;/&gt;&lt;wsp:rsid wsp:val=&quot;004E65A0&quot;/&gt;&lt;wsp:rsid wsp:val=&quot;004E6738&quot;/&gt;&lt;wsp:rsid wsp:val=&quot;004E6992&quot;/&gt;&lt;wsp:rsid wsp:val=&quot;004E6E4A&quot;/&gt;&lt;wsp:rsid wsp:val=&quot;004E7563&quot;/&gt;&lt;wsp:rsid wsp:val=&quot;004F0EDA&quot;/&gt;&lt;wsp:rsid wsp:val=&quot;004F110F&quot;/&gt;&lt;wsp:rsid wsp:val=&quot;004F1393&quot;/&gt;&lt;wsp:rsid wsp:val=&quot;004F1B89&quot;/&gt;&lt;wsp:rsid wsp:val=&quot;004F1BA1&quot;/&gt;&lt;wsp:rsid wsp:val=&quot;004F1D14&quot;/&gt;&lt;wsp:rsid wsp:val=&quot;004F2076&quot;/&gt;&lt;wsp:rsid wsp:val=&quot;004F2150&quot;/&gt;&lt;wsp:rsid wsp:val=&quot;004F222D&quot;/&gt;&lt;wsp:rsid wsp:val=&quot;004F252F&quot;/&gt;&lt;wsp:rsid wsp:val=&quot;004F276B&quot;/&gt;&lt;wsp:rsid wsp:val=&quot;004F27EC&quot;/&gt;&lt;wsp:rsid wsp:val=&quot;004F2ED8&quot;/&gt;&lt;wsp:rsid wsp:val=&quot;004F3978&quot;/&gt;&lt;wsp:rsid wsp:val=&quot;004F3A53&quot;/&gt;&lt;wsp:rsid wsp:val=&quot;004F3BA1&quot;/&gt;&lt;wsp:rsid wsp:val=&quot;004F3F3E&quot;/&gt;&lt;wsp:rsid wsp:val=&quot;004F40BC&quot;/&gt;&lt;wsp:rsid wsp:val=&quot;004F431C&quot;/&gt;&lt;wsp:rsid wsp:val=&quot;004F43A0&quot;/&gt;&lt;wsp:rsid wsp:val=&quot;004F447B&quot;/&gt;&lt;wsp:rsid wsp:val=&quot;004F4680&quot;/&gt;&lt;wsp:rsid wsp:val=&quot;004F4787&quot;/&gt;&lt;wsp:rsid wsp:val=&quot;004F50F5&quot;/&gt;&lt;wsp:rsid wsp:val=&quot;004F5246&quot;/&gt;&lt;wsp:rsid wsp:val=&quot;004F53D9&quot;/&gt;&lt;wsp:rsid wsp:val=&quot;004F62C1&quot;/&gt;&lt;wsp:rsid wsp:val=&quot;004F696E&quot;/&gt;&lt;wsp:rsid wsp:val=&quot;004F6A4F&quot;/&gt;&lt;wsp:rsid wsp:val=&quot;004F6FF7&quot;/&gt;&lt;wsp:rsid wsp:val=&quot;004F7309&quot;/&gt;&lt;wsp:rsid wsp:val=&quot;004F73C8&quot;/&gt;&lt;wsp:rsid wsp:val=&quot;004F74B1&quot;/&gt;&lt;wsp:rsid wsp:val=&quot;004F7667&quot;/&gt;&lt;wsp:rsid wsp:val=&quot;004F7691&quot;/&gt;&lt;wsp:rsid wsp:val=&quot;004F76F9&quot;/&gt;&lt;wsp:rsid wsp:val=&quot;004F7802&quot;/&gt;&lt;wsp:rsid wsp:val=&quot;004F7996&quot;/&gt;&lt;wsp:rsid wsp:val=&quot;004F7F5B&quot;/&gt;&lt;wsp:rsid wsp:val=&quot;005008EF&quot;/&gt;&lt;wsp:rsid wsp:val=&quot;00501012&quot;/&gt;&lt;wsp:rsid wsp:val=&quot;005019E2&quot;/&gt;&lt;wsp:rsid wsp:val=&quot;005027B0&quot;/&gt;&lt;wsp:rsid wsp:val=&quot;0050302B&quot;/&gt;&lt;wsp:rsid wsp:val=&quot;005031AE&quot;/&gt;&lt;wsp:rsid wsp:val=&quot;0050343F&quot;/&gt;&lt;wsp:rsid wsp:val=&quot;005036F4&quot;/&gt;&lt;wsp:rsid wsp:val=&quot;00503B2F&quot;/&gt;&lt;wsp:rsid wsp:val=&quot;00503B72&quot;/&gt;&lt;wsp:rsid wsp:val=&quot;005045BE&quot;/&gt;&lt;wsp:rsid wsp:val=&quot;005051E1&quot;/&gt;&lt;wsp:rsid wsp:val=&quot;0050522E&quot;/&gt;&lt;wsp:rsid wsp:val=&quot;005053A7&quot;/&gt;&lt;wsp:rsid wsp:val=&quot;00505475&quot;/&gt;&lt;wsp:rsid wsp:val=&quot;00505697&quot;/&gt;&lt;wsp:rsid wsp:val=&quot;00506956&quot;/&gt;&lt;wsp:rsid wsp:val=&quot;00506B66&quot;/&gt;&lt;wsp:rsid wsp:val=&quot;00506CE7&quot;/&gt;&lt;wsp:rsid wsp:val=&quot;00506EF7&quot;/&gt;&lt;wsp:rsid wsp:val=&quot;00507656&quot;/&gt;&lt;wsp:rsid wsp:val=&quot;0050778C&quot;/&gt;&lt;wsp:rsid wsp:val=&quot;00507A6C&quot;/&gt;&lt;wsp:rsid wsp:val=&quot;00507DB6&quot;/&gt;&lt;wsp:rsid wsp:val=&quot;005106E7&quot;/&gt;&lt;wsp:rsid wsp:val=&quot;00510DB0&quot;/&gt;&lt;wsp:rsid wsp:val=&quot;00512960&quot;/&gt;&lt;wsp:rsid wsp:val=&quot;00512E5E&quot;/&gt;&lt;wsp:rsid wsp:val=&quot;0051337F&quot;/&gt;&lt;wsp:rsid wsp:val=&quot;005147E0&quot;/&gt;&lt;wsp:rsid wsp:val=&quot;00514850&quot;/&gt;&lt;wsp:rsid wsp:val=&quot;005159CF&quot;/&gt;&lt;wsp:rsid wsp:val=&quot;00515B68&quot;/&gt;&lt;wsp:rsid wsp:val=&quot;00515D3F&quot;/&gt;&lt;wsp:rsid wsp:val=&quot;00516458&quot;/&gt;&lt;wsp:rsid wsp:val=&quot;00516CD7&quot;/&gt;&lt;wsp:rsid wsp:val=&quot;00516F53&quot;/&gt;&lt;wsp:rsid wsp:val=&quot;00516FF3&quot;/&gt;&lt;wsp:rsid wsp:val=&quot;00517A02&quot;/&gt;&lt;wsp:rsid wsp:val=&quot;00517B8B&quot;/&gt;&lt;wsp:rsid wsp:val=&quot;00517C72&quot;/&gt;&lt;wsp:rsid wsp:val=&quot;00517D93&quot;/&gt;&lt;wsp:rsid wsp:val=&quot;005202B9&quot;/&gt;&lt;wsp:rsid wsp:val=&quot;005216B0&quot;/&gt;&lt;wsp:rsid wsp:val=&quot;0052175C&quot;/&gt;&lt;wsp:rsid wsp:val=&quot;0052181C&quot;/&gt;&lt;wsp:rsid wsp:val=&quot;00521D97&quot;/&gt;&lt;wsp:rsid wsp:val=&quot;0052200F&quot;/&gt;&lt;wsp:rsid wsp:val=&quot;005221F9&quot;/&gt;&lt;wsp:rsid wsp:val=&quot;00522983&quot;/&gt;&lt;wsp:rsid wsp:val=&quot;005230F3&quot;/&gt;&lt;wsp:rsid wsp:val=&quot;00523498&quot;/&gt;&lt;wsp:rsid wsp:val=&quot;0052377E&quot;/&gt;&lt;wsp:rsid wsp:val=&quot;00524AB8&quot;/&gt;&lt;wsp:rsid wsp:val=&quot;005259A8&quot;/&gt;&lt;wsp:rsid wsp:val=&quot;00525F7C&quot;/&gt;&lt;wsp:rsid wsp:val=&quot;00526402&quot;/&gt;&lt;wsp:rsid wsp:val=&quot;0052708F&quot;/&gt;&lt;wsp:rsid wsp:val=&quot;0052781A&quot;/&gt;&lt;wsp:rsid wsp:val=&quot;00527F6A&quot;/&gt;&lt;wsp:rsid wsp:val=&quot;005305F3&quot;/&gt;&lt;wsp:rsid wsp:val=&quot;00530F44&quot;/&gt;&lt;wsp:rsid wsp:val=&quot;00531050&quot;/&gt;&lt;wsp:rsid wsp:val=&quot;005317FA&quot;/&gt;&lt;wsp:rsid wsp:val=&quot;005319BA&quot;/&gt;&lt;wsp:rsid wsp:val=&quot;00531E19&quot;/&gt;&lt;wsp:rsid wsp:val=&quot;005321B6&quot;/&gt;&lt;wsp:rsid wsp:val=&quot;005324F9&quot;/&gt;&lt;wsp:rsid wsp:val=&quot;00532E48&quot;/&gt;&lt;wsp:rsid wsp:val=&quot;0053307C&quot;/&gt;&lt;wsp:rsid wsp:val=&quot;005331AF&quot;/&gt;&lt;wsp:rsid wsp:val=&quot;005346A7&quot;/&gt;&lt;wsp:rsid wsp:val=&quot;00535054&quot;/&gt;&lt;wsp:rsid wsp:val=&quot;005352AD&quot;/&gt;&lt;wsp:rsid wsp:val=&quot;005352E3&quot;/&gt;&lt;wsp:rsid wsp:val=&quot;0053550D&quot;/&gt;&lt;wsp:rsid wsp:val=&quot;0053579F&quot;/&gt;&lt;wsp:rsid wsp:val=&quot;00535817&quot;/&gt;&lt;wsp:rsid wsp:val=&quot;00535933&quot;/&gt;&lt;wsp:rsid wsp:val=&quot;005365D4&quot;/&gt;&lt;wsp:rsid wsp:val=&quot;00536ABA&quot;/&gt;&lt;wsp:rsid wsp:val=&quot;00536F40&quot;/&gt;&lt;wsp:rsid wsp:val=&quot;005372C1&quot;/&gt;&lt;wsp:rsid wsp:val=&quot;00537E9E&quot;/&gt;&lt;wsp:rsid wsp:val=&quot;00540AD7&quot;/&gt;&lt;wsp:rsid wsp:val=&quot;00541753&quot;/&gt;&lt;wsp:rsid wsp:val=&quot;0054191D&quot;/&gt;&lt;wsp:rsid wsp:val=&quot;00541CCA&quot;/&gt;&lt;wsp:rsid wsp:val=&quot;00541D44&quot;/&gt;&lt;wsp:rsid wsp:val=&quot;0054203D&quot;/&gt;&lt;wsp:rsid wsp:val=&quot;005421D4&quot;/&gt;&lt;wsp:rsid wsp:val=&quot;00542906&quot;/&gt;&lt;wsp:rsid wsp:val=&quot;0054293A&quot;/&gt;&lt;wsp:rsid wsp:val=&quot;00543570&quot;/&gt;&lt;wsp:rsid wsp:val=&quot;005437AD&quot;/&gt;&lt;wsp:rsid wsp:val=&quot;00543924&quot;/&gt;&lt;wsp:rsid wsp:val=&quot;00543E5C&quot;/&gt;&lt;wsp:rsid wsp:val=&quot;00544B40&quot;/&gt;&lt;wsp:rsid wsp:val=&quot;00544C21&quot;/&gt;&lt;wsp:rsid wsp:val=&quot;00544FDD&quot;/&gt;&lt;wsp:rsid wsp:val=&quot;00545153&quot;/&gt;&lt;wsp:rsid wsp:val=&quot;0054538D&quot;/&gt;&lt;wsp:rsid wsp:val=&quot;005457C5&quot;/&gt;&lt;wsp:rsid wsp:val=&quot;005458E3&quot;/&gt;&lt;wsp:rsid wsp:val=&quot;00545A4D&quot;/&gt;&lt;wsp:rsid wsp:val=&quot;00545D67&quot;/&gt;&lt;wsp:rsid wsp:val=&quot;005460C6&quot;/&gt;&lt;wsp:rsid wsp:val=&quot;00547443&quot;/&gt;&lt;wsp:rsid wsp:val=&quot;0055079F&quot;/&gt;&lt;wsp:rsid wsp:val=&quot;00550A3A&quot;/&gt;&lt;wsp:rsid wsp:val=&quot;00550AA3&quot;/&gt;&lt;wsp:rsid wsp:val=&quot;00550BBE&quot;/&gt;&lt;wsp:rsid wsp:val=&quot;005520FD&quot;/&gt;&lt;wsp:rsid wsp:val=&quot;005524F6&quot;/&gt;&lt;wsp:rsid wsp:val=&quot;00552A21&quot;/&gt;&lt;wsp:rsid wsp:val=&quot;005531AB&quot;/&gt;&lt;wsp:rsid wsp:val=&quot;00553A9E&quot;/&gt;&lt;wsp:rsid wsp:val=&quot;00553D22&quot;/&gt;&lt;wsp:rsid wsp:val=&quot;00554258&quot;/&gt;&lt;wsp:rsid wsp:val=&quot;00554C01&quot;/&gt;&lt;wsp:rsid wsp:val=&quot;00554D02&quot;/&gt;&lt;wsp:rsid wsp:val=&quot;00554E4A&quot;/&gt;&lt;wsp:rsid wsp:val=&quot;00554FC9&quot;/&gt;&lt;wsp:rsid wsp:val=&quot;00555518&quot;/&gt;&lt;wsp:rsid wsp:val=&quot;00556818&quot;/&gt;&lt;wsp:rsid wsp:val=&quot;00556EC1&quot;/&gt;&lt;wsp:rsid wsp:val=&quot;00557610&quot;/&gt;&lt;wsp:rsid wsp:val=&quot;00560114&quot;/&gt;&lt;wsp:rsid wsp:val=&quot;005601E8&quot;/&gt;&lt;wsp:rsid wsp:val=&quot;005603EA&quot;/&gt;&lt;wsp:rsid wsp:val=&quot;005607F6&quot;/&gt;&lt;wsp:rsid wsp:val=&quot;00560D2A&quot;/&gt;&lt;wsp:rsid wsp:val=&quot;00560DCA&quot;/&gt;&lt;wsp:rsid wsp:val=&quot;005611AD&quot;/&gt;&lt;wsp:rsid wsp:val=&quot;0056141B&quot;/&gt;&lt;wsp:rsid wsp:val=&quot;0056154E&quot;/&gt;&lt;wsp:rsid wsp:val=&quot;00561B3E&quot;/&gt;&lt;wsp:rsid wsp:val=&quot;00562285&quot;/&gt;&lt;wsp:rsid wsp:val=&quot;00562517&quot;/&gt;&lt;wsp:rsid wsp:val=&quot;00562DCF&quot;/&gt;&lt;wsp:rsid wsp:val=&quot;00562E0A&quot;/&gt;&lt;wsp:rsid wsp:val=&quot;00563556&quot;/&gt;&lt;wsp:rsid wsp:val=&quot;005635FC&quot;/&gt;&lt;wsp:rsid wsp:val=&quot;005642B8&quot;/&gt;&lt;wsp:rsid wsp:val=&quot;0056495D&quot;/&gt;&lt;wsp:rsid wsp:val=&quot;00565A79&quot;/&gt;&lt;wsp:rsid wsp:val=&quot;00565BBE&quot;/&gt;&lt;wsp:rsid wsp:val=&quot;00565FA9&quot;/&gt;&lt;wsp:rsid wsp:val=&quot;0056629C&quot;/&gt;&lt;wsp:rsid wsp:val=&quot;00566519&quot;/&gt;&lt;wsp:rsid wsp:val=&quot;0056657E&quot;/&gt;&lt;wsp:rsid wsp:val=&quot;005665EB&quot;/&gt;&lt;wsp:rsid wsp:val=&quot;005668BE&quot;/&gt;&lt;wsp:rsid wsp:val=&quot;00566AFF&quot;/&gt;&lt;wsp:rsid wsp:val=&quot;00566E6F&quot;/&gt;&lt;wsp:rsid wsp:val=&quot;005670E9&quot;/&gt;&lt;wsp:rsid wsp:val=&quot;00567866&quot;/&gt;&lt;wsp:rsid wsp:val=&quot;00567BFA&quot;/&gt;&lt;wsp:rsid wsp:val=&quot;00570BAD&quot;/&gt;&lt;wsp:rsid wsp:val=&quot;0057107A&quot;/&gt;&lt;wsp:rsid wsp:val=&quot;00571514&quot;/&gt;&lt;wsp:rsid wsp:val=&quot;005717D4&quot;/&gt;&lt;wsp:rsid wsp:val=&quot;00571C4D&quot;/&gt;&lt;wsp:rsid wsp:val=&quot;00571E47&quot;/&gt;&lt;wsp:rsid wsp:val=&quot;0057286F&quot;/&gt;&lt;wsp:rsid wsp:val=&quot;00572C6A&quot;/&gt;&lt;wsp:rsid wsp:val=&quot;00573012&quot;/&gt;&lt;wsp:rsid wsp:val=&quot;0057339E&quot;/&gt;&lt;wsp:rsid wsp:val=&quot;00573AD0&quot;/&gt;&lt;wsp:rsid wsp:val=&quot;0057411E&quot;/&gt;&lt;wsp:rsid wsp:val=&quot;005742D4&quot;/&gt;&lt;wsp:rsid wsp:val=&quot;0057470E&quot;/&gt;&lt;wsp:rsid wsp:val=&quot;00574D29&quot;/&gt;&lt;wsp:rsid wsp:val=&quot;00575651&quot;/&gt;&lt;wsp:rsid wsp:val=&quot;00575868&quot;/&gt;&lt;wsp:rsid wsp:val=&quot;00575972&quot;/&gt;&lt;wsp:rsid wsp:val=&quot;00575F99&quot;/&gt;&lt;wsp:rsid wsp:val=&quot;00576218&quot;/&gt;&lt;wsp:rsid wsp:val=&quot;00576268&quot;/&gt;&lt;wsp:rsid wsp:val=&quot;00576451&quot;/&gt;&lt;wsp:rsid wsp:val=&quot;005766E8&quot;/&gt;&lt;wsp:rsid wsp:val=&quot;00576796&quot;/&gt;&lt;wsp:rsid wsp:val=&quot;0057719D&quot;/&gt;&lt;wsp:rsid wsp:val=&quot;005774D2&quot;/&gt;&lt;wsp:rsid wsp:val=&quot;00577EA7&quot;/&gt;&lt;wsp:rsid wsp:val=&quot;00577F89&quot;/&gt;&lt;wsp:rsid wsp:val=&quot;00577FD4&quot;/&gt;&lt;wsp:rsid wsp:val=&quot;00580470&quot;/&gt;&lt;wsp:rsid wsp:val=&quot;005816D8&quot;/&gt;&lt;wsp:rsid wsp:val=&quot;005817B6&quot;/&gt;&lt;wsp:rsid wsp:val=&quot;005817B8&quot;/&gt;&lt;wsp:rsid wsp:val=&quot;005818E2&quot;/&gt;&lt;wsp:rsid wsp:val=&quot;00581A75&quot;/&gt;&lt;wsp:rsid wsp:val=&quot;00581B4F&quot;/&gt;&lt;wsp:rsid wsp:val=&quot;00581DE5&quot;/&gt;&lt;wsp:rsid wsp:val=&quot;00581E6B&quot;/&gt;&lt;wsp:rsid wsp:val=&quot;005823AA&quot;/&gt;&lt;wsp:rsid wsp:val=&quot;00582A71&quot;/&gt;&lt;wsp:rsid wsp:val=&quot;00582C4F&quot;/&gt;&lt;wsp:rsid wsp:val=&quot;00583071&quot;/&gt;&lt;wsp:rsid wsp:val=&quot;00583413&quot;/&gt;&lt;wsp:rsid wsp:val=&quot;0058389D&quot;/&gt;&lt;wsp:rsid wsp:val=&quot;00583E01&quot;/&gt;&lt;wsp:rsid wsp:val=&quot;00585962&quot;/&gt;&lt;wsp:rsid wsp:val=&quot;00586086&quot;/&gt;&lt;wsp:rsid wsp:val=&quot;0058640B&quot;/&gt;&lt;wsp:rsid wsp:val=&quot;0058677E&quot;/&gt;&lt;wsp:rsid wsp:val=&quot;00586F7A&quot;/&gt;&lt;wsp:rsid wsp:val=&quot;005871B8&quot;/&gt;&lt;wsp:rsid wsp:val=&quot;00587DF9&quot;/&gt;&lt;wsp:rsid wsp:val=&quot;00587F78&quot;/&gt;&lt;wsp:rsid wsp:val=&quot;00590569&quot;/&gt;&lt;wsp:rsid wsp:val=&quot;0059124A&quot;/&gt;&lt;wsp:rsid wsp:val=&quot;00591A3B&quot;/&gt;&lt;wsp:rsid wsp:val=&quot;00592339&quot;/&gt;&lt;wsp:rsid wsp:val=&quot;005925F4&quot;/&gt;&lt;wsp:rsid wsp:val=&quot;0059300F&quot;/&gt;&lt;wsp:rsid wsp:val=&quot;005935B8&quot;/&gt;&lt;wsp:rsid wsp:val=&quot;00593CFA&quot;/&gt;&lt;wsp:rsid wsp:val=&quot;00594064&quot;/&gt;&lt;wsp:rsid wsp:val=&quot;0059440B&quot;/&gt;&lt;wsp:rsid wsp:val=&quot;00594884&quot;/&gt;&lt;wsp:rsid wsp:val=&quot;00594B7A&quot;/&gt;&lt;wsp:rsid wsp:val=&quot;00594BF4&quot;/&gt;&lt;wsp:rsid wsp:val=&quot;00594CBB&quot;/&gt;&lt;wsp:rsid wsp:val=&quot;00594EAE&quot;/&gt;&lt;wsp:rsid wsp:val=&quot;0059523E&quot;/&gt;&lt;wsp:rsid wsp:val=&quot;00595548&quot;/&gt;&lt;wsp:rsid wsp:val=&quot;0059560F&quot;/&gt;&lt;wsp:rsid wsp:val=&quot;00596318&quot;/&gt;&lt;wsp:rsid wsp:val=&quot;00596BE2&quot;/&gt;&lt;wsp:rsid wsp:val=&quot;00596D1A&quot;/&gt;&lt;wsp:rsid wsp:val=&quot;005A06DB&quot;/&gt;&lt;wsp:rsid wsp:val=&quot;005A0A75&quot;/&gt;&lt;wsp:rsid wsp:val=&quot;005A0D74&quot;/&gt;&lt;wsp:rsid wsp:val=&quot;005A14CF&quot;/&gt;&lt;wsp:rsid wsp:val=&quot;005A1548&quot;/&gt;&lt;wsp:rsid wsp:val=&quot;005A1AC0&quot;/&gt;&lt;wsp:rsid wsp:val=&quot;005A1D93&quot;/&gt;&lt;wsp:rsid wsp:val=&quot;005A2037&quot;/&gt;&lt;wsp:rsid wsp:val=&quot;005A3930&quot;/&gt;&lt;wsp:rsid wsp:val=&quot;005A3B0B&quot;/&gt;&lt;wsp:rsid wsp:val=&quot;005A3B5D&quot;/&gt;&lt;wsp:rsid wsp:val=&quot;005A40AF&quot;/&gt;&lt;wsp:rsid wsp:val=&quot;005A447C&quot;/&gt;&lt;wsp:rsid wsp:val=&quot;005A4666&quot;/&gt;&lt;wsp:rsid wsp:val=&quot;005A4C97&quot;/&gt;&lt;wsp:rsid wsp:val=&quot;005A5539&quot;/&gt;&lt;wsp:rsid wsp:val=&quot;005A556D&quot;/&gt;&lt;wsp:rsid wsp:val=&quot;005A59C2&quot;/&gt;&lt;wsp:rsid wsp:val=&quot;005A62CC&quot;/&gt;&lt;wsp:rsid wsp:val=&quot;005A66D5&quot;/&gt;&lt;wsp:rsid wsp:val=&quot;005A73E7&quot;/&gt;&lt;wsp:rsid wsp:val=&quot;005A74C1&quot;/&gt;&lt;wsp:rsid wsp:val=&quot;005A78DC&quot;/&gt;&lt;wsp:rsid wsp:val=&quot;005A798B&quot;/&gt;&lt;wsp:rsid wsp:val=&quot;005A7C61&quot;/&gt;&lt;wsp:rsid wsp:val=&quot;005B0151&quot;/&gt;&lt;wsp:rsid wsp:val=&quot;005B0161&quot;/&gt;&lt;wsp:rsid wsp:val=&quot;005B0666&quot;/&gt;&lt;wsp:rsid wsp:val=&quot;005B0A12&quot;/&gt;&lt;wsp:rsid wsp:val=&quot;005B0BCC&quot;/&gt;&lt;wsp:rsid wsp:val=&quot;005B0F41&quot;/&gt;&lt;wsp:rsid wsp:val=&quot;005B16F8&quot;/&gt;&lt;wsp:rsid wsp:val=&quot;005B183A&quot;/&gt;&lt;wsp:rsid wsp:val=&quot;005B1FC4&quot;/&gt;&lt;wsp:rsid wsp:val=&quot;005B24F7&quot;/&gt;&lt;wsp:rsid wsp:val=&quot;005B2E38&quot;/&gt;&lt;wsp:rsid wsp:val=&quot;005B2F22&quot;/&gt;&lt;wsp:rsid wsp:val=&quot;005B30B5&quot;/&gt;&lt;wsp:rsid wsp:val=&quot;005B35EC&quot;/&gt;&lt;wsp:rsid wsp:val=&quot;005B388D&quot;/&gt;&lt;wsp:rsid wsp:val=&quot;005B3F5E&quot;/&gt;&lt;wsp:rsid wsp:val=&quot;005B405E&quot;/&gt;&lt;wsp:rsid wsp:val=&quot;005B4E94&quot;/&gt;&lt;wsp:rsid wsp:val=&quot;005B502B&quot;/&gt;&lt;wsp:rsid wsp:val=&quot;005B50D3&quot;/&gt;&lt;wsp:rsid wsp:val=&quot;005B5E70&quot;/&gt;&lt;wsp:rsid wsp:val=&quot;005B5F2B&quot;/&gt;&lt;wsp:rsid wsp:val=&quot;005B60B8&quot;/&gt;&lt;wsp:rsid wsp:val=&quot;005B68AE&quot;/&gt;&lt;wsp:rsid wsp:val=&quot;005B68EA&quot;/&gt;&lt;wsp:rsid wsp:val=&quot;005B6BF2&quot;/&gt;&lt;wsp:rsid wsp:val=&quot;005B6D8C&quot;/&gt;&lt;wsp:rsid wsp:val=&quot;005B7923&quot;/&gt;&lt;wsp:rsid wsp:val=&quot;005B7F18&quot;/&gt;&lt;wsp:rsid wsp:val=&quot;005C0526&quot;/&gt;&lt;wsp:rsid wsp:val=&quot;005C053C&quot;/&gt;&lt;wsp:rsid wsp:val=&quot;005C0982&quot;/&gt;&lt;wsp:rsid wsp:val=&quot;005C09B0&quot;/&gt;&lt;wsp:rsid wsp:val=&quot;005C0AB6&quot;/&gt;&lt;wsp:rsid wsp:val=&quot;005C0E12&quot;/&gt;&lt;wsp:rsid wsp:val=&quot;005C10B7&quot;/&gt;&lt;wsp:rsid wsp:val=&quot;005C1BBF&quot;/&gt;&lt;wsp:rsid wsp:val=&quot;005C225B&quot;/&gt;&lt;wsp:rsid wsp:val=&quot;005C2A6B&quot;/&gt;&lt;wsp:rsid wsp:val=&quot;005C2C66&quot;/&gt;&lt;wsp:rsid wsp:val=&quot;005C2E45&quot;/&gt;&lt;wsp:rsid wsp:val=&quot;005C3437&quot;/&gt;&lt;wsp:rsid wsp:val=&quot;005C3869&quot;/&gt;&lt;wsp:rsid wsp:val=&quot;005C38A4&quot;/&gt;&lt;wsp:rsid wsp:val=&quot;005C3B1B&quot;/&gt;&lt;wsp:rsid wsp:val=&quot;005C462D&quot;/&gt;&lt;wsp:rsid wsp:val=&quot;005C4F55&quot;/&gt;&lt;wsp:rsid wsp:val=&quot;005C68CB&quot;/&gt;&lt;wsp:rsid wsp:val=&quot;005C6901&quot;/&gt;&lt;wsp:rsid wsp:val=&quot;005C6A0A&quot;/&gt;&lt;wsp:rsid wsp:val=&quot;005C6FC8&quot;/&gt;&lt;wsp:rsid wsp:val=&quot;005C71C8&quot;/&gt;&lt;wsp:rsid wsp:val=&quot;005C787D&quot;/&gt;&lt;wsp:rsid wsp:val=&quot;005C7C25&quot;/&gt;&lt;wsp:rsid wsp:val=&quot;005C7ED2&quot;/&gt;&lt;wsp:rsid wsp:val=&quot;005D0099&quot;/&gt;&lt;wsp:rsid wsp:val=&quot;005D038D&quot;/&gt;&lt;wsp:rsid wsp:val=&quot;005D14BF&quot;/&gt;&lt;wsp:rsid wsp:val=&quot;005D18DE&quot;/&gt;&lt;wsp:rsid wsp:val=&quot;005D1910&quot;/&gt;&lt;wsp:rsid wsp:val=&quot;005D24D5&quot;/&gt;&lt;wsp:rsid wsp:val=&quot;005D344E&quot;/&gt;&lt;wsp:rsid wsp:val=&quot;005D4699&quot;/&gt;&lt;wsp:rsid wsp:val=&quot;005D46C1&quot;/&gt;&lt;wsp:rsid wsp:val=&quot;005D4DB4&quot;/&gt;&lt;wsp:rsid wsp:val=&quot;005D5123&quot;/&gt;&lt;wsp:rsid wsp:val=&quot;005D5961&quot;/&gt;&lt;wsp:rsid wsp:val=&quot;005D5BB0&quot;/&gt;&lt;wsp:rsid wsp:val=&quot;005D5C9C&quot;/&gt;&lt;wsp:rsid wsp:val=&quot;005D5F1D&quot;/&gt;&lt;wsp:rsid wsp:val=&quot;005D6BA8&quot;/&gt;&lt;wsp:rsid wsp:val=&quot;005D710E&quot;/&gt;&lt;wsp:rsid wsp:val=&quot;005D7793&quot;/&gt;&lt;wsp:rsid wsp:val=&quot;005D7A29&quot;/&gt;&lt;wsp:rsid wsp:val=&quot;005E00EA&quot;/&gt;&lt;wsp:rsid wsp:val=&quot;005E03C5&quot;/&gt;&lt;wsp:rsid wsp:val=&quot;005E04D6&quot;/&gt;&lt;wsp:rsid wsp:val=&quot;005E062B&quot;/&gt;&lt;wsp:rsid wsp:val=&quot;005E08F1&quot;/&gt;&lt;wsp:rsid wsp:val=&quot;005E0A65&quot;/&gt;&lt;wsp:rsid wsp:val=&quot;005E1779&quot;/&gt;&lt;wsp:rsid wsp:val=&quot;005E1782&quot;/&gt;&lt;wsp:rsid wsp:val=&quot;005E1930&quot;/&gt;&lt;wsp:rsid wsp:val=&quot;005E194B&quot;/&gt;&lt;wsp:rsid wsp:val=&quot;005E1F27&quot;/&gt;&lt;wsp:rsid wsp:val=&quot;005E2307&quot;/&gt;&lt;wsp:rsid wsp:val=&quot;005E241D&quot;/&gt;&lt;wsp:rsid wsp:val=&quot;005E2846&quot;/&gt;&lt;wsp:rsid wsp:val=&quot;005E2AB3&quot;/&gt;&lt;wsp:rsid wsp:val=&quot;005E3228&quot;/&gt;&lt;wsp:rsid wsp:val=&quot;005E3AB2&quot;/&gt;&lt;wsp:rsid wsp:val=&quot;005E3DC5&quot;/&gt;&lt;wsp:rsid wsp:val=&quot;005E3F50&quot;/&gt;&lt;wsp:rsid wsp:val=&quot;005E3FBA&quot;/&gt;&lt;wsp:rsid wsp:val=&quot;005E4E35&quot;/&gt;&lt;wsp:rsid wsp:val=&quot;005E505C&quot;/&gt;&lt;wsp:rsid wsp:val=&quot;005E5167&quot;/&gt;&lt;wsp:rsid wsp:val=&quot;005E59C4&quot;/&gt;&lt;wsp:rsid wsp:val=&quot;005E734E&quot;/&gt;&lt;wsp:rsid wsp:val=&quot;005E7354&quot;/&gt;&lt;wsp:rsid wsp:val=&quot;005E76EC&quot;/&gt;&lt;wsp:rsid wsp:val=&quot;005E7DC1&quot;/&gt;&lt;wsp:rsid wsp:val=&quot;005F0A42&quot;/&gt;&lt;wsp:rsid wsp:val=&quot;005F0B58&quot;/&gt;&lt;wsp:rsid wsp:val=&quot;005F15DD&quot;/&gt;&lt;wsp:rsid wsp:val=&quot;005F18DF&quot;/&gt;&lt;wsp:rsid wsp:val=&quot;005F202C&quot;/&gt;&lt;wsp:rsid wsp:val=&quot;005F24C6&quot;/&gt;&lt;wsp:rsid wsp:val=&quot;005F2F1B&quot;/&gt;&lt;wsp:rsid wsp:val=&quot;005F3032&quot;/&gt;&lt;wsp:rsid wsp:val=&quot;005F3269&quot;/&gt;&lt;wsp:rsid wsp:val=&quot;005F3283&quot;/&gt;&lt;wsp:rsid wsp:val=&quot;005F3949&quot;/&gt;&lt;wsp:rsid wsp:val=&quot;005F496E&quot;/&gt;&lt;wsp:rsid wsp:val=&quot;005F4ABE&quot;/&gt;&lt;wsp:rsid wsp:val=&quot;005F5820&quot;/&gt;&lt;wsp:rsid wsp:val=&quot;005F65BC&quot;/&gt;&lt;wsp:rsid wsp:val=&quot;005F65D2&quot;/&gt;&lt;wsp:rsid wsp:val=&quot;005F7634&quot;/&gt;&lt;wsp:rsid wsp:val=&quot;005F77A7&quot;/&gt;&lt;wsp:rsid wsp:val=&quot;005F7D6F&quot;/&gt;&lt;wsp:rsid wsp:val=&quot;00600A64&quot;/&gt;&lt;wsp:rsid wsp:val=&quot;00600C27&quot;/&gt;&lt;wsp:rsid wsp:val=&quot;0060130D&quot;/&gt;&lt;wsp:rsid wsp:val=&quot;00601614&quot;/&gt;&lt;wsp:rsid wsp:val=&quot;00601D88&quot;/&gt;&lt;wsp:rsid wsp:val=&quot;00602218&quot;/&gt;&lt;wsp:rsid wsp:val=&quot;00602ED0&quot;/&gt;&lt;wsp:rsid wsp:val=&quot;00603052&quot;/&gt;&lt;wsp:rsid wsp:val=&quot;00603101&quot;/&gt;&lt;wsp:rsid wsp:val=&quot;006033D9&quot;/&gt;&lt;wsp:rsid wsp:val=&quot;00603637&quot;/&gt;&lt;wsp:rsid wsp:val=&quot;00603650&quot;/&gt;&lt;wsp:rsid wsp:val=&quot;00603886&quot;/&gt;&lt;wsp:rsid wsp:val=&quot;00603C5D&quot;/&gt;&lt;wsp:rsid wsp:val=&quot;00603FBB&quot;/&gt;&lt;wsp:rsid wsp:val=&quot;00604425&quot;/&gt;&lt;wsp:rsid wsp:val=&quot;00604E8A&quot;/&gt;&lt;wsp:rsid wsp:val=&quot;00605C71&quot;/&gt;&lt;wsp:rsid wsp:val=&quot;006071D1&quot;/&gt;&lt;wsp:rsid wsp:val=&quot;006073D9&quot;/&gt;&lt;wsp:rsid wsp:val=&quot;00607844&quot;/&gt;&lt;wsp:rsid wsp:val=&quot;0060796C&quot;/&gt;&lt;wsp:rsid wsp:val=&quot;00610556&quot;/&gt;&lt;wsp:rsid wsp:val=&quot;00610894&quot;/&gt;&lt;wsp:rsid wsp:val=&quot;00610F60&quot;/&gt;&lt;wsp:rsid wsp:val=&quot;00611100&quot;/&gt;&lt;wsp:rsid wsp:val=&quot;00611194&quot;/&gt;&lt;wsp:rsid wsp:val=&quot;006113DE&quot;/&gt;&lt;wsp:rsid wsp:val=&quot;006115EF&quot;/&gt;&lt;wsp:rsid wsp:val=&quot;0061163E&quot;/&gt;&lt;wsp:rsid wsp:val=&quot;0061172C&quot;/&gt;&lt;wsp:rsid wsp:val=&quot;006118E9&quot;/&gt;&lt;wsp:rsid wsp:val=&quot;00612316&quot;/&gt;&lt;wsp:rsid wsp:val=&quot;006124C1&quot;/&gt;&lt;wsp:rsid wsp:val=&quot;00612CB0&quot;/&gt;&lt;wsp:rsid wsp:val=&quot;00612EF3&quot;/&gt;&lt;wsp:rsid wsp:val=&quot;00613D92&quot;/&gt;&lt;wsp:rsid wsp:val=&quot;00615592&quot;/&gt;&lt;wsp:rsid wsp:val=&quot;006155AA&quot;/&gt;&lt;wsp:rsid wsp:val=&quot;00615DC5&quot;/&gt;&lt;wsp:rsid wsp:val=&quot;00615F90&quot;/&gt;&lt;wsp:rsid wsp:val=&quot;0061709E&quot;/&gt;&lt;wsp:rsid wsp:val=&quot;006174DC&quot;/&gt;&lt;wsp:rsid wsp:val=&quot;00617790&quot;/&gt;&lt;wsp:rsid wsp:val=&quot;0062097F&quot;/&gt;&lt;wsp:rsid wsp:val=&quot;00621165&quot;/&gt;&lt;wsp:rsid wsp:val=&quot;00621DB5&quot;/&gt;&lt;wsp:rsid wsp:val=&quot;00624500&quot;/&gt;&lt;wsp:rsid wsp:val=&quot;00624644&quot;/&gt;&lt;wsp:rsid wsp:val=&quot;00624808&quot;/&gt;&lt;wsp:rsid wsp:val=&quot;0062487B&quot;/&gt;&lt;wsp:rsid wsp:val=&quot;00624934&quot;/&gt;&lt;wsp:rsid wsp:val=&quot;00624EB0&quot;/&gt;&lt;wsp:rsid wsp:val=&quot;006250EE&quot;/&gt;&lt;wsp:rsid wsp:val=&quot;0062562C&quot;/&gt;&lt;wsp:rsid wsp:val=&quot;00625A38&quot;/&gt;&lt;wsp:rsid wsp:val=&quot;00625BFE&quot;/&gt;&lt;wsp:rsid wsp:val=&quot;00625D28&quot;/&gt;&lt;wsp:rsid wsp:val=&quot;00626211&quot;/&gt;&lt;wsp:rsid wsp:val=&quot;006269F9&quot;/&gt;&lt;wsp:rsid wsp:val=&quot;00626B45&quot;/&gt;&lt;wsp:rsid wsp:val=&quot;0062714E&quot;/&gt;&lt;wsp:rsid wsp:val=&quot;00627295&quot;/&gt;&lt;wsp:rsid wsp:val=&quot;00627DE3&quot;/&gt;&lt;wsp:rsid wsp:val=&quot;0063024B&quot;/&gt;&lt;wsp:rsid wsp:val=&quot;00630691&quot;/&gt;&lt;wsp:rsid wsp:val=&quot;00631A79&quot;/&gt;&lt;wsp:rsid wsp:val=&quot;00631D1B&quot;/&gt;&lt;wsp:rsid wsp:val=&quot;00631DA6&quot;/&gt;&lt;wsp:rsid wsp:val=&quot;00631E2A&quot;/&gt;&lt;wsp:rsid wsp:val=&quot;006320DF&quot;/&gt;&lt;wsp:rsid wsp:val=&quot;00632161&quot;/&gt;&lt;wsp:rsid wsp:val=&quot;006329BD&quot;/&gt;&lt;wsp:rsid wsp:val=&quot;00632BF7&quot;/&gt;&lt;wsp:rsid wsp:val=&quot;00634445&quot;/&gt;&lt;wsp:rsid wsp:val=&quot;00634E2A&quot;/&gt;&lt;wsp:rsid wsp:val=&quot;00634E7D&quot;/&gt;&lt;wsp:rsid wsp:val=&quot;00635927&quot;/&gt;&lt;wsp:rsid wsp:val=&quot;006365B8&quot;/&gt;&lt;wsp:rsid wsp:val=&quot;00637394&quot;/&gt;&lt;wsp:rsid wsp:val=&quot;00637814&quot;/&gt;&lt;wsp:rsid wsp:val=&quot;0064044E&quot;/&gt;&lt;wsp:rsid wsp:val=&quot;006406A3&quot;/&gt;&lt;wsp:rsid wsp:val=&quot;006406B8&quot;/&gt;&lt;wsp:rsid wsp:val=&quot;0064130E&quot;/&gt;&lt;wsp:rsid wsp:val=&quot;00641735&quot;/&gt;&lt;wsp:rsid wsp:val=&quot;00641905&quot;/&gt;&lt;wsp:rsid wsp:val=&quot;00641A19&quot;/&gt;&lt;wsp:rsid wsp:val=&quot;00641D4B&quot;/&gt;&lt;wsp:rsid wsp:val=&quot;00642177&quot;/&gt;&lt;wsp:rsid wsp:val=&quot;00642443&quot;/&gt;&lt;wsp:rsid wsp:val=&quot;00642BF8&quot;/&gt;&lt;wsp:rsid wsp:val=&quot;00642FD5&quot;/&gt;&lt;wsp:rsid wsp:val=&quot;006430AA&quot;/&gt;&lt;wsp:rsid wsp:val=&quot;0064370D&quot;/&gt;&lt;wsp:rsid wsp:val=&quot;006448A0&quot;/&gt;&lt;wsp:rsid wsp:val=&quot;00645BC7&quot;/&gt;&lt;wsp:rsid wsp:val=&quot;00645E22&quot;/&gt;&lt;wsp:rsid wsp:val=&quot;006460FA&quot;/&gt;&lt;wsp:rsid wsp:val=&quot;0064619C&quot;/&gt;&lt;wsp:rsid wsp:val=&quot;00646522&quot;/&gt;&lt;wsp:rsid wsp:val=&quot;00646AB1&quot;/&gt;&lt;wsp:rsid wsp:val=&quot;00646EE5&quot;/&gt;&lt;wsp:rsid wsp:val=&quot;006470B4&quot;/&gt;&lt;wsp:rsid wsp:val=&quot;006473E8&quot;/&gt;&lt;wsp:rsid wsp:val=&quot;006479D9&quot;/&gt;&lt;wsp:rsid wsp:val=&quot;00647E03&quot;/&gt;&lt;wsp:rsid wsp:val=&quot;0065025D&quot;/&gt;&lt;wsp:rsid wsp:val=&quot;006505D0&quot;/&gt;&lt;wsp:rsid wsp:val=&quot;006509E8&quot;/&gt;&lt;wsp:rsid wsp:val=&quot;006510CF&quot;/&gt;&lt;wsp:rsid wsp:val=&quot;006513F0&quot;/&gt;&lt;wsp:rsid wsp:val=&quot;006515B2&quot;/&gt;&lt;wsp:rsid wsp:val=&quot;0065172D&quot;/&gt;&lt;wsp:rsid wsp:val=&quot;00651751&quot;/&gt;&lt;wsp:rsid wsp:val=&quot;00651F99&quot;/&gt;&lt;wsp:rsid wsp:val=&quot;006523C3&quot;/&gt;&lt;wsp:rsid wsp:val=&quot;0065244B&quot;/&gt;&lt;wsp:rsid wsp:val=&quot;006536C5&quot;/&gt;&lt;wsp:rsid wsp:val=&quot;00653B23&quot;/&gt;&lt;wsp:rsid wsp:val=&quot;00653F22&quot;/&gt;&lt;wsp:rsid wsp:val=&quot;00654420&quot;/&gt;&lt;wsp:rsid wsp:val=&quot;00654EDC&quot;/&gt;&lt;wsp:rsid wsp:val=&quot;006550A8&quot;/&gt;&lt;wsp:rsid wsp:val=&quot;00655EB9&quot;/&gt;&lt;wsp:rsid wsp:val=&quot;00655FE2&quot;/&gt;&lt;wsp:rsid wsp:val=&quot;00656CBE&quot;/&gt;&lt;wsp:rsid wsp:val=&quot;00656E2E&quot;/&gt;&lt;wsp:rsid wsp:val=&quot;00656F10&quot;/&gt;&lt;wsp:rsid wsp:val=&quot;00657066&quot;/&gt;&lt;wsp:rsid wsp:val=&quot;00657094&quot;/&gt;&lt;wsp:rsid wsp:val=&quot;006570F7&quot;/&gt;&lt;wsp:rsid wsp:val=&quot;0065725F&quot;/&gt;&lt;wsp:rsid wsp:val=&quot;006577D2&quot;/&gt;&lt;wsp:rsid wsp:val=&quot;00657AEE&quot;/&gt;&lt;wsp:rsid wsp:val=&quot;00657CDB&quot;/&gt;&lt;wsp:rsid wsp:val=&quot;00660094&quot;/&gt;&lt;wsp:rsid wsp:val=&quot;00660DCE&quot;/&gt;&lt;wsp:rsid wsp:val=&quot;006615D0&quot;/&gt;&lt;wsp:rsid wsp:val=&quot;00661890&quot;/&gt;&lt;wsp:rsid wsp:val=&quot;00662A17&quot;/&gt;&lt;wsp:rsid wsp:val=&quot;00662D05&quot;/&gt;&lt;wsp:rsid wsp:val=&quot;00662D0A&quot;/&gt;&lt;wsp:rsid wsp:val=&quot;00662D7A&quot;/&gt;&lt;wsp:rsid wsp:val=&quot;006645B4&quot;/&gt;&lt;wsp:rsid wsp:val=&quot;0066492E&quot;/&gt;&lt;wsp:rsid wsp:val=&quot;006660AD&quot;/&gt;&lt;wsp:rsid wsp:val=&quot;0066697E&quot;/&gt;&lt;wsp:rsid wsp:val=&quot;00670026&quot;/&gt;&lt;wsp:rsid wsp:val=&quot;00670384&quot;/&gt;&lt;wsp:rsid wsp:val=&quot;006704FA&quot;/&gt;&lt;wsp:rsid wsp:val=&quot;00672BE5&quot;/&gt;&lt;wsp:rsid wsp:val=&quot;00672C94&quot;/&gt;&lt;wsp:rsid wsp:val=&quot;00672E5D&quot;/&gt;&lt;wsp:rsid wsp:val=&quot;0067363C&quot;/&gt;&lt;wsp:rsid wsp:val=&quot;006736CD&quot;/&gt;&lt;wsp:rsid wsp:val=&quot;0067372B&quot;/&gt;&lt;wsp:rsid wsp:val=&quot;0067383B&quot;/&gt;&lt;wsp:rsid wsp:val=&quot;006739E3&quot;/&gt;&lt;wsp:rsid wsp:val=&quot;00673C9F&quot;/&gt;&lt;wsp:rsid wsp:val=&quot;00674788&quot;/&gt;&lt;wsp:rsid wsp:val=&quot;006748EE&quot;/&gt;&lt;wsp:rsid wsp:val=&quot;0067492D&quot;/&gt;&lt;wsp:rsid wsp:val=&quot;00674AC1&quot;/&gt;&lt;wsp:rsid wsp:val=&quot;00674B99&quot;/&gt;&lt;wsp:rsid wsp:val=&quot;0067611F&quot;/&gt;&lt;wsp:rsid wsp:val=&quot;00676315&quot;/&gt;&lt;wsp:rsid wsp:val=&quot;0067664A&quot;/&gt;&lt;wsp:rsid wsp:val=&quot;00676E91&quot;/&gt;&lt;wsp:rsid wsp:val=&quot;00677708&quot;/&gt;&lt;wsp:rsid wsp:val=&quot;006779FD&quot;/&gt;&lt;wsp:rsid wsp:val=&quot;006804DF&quot;/&gt;&lt;wsp:rsid wsp:val=&quot;0068089A&quot;/&gt;&lt;wsp:rsid wsp:val=&quot;0068148B&quot;/&gt;&lt;wsp:rsid wsp:val=&quot;006817E6&quot;/&gt;&lt;wsp:rsid wsp:val=&quot;006819DC&quot;/&gt;&lt;wsp:rsid wsp:val=&quot;00681A31&quot;/&gt;&lt;wsp:rsid wsp:val=&quot;00681B59&quot;/&gt;&lt;wsp:rsid wsp:val=&quot;00682161&quot;/&gt;&lt;wsp:rsid wsp:val=&quot;006821DF&quot;/&gt;&lt;wsp:rsid wsp:val=&quot;006825B7&quot;/&gt;&lt;wsp:rsid wsp:val=&quot;00682B51&quot;/&gt;&lt;wsp:rsid wsp:val=&quot;00683718&quot;/&gt;&lt;wsp:rsid wsp:val=&quot;00684582&quot;/&gt;&lt;wsp:rsid wsp:val=&quot;0068495E&quot;/&gt;&lt;wsp:rsid wsp:val=&quot;00684BA4&quot;/&gt;&lt;wsp:rsid wsp:val=&quot;00686A5B&quot;/&gt;&lt;wsp:rsid wsp:val=&quot;00686B56&quot;/&gt;&lt;wsp:rsid wsp:val=&quot;00686C09&quot;/&gt;&lt;wsp:rsid wsp:val=&quot;00687115&quot;/&gt;&lt;wsp:rsid wsp:val=&quot;006902FC&quot;/&gt;&lt;wsp:rsid wsp:val=&quot;006906B5&quot;/&gt;&lt;wsp:rsid wsp:val=&quot;0069086E&quot;/&gt;&lt;wsp:rsid wsp:val=&quot;0069107C&quot;/&gt;&lt;wsp:rsid wsp:val=&quot;00691891&quot;/&gt;&lt;wsp:rsid wsp:val=&quot;006920D9&quot;/&gt;&lt;wsp:rsid wsp:val=&quot;0069245F&quot;/&gt;&lt;wsp:rsid wsp:val=&quot;0069282B&quot;/&gt;&lt;wsp:rsid wsp:val=&quot;00692DFC&quot;/&gt;&lt;wsp:rsid wsp:val=&quot;00693CAA&quot;/&gt;&lt;wsp:rsid wsp:val=&quot;00693F24&quot;/&gt;&lt;wsp:rsid wsp:val=&quot;006940EC&quot;/&gt;&lt;wsp:rsid wsp:val=&quot;006944F8&quot;/&gt;&lt;wsp:rsid wsp:val=&quot;00694571&quot;/&gt;&lt;wsp:rsid wsp:val=&quot;00694D83&quot;/&gt;&lt;wsp:rsid wsp:val=&quot;0069513E&quot;/&gt;&lt;wsp:rsid wsp:val=&quot;00695276&quot;/&gt;&lt;wsp:rsid wsp:val=&quot;00695B7E&quot;/&gt;&lt;wsp:rsid wsp:val=&quot;00695F61&quot;/&gt;&lt;wsp:rsid wsp:val=&quot;006960FA&quot;/&gt;&lt;wsp:rsid wsp:val=&quot;0069632B&quot;/&gt;&lt;wsp:rsid wsp:val=&quot;006967F2&quot;/&gt;&lt;wsp:rsid wsp:val=&quot;00696B3C&quot;/&gt;&lt;wsp:rsid wsp:val=&quot;00697C4C&quot;/&gt;&lt;wsp:rsid wsp:val=&quot;006A01E7&quot;/&gt;&lt;wsp:rsid wsp:val=&quot;006A0BD1&quot;/&gt;&lt;wsp:rsid wsp:val=&quot;006A0EBB&quot;/&gt;&lt;wsp:rsid wsp:val=&quot;006A30C8&quot;/&gt;&lt;wsp:rsid wsp:val=&quot;006A3427&quot;/&gt;&lt;wsp:rsid wsp:val=&quot;006A3DC7&quot;/&gt;&lt;wsp:rsid wsp:val=&quot;006A3FCD&quot;/&gt;&lt;wsp:rsid wsp:val=&quot;006A400B&quot;/&gt;&lt;wsp:rsid wsp:val=&quot;006A411C&quot;/&gt;&lt;wsp:rsid wsp:val=&quot;006A44DA&quot;/&gt;&lt;wsp:rsid wsp:val=&quot;006A4773&quot;/&gt;&lt;wsp:rsid wsp:val=&quot;006A4934&quot;/&gt;&lt;wsp:rsid wsp:val=&quot;006A4B21&quot;/&gt;&lt;wsp:rsid wsp:val=&quot;006A4FBD&quot;/&gt;&lt;wsp:rsid wsp:val=&quot;006A5395&quot;/&gt;&lt;wsp:rsid wsp:val=&quot;006A5624&quot;/&gt;&lt;wsp:rsid wsp:val=&quot;006A5CC9&quot;/&gt;&lt;wsp:rsid wsp:val=&quot;006A6372&quot;/&gt;&lt;wsp:rsid wsp:val=&quot;006A6EBB&quot;/&gt;&lt;wsp:rsid wsp:val=&quot;006A7DA9&quot;/&gt;&lt;wsp:rsid wsp:val=&quot;006B02AF&quot;/&gt;&lt;wsp:rsid wsp:val=&quot;006B0CA2&quot;/&gt;&lt;wsp:rsid wsp:val=&quot;006B0F37&quot;/&gt;&lt;wsp:rsid wsp:val=&quot;006B1081&quot;/&gt;&lt;wsp:rsid wsp:val=&quot;006B15B7&quot;/&gt;&lt;wsp:rsid wsp:val=&quot;006B2BDA&quot;/&gt;&lt;wsp:rsid wsp:val=&quot;006B3754&quot;/&gt;&lt;wsp:rsid wsp:val=&quot;006B3B32&quot;/&gt;&lt;wsp:rsid wsp:val=&quot;006B3EA0&quot;/&gt;&lt;wsp:rsid wsp:val=&quot;006B4ADB&quot;/&gt;&lt;wsp:rsid wsp:val=&quot;006B4B58&quot;/&gt;&lt;wsp:rsid wsp:val=&quot;006B4B7F&quot;/&gt;&lt;wsp:rsid wsp:val=&quot;006B4CD9&quot;/&gt;&lt;wsp:rsid wsp:val=&quot;006B531E&quot;/&gt;&lt;wsp:rsid wsp:val=&quot;006B570F&quot;/&gt;&lt;wsp:rsid wsp:val=&quot;006B603E&quot;/&gt;&lt;wsp:rsid wsp:val=&quot;006B6382&quot;/&gt;&lt;wsp:rsid wsp:val=&quot;006B689E&quot;/&gt;&lt;wsp:rsid wsp:val=&quot;006B7EB3&quot;/&gt;&lt;wsp:rsid wsp:val=&quot;006C00B1&quot;/&gt;&lt;wsp:rsid wsp:val=&quot;006C0539&quot;/&gt;&lt;wsp:rsid wsp:val=&quot;006C14FE&quot;/&gt;&lt;wsp:rsid wsp:val=&quot;006C15D5&quot;/&gt;&lt;wsp:rsid wsp:val=&quot;006C20D2&quot;/&gt;&lt;wsp:rsid wsp:val=&quot;006C21D0&quot;/&gt;&lt;wsp:rsid wsp:val=&quot;006C24A6&quot;/&gt;&lt;wsp:rsid wsp:val=&quot;006C2543&quot;/&gt;&lt;wsp:rsid wsp:val=&quot;006C2608&quot;/&gt;&lt;wsp:rsid wsp:val=&quot;006C2DCE&quot;/&gt;&lt;wsp:rsid wsp:val=&quot;006C3631&quot;/&gt;&lt;wsp:rsid wsp:val=&quot;006C3650&quot;/&gt;&lt;wsp:rsid wsp:val=&quot;006C378A&quot;/&gt;&lt;wsp:rsid wsp:val=&quot;006C3B1B&quot;/&gt;&lt;wsp:rsid wsp:val=&quot;006C3B1C&quot;/&gt;&lt;wsp:rsid wsp:val=&quot;006C3F7B&quot;/&gt;&lt;wsp:rsid wsp:val=&quot;006C4BDE&quot;/&gt;&lt;wsp:rsid wsp:val=&quot;006C4C32&quot;/&gt;&lt;wsp:rsid wsp:val=&quot;006C4C72&quot;/&gt;&lt;wsp:rsid wsp:val=&quot;006C536F&quot;/&gt;&lt;wsp:rsid wsp:val=&quot;006C5D9B&quot;/&gt;&lt;wsp:rsid wsp:val=&quot;006C5FDA&quot;/&gt;&lt;wsp:rsid wsp:val=&quot;006C60F5&quot;/&gt;&lt;wsp:rsid wsp:val=&quot;006C6586&quot;/&gt;&lt;wsp:rsid wsp:val=&quot;006C69F0&quot;/&gt;&lt;wsp:rsid wsp:val=&quot;006C6A68&quot;/&gt;&lt;wsp:rsid wsp:val=&quot;006C6B68&quot;/&gt;&lt;wsp:rsid wsp:val=&quot;006C6BDB&quot;/&gt;&lt;wsp:rsid wsp:val=&quot;006C75E9&quot;/&gt;&lt;wsp:rsid wsp:val=&quot;006D01E9&quot;/&gt;&lt;wsp:rsid wsp:val=&quot;006D0522&quot;/&gt;&lt;wsp:rsid wsp:val=&quot;006D11FA&quot;/&gt;&lt;wsp:rsid wsp:val=&quot;006D1707&quot;/&gt;&lt;wsp:rsid wsp:val=&quot;006D1901&quot;/&gt;&lt;wsp:rsid wsp:val=&quot;006D1A02&quot;/&gt;&lt;wsp:rsid wsp:val=&quot;006D1EE2&quot;/&gt;&lt;wsp:rsid wsp:val=&quot;006D1FCF&quot;/&gt;&lt;wsp:rsid wsp:val=&quot;006D2C03&quot;/&gt;&lt;wsp:rsid wsp:val=&quot;006D2EB4&quot;/&gt;&lt;wsp:rsid wsp:val=&quot;006D306F&quot;/&gt;&lt;wsp:rsid wsp:val=&quot;006D3645&quot;/&gt;&lt;wsp:rsid wsp:val=&quot;006D36F9&quot;/&gt;&lt;wsp:rsid wsp:val=&quot;006D3D81&quot;/&gt;&lt;wsp:rsid wsp:val=&quot;006D3F33&quot;/&gt;&lt;wsp:rsid wsp:val=&quot;006D5822&quot;/&gt;&lt;wsp:rsid wsp:val=&quot;006D619D&quot;/&gt;&lt;wsp:rsid wsp:val=&quot;006D64FD&quot;/&gt;&lt;wsp:rsid wsp:val=&quot;006D65ED&quot;/&gt;&lt;wsp:rsid wsp:val=&quot;006D6A30&quot;/&gt;&lt;wsp:rsid wsp:val=&quot;006D6A61&quot;/&gt;&lt;wsp:rsid wsp:val=&quot;006D6A73&quot;/&gt;&lt;wsp:rsid wsp:val=&quot;006D73E7&quot;/&gt;&lt;wsp:rsid wsp:val=&quot;006D7654&quot;/&gt;&lt;wsp:rsid wsp:val=&quot;006D7701&quot;/&gt;&lt;wsp:rsid wsp:val=&quot;006D7DC8&quot;/&gt;&lt;wsp:rsid wsp:val=&quot;006E0753&quot;/&gt;&lt;wsp:rsid wsp:val=&quot;006E0B65&quot;/&gt;&lt;wsp:rsid wsp:val=&quot;006E0E67&quot;/&gt;&lt;wsp:rsid wsp:val=&quot;006E1492&quot;/&gt;&lt;wsp:rsid wsp:val=&quot;006E230D&quot;/&gt;&lt;wsp:rsid wsp:val=&quot;006E2C90&quot;/&gt;&lt;wsp:rsid wsp:val=&quot;006E30F4&quot;/&gt;&lt;wsp:rsid wsp:val=&quot;006E3D0F&quot;/&gt;&lt;wsp:rsid wsp:val=&quot;006E3F75&quot;/&gt;&lt;wsp:rsid wsp:val=&quot;006E426D&quot;/&gt;&lt;wsp:rsid wsp:val=&quot;006E4432&quot;/&gt;&lt;wsp:rsid wsp:val=&quot;006E458B&quot;/&gt;&lt;wsp:rsid wsp:val=&quot;006E5EBA&quot;/&gt;&lt;wsp:rsid wsp:val=&quot;006E644C&quot;/&gt;&lt;wsp:rsid wsp:val=&quot;006E6490&quot;/&gt;&lt;wsp:rsid wsp:val=&quot;006E6741&quot;/&gt;&lt;wsp:rsid wsp:val=&quot;006E694E&quot;/&gt;&lt;wsp:rsid wsp:val=&quot;006E6A4E&quot;/&gt;&lt;wsp:rsid wsp:val=&quot;006E6DCF&quot;/&gt;&lt;wsp:rsid wsp:val=&quot;006E6F11&quot;/&gt;&lt;wsp:rsid wsp:val=&quot;006E7211&quot;/&gt;&lt;wsp:rsid wsp:val=&quot;006F08D6&quot;/&gt;&lt;wsp:rsid wsp:val=&quot;006F0F8B&quot;/&gt;&lt;wsp:rsid wsp:val=&quot;006F1010&quot;/&gt;&lt;wsp:rsid wsp:val=&quot;006F11E6&quot;/&gt;&lt;wsp:rsid wsp:val=&quot;006F1AB9&quot;/&gt;&lt;wsp:rsid wsp:val=&quot;006F1D6B&quot;/&gt;&lt;wsp:rsid wsp:val=&quot;006F1E8C&quot;/&gt;&lt;wsp:rsid wsp:val=&quot;006F2B78&quot;/&gt;&lt;wsp:rsid wsp:val=&quot;006F3877&quot;/&gt;&lt;wsp:rsid wsp:val=&quot;006F38C5&quot;/&gt;&lt;wsp:rsid wsp:val=&quot;006F3B68&quot;/&gt;&lt;wsp:rsid wsp:val=&quot;006F3E3C&quot;/&gt;&lt;wsp:rsid wsp:val=&quot;006F4065&quot;/&gt;&lt;wsp:rsid wsp:val=&quot;006F4066&quot;/&gt;&lt;wsp:rsid wsp:val=&quot;006F4227&quot;/&gt;&lt;wsp:rsid wsp:val=&quot;006F43FF&quot;/&gt;&lt;wsp:rsid wsp:val=&quot;006F4493&quot;/&gt;&lt;wsp:rsid wsp:val=&quot;006F4674&quot;/&gt;&lt;wsp:rsid wsp:val=&quot;006F4832&quot;/&gt;&lt;wsp:rsid wsp:val=&quot;006F4DFB&quot;/&gt;&lt;wsp:rsid wsp:val=&quot;006F51BD&quot;/&gt;&lt;wsp:rsid wsp:val=&quot;006F56B3&quot;/&gt;&lt;wsp:rsid wsp:val=&quot;006F5D1F&quot;/&gt;&lt;wsp:rsid wsp:val=&quot;006F68A2&quot;/&gt;&lt;wsp:rsid wsp:val=&quot;006F6D48&quot;/&gt;&lt;wsp:rsid wsp:val=&quot;006F6DE0&quot;/&gt;&lt;wsp:rsid wsp:val=&quot;00700170&quot;/&gt;&lt;wsp:rsid wsp:val=&quot;00700335&quot;/&gt;&lt;wsp:rsid wsp:val=&quot;0070061E&quot;/&gt;&lt;wsp:rsid wsp:val=&quot;00700626&quot;/&gt;&lt;wsp:rsid wsp:val=&quot;00700A96&quot;/&gt;&lt;wsp:rsid wsp:val=&quot;00700CD7&quot;/&gt;&lt;wsp:rsid wsp:val=&quot;00702E49&quot;/&gt;&lt;wsp:rsid wsp:val=&quot;00703329&quot;/&gt;&lt;wsp:rsid wsp:val=&quot;00703565&quot;/&gt;&lt;wsp:rsid wsp:val=&quot;007039E8&quot;/&gt;&lt;wsp:rsid wsp:val=&quot;007040D8&quot;/&gt;&lt;wsp:rsid wsp:val=&quot;0070560C&quot;/&gt;&lt;wsp:rsid wsp:val=&quot;00705CC4&quot;/&gt;&lt;wsp:rsid wsp:val=&quot;00705F12&quot;/&gt;&lt;wsp:rsid wsp:val=&quot;00705FA2&quot;/&gt;&lt;wsp:rsid wsp:val=&quot;0070626C&quot;/&gt;&lt;wsp:rsid wsp:val=&quot;007065BA&quot;/&gt;&lt;wsp:rsid wsp:val=&quot;00706857&quot;/&gt;&lt;wsp:rsid wsp:val=&quot;00706B68&quot;/&gt;&lt;wsp:rsid wsp:val=&quot;00706BBA&quot;/&gt;&lt;wsp:rsid wsp:val=&quot;007075B5&quot;/&gt;&lt;wsp:rsid wsp:val=&quot;00707989&quot;/&gt;&lt;wsp:rsid wsp:val=&quot;00710277&quot;/&gt;&lt;wsp:rsid wsp:val=&quot;00710633&quot;/&gt;&lt;wsp:rsid wsp:val=&quot;00710E8C&quot;/&gt;&lt;wsp:rsid wsp:val=&quot;00710F1E&quot;/&gt;&lt;wsp:rsid wsp:val=&quot;00711B4E&quot;/&gt;&lt;wsp:rsid wsp:val=&quot;0071388B&quot;/&gt;&lt;wsp:rsid wsp:val=&quot;00713930&quot;/&gt;&lt;wsp:rsid wsp:val=&quot;007140C0&quot;/&gt;&lt;wsp:rsid wsp:val=&quot;00714710&quot;/&gt;&lt;wsp:rsid wsp:val=&quot;007147CB&quot;/&gt;&lt;wsp:rsid wsp:val=&quot;00714CA2&quot;/&gt;&lt;wsp:rsid wsp:val=&quot;00715174&quot;/&gt;&lt;wsp:rsid wsp:val=&quot;00715267&quot;/&gt;&lt;wsp:rsid wsp:val=&quot;00715720&quot;/&gt;&lt;wsp:rsid wsp:val=&quot;00715A65&quot;/&gt;&lt;wsp:rsid wsp:val=&quot;00715DC5&quot;/&gt;&lt;wsp:rsid wsp:val=&quot;00716492&quot;/&gt;&lt;wsp:rsid wsp:val=&quot;00716583&quot;/&gt;&lt;wsp:rsid wsp:val=&quot;0071683B&quot;/&gt;&lt;wsp:rsid wsp:val=&quot;00716EC1&quot;/&gt;&lt;wsp:rsid wsp:val=&quot;00717936&quot;/&gt;&lt;wsp:rsid wsp:val=&quot;00717F9A&quot;/&gt;&lt;wsp:rsid wsp:val=&quot;007200F1&quot;/&gt;&lt;wsp:rsid wsp:val=&quot;00720217&quot;/&gt;&lt;wsp:rsid wsp:val=&quot;00720386&quot;/&gt;&lt;wsp:rsid wsp:val=&quot;007206FD&quot;/&gt;&lt;wsp:rsid wsp:val=&quot;007209C1&quot;/&gt;&lt;wsp:rsid wsp:val=&quot;00720C9F&quot;/&gt;&lt;wsp:rsid wsp:val=&quot;00720D41&quot;/&gt;&lt;wsp:rsid wsp:val=&quot;0072101D&quot;/&gt;&lt;wsp:rsid wsp:val=&quot;007211CB&quot;/&gt;&lt;wsp:rsid wsp:val=&quot;00721499&quot;/&gt;&lt;wsp:rsid wsp:val=&quot;00721797&quot;/&gt;&lt;wsp:rsid wsp:val=&quot;007218AE&quot;/&gt;&lt;wsp:rsid wsp:val=&quot;007222A1&quot;/&gt;&lt;wsp:rsid wsp:val=&quot;0072350B&quot;/&gt;&lt;wsp:rsid wsp:val=&quot;00723ABC&quot;/&gt;&lt;wsp:rsid wsp:val=&quot;00723B64&quot;/&gt;&lt;wsp:rsid wsp:val=&quot;00724F55&quot;/&gt;&lt;wsp:rsid wsp:val=&quot;00724FB9&quot;/&gt;&lt;wsp:rsid wsp:val=&quot;00726304&quot;/&gt;&lt;wsp:rsid wsp:val=&quot;0072633F&quot;/&gt;&lt;wsp:rsid wsp:val=&quot;00726EDE&quot;/&gt;&lt;wsp:rsid wsp:val=&quot;00727422&quot;/&gt;&lt;wsp:rsid wsp:val=&quot;00727E66&quot;/&gt;&lt;wsp:rsid wsp:val=&quot;00730572&quot;/&gt;&lt;wsp:rsid wsp:val=&quot;00730768&quot;/&gt;&lt;wsp:rsid wsp:val=&quot;00730974&quot;/&gt;&lt;wsp:rsid wsp:val=&quot;00730F4A&quot;/&gt;&lt;wsp:rsid wsp:val=&quot;007322D7&quot;/&gt;&lt;wsp:rsid wsp:val=&quot;0073238C&quot;/&gt;&lt;wsp:rsid wsp:val=&quot;007328B9&quot;/&gt;&lt;wsp:rsid wsp:val=&quot;00733112&quot;/&gt;&lt;wsp:rsid wsp:val=&quot;00733117&quot;/&gt;&lt;wsp:rsid wsp:val=&quot;0073349A&quot;/&gt;&lt;wsp:rsid wsp:val=&quot;00733D5D&quot;/&gt;&lt;wsp:rsid wsp:val=&quot;0073407E&quot;/&gt;&lt;wsp:rsid wsp:val=&quot;0073416A&quot;/&gt;&lt;wsp:rsid wsp:val=&quot;0073485F&quot;/&gt;&lt;wsp:rsid wsp:val=&quot;00734929&quot;/&gt;&lt;wsp:rsid wsp:val=&quot;007352F1&quot;/&gt;&lt;wsp:rsid wsp:val=&quot;00736558&quot;/&gt;&lt;wsp:rsid wsp:val=&quot;00736875&quot;/&gt;&lt;wsp:rsid wsp:val=&quot;00737146&quot;/&gt;&lt;wsp:rsid wsp:val=&quot;007371D0&quot;/&gt;&lt;wsp:rsid wsp:val=&quot;00737223&quot;/&gt;&lt;wsp:rsid wsp:val=&quot;0073724A&quot;/&gt;&lt;wsp:rsid wsp:val=&quot;00737424&quot;/&gt;&lt;wsp:rsid wsp:val=&quot;007402CA&quot;/&gt;&lt;wsp:rsid wsp:val=&quot;00740530&quot;/&gt;&lt;wsp:rsid wsp:val=&quot;007405D4&quot;/&gt;&lt;wsp:rsid wsp:val=&quot;00740699&quot;/&gt;&lt;wsp:rsid wsp:val=&quot;00740786&quot;/&gt;&lt;wsp:rsid wsp:val=&quot;007409C8&quot;/&gt;&lt;wsp:rsid wsp:val=&quot;00741206&quot;/&gt;&lt;wsp:rsid wsp:val=&quot;00741281&quot;/&gt;&lt;wsp:rsid wsp:val=&quot;007420EA&quot;/&gt;&lt;wsp:rsid wsp:val=&quot;007427FD&quot;/&gt;&lt;wsp:rsid wsp:val=&quot;00742B7E&quot;/&gt;&lt;wsp:rsid wsp:val=&quot;00742CBC&quot;/&gt;&lt;wsp:rsid wsp:val=&quot;00742D39&quot;/&gt;&lt;wsp:rsid wsp:val=&quot;0074331D&quot;/&gt;&lt;wsp:rsid wsp:val=&quot;0074348C&quot;/&gt;&lt;wsp:rsid wsp:val=&quot;0074363D&quot;/&gt;&lt;wsp:rsid wsp:val=&quot;00743987&quot;/&gt;&lt;wsp:rsid wsp:val=&quot;007439DC&quot;/&gt;&lt;wsp:rsid wsp:val=&quot;00743D4F&quot;/&gt;&lt;wsp:rsid wsp:val=&quot;00743EB2&quot;/&gt;&lt;wsp:rsid wsp:val=&quot;0074462E&quot;/&gt;&lt;wsp:rsid wsp:val=&quot;0074558B&quot;/&gt;&lt;wsp:rsid wsp:val=&quot;00745775&quot;/&gt;&lt;wsp:rsid wsp:val=&quot;00745AA5&quot;/&gt;&lt;wsp:rsid wsp:val=&quot;00745CCA&quot;/&gt;&lt;wsp:rsid wsp:val=&quot;00745D2A&quot;/&gt;&lt;wsp:rsid wsp:val=&quot;00746362&quot;/&gt;&lt;wsp:rsid wsp:val=&quot;007464C4&quot;/&gt;&lt;wsp:rsid wsp:val=&quot;00746C01&quot;/&gt;&lt;wsp:rsid wsp:val=&quot;00746D6D&quot;/&gt;&lt;wsp:rsid wsp:val=&quot;00747251&quot;/&gt;&lt;wsp:rsid wsp:val=&quot;007475BF&quot;/&gt;&lt;wsp:rsid wsp:val=&quot;007477F7&quot;/&gt;&lt;wsp:rsid wsp:val=&quot;0075007B&quot;/&gt;&lt;wsp:rsid wsp:val=&quot;00750248&quot;/&gt;&lt;wsp:rsid wsp:val=&quot;0075062D&quot;/&gt;&lt;wsp:rsid wsp:val=&quot;00750959&quot;/&gt;&lt;wsp:rsid wsp:val=&quot;00750A43&quot;/&gt;&lt;wsp:rsid wsp:val=&quot;00750CB2&quot;/&gt;&lt;wsp:rsid wsp:val=&quot;00751FE8&quot;/&gt;&lt;wsp:rsid wsp:val=&quot;00752625&quot;/&gt;&lt;wsp:rsid wsp:val=&quot;0075268C&quot;/&gt;&lt;wsp:rsid wsp:val=&quot;00752910&quot;/&gt;&lt;wsp:rsid wsp:val=&quot;00752DE4&quot;/&gt;&lt;wsp:rsid wsp:val=&quot;0075306C&quot;/&gt;&lt;wsp:rsid wsp:val=&quot;007532D2&quot;/&gt;&lt;wsp:rsid wsp:val=&quot;00753402&quot;/&gt;&lt;wsp:rsid wsp:val=&quot;00753614&quot;/&gt;&lt;wsp:rsid wsp:val=&quot;00753655&quot;/&gt;&lt;wsp:rsid wsp:val=&quot;0075388F&quot;/&gt;&lt;wsp:rsid wsp:val=&quot;00753CEE&quot;/&gt;&lt;wsp:rsid wsp:val=&quot;00753EA4&quot;/&gt;&lt;wsp:rsid wsp:val=&quot;007545E6&quot;/&gt;&lt;wsp:rsid wsp:val=&quot;0075468F&quot;/&gt;&lt;wsp:rsid wsp:val=&quot;00754729&quot;/&gt;&lt;wsp:rsid wsp:val=&quot;00754C1C&quot;/&gt;&lt;wsp:rsid wsp:val=&quot;0075504B&quot;/&gt;&lt;wsp:rsid wsp:val=&quot;0075551B&quot;/&gt;&lt;wsp:rsid wsp:val=&quot;0075580D&quot;/&gt;&lt;wsp:rsid wsp:val=&quot;00756C14&quot;/&gt;&lt;wsp:rsid wsp:val=&quot;00756F68&quot;/&gt;&lt;wsp:rsid wsp:val=&quot;00757199&quot;/&gt;&lt;wsp:rsid wsp:val=&quot;00757547&quot;/&gt;&lt;wsp:rsid wsp:val=&quot;0075778C&quot;/&gt;&lt;wsp:rsid wsp:val=&quot;007578F9&quot;/&gt;&lt;wsp:rsid wsp:val=&quot;0076018F&quot;/&gt;&lt;wsp:rsid wsp:val=&quot;00760351&quot;/&gt;&lt;wsp:rsid wsp:val=&quot;007604A5&quot;/&gt;&lt;wsp:rsid wsp:val=&quot;0076063B&quot;/&gt;&lt;wsp:rsid wsp:val=&quot;007606FA&quot;/&gt;&lt;wsp:rsid wsp:val=&quot;0076098B&quot;/&gt;&lt;wsp:rsid wsp:val=&quot;00760BCB&quot;/&gt;&lt;wsp:rsid wsp:val=&quot;007611D4&quot;/&gt;&lt;wsp:rsid wsp:val=&quot;00761534&quot;/&gt;&lt;wsp:rsid wsp:val=&quot;00761572&quot;/&gt;&lt;wsp:rsid wsp:val=&quot;00761C2D&quot;/&gt;&lt;wsp:rsid wsp:val=&quot;007627FD&quot;/&gt;&lt;wsp:rsid wsp:val=&quot;00762AB0&quot;/&gt;&lt;wsp:rsid wsp:val=&quot;00762D84&quot;/&gt;&lt;wsp:rsid wsp:val=&quot;00762D9D&quot;/&gt;&lt;wsp:rsid wsp:val=&quot;00762E4B&quot;/&gt;&lt;wsp:rsid wsp:val=&quot;00762E8E&quot;/&gt;&lt;wsp:rsid wsp:val=&quot;007631EC&quot;/&gt;&lt;wsp:rsid wsp:val=&quot;0076353D&quot;/&gt;&lt;wsp:rsid wsp:val=&quot;00764536&quot;/&gt;&lt;wsp:rsid wsp:val=&quot;00764751&quot;/&gt;&lt;wsp:rsid wsp:val=&quot;00764BCB&quot;/&gt;&lt;wsp:rsid wsp:val=&quot;00764D18&quot;/&gt;&lt;wsp:rsid wsp:val=&quot;00764DC2&quot;/&gt;&lt;wsp:rsid wsp:val=&quot;00764EF2&quot;/&gt;&lt;wsp:rsid wsp:val=&quot;0076519B&quot;/&gt;&lt;wsp:rsid wsp:val=&quot;007657E2&quot;/&gt;&lt;wsp:rsid wsp:val=&quot;00765A5F&quot;/&gt;&lt;wsp:rsid wsp:val=&quot;0076653B&quot;/&gt;&lt;wsp:rsid wsp:val=&quot;00767D54&quot;/&gt;&lt;wsp:rsid wsp:val=&quot;00770061&quot;/&gt;&lt;wsp:rsid wsp:val=&quot;00770980&quot;/&gt;&lt;wsp:rsid wsp:val=&quot;00770A68&quot;/&gt;&lt;wsp:rsid wsp:val=&quot;00770CDD&quot;/&gt;&lt;wsp:rsid wsp:val=&quot;00771027&quot;/&gt;&lt;wsp:rsid wsp:val=&quot;00771143&quot;/&gt;&lt;wsp:rsid wsp:val=&quot;007711B8&quot;/&gt;&lt;wsp:rsid wsp:val=&quot;00771650&quot;/&gt;&lt;wsp:rsid wsp:val=&quot;00772309&quot;/&gt;&lt;wsp:rsid wsp:val=&quot;007724D1&quot;/&gt;&lt;wsp:rsid wsp:val=&quot;007732EA&quot;/&gt;&lt;wsp:rsid wsp:val=&quot;00773507&quot;/&gt;&lt;wsp:rsid wsp:val=&quot;00773A8D&quot;/&gt;&lt;wsp:rsid wsp:val=&quot;00773DB2&quot;/&gt;&lt;wsp:rsid wsp:val=&quot;00773E3B&quot;/&gt;&lt;wsp:rsid wsp:val=&quot;00774369&quot;/&gt;&lt;wsp:rsid wsp:val=&quot;007747DF&quot;/&gt;&lt;wsp:rsid wsp:val=&quot;0077544F&quot;/&gt;&lt;wsp:rsid wsp:val=&quot;007762EA&quot;/&gt;&lt;wsp:rsid wsp:val=&quot;00776503&quot;/&gt;&lt;wsp:rsid wsp:val=&quot;00776A5F&quot;/&gt;&lt;wsp:rsid wsp:val=&quot;00776AF4&quot;/&gt;&lt;wsp:rsid wsp:val=&quot;00776D36&quot;/&gt;&lt;wsp:rsid wsp:val=&quot;00776DC4&quot;/&gt;&lt;wsp:rsid wsp:val=&quot;00776E16&quot;/&gt;&lt;wsp:rsid wsp:val=&quot;00777113&quot;/&gt;&lt;wsp:rsid wsp:val=&quot;0077735E&quot;/&gt;&lt;wsp:rsid wsp:val=&quot;0077742E&quot;/&gt;&lt;wsp:rsid wsp:val=&quot;00777976&quot;/&gt;&lt;wsp:rsid wsp:val=&quot;00777AB3&quot;/&gt;&lt;wsp:rsid wsp:val=&quot;00780BA9&quot;/&gt;&lt;wsp:rsid wsp:val=&quot;00780DE7&quot;/&gt;&lt;wsp:rsid wsp:val=&quot;00781370&quot;/&gt;&lt;wsp:rsid wsp:val=&quot;00781ACF&quot;/&gt;&lt;wsp:rsid wsp:val=&quot;00781B93&quot;/&gt;&lt;wsp:rsid wsp:val=&quot;00782022&quot;/&gt;&lt;wsp:rsid wsp:val=&quot;00782939&quot;/&gt;&lt;wsp:rsid wsp:val=&quot;00782D9F&quot;/&gt;&lt;wsp:rsid wsp:val=&quot;00782DCE&quot;/&gt;&lt;wsp:rsid wsp:val=&quot;00782ECE&quot;/&gt;&lt;wsp:rsid wsp:val=&quot;00783BBE&quot;/&gt;&lt;wsp:rsid wsp:val=&quot;00783FEC&quot;/&gt;&lt;wsp:rsid wsp:val=&quot;007850A0&quot;/&gt;&lt;wsp:rsid wsp:val=&quot;00785739&quot;/&gt;&lt;wsp:rsid wsp:val=&quot;00785C34&quot;/&gt;&lt;wsp:rsid wsp:val=&quot;00785CCD&quot;/&gt;&lt;wsp:rsid wsp:val=&quot;00785DC6&quot;/&gt;&lt;wsp:rsid wsp:val=&quot;00785F23&quot;/&gt;&lt;wsp:rsid wsp:val=&quot;007864D2&quot;/&gt;&lt;wsp:rsid wsp:val=&quot;00786CE7&quot;/&gt;&lt;wsp:rsid wsp:val=&quot;00786DA6&quot;/&gt;&lt;wsp:rsid wsp:val=&quot;00786EDB&quot;/&gt;&lt;wsp:rsid wsp:val=&quot;007875D7&quot;/&gt;&lt;wsp:rsid wsp:val=&quot;0079015B&quot;/&gt;&lt;wsp:rsid wsp:val=&quot;00790556&quot;/&gt;&lt;wsp:rsid wsp:val=&quot;00790768&quot;/&gt;&lt;wsp:rsid wsp:val=&quot;00790D81&quot;/&gt;&lt;wsp:rsid wsp:val=&quot;0079107E&quot;/&gt;&lt;wsp:rsid wsp:val=&quot;007913D2&quot;/&gt;&lt;wsp:rsid wsp:val=&quot;007914FE&quot;/&gt;&lt;wsp:rsid wsp:val=&quot;00791FE1&quot;/&gt;&lt;wsp:rsid wsp:val=&quot;0079216B&quot;/&gt;&lt;wsp:rsid wsp:val=&quot;0079216D&quot;/&gt;&lt;wsp:rsid wsp:val=&quot;00792A32&quot;/&gt;&lt;wsp:rsid wsp:val=&quot;00792D20&quot;/&gt;&lt;wsp:rsid wsp:val=&quot;00793617&quot;/&gt;&lt;wsp:rsid wsp:val=&quot;00793880&quot;/&gt;&lt;wsp:rsid wsp:val=&quot;00794699&quot;/&gt;&lt;wsp:rsid wsp:val=&quot;00794D71&quot;/&gt;&lt;wsp:rsid wsp:val=&quot;00794DE3&quot;/&gt;&lt;wsp:rsid wsp:val=&quot;00795052&quot;/&gt;&lt;wsp:rsid wsp:val=&quot;00795238&quot;/&gt;&lt;wsp:rsid wsp:val=&quot;007958EE&quot;/&gt;&lt;wsp:rsid wsp:val=&quot;007959F3&quot;/&gt;&lt;wsp:rsid wsp:val=&quot;00795A34&quot;/&gt;&lt;wsp:rsid wsp:val=&quot;00795AD0&quot;/&gt;&lt;wsp:rsid wsp:val=&quot;00795E11&quot;/&gt;&lt;wsp:rsid wsp:val=&quot;00796D53&quot;/&gt;&lt;wsp:rsid wsp:val=&quot;007977ED&quot;/&gt;&lt;wsp:rsid wsp:val=&quot;007A14BD&quot;/&gt;&lt;wsp:rsid wsp:val=&quot;007A1716&quot;/&gt;&lt;wsp:rsid wsp:val=&quot;007A1C8B&quot;/&gt;&lt;wsp:rsid wsp:val=&quot;007A1D6C&quot;/&gt;&lt;wsp:rsid wsp:val=&quot;007A2A17&quot;/&gt;&lt;wsp:rsid wsp:val=&quot;007A2FAF&quot;/&gt;&lt;wsp:rsid wsp:val=&quot;007A38CA&quot;/&gt;&lt;wsp:rsid wsp:val=&quot;007A3D3A&quot;/&gt;&lt;wsp:rsid wsp:val=&quot;007A4742&quot;/&gt;&lt;wsp:rsid wsp:val=&quot;007A5596&quot;/&gt;&lt;wsp:rsid wsp:val=&quot;007A5677&quot;/&gt;&lt;wsp:rsid wsp:val=&quot;007A60E5&quot;/&gt;&lt;wsp:rsid wsp:val=&quot;007A614E&quot;/&gt;&lt;wsp:rsid wsp:val=&quot;007A6482&quot;/&gt;&lt;wsp:rsid wsp:val=&quot;007A6C9F&quot;/&gt;&lt;wsp:rsid wsp:val=&quot;007A70A7&quot;/&gt;&lt;wsp:rsid wsp:val=&quot;007A73B1&quot;/&gt;&lt;wsp:rsid wsp:val=&quot;007A7877&quot;/&gt;&lt;wsp:rsid wsp:val=&quot;007A7DAA&quot;/&gt;&lt;wsp:rsid wsp:val=&quot;007B04C9&quot;/&gt;&lt;wsp:rsid wsp:val=&quot;007B10F2&quot;/&gt;&lt;wsp:rsid wsp:val=&quot;007B1277&quot;/&gt;&lt;wsp:rsid wsp:val=&quot;007B18CE&quot;/&gt;&lt;wsp:rsid wsp:val=&quot;007B1D9C&quot;/&gt;&lt;wsp:rsid wsp:val=&quot;007B2314&quot;/&gt;&lt;wsp:rsid wsp:val=&quot;007B31FB&quot;/&gt;&lt;wsp:rsid wsp:val=&quot;007B3459&quot;/&gt;&lt;wsp:rsid wsp:val=&quot;007B348D&quot;/&gt;&lt;wsp:rsid wsp:val=&quot;007B3D68&quot;/&gt;&lt;wsp:rsid wsp:val=&quot;007B3FA8&quot;/&gt;&lt;wsp:rsid wsp:val=&quot;007B4E3B&quot;/&gt;&lt;wsp:rsid wsp:val=&quot;007B4ED2&quot;/&gt;&lt;wsp:rsid wsp:val=&quot;007B508B&quot;/&gt;&lt;wsp:rsid wsp:val=&quot;007B56B9&quot;/&gt;&lt;wsp:rsid wsp:val=&quot;007B5E99&quot;/&gt;&lt;wsp:rsid wsp:val=&quot;007B64C2&quot;/&gt;&lt;wsp:rsid wsp:val=&quot;007B65F1&quot;/&gt;&lt;wsp:rsid wsp:val=&quot;007B726A&quot;/&gt;&lt;wsp:rsid wsp:val=&quot;007B7712&quot;/&gt;&lt;wsp:rsid wsp:val=&quot;007B7ADD&quot;/&gt;&lt;wsp:rsid wsp:val=&quot;007B7E8B&quot;/&gt;&lt;wsp:rsid wsp:val=&quot;007C03C7&quot;/&gt;&lt;wsp:rsid wsp:val=&quot;007C1BD6&quot;/&gt;&lt;wsp:rsid wsp:val=&quot;007C1BD9&quot;/&gt;&lt;wsp:rsid wsp:val=&quot;007C1EC9&quot;/&gt;&lt;wsp:rsid wsp:val=&quot;007C2226&quot;/&gt;&lt;wsp:rsid wsp:val=&quot;007C2374&quot;/&gt;&lt;wsp:rsid wsp:val=&quot;007C2F48&quot;/&gt;&lt;wsp:rsid wsp:val=&quot;007C3403&quot;/&gt;&lt;wsp:rsid wsp:val=&quot;007C36C6&quot;/&gt;&lt;wsp:rsid wsp:val=&quot;007C3BA4&quot;/&gt;&lt;wsp:rsid wsp:val=&quot;007C3E91&quot;/&gt;&lt;wsp:rsid wsp:val=&quot;007C5333&quot;/&gt;&lt;wsp:rsid wsp:val=&quot;007C53C3&quot;/&gt;&lt;wsp:rsid wsp:val=&quot;007C573F&quot;/&gt;&lt;wsp:rsid wsp:val=&quot;007C5BB3&quot;/&gt;&lt;wsp:rsid wsp:val=&quot;007C5D02&quot;/&gt;&lt;wsp:rsid wsp:val=&quot;007C5F06&quot;/&gt;&lt;wsp:rsid wsp:val=&quot;007C6CD3&quot;/&gt;&lt;wsp:rsid wsp:val=&quot;007C74B5&quot;/&gt;&lt;wsp:rsid wsp:val=&quot;007C75D9&quot;/&gt;&lt;wsp:rsid wsp:val=&quot;007C781A&quot;/&gt;&lt;wsp:rsid wsp:val=&quot;007D03C7&quot;/&gt;&lt;wsp:rsid wsp:val=&quot;007D0568&quot;/&gt;&lt;wsp:rsid wsp:val=&quot;007D07D5&quot;/&gt;&lt;wsp:rsid wsp:val=&quot;007D0895&quot;/&gt;&lt;wsp:rsid wsp:val=&quot;007D1075&quot;/&gt;&lt;wsp:rsid wsp:val=&quot;007D1990&quot;/&gt;&lt;wsp:rsid wsp:val=&quot;007D1CFD&quot;/&gt;&lt;wsp:rsid wsp:val=&quot;007D1F75&quot;/&gt;&lt;wsp:rsid wsp:val=&quot;007D2CAB&quot;/&gt;&lt;wsp:rsid wsp:val=&quot;007D38BA&quot;/&gt;&lt;wsp:rsid wsp:val=&quot;007D3CC2&quot;/&gt;&lt;wsp:rsid wsp:val=&quot;007D4FF9&quot;/&gt;&lt;wsp:rsid wsp:val=&quot;007D512B&quot;/&gt;&lt;wsp:rsid wsp:val=&quot;007D51B6&quot;/&gt;&lt;wsp:rsid wsp:val=&quot;007D52D0&quot;/&gt;&lt;wsp:rsid wsp:val=&quot;007D53B3&quot;/&gt;&lt;wsp:rsid wsp:val=&quot;007D550E&quot;/&gt;&lt;wsp:rsid wsp:val=&quot;007D653B&quot;/&gt;&lt;wsp:rsid wsp:val=&quot;007D731F&quot;/&gt;&lt;wsp:rsid wsp:val=&quot;007D7DF0&quot;/&gt;&lt;wsp:rsid wsp:val=&quot;007E00E3&quot;/&gt;&lt;wsp:rsid wsp:val=&quot;007E048A&quot;/&gt;&lt;wsp:rsid wsp:val=&quot;007E0621&quot;/&gt;&lt;wsp:rsid wsp:val=&quot;007E06BF&quot;/&gt;&lt;wsp:rsid wsp:val=&quot;007E09E5&quot;/&gt;&lt;wsp:rsid wsp:val=&quot;007E0A06&quot;/&gt;&lt;wsp:rsid wsp:val=&quot;007E113B&quot;/&gt;&lt;wsp:rsid wsp:val=&quot;007E116E&quot;/&gt;&lt;wsp:rsid wsp:val=&quot;007E1A18&quot;/&gt;&lt;wsp:rsid wsp:val=&quot;007E1B4D&quot;/&gt;&lt;wsp:rsid wsp:val=&quot;007E1DED&quot;/&gt;&lt;wsp:rsid wsp:val=&quot;007E1F59&quot;/&gt;&lt;wsp:rsid wsp:val=&quot;007E220C&quot;/&gt;&lt;wsp:rsid wsp:val=&quot;007E22C5&quot;/&gt;&lt;wsp:rsid wsp:val=&quot;007E2984&quot;/&gt;&lt;wsp:rsid wsp:val=&quot;007E2BEC&quot;/&gt;&lt;wsp:rsid wsp:val=&quot;007E2CC1&quot;/&gt;&lt;wsp:rsid wsp:val=&quot;007E444F&quot;/&gt;&lt;wsp:rsid wsp:val=&quot;007E6187&quot;/&gt;&lt;wsp:rsid wsp:val=&quot;007E6B0D&quot;/&gt;&lt;wsp:rsid wsp:val=&quot;007E6EBB&quot;/&gt;&lt;wsp:rsid wsp:val=&quot;007E79FE&quot;/&gt;&lt;wsp:rsid wsp:val=&quot;007E7D24&quot;/&gt;&lt;wsp:rsid wsp:val=&quot;007F07A1&quot;/&gt;&lt;wsp:rsid wsp:val=&quot;007F08B7&quot;/&gt;&lt;wsp:rsid wsp:val=&quot;007F0918&quot;/&gt;&lt;wsp:rsid wsp:val=&quot;007F09BD&quot;/&gt;&lt;wsp:rsid wsp:val=&quot;007F1418&quot;/&gt;&lt;wsp:rsid wsp:val=&quot;007F2F14&quot;/&gt;&lt;wsp:rsid wsp:val=&quot;007F3041&quot;/&gt;&lt;wsp:rsid wsp:val=&quot;007F3062&quot;/&gt;&lt;wsp:rsid wsp:val=&quot;007F319D&quot;/&gt;&lt;wsp:rsid wsp:val=&quot;007F3826&quot;/&gt;&lt;wsp:rsid wsp:val=&quot;007F3979&quot;/&gt;&lt;wsp:rsid wsp:val=&quot;007F3C99&quot;/&gt;&lt;wsp:rsid wsp:val=&quot;007F3CCB&quot;/&gt;&lt;wsp:rsid wsp:val=&quot;007F3E7C&quot;/&gt;&lt;wsp:rsid wsp:val=&quot;007F4025&quot;/&gt;&lt;wsp:rsid wsp:val=&quot;007F408C&quot;/&gt;&lt;wsp:rsid wsp:val=&quot;007F483F&quot;/&gt;&lt;wsp:rsid wsp:val=&quot;007F4A71&quot;/&gt;&lt;wsp:rsid wsp:val=&quot;007F4AC4&quot;/&gt;&lt;wsp:rsid wsp:val=&quot;007F509B&quot;/&gt;&lt;wsp:rsid wsp:val=&quot;007F5130&quot;/&gt;&lt;wsp:rsid wsp:val=&quot;007F541C&quot;/&gt;&lt;wsp:rsid wsp:val=&quot;007F5445&quot;/&gt;&lt;wsp:rsid wsp:val=&quot;007F5718&quot;/&gt;&lt;wsp:rsid wsp:val=&quot;007F58B6&quot;/&gt;&lt;wsp:rsid wsp:val=&quot;007F60CF&quot;/&gt;&lt;wsp:rsid wsp:val=&quot;007F6179&quot;/&gt;&lt;wsp:rsid wsp:val=&quot;007F6AB3&quot;/&gt;&lt;wsp:rsid wsp:val=&quot;007F6AEF&quot;/&gt;&lt;wsp:rsid wsp:val=&quot;007F70F9&quot;/&gt;&lt;wsp:rsid wsp:val=&quot;007F7248&quot;/&gt;&lt;wsp:rsid wsp:val=&quot;00800E28&quot;/&gt;&lt;wsp:rsid wsp:val=&quot;00801D8E&quot;/&gt;&lt;wsp:rsid wsp:val=&quot;0080306C&quot;/&gt;&lt;wsp:rsid wsp:val=&quot;0080321F&quot;/&gt;&lt;wsp:rsid wsp:val=&quot;00803C27&quot;/&gt;&lt;wsp:rsid wsp:val=&quot;00803DEF&quot;/&gt;&lt;wsp:rsid wsp:val=&quot;00803EAB&quot;/&gt;&lt;wsp:rsid wsp:val=&quot;00804F26&quot;/&gt;&lt;wsp:rsid wsp:val=&quot;0080516C&quot;/&gt;&lt;wsp:rsid wsp:val=&quot;00805832&quot;/&gt;&lt;wsp:rsid wsp:val=&quot;00805C24&quot;/&gt;&lt;wsp:rsid wsp:val=&quot;00805CF3&quot;/&gt;&lt;wsp:rsid wsp:val=&quot;00805D54&quot;/&gt;&lt;wsp:rsid wsp:val=&quot;008065F8&quot;/&gt;&lt;wsp:rsid wsp:val=&quot;008066FD&quot;/&gt;&lt;wsp:rsid wsp:val=&quot;0080680A&quot;/&gt;&lt;wsp:rsid wsp:val=&quot;00806937&quot;/&gt;&lt;wsp:rsid wsp:val=&quot;00806E17&quot;/&gt;&lt;wsp:rsid wsp:val=&quot;00807128&quot;/&gt;&lt;wsp:rsid wsp:val=&quot;008072AE&quot;/&gt;&lt;wsp:rsid wsp:val=&quot;0080735D&quot;/&gt;&lt;wsp:rsid wsp:val=&quot;00807749&quot;/&gt;&lt;wsp:rsid wsp:val=&quot;008077E7&quot;/&gt;&lt;wsp:rsid wsp:val=&quot;0081012F&quot;/&gt;&lt;wsp:rsid wsp:val=&quot;00810424&quot;/&gt;&lt;wsp:rsid wsp:val=&quot;00810CC9&quot;/&gt;&lt;wsp:rsid wsp:val=&quot;008111BF&quot;/&gt;&lt;wsp:rsid wsp:val=&quot;0081135F&quot;/&gt;&lt;wsp:rsid wsp:val=&quot;00811826&quot;/&gt;&lt;wsp:rsid wsp:val=&quot;00811A4F&quot;/&gt;&lt;wsp:rsid wsp:val=&quot;00812488&quot;/&gt;&lt;wsp:rsid wsp:val=&quot;008127B7&quot;/&gt;&lt;wsp:rsid wsp:val=&quot;00812823&quot;/&gt;&lt;wsp:rsid wsp:val=&quot;00812CFC&quot;/&gt;&lt;wsp:rsid wsp:val=&quot;00813D17&quot;/&gt;&lt;wsp:rsid wsp:val=&quot;008141F4&quot;/&gt;&lt;wsp:rsid wsp:val=&quot;00814442&quot;/&gt;&lt;wsp:rsid wsp:val=&quot;008146D7&quot;/&gt;&lt;wsp:rsid wsp:val=&quot;00814904&quot;/&gt;&lt;wsp:rsid wsp:val=&quot;0081495C&quot;/&gt;&lt;wsp:rsid wsp:val=&quot;00816769&quot;/&gt;&lt;wsp:rsid wsp:val=&quot;00816F12&quot;/&gt;&lt;wsp:rsid wsp:val=&quot;0081754C&quot;/&gt;&lt;wsp:rsid wsp:val=&quot;0081783D&quot;/&gt;&lt;wsp:rsid wsp:val=&quot;00817C9E&quot;/&gt;&lt;wsp:rsid wsp:val=&quot;00820495&quot;/&gt;&lt;wsp:rsid wsp:val=&quot;00820B66&quot;/&gt;&lt;wsp:rsid wsp:val=&quot;00820BAE&quot;/&gt;&lt;wsp:rsid wsp:val=&quot;00820CFD&quot;/&gt;&lt;wsp:rsid wsp:val=&quot;008210F0&quot;/&gt;&lt;wsp:rsid wsp:val=&quot;0082123F&quot;/&gt;&lt;wsp:rsid wsp:val=&quot;0082181E&quot;/&gt;&lt;wsp:rsid wsp:val=&quot;00821F14&quot;/&gt;&lt;wsp:rsid wsp:val=&quot;00821FBA&quot;/&gt;&lt;wsp:rsid wsp:val=&quot;00822033&quot;/&gt;&lt;wsp:rsid wsp:val=&quot;00822B49&quot;/&gt;&lt;wsp:rsid wsp:val=&quot;00823678&quot;/&gt;&lt;wsp:rsid wsp:val=&quot;00823758&quot;/&gt;&lt;wsp:rsid wsp:val=&quot;00823EB3&quot;/&gt;&lt;wsp:rsid wsp:val=&quot;00824302&quot;/&gt;&lt;wsp:rsid wsp:val=&quot;00824963&quot;/&gt;&lt;wsp:rsid wsp:val=&quot;00824A35&quot;/&gt;&lt;wsp:rsid wsp:val=&quot;0082547F&quot;/&gt;&lt;wsp:rsid wsp:val=&quot;0082597A&quot;/&gt;&lt;wsp:rsid wsp:val=&quot;00825E72&quot;/&gt;&lt;wsp:rsid wsp:val=&quot;00826273&quot;/&gt;&lt;wsp:rsid wsp:val=&quot;008263BB&quot;/&gt;&lt;wsp:rsid wsp:val=&quot;00826C7B&quot;/&gt;&lt;wsp:rsid wsp:val=&quot;00827091&quot;/&gt;&lt;wsp:rsid wsp:val=&quot;0082713B&quot;/&gt;&lt;wsp:rsid wsp:val=&quot;00827205&quot;/&gt;&lt;wsp:rsid wsp:val=&quot;0082759B&quot;/&gt;&lt;wsp:rsid wsp:val=&quot;0082778C&quot;/&gt;&lt;wsp:rsid wsp:val=&quot;00827A84&quot;/&gt;&lt;wsp:rsid wsp:val=&quot;00827D12&quot;/&gt;&lt;wsp:rsid wsp:val=&quot;00830A9D&quot;/&gt;&lt;wsp:rsid wsp:val=&quot;00831607&quot;/&gt;&lt;wsp:rsid wsp:val=&quot;008316AE&quot;/&gt;&lt;wsp:rsid wsp:val=&quot;00832740&quot;/&gt;&lt;wsp:rsid wsp:val=&quot;00832901&quot;/&gt;&lt;wsp:rsid wsp:val=&quot;00832B5F&quot;/&gt;&lt;wsp:rsid wsp:val=&quot;00832E50&quot;/&gt;&lt;wsp:rsid wsp:val=&quot;00832E66&quot;/&gt;&lt;wsp:rsid wsp:val=&quot;00832F69&quot;/&gt;&lt;wsp:rsid wsp:val=&quot;008334D8&quot;/&gt;&lt;wsp:rsid wsp:val=&quot;00833529&quot;/&gt;&lt;wsp:rsid wsp:val=&quot;008335D0&quot;/&gt;&lt;wsp:rsid wsp:val=&quot;00834221&quot;/&gt;&lt;wsp:rsid wsp:val=&quot;0083443F&quot;/&gt;&lt;wsp:rsid wsp:val=&quot;00834769&quot;/&gt;&lt;wsp:rsid wsp:val=&quot;00834A94&quot;/&gt;&lt;wsp:rsid wsp:val=&quot;0083594A&quot;/&gt;&lt;wsp:rsid wsp:val=&quot;00835F46&quot;/&gt;&lt;wsp:rsid wsp:val=&quot;00836207&quot;/&gt;&lt;wsp:rsid wsp:val=&quot;008362F7&quot;/&gt;&lt;wsp:rsid wsp:val=&quot;00836410&quot;/&gt;&lt;wsp:rsid wsp:val=&quot;008364C8&quot;/&gt;&lt;wsp:rsid wsp:val=&quot;0083681B&quot;/&gt;&lt;wsp:rsid wsp:val=&quot;00836C39&quot;/&gt;&lt;wsp:rsid wsp:val=&quot;00836D90&quot;/&gt;&lt;wsp:rsid wsp:val=&quot;00837964&quot;/&gt;&lt;wsp:rsid wsp:val=&quot;00837BEB&quot;/&gt;&lt;wsp:rsid wsp:val=&quot;00837C72&quot;/&gt;&lt;wsp:rsid wsp:val=&quot;00840CFB&quot;/&gt;&lt;wsp:rsid wsp:val=&quot;008411D9&quot;/&gt;&lt;wsp:rsid wsp:val=&quot;00841747&quot;/&gt;&lt;wsp:rsid wsp:val=&quot;00842E02&quot;/&gt;&lt;wsp:rsid wsp:val=&quot;00842E1C&quot;/&gt;&lt;wsp:rsid wsp:val=&quot;0084311D&quot;/&gt;&lt;wsp:rsid wsp:val=&quot;00843359&quot;/&gt;&lt;wsp:rsid wsp:val=&quot;00843DF1&quot;/&gt;&lt;wsp:rsid wsp:val=&quot;00844792&quot;/&gt;&lt;wsp:rsid wsp:val=&quot;00844FF9&quot;/&gt;&lt;wsp:rsid wsp:val=&quot;0084518F&quot;/&gt;&lt;wsp:rsid wsp:val=&quot;0084538F&quot;/&gt;&lt;wsp:rsid wsp:val=&quot;00845EAA&quot;/&gt;&lt;wsp:rsid wsp:val=&quot;008462BF&quot;/&gt;&lt;wsp:rsid wsp:val=&quot;008467F6&quot;/&gt;&lt;wsp:rsid wsp:val=&quot;00846F8A&quot;/&gt;&lt;wsp:rsid wsp:val=&quot;008472D7&quot;/&gt;&lt;wsp:rsid wsp:val=&quot;00847D9C&quot;/&gt;&lt;wsp:rsid wsp:val=&quot;00847F43&quot;/&gt;&lt;wsp:rsid wsp:val=&quot;00850059&quot;/&gt;&lt;wsp:rsid wsp:val=&quot;00850B2A&quot;/&gt;&lt;wsp:rsid wsp:val=&quot;00850E0C&quot;/&gt;&lt;wsp:rsid wsp:val=&quot;008513CC&quot;/&gt;&lt;wsp:rsid wsp:val=&quot;0085180A&quot;/&gt;&lt;wsp:rsid wsp:val=&quot;00851AEF&quot;/&gt;&lt;wsp:rsid wsp:val=&quot;00851CB6&quot;/&gt;&lt;wsp:rsid wsp:val=&quot;00851E31&quot;/&gt;&lt;wsp:rsid wsp:val=&quot;008521D0&quot;/&gt;&lt;wsp:rsid wsp:val=&quot;008523B4&quot;/&gt;&lt;wsp:rsid wsp:val=&quot;00852499&quot;/&gt;&lt;wsp:rsid wsp:val=&quot;0085275C&quot;/&gt;&lt;wsp:rsid wsp:val=&quot;00852A49&quot;/&gt;&lt;wsp:rsid wsp:val=&quot;00852B78&quot;/&gt;&lt;wsp:rsid wsp:val=&quot;00853607&quot;/&gt;&lt;wsp:rsid wsp:val=&quot;008536B9&quot;/&gt;&lt;wsp:rsid wsp:val=&quot;008537F4&quot;/&gt;&lt;wsp:rsid wsp:val=&quot;00853890&quot;/&gt;&lt;wsp:rsid wsp:val=&quot;008541F7&quot;/&gt;&lt;wsp:rsid wsp:val=&quot;00854848&quot;/&gt;&lt;wsp:rsid wsp:val=&quot;00854AED&quot;/&gt;&lt;wsp:rsid wsp:val=&quot;00855BE0&quot;/&gt;&lt;wsp:rsid wsp:val=&quot;00856A07&quot;/&gt;&lt;wsp:rsid wsp:val=&quot;00856E24&quot;/&gt;&lt;wsp:rsid wsp:val=&quot;008573AC&quot;/&gt;&lt;wsp:rsid wsp:val=&quot;008577D1&quot;/&gt;&lt;wsp:rsid wsp:val=&quot;00857822&quot;/&gt;&lt;wsp:rsid wsp:val=&quot;008579E5&quot;/&gt;&lt;wsp:rsid wsp:val=&quot;00860366&quot;/&gt;&lt;wsp:rsid wsp:val=&quot;00860B15&quot;/&gt;&lt;wsp:rsid wsp:val=&quot;008615A8&quot;/&gt;&lt;wsp:rsid wsp:val=&quot;00861723&quot;/&gt;&lt;wsp:rsid wsp:val=&quot;00862156&quot;/&gt;&lt;wsp:rsid wsp:val=&quot;008621E7&quot;/&gt;&lt;wsp:rsid wsp:val=&quot;00863000&quot;/&gt;&lt;wsp:rsid wsp:val=&quot;008634AF&quot;/&gt;&lt;wsp:rsid wsp:val=&quot;00864477&quot;/&gt;&lt;wsp:rsid wsp:val=&quot;0086482D&quot;/&gt;&lt;wsp:rsid wsp:val=&quot;00865179&quot;/&gt;&lt;wsp:rsid wsp:val=&quot;008652E2&quot;/&gt;&lt;wsp:rsid wsp:val=&quot;00865671&quot;/&gt;&lt;wsp:rsid wsp:val=&quot;00865BE0&quot;/&gt;&lt;wsp:rsid wsp:val=&quot;00865C69&quot;/&gt;&lt;wsp:rsid wsp:val=&quot;00866095&quot;/&gt;&lt;wsp:rsid wsp:val=&quot;008666B3&quot;/&gt;&lt;wsp:rsid wsp:val=&quot;00866A08&quot;/&gt;&lt;wsp:rsid wsp:val=&quot;008673C3&quot;/&gt;&lt;wsp:rsid wsp:val=&quot;008673EA&quot;/&gt;&lt;wsp:rsid wsp:val=&quot;008675E4&quot;/&gt;&lt;wsp:rsid wsp:val=&quot;00867968&quot;/&gt;&lt;wsp:rsid wsp:val=&quot;00867A7C&quot;/&gt;&lt;wsp:rsid wsp:val=&quot;00870008&quot;/&gt;&lt;wsp:rsid wsp:val=&quot;00870BC4&quot;/&gt;&lt;wsp:rsid wsp:val=&quot;00871C6F&quot;/&gt;&lt;wsp:rsid wsp:val=&quot;00871EEE&quot;/&gt;&lt;wsp:rsid wsp:val=&quot;00872023&quot;/&gt;&lt;wsp:rsid wsp:val=&quot;00872339&quot;/&gt;&lt;wsp:rsid wsp:val=&quot;00872391&quot;/&gt;&lt;wsp:rsid wsp:val=&quot;008725BE&quot;/&gt;&lt;wsp:rsid wsp:val=&quot;00872A3A&quot;/&gt;&lt;wsp:rsid wsp:val=&quot;00873854&quot;/&gt;&lt;wsp:rsid wsp:val=&quot;00873C34&quot;/&gt;&lt;wsp:rsid wsp:val=&quot;008746AC&quot;/&gt;&lt;wsp:rsid wsp:val=&quot;00874A63&quot;/&gt;&lt;wsp:rsid wsp:val=&quot;00875713&quot;/&gt;&lt;wsp:rsid wsp:val=&quot;00876076&quot;/&gt;&lt;wsp:rsid wsp:val=&quot;008760F3&quot;/&gt;&lt;wsp:rsid wsp:val=&quot;0087629B&quot;/&gt;&lt;wsp:rsid wsp:val=&quot;00876318&quot;/&gt;&lt;wsp:rsid wsp:val=&quot;00876776&quot;/&gt;&lt;wsp:rsid wsp:val=&quot;00876AC9&quot;/&gt;&lt;wsp:rsid wsp:val=&quot;008774C3&quot;/&gt;&lt;wsp:rsid wsp:val=&quot;008802DC&quot;/&gt;&lt;wsp:rsid wsp:val=&quot;008803BC&quot;/&gt;&lt;wsp:rsid wsp:val=&quot;00880632&quot;/&gt;&lt;wsp:rsid wsp:val=&quot;008807DD&quot;/&gt;&lt;wsp:rsid wsp:val=&quot;00880D4B&quot;/&gt;&lt;wsp:rsid wsp:val=&quot;008811C8&quot;/&gt;&lt;wsp:rsid wsp:val=&quot;0088135C&quot;/&gt;&lt;wsp:rsid wsp:val=&quot;0088170C&quot;/&gt;&lt;wsp:rsid wsp:val=&quot;00881D0D&quot;/&gt;&lt;wsp:rsid wsp:val=&quot;00881EEF&quot;/&gt;&lt;wsp:rsid wsp:val=&quot;00882406&quot;/&gt;&lt;wsp:rsid wsp:val=&quot;00882A96&quot;/&gt;&lt;wsp:rsid wsp:val=&quot;0088354E&quot;/&gt;&lt;wsp:rsid wsp:val=&quot;0088460A&quot;/&gt;&lt;wsp:rsid wsp:val=&quot;00884C5D&quot;/&gt;&lt;wsp:rsid wsp:val=&quot;00884DF1&quot;/&gt;&lt;wsp:rsid wsp:val=&quot;00885CD7&quot;/&gt;&lt;wsp:rsid wsp:val=&quot;00885EE6&quot;/&gt;&lt;wsp:rsid wsp:val=&quot;008865B3&quot;/&gt;&lt;wsp:rsid wsp:val=&quot;00886747&quot;/&gt;&lt;wsp:rsid wsp:val=&quot;00886BD9&quot;/&gt;&lt;wsp:rsid wsp:val=&quot;008875B5&quot;/&gt;&lt;wsp:rsid wsp:val=&quot;008875C5&quot;/&gt;&lt;wsp:rsid wsp:val=&quot;00887F43&quot;/&gt;&lt;wsp:rsid wsp:val=&quot;00890769&quot;/&gt;&lt;wsp:rsid wsp:val=&quot;00891C43&quot;/&gt;&lt;wsp:rsid wsp:val=&quot;00891DF4&quot;/&gt;&lt;wsp:rsid wsp:val=&quot;0089216F&quot;/&gt;&lt;wsp:rsid wsp:val=&quot;00892B9D&quot;/&gt;&lt;wsp:rsid wsp:val=&quot;00892CEF&quot;/&gt;&lt;wsp:rsid wsp:val=&quot;00892D09&quot;/&gt;&lt;wsp:rsid wsp:val=&quot;0089303A&quot;/&gt;&lt;wsp:rsid wsp:val=&quot;008936D6&quot;/&gt;&lt;wsp:rsid wsp:val=&quot;00893862&quot;/&gt;&lt;wsp:rsid wsp:val=&quot;00893DFD&quot;/&gt;&lt;wsp:rsid wsp:val=&quot;00894212&quot;/&gt;&lt;wsp:rsid wsp:val=&quot;008944A6&quot;/&gt;&lt;wsp:rsid wsp:val=&quot;00894AA7&quot;/&gt;&lt;wsp:rsid wsp:val=&quot;00894B43&quot;/&gt;&lt;wsp:rsid wsp:val=&quot;00894D96&quot;/&gt;&lt;wsp:rsid wsp:val=&quot;00895459&quot;/&gt;&lt;wsp:rsid wsp:val=&quot;008960B8&quot;/&gt;&lt;wsp:rsid wsp:val=&quot;008962EC&quot;/&gt;&lt;wsp:rsid wsp:val=&quot;008964D2&quot;/&gt;&lt;wsp:rsid wsp:val=&quot;008968DA&quot;/&gt;&lt;wsp:rsid wsp:val=&quot;00896C10&quot;/&gt;&lt;wsp:rsid wsp:val=&quot;00897388&quot;/&gt;&lt;wsp:rsid wsp:val=&quot;008979EA&quot;/&gt;&lt;wsp:rsid wsp:val=&quot;008A0389&quot;/&gt;&lt;wsp:rsid wsp:val=&quot;008A0C8D&quot;/&gt;&lt;wsp:rsid wsp:val=&quot;008A153F&quot;/&gt;&lt;wsp:rsid wsp:val=&quot;008A15C6&quot;/&gt;&lt;wsp:rsid wsp:val=&quot;008A17D5&quot;/&gt;&lt;wsp:rsid wsp:val=&quot;008A2159&quot;/&gt;&lt;wsp:rsid wsp:val=&quot;008A252E&quot;/&gt;&lt;wsp:rsid wsp:val=&quot;008A28C4&quot;/&gt;&lt;wsp:rsid wsp:val=&quot;008A2944&quot;/&gt;&lt;wsp:rsid wsp:val=&quot;008A2EA3&quot;/&gt;&lt;wsp:rsid wsp:val=&quot;008A32AB&quot;/&gt;&lt;wsp:rsid wsp:val=&quot;008A33FD&quot;/&gt;&lt;wsp:rsid wsp:val=&quot;008A34F0&quot;/&gt;&lt;wsp:rsid wsp:val=&quot;008A3DAD&quot;/&gt;&lt;wsp:rsid wsp:val=&quot;008A43E5&quot;/&gt;&lt;wsp:rsid wsp:val=&quot;008A51F3&quot;/&gt;&lt;wsp:rsid wsp:val=&quot;008A5283&quot;/&gt;&lt;wsp:rsid wsp:val=&quot;008A5469&quot;/&gt;&lt;wsp:rsid wsp:val=&quot;008A55A5&quot;/&gt;&lt;wsp:rsid wsp:val=&quot;008A56DD&quot;/&gt;&lt;wsp:rsid wsp:val=&quot;008A5894&quot;/&gt;&lt;wsp:rsid wsp:val=&quot;008A5CAD&quot;/&gt;&lt;wsp:rsid wsp:val=&quot;008A646C&quot;/&gt;&lt;wsp:rsid wsp:val=&quot;008A65DB&quot;/&gt;&lt;wsp:rsid wsp:val=&quot;008A689A&quot;/&gt;&lt;wsp:rsid wsp:val=&quot;008A7705&quot;/&gt;&lt;wsp:rsid wsp:val=&quot;008B0635&quot;/&gt;&lt;wsp:rsid wsp:val=&quot;008B0A4D&quot;/&gt;&lt;wsp:rsid wsp:val=&quot;008B182F&quot;/&gt;&lt;wsp:rsid wsp:val=&quot;008B1C96&quot;/&gt;&lt;wsp:rsid wsp:val=&quot;008B233F&quot;/&gt;&lt;wsp:rsid wsp:val=&quot;008B2689&quot;/&gt;&lt;wsp:rsid wsp:val=&quot;008B2911&quot;/&gt;&lt;wsp:rsid wsp:val=&quot;008B2EBE&quot;/&gt;&lt;wsp:rsid wsp:val=&quot;008B3653&quot;/&gt;&lt;wsp:rsid wsp:val=&quot;008B3C9E&quot;/&gt;&lt;wsp:rsid wsp:val=&quot;008B408F&quot;/&gt;&lt;wsp:rsid wsp:val=&quot;008B42FF&quot;/&gt;&lt;wsp:rsid wsp:val=&quot;008B430F&quot;/&gt;&lt;wsp:rsid wsp:val=&quot;008B49E9&quot;/&gt;&lt;wsp:rsid wsp:val=&quot;008B4A2F&quot;/&gt;&lt;wsp:rsid wsp:val=&quot;008B547C&quot;/&gt;&lt;wsp:rsid wsp:val=&quot;008B5605&quot;/&gt;&lt;wsp:rsid wsp:val=&quot;008B610F&quot;/&gt;&lt;wsp:rsid wsp:val=&quot;008B64DE&quot;/&gt;&lt;wsp:rsid wsp:val=&quot;008B650C&quot;/&gt;&lt;wsp:rsid wsp:val=&quot;008B6A7D&quot;/&gt;&lt;wsp:rsid wsp:val=&quot;008B78FD&quot;/&gt;&lt;wsp:rsid wsp:val=&quot;008B7940&quot;/&gt;&lt;wsp:rsid wsp:val=&quot;008B7B36&quot;/&gt;&lt;wsp:rsid wsp:val=&quot;008C0060&quot;/&gt;&lt;wsp:rsid wsp:val=&quot;008C0847&quot;/&gt;&lt;wsp:rsid wsp:val=&quot;008C1494&quot;/&gt;&lt;wsp:rsid wsp:val=&quot;008C1739&quot;/&gt;&lt;wsp:rsid wsp:val=&quot;008C205F&quot;/&gt;&lt;wsp:rsid wsp:val=&quot;008C22A4&quot;/&gt;&lt;wsp:rsid wsp:val=&quot;008C23EE&quot;/&gt;&lt;wsp:rsid wsp:val=&quot;008C2593&quot;/&gt;&lt;wsp:rsid wsp:val=&quot;008C265A&quot;/&gt;&lt;wsp:rsid wsp:val=&quot;008C37BA&quot;/&gt;&lt;wsp:rsid wsp:val=&quot;008C3B9E&quot;/&gt;&lt;wsp:rsid wsp:val=&quot;008C3CC2&quot;/&gt;&lt;wsp:rsid wsp:val=&quot;008C3E8D&quot;/&gt;&lt;wsp:rsid wsp:val=&quot;008C418A&quot;/&gt;&lt;wsp:rsid wsp:val=&quot;008C4D22&quot;/&gt;&lt;wsp:rsid wsp:val=&quot;008C4D83&quot;/&gt;&lt;wsp:rsid wsp:val=&quot;008C631B&quot;/&gt;&lt;wsp:rsid wsp:val=&quot;008C66A9&quot;/&gt;&lt;wsp:rsid wsp:val=&quot;008C6A82&quot;/&gt;&lt;wsp:rsid wsp:val=&quot;008C6BF6&quot;/&gt;&lt;wsp:rsid wsp:val=&quot;008C7B47&quot;/&gt;&lt;wsp:rsid wsp:val=&quot;008C7C9C&quot;/&gt;&lt;wsp:rsid wsp:val=&quot;008D0E02&quot;/&gt;&lt;wsp:rsid wsp:val=&quot;008D13B0&quot;/&gt;&lt;wsp:rsid wsp:val=&quot;008D1555&quot;/&gt;&lt;wsp:rsid wsp:val=&quot;008D232B&quot;/&gt;&lt;wsp:rsid wsp:val=&quot;008D2AEE&quot;/&gt;&lt;wsp:rsid wsp:val=&quot;008D2C87&quot;/&gt;&lt;wsp:rsid wsp:val=&quot;008D4B8F&quot;/&gt;&lt;wsp:rsid wsp:val=&quot;008D5D94&quot;/&gt;&lt;wsp:rsid wsp:val=&quot;008D6077&quot;/&gt;&lt;wsp:rsid wsp:val=&quot;008D67BC&quot;/&gt;&lt;wsp:rsid wsp:val=&quot;008D67FB&quot;/&gt;&lt;wsp:rsid wsp:val=&quot;008D690E&quot;/&gt;&lt;wsp:rsid wsp:val=&quot;008D6C92&quot;/&gt;&lt;wsp:rsid wsp:val=&quot;008D74CE&quot;/&gt;&lt;wsp:rsid wsp:val=&quot;008D7686&quot;/&gt;&lt;wsp:rsid wsp:val=&quot;008D76B1&quot;/&gt;&lt;wsp:rsid wsp:val=&quot;008D7B2D&quot;/&gt;&lt;wsp:rsid wsp:val=&quot;008D7E49&quot;/&gt;&lt;wsp:rsid wsp:val=&quot;008D7FAB&quot;/&gt;&lt;wsp:rsid wsp:val=&quot;008E0051&quot;/&gt;&lt;wsp:rsid wsp:val=&quot;008E036D&quot;/&gt;&lt;wsp:rsid wsp:val=&quot;008E05BA&quot;/&gt;&lt;wsp:rsid wsp:val=&quot;008E0A04&quot;/&gt;&lt;wsp:rsid wsp:val=&quot;008E170B&quot;/&gt;&lt;wsp:rsid wsp:val=&quot;008E1D26&quot;/&gt;&lt;wsp:rsid wsp:val=&quot;008E1E2E&quot;/&gt;&lt;wsp:rsid wsp:val=&quot;008E2BB2&quot;/&gt;&lt;wsp:rsid wsp:val=&quot;008E2E5F&quot;/&gt;&lt;wsp:rsid wsp:val=&quot;008E3141&quot;/&gt;&lt;wsp:rsid wsp:val=&quot;008E43F6&quot;/&gt;&lt;wsp:rsid wsp:val=&quot;008E4F6C&quot;/&gt;&lt;wsp:rsid wsp:val=&quot;008E5349&quot;/&gt;&lt;wsp:rsid wsp:val=&quot;008E53B6&quot;/&gt;&lt;wsp:rsid wsp:val=&quot;008E53FC&quot;/&gt;&lt;wsp:rsid wsp:val=&quot;008E568F&quot;/&gt;&lt;wsp:rsid wsp:val=&quot;008E571B&quot;/&gt;&lt;wsp:rsid wsp:val=&quot;008E66FD&quot;/&gt;&lt;wsp:rsid wsp:val=&quot;008E69DE&quot;/&gt;&lt;wsp:rsid wsp:val=&quot;008E6DF1&quot;/&gt;&lt;wsp:rsid wsp:val=&quot;008E7195&quot;/&gt;&lt;wsp:rsid wsp:val=&quot;008E757C&quot;/&gt;&lt;wsp:rsid wsp:val=&quot;008E7DAA&quot;/&gt;&lt;wsp:rsid wsp:val=&quot;008F04FB&quot;/&gt;&lt;wsp:rsid wsp:val=&quot;008F1F35&quot;/&gt;&lt;wsp:rsid wsp:val=&quot;008F214D&quot;/&gt;&lt;wsp:rsid wsp:val=&quot;008F221C&quot;/&gt;&lt;wsp:rsid wsp:val=&quot;008F25F4&quot;/&gt;&lt;wsp:rsid wsp:val=&quot;008F2960&quot;/&gt;&lt;wsp:rsid wsp:val=&quot;008F35A4&quot;/&gt;&lt;wsp:rsid wsp:val=&quot;008F3832&quot;/&gt;&lt;wsp:rsid wsp:val=&quot;008F3833&quot;/&gt;&lt;wsp:rsid wsp:val=&quot;008F3975&quot;/&gt;&lt;wsp:rsid wsp:val=&quot;008F3D49&quot;/&gt;&lt;wsp:rsid wsp:val=&quot;008F4295&quot;/&gt;&lt;wsp:rsid wsp:val=&quot;008F4374&quot;/&gt;&lt;wsp:rsid wsp:val=&quot;008F4603&quot;/&gt;&lt;wsp:rsid wsp:val=&quot;008F52E6&quot;/&gt;&lt;wsp:rsid wsp:val=&quot;008F541B&quot;/&gt;&lt;wsp:rsid wsp:val=&quot;008F57D0&quot;/&gt;&lt;wsp:rsid wsp:val=&quot;008F6F57&quot;/&gt;&lt;wsp:rsid wsp:val=&quot;008F78DD&quot;/&gt;&lt;wsp:rsid wsp:val=&quot;008F7918&quot;/&gt;&lt;wsp:rsid wsp:val=&quot;008F7CD6&quot;/&gt;&lt;wsp:rsid wsp:val=&quot;00900083&quot;/&gt;&lt;wsp:rsid wsp:val=&quot;0090076C&quot;/&gt;&lt;wsp:rsid wsp:val=&quot;00900D65&quot;/&gt;&lt;wsp:rsid wsp:val=&quot;0090119D&quot;/&gt;&lt;wsp:rsid wsp:val=&quot;009011D1&quot;/&gt;&lt;wsp:rsid wsp:val=&quot;00901A00&quot;/&gt;&lt;wsp:rsid wsp:val=&quot;00902522&quot;/&gt;&lt;wsp:rsid wsp:val=&quot;00902588&quot;/&gt;&lt;wsp:rsid wsp:val=&quot;009032A3&quot;/&gt;&lt;wsp:rsid wsp:val=&quot;00903341&quot;/&gt;&lt;wsp:rsid wsp:val=&quot;00903C48&quot;/&gt;&lt;wsp:rsid wsp:val=&quot;00904670&quot;/&gt;&lt;wsp:rsid wsp:val=&quot;009046E9&quot;/&gt;&lt;wsp:rsid wsp:val=&quot;009049BC&quot;/&gt;&lt;wsp:rsid wsp:val=&quot;009060D5&quot;/&gt;&lt;wsp:rsid wsp:val=&quot;009066D8&quot;/&gt;&lt;wsp:rsid wsp:val=&quot;00906D8D&quot;/&gt;&lt;wsp:rsid wsp:val=&quot;00906FD8&quot;/&gt;&lt;wsp:rsid wsp:val=&quot;009073A0&quot;/&gt;&lt;wsp:rsid wsp:val=&quot;00907E2E&quot;/&gt;&lt;wsp:rsid wsp:val=&quot;00907E53&quot;/&gt;&lt;wsp:rsid wsp:val=&quot;0091054F&quot;/&gt;&lt;wsp:rsid wsp:val=&quot;00910D1F&quot;/&gt;&lt;wsp:rsid wsp:val=&quot;00911433&quot;/&gt;&lt;wsp:rsid wsp:val=&quot;00911452&quot;/&gt;&lt;wsp:rsid wsp:val=&quot;009124A0&quot;/&gt;&lt;wsp:rsid wsp:val=&quot;009125D3&quot;/&gt;&lt;wsp:rsid wsp:val=&quot;00912813&quot;/&gt;&lt;wsp:rsid wsp:val=&quot;00912A13&quot;/&gt;&lt;wsp:rsid wsp:val=&quot;00912A89&quot;/&gt;&lt;wsp:rsid wsp:val=&quot;0091350B&quot;/&gt;&lt;wsp:rsid wsp:val=&quot;009135F4&quot;/&gt;&lt;wsp:rsid wsp:val=&quot;00913747&quot;/&gt;&lt;wsp:rsid wsp:val=&quot;0091377D&quot;/&gt;&lt;wsp:rsid wsp:val=&quot;00913ABD&quot;/&gt;&lt;wsp:rsid wsp:val=&quot;00914080&quot;/&gt;&lt;wsp:rsid wsp:val=&quot;009146FA&quot;/&gt;&lt;wsp:rsid wsp:val=&quot;0091474F&quot;/&gt;&lt;wsp:rsid wsp:val=&quot;00914955&quot;/&gt;&lt;wsp:rsid wsp:val=&quot;00914E7B&quot;/&gt;&lt;wsp:rsid wsp:val=&quot;00914ED0&quot;/&gt;&lt;wsp:rsid wsp:val=&quot;0091515D&quot;/&gt;&lt;wsp:rsid wsp:val=&quot;00915348&quot;/&gt;&lt;wsp:rsid wsp:val=&quot;00915569&quot;/&gt;&lt;wsp:rsid wsp:val=&quot;00916AAB&quot;/&gt;&lt;wsp:rsid wsp:val=&quot;0091703F&quot;/&gt;&lt;wsp:rsid wsp:val=&quot;0091749D&quot;/&gt;&lt;wsp:rsid wsp:val=&quot;00917526&quot;/&gt;&lt;wsp:rsid wsp:val=&quot;0092017A&quot;/&gt;&lt;wsp:rsid wsp:val=&quot;00920880&quot;/&gt;&lt;wsp:rsid wsp:val=&quot;00920C5C&quot;/&gt;&lt;wsp:rsid wsp:val=&quot;00921F48&quot;/&gt;&lt;wsp:rsid wsp:val=&quot;0092201D&quot;/&gt;&lt;wsp:rsid wsp:val=&quot;009222A2&quot;/&gt;&lt;wsp:rsid wsp:val=&quot;009224A8&quot;/&gt;&lt;wsp:rsid wsp:val=&quot;00922C80&quot;/&gt;&lt;wsp:rsid wsp:val=&quot;00922D74&quot;/&gt;&lt;wsp:rsid wsp:val=&quot;00923A47&quot;/&gt;&lt;wsp:rsid wsp:val=&quot;00923BF4&quot;/&gt;&lt;wsp:rsid wsp:val=&quot;00923D09&quot;/&gt;&lt;wsp:rsid wsp:val=&quot;00923E79&quot;/&gt;&lt;wsp:rsid wsp:val=&quot;00923FA1&quot;/&gt;&lt;wsp:rsid wsp:val=&quot;00924C08&quot;/&gt;&lt;wsp:rsid wsp:val=&quot;00924F6E&quot;/&gt;&lt;wsp:rsid wsp:val=&quot;00925090&quot;/&gt;&lt;wsp:rsid wsp:val=&quot;009254A4&quot;/&gt;&lt;wsp:rsid wsp:val=&quot;00926A90&quot;/&gt;&lt;wsp:rsid wsp:val=&quot;00926C76&quot;/&gt;&lt;wsp:rsid wsp:val=&quot;00926DC2&quot;/&gt;&lt;wsp:rsid wsp:val=&quot;00926E78&quot;/&gt;&lt;wsp:rsid wsp:val=&quot;00926F68&quot;/&gt;&lt;wsp:rsid wsp:val=&quot;009279C8&quot;/&gt;&lt;wsp:rsid wsp:val=&quot;00927A5A&quot;/&gt;&lt;wsp:rsid wsp:val=&quot;00927B17&quot;/&gt;&lt;wsp:rsid wsp:val=&quot;00927BD8&quot;/&gt;&lt;wsp:rsid wsp:val=&quot;0093074A&quot;/&gt;&lt;wsp:rsid wsp:val=&quot;00930825&quot;/&gt;&lt;wsp:rsid wsp:val=&quot;0093087E&quot;/&gt;&lt;wsp:rsid wsp:val=&quot;00930D82&quot;/&gt;&lt;wsp:rsid wsp:val=&quot;00931D4E&quot;/&gt;&lt;wsp:rsid wsp:val=&quot;009324CB&quot;/&gt;&lt;wsp:rsid wsp:val=&quot;00932615&quot;/&gt;&lt;wsp:rsid wsp:val=&quot;009327A9&quot;/&gt;&lt;wsp:rsid wsp:val=&quot;00932C77&quot;/&gt;&lt;wsp:rsid wsp:val=&quot;00932E6F&quot;/&gt;&lt;wsp:rsid wsp:val=&quot;009331E6&quot;/&gt;&lt;wsp:rsid wsp:val=&quot;00933590&quot;/&gt;&lt;wsp:rsid wsp:val=&quot;0093416B&quot;/&gt;&lt;wsp:rsid wsp:val=&quot;00934387&quot;/&gt;&lt;wsp:rsid wsp:val=&quot;0093444B&quot;/&gt;&lt;wsp:rsid wsp:val=&quot;0093491F&quot;/&gt;&lt;wsp:rsid wsp:val=&quot;00934AC8&quot;/&gt;&lt;wsp:rsid wsp:val=&quot;00934B83&quot;/&gt;&lt;wsp:rsid wsp:val=&quot;009357D2&quot;/&gt;&lt;wsp:rsid wsp:val=&quot;00936C4D&quot;/&gt;&lt;wsp:rsid wsp:val=&quot;00936D45&quot;/&gt;&lt;wsp:rsid wsp:val=&quot;00936DDC&quot;/&gt;&lt;wsp:rsid wsp:val=&quot;00936E00&quot;/&gt;&lt;wsp:rsid wsp:val=&quot;0093702E&quot;/&gt;&lt;wsp:rsid wsp:val=&quot;009370F3&quot;/&gt;&lt;wsp:rsid wsp:val=&quot;0093719A&quot;/&gt;&lt;wsp:rsid wsp:val=&quot;00937415&quot;/&gt;&lt;wsp:rsid wsp:val=&quot;00937BB8&quot;/&gt;&lt;wsp:rsid wsp:val=&quot;00937D0F&quot;/&gt;&lt;wsp:rsid wsp:val=&quot;009403FB&quot;/&gt;&lt;wsp:rsid wsp:val=&quot;0094095F&quot;/&gt;&lt;wsp:rsid wsp:val=&quot;00940B71&quot;/&gt;&lt;wsp:rsid wsp:val=&quot;00940B84&quot;/&gt;&lt;wsp:rsid wsp:val=&quot;0094146B&quot;/&gt;&lt;wsp:rsid wsp:val=&quot;009417C7&quot;/&gt;&lt;wsp:rsid wsp:val=&quot;0094187F&quot;/&gt;&lt;wsp:rsid wsp:val=&quot;00941BAC&quot;/&gt;&lt;wsp:rsid wsp:val=&quot;00941D1F&quot;/&gt;&lt;wsp:rsid wsp:val=&quot;00942134&quot;/&gt;&lt;wsp:rsid wsp:val=&quot;0094249A&quot;/&gt;&lt;wsp:rsid wsp:val=&quot;0094268E&quot;/&gt;&lt;wsp:rsid wsp:val=&quot;009432A6&quot;/&gt;&lt;wsp:rsid wsp:val=&quot;009439A1&quot;/&gt;&lt;wsp:rsid wsp:val=&quot;00943C4B&quot;/&gt;&lt;wsp:rsid wsp:val=&quot;00945046&quot;/&gt;&lt;wsp:rsid wsp:val=&quot;00945610&quot;/&gt;&lt;wsp:rsid wsp:val=&quot;009458A3&quot;/&gt;&lt;wsp:rsid wsp:val=&quot;00945DC5&quot;/&gt;&lt;wsp:rsid wsp:val=&quot;0094633C&quot;/&gt;&lt;wsp:rsid wsp:val=&quot;00946514&quot;/&gt;&lt;wsp:rsid wsp:val=&quot;00946F3D&quot;/&gt;&lt;wsp:rsid wsp:val=&quot;00947281&quot;/&gt;&lt;wsp:rsid wsp:val=&quot;00947457&quot;/&gt;&lt;wsp:rsid wsp:val=&quot;00947A20&quot;/&gt;&lt;wsp:rsid wsp:val=&quot;00947E31&quot;/&gt;&lt;wsp:rsid wsp:val=&quot;0095005A&quot;/&gt;&lt;wsp:rsid wsp:val=&quot;00950599&quot;/&gt;&lt;wsp:rsid wsp:val=&quot;009506A9&quot;/&gt;&lt;wsp:rsid wsp:val=&quot;00950EAB&quot;/&gt;&lt;wsp:rsid wsp:val=&quot;00950FEF&quot;/&gt;&lt;wsp:rsid wsp:val=&quot;0095132C&quot;/&gt;&lt;wsp:rsid wsp:val=&quot;009518BC&quot;/&gt;&lt;wsp:rsid wsp:val=&quot;00951C4E&quot;/&gt;&lt;wsp:rsid wsp:val=&quot;00952075&quot;/&gt;&lt;wsp:rsid wsp:val=&quot;0095235F&quot;/&gt;&lt;wsp:rsid wsp:val=&quot;009527CD&quot;/&gt;&lt;wsp:rsid wsp:val=&quot;009532BC&quot;/&gt;&lt;wsp:rsid wsp:val=&quot;009537BF&quot;/&gt;&lt;wsp:rsid wsp:val=&quot;009544B2&quot;/&gt;&lt;wsp:rsid wsp:val=&quot;009548CD&quot;/&gt;&lt;wsp:rsid wsp:val=&quot;0095527C&quot;/&gt;&lt;wsp:rsid wsp:val=&quot;009555AD&quot;/&gt;&lt;wsp:rsid wsp:val=&quot;009560D0&quot;/&gt;&lt;wsp:rsid wsp:val=&quot;00956B16&quot;/&gt;&lt;wsp:rsid wsp:val=&quot;00957D5D&quot;/&gt;&lt;wsp:rsid wsp:val=&quot;00960245&quot;/&gt;&lt;wsp:rsid wsp:val=&quot;00960F2F&quot;/&gt;&lt;wsp:rsid wsp:val=&quot;0096142E&quot;/&gt;&lt;wsp:rsid wsp:val=&quot;00962288&quot;/&gt;&lt;wsp:rsid wsp:val=&quot;00962651&quot;/&gt;&lt;wsp:rsid wsp:val=&quot;00962BAB&quot;/&gt;&lt;wsp:rsid wsp:val=&quot;00962E54&quot;/&gt;&lt;wsp:rsid wsp:val=&quot;00963021&quot;/&gt;&lt;wsp:rsid wsp:val=&quot;0096303F&quot;/&gt;&lt;wsp:rsid wsp:val=&quot;00963E42&quot;/&gt;&lt;wsp:rsid wsp:val=&quot;00963F3D&quot;/&gt;&lt;wsp:rsid wsp:val=&quot;009642F0&quot;/&gt;&lt;wsp:rsid wsp:val=&quot;009647F5&quot;/&gt;&lt;wsp:rsid wsp:val=&quot;0096491B&quot;/&gt;&lt;wsp:rsid wsp:val=&quot;009651CB&quot;/&gt;&lt;wsp:rsid wsp:val=&quot;009652AD&quot;/&gt;&lt;wsp:rsid wsp:val=&quot;00965F01&quot;/&gt;&lt;wsp:rsid wsp:val=&quot;00967787&quot;/&gt;&lt;wsp:rsid wsp:val=&quot;00970100&quot;/&gt;&lt;wsp:rsid wsp:val=&quot;0097091C&quot;/&gt;&lt;wsp:rsid wsp:val=&quot;009709D1&quot;/&gt;&lt;wsp:rsid wsp:val=&quot;00972499&quot;/&gt;&lt;wsp:rsid wsp:val=&quot;00972D2C&quot;/&gt;&lt;wsp:rsid wsp:val=&quot;00972D34&quot;/&gt;&lt;wsp:rsid wsp:val=&quot;00972D90&quot;/&gt;&lt;wsp:rsid wsp:val=&quot;009733DA&quot;/&gt;&lt;wsp:rsid wsp:val=&quot;009735B1&quot;/&gt;&lt;wsp:rsid wsp:val=&quot;0097365E&quot;/&gt;&lt;wsp:rsid wsp:val=&quot;00973846&quot;/&gt;&lt;wsp:rsid wsp:val=&quot;00973B1E&quot;/&gt;&lt;wsp:rsid wsp:val=&quot;0097413C&quot;/&gt;&lt;wsp:rsid wsp:val=&quot;0097442D&quot;/&gt;&lt;wsp:rsid wsp:val=&quot;00974932&quot;/&gt;&lt;wsp:rsid wsp:val=&quot;009751ED&quot;/&gt;&lt;wsp:rsid wsp:val=&quot;0097525A&quot;/&gt;&lt;wsp:rsid wsp:val=&quot;00975661&quot;/&gt;&lt;wsp:rsid wsp:val=&quot;00975AA8&quot;/&gt;&lt;wsp:rsid wsp:val=&quot;00976239&quot;/&gt;&lt;wsp:rsid wsp:val=&quot;00976597&quot;/&gt;&lt;wsp:rsid wsp:val=&quot;00976603&quot;/&gt;&lt;wsp:rsid wsp:val=&quot;00976F3B&quot;/&gt;&lt;wsp:rsid wsp:val=&quot;00976FB4&quot;/&gt;&lt;wsp:rsid wsp:val=&quot;00977664&quot;/&gt;&lt;wsp:rsid wsp:val=&quot;00977742&quot;/&gt;&lt;wsp:rsid wsp:val=&quot;00977A5D&quot;/&gt;&lt;wsp:rsid wsp:val=&quot;00977EF5&quot;/&gt;&lt;wsp:rsid wsp:val=&quot;00980A67&quot;/&gt;&lt;wsp:rsid wsp:val=&quot;00980EC4&quot;/&gt;&lt;wsp:rsid wsp:val=&quot;009812CB&quot;/&gt;&lt;wsp:rsid wsp:val=&quot;009816B5&quot;/&gt;&lt;wsp:rsid wsp:val=&quot;00981C11&quot;/&gt;&lt;wsp:rsid wsp:val=&quot;009823B8&quot;/&gt;&lt;wsp:rsid wsp:val=&quot;0098267B&quot;/&gt;&lt;wsp:rsid wsp:val=&quot;00982939&quot;/&gt;&lt;wsp:rsid wsp:val=&quot;00982A36&quot;/&gt;&lt;wsp:rsid wsp:val=&quot;00982AD9&quot;/&gt;&lt;wsp:rsid wsp:val=&quot;009831E9&quot;/&gt;&lt;wsp:rsid wsp:val=&quot;0098377F&quot;/&gt;&lt;wsp:rsid wsp:val=&quot;00983E6A&quot;/&gt;&lt;wsp:rsid wsp:val=&quot;00983EFF&quot;/&gt;&lt;wsp:rsid wsp:val=&quot;009841E7&quot;/&gt;&lt;wsp:rsid wsp:val=&quot;00984982&quot;/&gt;&lt;wsp:rsid wsp:val=&quot;00984988&quot;/&gt;&lt;wsp:rsid wsp:val=&quot;009849E9&quot;/&gt;&lt;wsp:rsid wsp:val=&quot;00985309&quot;/&gt;&lt;wsp:rsid wsp:val=&quot;0098565C&quot;/&gt;&lt;wsp:rsid wsp:val=&quot;00985AA0&quot;/&gt;&lt;wsp:rsid wsp:val=&quot;009861CA&quot;/&gt;&lt;wsp:rsid wsp:val=&quot;00986BDB&quot;/&gt;&lt;wsp:rsid wsp:val=&quot;00986E0C&quot;/&gt;&lt;wsp:rsid wsp:val=&quot;009872F2&quot;/&gt;&lt;wsp:rsid wsp:val=&quot;009873EA&quot;/&gt;&lt;wsp:rsid wsp:val=&quot;00987926&quot;/&gt;&lt;wsp:rsid wsp:val=&quot;009900E4&quot;/&gt;&lt;wsp:rsid wsp:val=&quot;00990137&quot;/&gt;&lt;wsp:rsid wsp:val=&quot;00990178&quot;/&gt;&lt;wsp:rsid wsp:val=&quot;009905DA&quot;/&gt;&lt;wsp:rsid wsp:val=&quot;00990715&quot;/&gt;&lt;wsp:rsid wsp:val=&quot;00990DD8&quot;/&gt;&lt;wsp:rsid wsp:val=&quot;00991528&quot;/&gt;&lt;wsp:rsid wsp:val=&quot;00991B7E&quot;/&gt;&lt;wsp:rsid wsp:val=&quot;00991CBB&quot;/&gt;&lt;wsp:rsid wsp:val=&quot;00991DE3&quot;/&gt;&lt;wsp:rsid wsp:val=&quot;00992096&quot;/&gt;&lt;wsp:rsid wsp:val=&quot;00992E95&quot;/&gt;&lt;wsp:rsid wsp:val=&quot;00993370&quot;/&gt;&lt;wsp:rsid wsp:val=&quot;00993CA9&quot;/&gt;&lt;wsp:rsid wsp:val=&quot;00995115&quot;/&gt;&lt;wsp:rsid wsp:val=&quot;00995423&quot;/&gt;&lt;wsp:rsid wsp:val=&quot;0099588C&quot;/&gt;&lt;wsp:rsid wsp:val=&quot;009962D6&quot;/&gt;&lt;wsp:rsid wsp:val=&quot;00996AEF&quot;/&gt;&lt;wsp:rsid wsp:val=&quot;00996D2D&quot;/&gt;&lt;wsp:rsid wsp:val=&quot;00997116&quot;/&gt;&lt;wsp:rsid wsp:val=&quot;009975D6&quot;/&gt;&lt;wsp:rsid wsp:val=&quot;00997800&quot;/&gt;&lt;wsp:rsid wsp:val=&quot;009A0232&quot;/&gt;&lt;wsp:rsid wsp:val=&quot;009A04F9&quot;/&gt;&lt;wsp:rsid wsp:val=&quot;009A095C&quot;/&gt;&lt;wsp:rsid wsp:val=&quot;009A0AA3&quot;/&gt;&lt;wsp:rsid wsp:val=&quot;009A0C64&quot;/&gt;&lt;wsp:rsid wsp:val=&quot;009A1A68&quot;/&gt;&lt;wsp:rsid wsp:val=&quot;009A1C98&quot;/&gt;&lt;wsp:rsid wsp:val=&quot;009A1FD5&quot;/&gt;&lt;wsp:rsid wsp:val=&quot;009A20A4&quot;/&gt;&lt;wsp:rsid wsp:val=&quot;009A25FF&quot;/&gt;&lt;wsp:rsid wsp:val=&quot;009A2836&quot;/&gt;&lt;wsp:rsid wsp:val=&quot;009A31C6&quot;/&gt;&lt;wsp:rsid wsp:val=&quot;009A31E9&quot;/&gt;&lt;wsp:rsid wsp:val=&quot;009A3203&quot;/&gt;&lt;wsp:rsid wsp:val=&quot;009A367C&quot;/&gt;&lt;wsp:rsid wsp:val=&quot;009A3823&quot;/&gt;&lt;wsp:rsid wsp:val=&quot;009A3BCF&quot;/&gt;&lt;wsp:rsid wsp:val=&quot;009A472E&quot;/&gt;&lt;wsp:rsid wsp:val=&quot;009A506C&quot;/&gt;&lt;wsp:rsid wsp:val=&quot;009A5655&quot;/&gt;&lt;wsp:rsid wsp:val=&quot;009A577C&quot;/&gt;&lt;wsp:rsid wsp:val=&quot;009A57DD&quot;/&gt;&lt;wsp:rsid wsp:val=&quot;009A586D&quot;/&gt;&lt;wsp:rsid wsp:val=&quot;009A5C08&quot;/&gt;&lt;wsp:rsid wsp:val=&quot;009A63AE&quot;/&gt;&lt;wsp:rsid wsp:val=&quot;009A711E&quot;/&gt;&lt;wsp:rsid wsp:val=&quot;009A781C&quot;/&gt;&lt;wsp:rsid wsp:val=&quot;009A7BD6&quot;/&gt;&lt;wsp:rsid wsp:val=&quot;009B0409&quot;/&gt;&lt;wsp:rsid wsp:val=&quot;009B06E3&quot;/&gt;&lt;wsp:rsid wsp:val=&quot;009B0A27&quot;/&gt;&lt;wsp:rsid wsp:val=&quot;009B0EE3&quot;/&gt;&lt;wsp:rsid wsp:val=&quot;009B1178&quot;/&gt;&lt;wsp:rsid wsp:val=&quot;009B18E9&quot;/&gt;&lt;wsp:rsid wsp:val=&quot;009B2565&quot;/&gt;&lt;wsp:rsid wsp:val=&quot;009B2C77&quot;/&gt;&lt;wsp:rsid wsp:val=&quot;009B3545&quot;/&gt;&lt;wsp:rsid wsp:val=&quot;009B42A1&quot;/&gt;&lt;wsp:rsid wsp:val=&quot;009B5125&quot;/&gt;&lt;wsp:rsid wsp:val=&quot;009B5132&quot;/&gt;&lt;wsp:rsid wsp:val=&quot;009B5B0F&quot;/&gt;&lt;wsp:rsid wsp:val=&quot;009B5CD0&quot;/&gt;&lt;wsp:rsid wsp:val=&quot;009B74B7&quot;/&gt;&lt;wsp:rsid wsp:val=&quot;009B7CA8&quot;/&gt;&lt;wsp:rsid wsp:val=&quot;009C0053&quot;/&gt;&lt;wsp:rsid wsp:val=&quot;009C0181&quot;/&gt;&lt;wsp:rsid wsp:val=&quot;009C0ECD&quot;/&gt;&lt;wsp:rsid wsp:val=&quot;009C15C2&quot;/&gt;&lt;wsp:rsid wsp:val=&quot;009C2217&quot;/&gt;&lt;wsp:rsid wsp:val=&quot;009C2ECC&quot;/&gt;&lt;wsp:rsid wsp:val=&quot;009C369F&quot;/&gt;&lt;wsp:rsid wsp:val=&quot;009C3F12&quot;/&gt;&lt;wsp:rsid wsp:val=&quot;009C42FA&quot;/&gt;&lt;wsp:rsid wsp:val=&quot;009C4A18&quot;/&gt;&lt;wsp:rsid wsp:val=&quot;009C4C3D&quot;/&gt;&lt;wsp:rsid wsp:val=&quot;009C4E2C&quot;/&gt;&lt;wsp:rsid wsp:val=&quot;009C5BD2&quot;/&gt;&lt;wsp:rsid wsp:val=&quot;009C6618&quot;/&gt;&lt;wsp:rsid wsp:val=&quot;009C661A&quot;/&gt;&lt;wsp:rsid wsp:val=&quot;009C73E0&quot;/&gt;&lt;wsp:rsid wsp:val=&quot;009D02B7&quot;/&gt;&lt;wsp:rsid wsp:val=&quot;009D0508&quot;/&gt;&lt;wsp:rsid wsp:val=&quot;009D0A84&quot;/&gt;&lt;wsp:rsid wsp:val=&quot;009D1163&quot;/&gt;&lt;wsp:rsid wsp:val=&quot;009D2233&quot;/&gt;&lt;wsp:rsid wsp:val=&quot;009D2743&quot;/&gt;&lt;wsp:rsid wsp:val=&quot;009D30F4&quot;/&gt;&lt;wsp:rsid wsp:val=&quot;009D330A&quot;/&gt;&lt;wsp:rsid wsp:val=&quot;009D34F0&quot;/&gt;&lt;wsp:rsid wsp:val=&quot;009D35E3&quot;/&gt;&lt;wsp:rsid wsp:val=&quot;009D419B&quot;/&gt;&lt;wsp:rsid wsp:val=&quot;009D41C4&quot;/&gt;&lt;wsp:rsid wsp:val=&quot;009D4DA2&quot;/&gt;&lt;wsp:rsid wsp:val=&quot;009D582B&quot;/&gt;&lt;wsp:rsid wsp:val=&quot;009D58F2&quot;/&gt;&lt;wsp:rsid wsp:val=&quot;009D5E64&quot;/&gt;&lt;wsp:rsid wsp:val=&quot;009D5E7E&quot;/&gt;&lt;wsp:rsid wsp:val=&quot;009D5F68&quot;/&gt;&lt;wsp:rsid wsp:val=&quot;009D6112&quot;/&gt;&lt;wsp:rsid wsp:val=&quot;009D6223&quot;/&gt;&lt;wsp:rsid wsp:val=&quot;009D653D&quot;/&gt;&lt;wsp:rsid wsp:val=&quot;009D73F3&quot;/&gt;&lt;wsp:rsid wsp:val=&quot;009D7EA6&quot;/&gt;&lt;wsp:rsid wsp:val=&quot;009E08CA&quot;/&gt;&lt;wsp:rsid wsp:val=&quot;009E0B6E&quot;/&gt;&lt;wsp:rsid wsp:val=&quot;009E1431&quot;/&gt;&lt;wsp:rsid wsp:val=&quot;009E197F&quot;/&gt;&lt;wsp:rsid wsp:val=&quot;009E19C3&quot;/&gt;&lt;wsp:rsid wsp:val=&quot;009E2097&quot;/&gt;&lt;wsp:rsid wsp:val=&quot;009E25A5&quot;/&gt;&lt;wsp:rsid wsp:val=&quot;009E2A76&quot;/&gt;&lt;wsp:rsid wsp:val=&quot;009E2B4D&quot;/&gt;&lt;wsp:rsid wsp:val=&quot;009E2BC1&quot;/&gt;&lt;wsp:rsid wsp:val=&quot;009E2C84&quot;/&gt;&lt;wsp:rsid wsp:val=&quot;009E2D05&quot;/&gt;&lt;wsp:rsid wsp:val=&quot;009E3079&quot;/&gt;&lt;wsp:rsid wsp:val=&quot;009E3FB9&quot;/&gt;&lt;wsp:rsid wsp:val=&quot;009E3FEE&quot;/&gt;&lt;wsp:rsid wsp:val=&quot;009E4093&quot;/&gt;&lt;wsp:rsid wsp:val=&quot;009E4131&quot;/&gt;&lt;wsp:rsid wsp:val=&quot;009E4163&quot;/&gt;&lt;wsp:rsid wsp:val=&quot;009E4813&quot;/&gt;&lt;wsp:rsid wsp:val=&quot;009E4827&quot;/&gt;&lt;wsp:rsid wsp:val=&quot;009E5A1F&quot;/&gt;&lt;wsp:rsid wsp:val=&quot;009E62C0&quot;/&gt;&lt;wsp:rsid wsp:val=&quot;009E6E51&quot;/&gt;&lt;wsp:rsid wsp:val=&quot;009E71C6&quot;/&gt;&lt;wsp:rsid wsp:val=&quot;009E764A&quot;/&gt;&lt;wsp:rsid wsp:val=&quot;009F0C00&quot;/&gt;&lt;wsp:rsid wsp:val=&quot;009F0C4A&quot;/&gt;&lt;wsp:rsid wsp:val=&quot;009F0EDC&quot;/&gt;&lt;wsp:rsid wsp:val=&quot;009F0F8E&quot;/&gt;&lt;wsp:rsid wsp:val=&quot;009F1093&quot;/&gt;&lt;wsp:rsid wsp:val=&quot;009F1822&quot;/&gt;&lt;wsp:rsid wsp:val=&quot;009F1CB4&quot;/&gt;&lt;wsp:rsid wsp:val=&quot;009F24DC&quot;/&gt;&lt;wsp:rsid wsp:val=&quot;009F2873&quot;/&gt;&lt;wsp:rsid wsp:val=&quot;009F2944&quot;/&gt;&lt;wsp:rsid wsp:val=&quot;009F2D93&quot;/&gt;&lt;wsp:rsid wsp:val=&quot;009F34EA&quot;/&gt;&lt;wsp:rsid wsp:val=&quot;009F363E&quot;/&gt;&lt;wsp:rsid wsp:val=&quot;009F4063&quot;/&gt;&lt;wsp:rsid wsp:val=&quot;009F4599&quot;/&gt;&lt;wsp:rsid wsp:val=&quot;009F4942&quot;/&gt;&lt;wsp:rsid wsp:val=&quot;009F4ACD&quot;/&gt;&lt;wsp:rsid wsp:val=&quot;009F567C&quot;/&gt;&lt;wsp:rsid wsp:val=&quot;009F62EC&quot;/&gt;&lt;wsp:rsid wsp:val=&quot;009F64AF&quot;/&gt;&lt;wsp:rsid wsp:val=&quot;009F7634&quot;/&gt;&lt;wsp:rsid wsp:val=&quot;009F7C62&quot;/&gt;&lt;wsp:rsid wsp:val=&quot;00A00FDF&quot;/&gt;&lt;wsp:rsid wsp:val=&quot;00A01107&quot;/&gt;&lt;wsp:rsid wsp:val=&quot;00A0161D&quot;/&gt;&lt;wsp:rsid wsp:val=&quot;00A01E7F&quot;/&gt;&lt;wsp:rsid wsp:val=&quot;00A0230C&quot;/&gt;&lt;wsp:rsid wsp:val=&quot;00A04B6A&quot;/&gt;&lt;wsp:rsid wsp:val=&quot;00A04B9D&quot;/&gt;&lt;wsp:rsid wsp:val=&quot;00A05279&quot;/&gt;&lt;wsp:rsid wsp:val=&quot;00A052A7&quot;/&gt;&lt;wsp:rsid wsp:val=&quot;00A0539E&quot;/&gt;&lt;wsp:rsid wsp:val=&quot;00A056A6&quot;/&gt;&lt;wsp:rsid wsp:val=&quot;00A0587D&quot;/&gt;&lt;wsp:rsid wsp:val=&quot;00A05F02&quot;/&gt;&lt;wsp:rsid wsp:val=&quot;00A06840&quot;/&gt;&lt;wsp:rsid wsp:val=&quot;00A074AE&quot;/&gt;&lt;wsp:rsid wsp:val=&quot;00A07915&quot;/&gt;&lt;wsp:rsid wsp:val=&quot;00A0797B&quot;/&gt;&lt;wsp:rsid wsp:val=&quot;00A07D66&quot;/&gt;&lt;wsp:rsid wsp:val=&quot;00A10799&quot;/&gt;&lt;wsp:rsid wsp:val=&quot;00A10937&quot;/&gt;&lt;wsp:rsid wsp:val=&quot;00A10B2A&quot;/&gt;&lt;wsp:rsid wsp:val=&quot;00A11CAE&quot;/&gt;&lt;wsp:rsid wsp:val=&quot;00A12065&quot;/&gt;&lt;wsp:rsid wsp:val=&quot;00A12793&quot;/&gt;&lt;wsp:rsid wsp:val=&quot;00A127C7&quot;/&gt;&lt;wsp:rsid wsp:val=&quot;00A13C94&quot;/&gt;&lt;wsp:rsid wsp:val=&quot;00A14079&quot;/&gt;&lt;wsp:rsid wsp:val=&quot;00A14229&quot;/&gt;&lt;wsp:rsid wsp:val=&quot;00A146E2&quot;/&gt;&lt;wsp:rsid wsp:val=&quot;00A14C9B&quot;/&gt;&lt;wsp:rsid wsp:val=&quot;00A153F0&quot;/&gt;&lt;wsp:rsid wsp:val=&quot;00A15748&quot;/&gt;&lt;wsp:rsid wsp:val=&quot;00A16195&quot;/&gt;&lt;wsp:rsid wsp:val=&quot;00A16206&quot;/&gt;&lt;wsp:rsid wsp:val=&quot;00A16D6B&quot;/&gt;&lt;wsp:rsid wsp:val=&quot;00A17385&quot;/&gt;&lt;wsp:rsid wsp:val=&quot;00A17EAE&quot;/&gt;&lt;wsp:rsid wsp:val=&quot;00A206A3&quot;/&gt;&lt;wsp:rsid wsp:val=&quot;00A206B4&quot;/&gt;&lt;wsp:rsid wsp:val=&quot;00A20A5F&quot;/&gt;&lt;wsp:rsid wsp:val=&quot;00A2103E&quot;/&gt;&lt;wsp:rsid wsp:val=&quot;00A21579&quot;/&gt;&lt;wsp:rsid wsp:val=&quot;00A218E3&quot;/&gt;&lt;wsp:rsid wsp:val=&quot;00A2251B&quot;/&gt;&lt;wsp:rsid wsp:val=&quot;00A2278D&quot;/&gt;&lt;wsp:rsid wsp:val=&quot;00A227EC&quot;/&gt;&lt;wsp:rsid wsp:val=&quot;00A22A9D&quot;/&gt;&lt;wsp:rsid wsp:val=&quot;00A22CAD&quot;/&gt;&lt;wsp:rsid wsp:val=&quot;00A22CFB&quot;/&gt;&lt;wsp:rsid wsp:val=&quot;00A230A6&quot;/&gt;&lt;wsp:rsid wsp:val=&quot;00A24EB5&quot;/&gt;&lt;wsp:rsid wsp:val=&quot;00A250E8&quot;/&gt;&lt;wsp:rsid wsp:val=&quot;00A25506&quot;/&gt;&lt;wsp:rsid wsp:val=&quot;00A2685F&quot;/&gt;&lt;wsp:rsid wsp:val=&quot;00A2686B&quot;/&gt;&lt;wsp:rsid wsp:val=&quot;00A26FA0&quot;/&gt;&lt;wsp:rsid wsp:val=&quot;00A27246&quot;/&gt;&lt;wsp:rsid wsp:val=&quot;00A27C88&quot;/&gt;&lt;wsp:rsid wsp:val=&quot;00A301A0&quot;/&gt;&lt;wsp:rsid wsp:val=&quot;00A30845&quot;/&gt;&lt;wsp:rsid wsp:val=&quot;00A30C41&quot;/&gt;&lt;wsp:rsid wsp:val=&quot;00A30E99&quot;/&gt;&lt;wsp:rsid wsp:val=&quot;00A31689&quot;/&gt;&lt;wsp:rsid wsp:val=&quot;00A3177A&quot;/&gt;&lt;wsp:rsid wsp:val=&quot;00A32233&quot;/&gt;&lt;wsp:rsid wsp:val=&quot;00A3266E&quot;/&gt;&lt;wsp:rsid wsp:val=&quot;00A327C1&quot;/&gt;&lt;wsp:rsid wsp:val=&quot;00A32BDB&quot;/&gt;&lt;wsp:rsid wsp:val=&quot;00A32EDD&quot;/&gt;&lt;wsp:rsid wsp:val=&quot;00A32F29&quot;/&gt;&lt;wsp:rsid wsp:val=&quot;00A32FC8&quot;/&gt;&lt;wsp:rsid wsp:val=&quot;00A33DE9&quot;/&gt;&lt;wsp:rsid wsp:val=&quot;00A33FCA&quot;/&gt;&lt;wsp:rsid wsp:val=&quot;00A34E55&quot;/&gt;&lt;wsp:rsid wsp:val=&quot;00A350E6&quot;/&gt;&lt;wsp:rsid wsp:val=&quot;00A351BE&quot;/&gt;&lt;wsp:rsid wsp:val=&quot;00A3543C&quot;/&gt;&lt;wsp:rsid wsp:val=&quot;00A356FC&quot;/&gt;&lt;wsp:rsid wsp:val=&quot;00A3599E&quot;/&gt;&lt;wsp:rsid wsp:val=&quot;00A35DA0&quot;/&gt;&lt;wsp:rsid wsp:val=&quot;00A36085&quot;/&gt;&lt;wsp:rsid wsp:val=&quot;00A362E8&quot;/&gt;&lt;wsp:rsid wsp:val=&quot;00A370C3&quot;/&gt;&lt;wsp:rsid wsp:val=&quot;00A37625&quot;/&gt;&lt;wsp:rsid wsp:val=&quot;00A378CA&quot;/&gt;&lt;wsp:rsid wsp:val=&quot;00A37FA2&quot;/&gt;&lt;wsp:rsid wsp:val=&quot;00A4088D&quot;/&gt;&lt;wsp:rsid wsp:val=&quot;00A40A37&quot;/&gt;&lt;wsp:rsid wsp:val=&quot;00A40B75&quot;/&gt;&lt;wsp:rsid wsp:val=&quot;00A424AB&quot;/&gt;&lt;wsp:rsid wsp:val=&quot;00A42538&quot;/&gt;&lt;wsp:rsid wsp:val=&quot;00A42CC6&quot;/&gt;&lt;wsp:rsid wsp:val=&quot;00A433AA&quot;/&gt;&lt;wsp:rsid wsp:val=&quot;00A43773&quot;/&gt;&lt;wsp:rsid wsp:val=&quot;00A44050&quot;/&gt;&lt;wsp:rsid wsp:val=&quot;00A4457A&quot;/&gt;&lt;wsp:rsid wsp:val=&quot;00A44584&quot;/&gt;&lt;wsp:rsid wsp:val=&quot;00A447A1&quot;/&gt;&lt;wsp:rsid wsp:val=&quot;00A44AE5&quot;/&gt;&lt;wsp:rsid wsp:val=&quot;00A45E04&quot;/&gt;&lt;wsp:rsid wsp:val=&quot;00A461AC&quot;/&gt;&lt;wsp:rsid wsp:val=&quot;00A4698B&quot;/&gt;&lt;wsp:rsid wsp:val=&quot;00A46C90&quot;/&gt;&lt;wsp:rsid wsp:val=&quot;00A46DDC&quot;/&gt;&lt;wsp:rsid wsp:val=&quot;00A47A52&quot;/&gt;&lt;wsp:rsid wsp:val=&quot;00A47DA8&quot;/&gt;&lt;wsp:rsid wsp:val=&quot;00A5109E&quot;/&gt;&lt;wsp:rsid wsp:val=&quot;00A51AEC&quot;/&gt;&lt;wsp:rsid wsp:val=&quot;00A51C39&quot;/&gt;&lt;wsp:rsid wsp:val=&quot;00A51CDF&quot;/&gt;&lt;wsp:rsid wsp:val=&quot;00A52ACF&quot;/&gt;&lt;wsp:rsid wsp:val=&quot;00A52CA5&quot;/&gt;&lt;wsp:rsid wsp:val=&quot;00A52EF7&quot;/&gt;&lt;wsp:rsid wsp:val=&quot;00A530EE&quot;/&gt;&lt;wsp:rsid wsp:val=&quot;00A53AED&quot;/&gt;&lt;wsp:rsid wsp:val=&quot;00A53B5C&quot;/&gt;&lt;wsp:rsid wsp:val=&quot;00A53C3F&quot;/&gt;&lt;wsp:rsid wsp:val=&quot;00A53C90&quot;/&gt;&lt;wsp:rsid wsp:val=&quot;00A53C91&quot;/&gt;&lt;wsp:rsid wsp:val=&quot;00A543F1&quot;/&gt;&lt;wsp:rsid wsp:val=&quot;00A544D2&quot;/&gt;&lt;wsp:rsid wsp:val=&quot;00A548A9&quot;/&gt;&lt;wsp:rsid wsp:val=&quot;00A54AD6&quot;/&gt;&lt;wsp:rsid wsp:val=&quot;00A54C67&quot;/&gt;&lt;wsp:rsid wsp:val=&quot;00A55096&quot;/&gt;&lt;wsp:rsid wsp:val=&quot;00A551EF&quot;/&gt;&lt;wsp:rsid wsp:val=&quot;00A556A6&quot;/&gt;&lt;wsp:rsid wsp:val=&quot;00A556AD&quot;/&gt;&lt;wsp:rsid wsp:val=&quot;00A55DB8&quot;/&gt;&lt;wsp:rsid wsp:val=&quot;00A5612F&quot;/&gt;&lt;wsp:rsid wsp:val=&quot;00A56A19&quot;/&gt;&lt;wsp:rsid wsp:val=&quot;00A56EC5&quot;/&gt;&lt;wsp:rsid wsp:val=&quot;00A57792&quot;/&gt;&lt;wsp:rsid wsp:val=&quot;00A57A3B&quot;/&gt;&lt;wsp:rsid wsp:val=&quot;00A57E5F&quot;/&gt;&lt;wsp:rsid wsp:val=&quot;00A603DF&quot;/&gt;&lt;wsp:rsid wsp:val=&quot;00A607AA&quot;/&gt;&lt;wsp:rsid wsp:val=&quot;00A60C87&quot;/&gt;&lt;wsp:rsid wsp:val=&quot;00A610BF&quot;/&gt;&lt;wsp:rsid wsp:val=&quot;00A610D2&quot;/&gt;&lt;wsp:rsid wsp:val=&quot;00A611F0&quot;/&gt;&lt;wsp:rsid wsp:val=&quot;00A611F3&quot;/&gt;&lt;wsp:rsid wsp:val=&quot;00A61D2C&quot;/&gt;&lt;wsp:rsid wsp:val=&quot;00A62015&quot;/&gt;&lt;wsp:rsid wsp:val=&quot;00A622F5&quot;/&gt;&lt;wsp:rsid wsp:val=&quot;00A62374&quot;/&gt;&lt;wsp:rsid wsp:val=&quot;00A623FA&quot;/&gt;&lt;wsp:rsid wsp:val=&quot;00A62611&quot;/&gt;&lt;wsp:rsid wsp:val=&quot;00A62652&quot;/&gt;&lt;wsp:rsid wsp:val=&quot;00A62835&quot;/&gt;&lt;wsp:rsid wsp:val=&quot;00A63415&quot;/&gt;&lt;wsp:rsid wsp:val=&quot;00A63503&quot;/&gt;&lt;wsp:rsid wsp:val=&quot;00A635DC&quot;/&gt;&lt;wsp:rsid wsp:val=&quot;00A63AE5&quot;/&gt;&lt;wsp:rsid wsp:val=&quot;00A63C2A&quot;/&gt;&lt;wsp:rsid wsp:val=&quot;00A63CC8&quot;/&gt;&lt;wsp:rsid wsp:val=&quot;00A6537F&quot;/&gt;&lt;wsp:rsid wsp:val=&quot;00A6552A&quot;/&gt;&lt;wsp:rsid wsp:val=&quot;00A655FD&quot;/&gt;&lt;wsp:rsid wsp:val=&quot;00A65722&quot;/&gt;&lt;wsp:rsid wsp:val=&quot;00A66582&quot;/&gt;&lt;wsp:rsid wsp:val=&quot;00A669B3&quot;/&gt;&lt;wsp:rsid wsp:val=&quot;00A66E32&quot;/&gt;&lt;wsp:rsid wsp:val=&quot;00A672FE&quot;/&gt;&lt;wsp:rsid wsp:val=&quot;00A67372&quot;/&gt;&lt;wsp:rsid wsp:val=&quot;00A67759&quot;/&gt;&lt;wsp:rsid wsp:val=&quot;00A677E5&quot;/&gt;&lt;wsp:rsid wsp:val=&quot;00A6784F&quot;/&gt;&lt;wsp:rsid wsp:val=&quot;00A709BF&quot;/&gt;&lt;wsp:rsid wsp:val=&quot;00A71092&quot;/&gt;&lt;wsp:rsid wsp:val=&quot;00A71167&quot;/&gt;&lt;wsp:rsid wsp:val=&quot;00A7131D&quot;/&gt;&lt;wsp:rsid wsp:val=&quot;00A71320&quot;/&gt;&lt;wsp:rsid wsp:val=&quot;00A7178B&quot;/&gt;&lt;wsp:rsid wsp:val=&quot;00A71F04&quot;/&gt;&lt;wsp:rsid wsp:val=&quot;00A72686&quot;/&gt;&lt;wsp:rsid wsp:val=&quot;00A7291A&quot;/&gt;&lt;wsp:rsid wsp:val=&quot;00A72EEC&quot;/&gt;&lt;wsp:rsid wsp:val=&quot;00A735C9&quot;/&gt;&lt;wsp:rsid wsp:val=&quot;00A7517C&quot;/&gt;&lt;wsp:rsid wsp:val=&quot;00A75649&quot;/&gt;&lt;wsp:rsid wsp:val=&quot;00A7575D&quot;/&gt;&lt;wsp:rsid wsp:val=&quot;00A75838&quot;/&gt;&lt;wsp:rsid wsp:val=&quot;00A75D46&quot;/&gt;&lt;wsp:rsid wsp:val=&quot;00A75F3C&quot;/&gt;&lt;wsp:rsid wsp:val=&quot;00A7675C&quot;/&gt;&lt;wsp:rsid wsp:val=&quot;00A77762&quot;/&gt;&lt;wsp:rsid wsp:val=&quot;00A77BB6&quot;/&gt;&lt;wsp:rsid wsp:val=&quot;00A8034A&quot;/&gt;&lt;wsp:rsid wsp:val=&quot;00A80846&quot;/&gt;&lt;wsp:rsid wsp:val=&quot;00A80889&quot;/&gt;&lt;wsp:rsid wsp:val=&quot;00A8145B&quot;/&gt;&lt;wsp:rsid wsp:val=&quot;00A81DE3&quot;/&gt;&lt;wsp:rsid wsp:val=&quot;00A81EB8&quot;/&gt;&lt;wsp:rsid wsp:val=&quot;00A8207D&quot;/&gt;&lt;wsp:rsid wsp:val=&quot;00A82408&quot;/&gt;&lt;wsp:rsid wsp:val=&quot;00A82649&quot;/&gt;&lt;wsp:rsid wsp:val=&quot;00A82E06&quot;/&gt;&lt;wsp:rsid wsp:val=&quot;00A82E87&quot;/&gt;&lt;wsp:rsid wsp:val=&quot;00A83BBD&quot;/&gt;&lt;wsp:rsid wsp:val=&quot;00A84240&quot;/&gt;&lt;wsp:rsid wsp:val=&quot;00A84730&quot;/&gt;&lt;wsp:rsid wsp:val=&quot;00A8566B&quot;/&gt;&lt;wsp:rsid wsp:val=&quot;00A856D6&quot;/&gt;&lt;wsp:rsid wsp:val=&quot;00A860F7&quot;/&gt;&lt;wsp:rsid wsp:val=&quot;00A865C9&quot;/&gt;&lt;wsp:rsid wsp:val=&quot;00A86DB7&quot;/&gt;&lt;wsp:rsid wsp:val=&quot;00A87186&quot;/&gt;&lt;wsp:rsid wsp:val=&quot;00A87FDE&quot;/&gt;&lt;wsp:rsid wsp:val=&quot;00A90286&quot;/&gt;&lt;wsp:rsid wsp:val=&quot;00A906C6&quot;/&gt;&lt;wsp:rsid wsp:val=&quot;00A912C0&quot;/&gt;&lt;wsp:rsid wsp:val=&quot;00A913D0&quot;/&gt;&lt;wsp:rsid wsp:val=&quot;00A91E57&quot;/&gt;&lt;wsp:rsid wsp:val=&quot;00A92023&quot;/&gt;&lt;wsp:rsid wsp:val=&quot;00A92353&quot;/&gt;&lt;wsp:rsid wsp:val=&quot;00A92822&quot;/&gt;&lt;wsp:rsid wsp:val=&quot;00A92C52&quot;/&gt;&lt;wsp:rsid wsp:val=&quot;00A9314A&quot;/&gt;&lt;wsp:rsid wsp:val=&quot;00A9480D&quot;/&gt;&lt;wsp:rsid wsp:val=&quot;00A94B38&quot;/&gt;&lt;wsp:rsid wsp:val=&quot;00A95029&quot;/&gt;&lt;wsp:rsid wsp:val=&quot;00A9535D&quot;/&gt;&lt;wsp:rsid wsp:val=&quot;00A955DF&quot;/&gt;&lt;wsp:rsid wsp:val=&quot;00A957CB&quot;/&gt;&lt;wsp:rsid wsp:val=&quot;00A95EF7&quot;/&gt;&lt;wsp:rsid wsp:val=&quot;00A965F2&quot;/&gt;&lt;wsp:rsid wsp:val=&quot;00A96638&quot;/&gt;&lt;wsp:rsid wsp:val=&quot;00A9689B&quot;/&gt;&lt;wsp:rsid wsp:val=&quot;00A969C9&quot;/&gt;&lt;wsp:rsid wsp:val=&quot;00A96EFF&quot;/&gt;&lt;wsp:rsid wsp:val=&quot;00A97442&quot;/&gt;&lt;wsp:rsid wsp:val=&quot;00A9788C&quot;/&gt;&lt;wsp:rsid wsp:val=&quot;00A97E5E&quot;/&gt;&lt;wsp:rsid wsp:val=&quot;00AA0B5A&quot;/&gt;&lt;wsp:rsid wsp:val=&quot;00AA0C29&quot;/&gt;&lt;wsp:rsid wsp:val=&quot;00AA111C&quot;/&gt;&lt;wsp:rsid wsp:val=&quot;00AA11F3&quot;/&gt;&lt;wsp:rsid wsp:val=&quot;00AA1993&quot;/&gt;&lt;wsp:rsid wsp:val=&quot;00AA2021&quot;/&gt;&lt;wsp:rsid wsp:val=&quot;00AA21BA&quot;/&gt;&lt;wsp:rsid wsp:val=&quot;00AA22B1&quot;/&gt;&lt;wsp:rsid wsp:val=&quot;00AA2300&quot;/&gt;&lt;wsp:rsid wsp:val=&quot;00AA2D16&quot;/&gt;&lt;wsp:rsid wsp:val=&quot;00AA2DBF&quot;/&gt;&lt;wsp:rsid wsp:val=&quot;00AA3060&quot;/&gt;&lt;wsp:rsid wsp:val=&quot;00AA3826&quot;/&gt;&lt;wsp:rsid wsp:val=&quot;00AA383D&quot;/&gt;&lt;wsp:rsid wsp:val=&quot;00AA392C&quot;/&gt;&lt;wsp:rsid wsp:val=&quot;00AA3E54&quot;/&gt;&lt;wsp:rsid wsp:val=&quot;00AA466C&quot;/&gt;&lt;wsp:rsid wsp:val=&quot;00AA471B&quot;/&gt;&lt;wsp:rsid wsp:val=&quot;00AA4788&quot;/&gt;&lt;wsp:rsid wsp:val=&quot;00AA4D8F&quot;/&gt;&lt;wsp:rsid wsp:val=&quot;00AA4E26&quot;/&gt;&lt;wsp:rsid wsp:val=&quot;00AA627B&quot;/&gt;&lt;wsp:rsid wsp:val=&quot;00AA6AE8&quot;/&gt;&lt;wsp:rsid wsp:val=&quot;00AA6B9B&quot;/&gt;&lt;wsp:rsid wsp:val=&quot;00AA7874&quot;/&gt;&lt;wsp:rsid wsp:val=&quot;00AA7CC3&quot;/&gt;&lt;wsp:rsid wsp:val=&quot;00AB03A3&quot;/&gt;&lt;wsp:rsid wsp:val=&quot;00AB04A8&quot;/&gt;&lt;wsp:rsid wsp:val=&quot;00AB0626&quot;/&gt;&lt;wsp:rsid wsp:val=&quot;00AB0AA6&quot;/&gt;&lt;wsp:rsid wsp:val=&quot;00AB0AE1&quot;/&gt;&lt;wsp:rsid wsp:val=&quot;00AB0B08&quot;/&gt;&lt;wsp:rsid wsp:val=&quot;00AB0E89&quot;/&gt;&lt;wsp:rsid wsp:val=&quot;00AB1424&quot;/&gt;&lt;wsp:rsid wsp:val=&quot;00AB189A&quot;/&gt;&lt;wsp:rsid wsp:val=&quot;00AB1BD7&quot;/&gt;&lt;wsp:rsid wsp:val=&quot;00AB1D8F&quot;/&gt;&lt;wsp:rsid wsp:val=&quot;00AB2AF6&quot;/&gt;&lt;wsp:rsid wsp:val=&quot;00AB34D4&quot;/&gt;&lt;wsp:rsid wsp:val=&quot;00AB36FA&quot;/&gt;&lt;wsp:rsid wsp:val=&quot;00AB3A02&quot;/&gt;&lt;wsp:rsid wsp:val=&quot;00AB3DF3&quot;/&gt;&lt;wsp:rsid wsp:val=&quot;00AB3EE0&quot;/&gt;&lt;wsp:rsid wsp:val=&quot;00AB3F14&quot;/&gt;&lt;wsp:rsid wsp:val=&quot;00AB40E4&quot;/&gt;&lt;wsp:rsid wsp:val=&quot;00AB4416&quot;/&gt;&lt;wsp:rsid wsp:val=&quot;00AB4914&quot;/&gt;&lt;wsp:rsid wsp:val=&quot;00AB4A82&quot;/&gt;&lt;wsp:rsid wsp:val=&quot;00AB509D&quot;/&gt;&lt;wsp:rsid wsp:val=&quot;00AB5286&quot;/&gt;&lt;wsp:rsid wsp:val=&quot;00AB541C&quot;/&gt;&lt;wsp:rsid wsp:val=&quot;00AB567E&quot;/&gt;&lt;wsp:rsid wsp:val=&quot;00AB56A3&quot;/&gt;&lt;wsp:rsid wsp:val=&quot;00AB69D1&quot;/&gt;&lt;wsp:rsid wsp:val=&quot;00AB6A1E&quot;/&gt;&lt;wsp:rsid wsp:val=&quot;00AB6D52&quot;/&gt;&lt;wsp:rsid wsp:val=&quot;00AB6E87&quot;/&gt;&lt;wsp:rsid wsp:val=&quot;00AB7A0F&quot;/&gt;&lt;wsp:rsid wsp:val=&quot;00AB7B8A&quot;/&gt;&lt;wsp:rsid wsp:val=&quot;00AB7F12&quot;/&gt;&lt;wsp:rsid wsp:val=&quot;00AB7FD0&quot;/&gt;&lt;wsp:rsid wsp:val=&quot;00AC034E&quot;/&gt;&lt;wsp:rsid wsp:val=&quot;00AC0E84&quot;/&gt;&lt;wsp:rsid wsp:val=&quot;00AC0FB4&quot;/&gt;&lt;wsp:rsid wsp:val=&quot;00AC1098&quot;/&gt;&lt;wsp:rsid wsp:val=&quot;00AC1296&quot;/&gt;&lt;wsp:rsid wsp:val=&quot;00AC16B2&quot;/&gt;&lt;wsp:rsid wsp:val=&quot;00AC175B&quot;/&gt;&lt;wsp:rsid wsp:val=&quot;00AC1928&quot;/&gt;&lt;wsp:rsid wsp:val=&quot;00AC2056&quot;/&gt;&lt;wsp:rsid wsp:val=&quot;00AC21A7&quot;/&gt;&lt;wsp:rsid wsp:val=&quot;00AC21BF&quot;/&gt;&lt;wsp:rsid wsp:val=&quot;00AC230B&quot;/&gt;&lt;wsp:rsid wsp:val=&quot;00AC320A&quot;/&gt;&lt;wsp:rsid wsp:val=&quot;00AC33E1&quot;/&gt;&lt;wsp:rsid wsp:val=&quot;00AC3435&quot;/&gt;&lt;wsp:rsid wsp:val=&quot;00AC3479&quot;/&gt;&lt;wsp:rsid wsp:val=&quot;00AC36AB&quot;/&gt;&lt;wsp:rsid wsp:val=&quot;00AC36EC&quot;/&gt;&lt;wsp:rsid wsp:val=&quot;00AC3911&quot;/&gt;&lt;wsp:rsid wsp:val=&quot;00AC3A7F&quot;/&gt;&lt;wsp:rsid wsp:val=&quot;00AC3E57&quot;/&gt;&lt;wsp:rsid wsp:val=&quot;00AC4001&quot;/&gt;&lt;wsp:rsid wsp:val=&quot;00AC40D0&quot;/&gt;&lt;wsp:rsid wsp:val=&quot;00AC466F&quot;/&gt;&lt;wsp:rsid wsp:val=&quot;00AC4A56&quot;/&gt;&lt;wsp:rsid wsp:val=&quot;00AC4B16&quot;/&gt;&lt;wsp:rsid wsp:val=&quot;00AC5022&quot;/&gt;&lt;wsp:rsid wsp:val=&quot;00AC5143&quot;/&gt;&lt;wsp:rsid wsp:val=&quot;00AC54F6&quot;/&gt;&lt;wsp:rsid wsp:val=&quot;00AC66F2&quot;/&gt;&lt;wsp:rsid wsp:val=&quot;00AC683D&quot;/&gt;&lt;wsp:rsid wsp:val=&quot;00AC6841&quot;/&gt;&lt;wsp:rsid wsp:val=&quot;00AC6B20&quot;/&gt;&lt;wsp:rsid wsp:val=&quot;00AC6BA4&quot;/&gt;&lt;wsp:rsid wsp:val=&quot;00AC6C5B&quot;/&gt;&lt;wsp:rsid wsp:val=&quot;00AC6C5C&quot;/&gt;&lt;wsp:rsid wsp:val=&quot;00AC7324&quot;/&gt;&lt;wsp:rsid wsp:val=&quot;00AC7C2A&quot;/&gt;&lt;wsp:rsid wsp:val=&quot;00AD0509&quot;/&gt;&lt;wsp:rsid wsp:val=&quot;00AD08A3&quot;/&gt;&lt;wsp:rsid wsp:val=&quot;00AD0C6F&quot;/&gt;&lt;wsp:rsid wsp:val=&quot;00AD0E6D&quot;/&gt;&lt;wsp:rsid wsp:val=&quot;00AD1D70&quot;/&gt;&lt;wsp:rsid wsp:val=&quot;00AD1ED6&quot;/&gt;&lt;wsp:rsid wsp:val=&quot;00AD2158&quot;/&gt;&lt;wsp:rsid wsp:val=&quot;00AD2494&quot;/&gt;&lt;wsp:rsid wsp:val=&quot;00AD2C1B&quot;/&gt;&lt;wsp:rsid wsp:val=&quot;00AD2D00&quot;/&gt;&lt;wsp:rsid wsp:val=&quot;00AD2F3C&quot;/&gt;&lt;wsp:rsid wsp:val=&quot;00AD30D9&quot;/&gt;&lt;wsp:rsid wsp:val=&quot;00AD3BDD&quot;/&gt;&lt;wsp:rsid wsp:val=&quot;00AD4987&quot;/&gt;&lt;wsp:rsid wsp:val=&quot;00AD4F18&quot;/&gt;&lt;wsp:rsid wsp:val=&quot;00AD532E&quot;/&gt;&lt;wsp:rsid wsp:val=&quot;00AD5574&quot;/&gt;&lt;wsp:rsid wsp:val=&quot;00AD5F2A&quot;/&gt;&lt;wsp:rsid wsp:val=&quot;00AD60BB&quot;/&gt;&lt;wsp:rsid wsp:val=&quot;00AD6123&quot;/&gt;&lt;wsp:rsid wsp:val=&quot;00AE0557&quot;/&gt;&lt;wsp:rsid wsp:val=&quot;00AE0B29&quot;/&gt;&lt;wsp:rsid wsp:val=&quot;00AE0B9B&quot;/&gt;&lt;wsp:rsid wsp:val=&quot;00AE0E47&quot;/&gt;&lt;wsp:rsid wsp:val=&quot;00AE0EED&quot;/&gt;&lt;wsp:rsid wsp:val=&quot;00AE11CA&quot;/&gt;&lt;wsp:rsid wsp:val=&quot;00AE17FB&quot;/&gt;&lt;wsp:rsid wsp:val=&quot;00AE1BD7&quot;/&gt;&lt;wsp:rsid wsp:val=&quot;00AE1FF4&quot;/&gt;&lt;wsp:rsid wsp:val=&quot;00AE222B&quot;/&gt;&lt;wsp:rsid wsp:val=&quot;00AE26F2&quot;/&gt;&lt;wsp:rsid wsp:val=&quot;00AE2F6A&quot;/&gt;&lt;wsp:rsid wsp:val=&quot;00AE32B0&quot;/&gt;&lt;wsp:rsid wsp:val=&quot;00AE36C1&quot;/&gt;&lt;wsp:rsid wsp:val=&quot;00AE3A8E&quot;/&gt;&lt;wsp:rsid wsp:val=&quot;00AE3C03&quot;/&gt;&lt;wsp:rsid wsp:val=&quot;00AE3CA4&quot;/&gt;&lt;wsp:rsid wsp:val=&quot;00AE4590&quot;/&gt;&lt;wsp:rsid wsp:val=&quot;00AE46E5&quot;/&gt;&lt;wsp:rsid wsp:val=&quot;00AE4E83&quot;/&gt;&lt;wsp:rsid wsp:val=&quot;00AE5175&quot;/&gt;&lt;wsp:rsid wsp:val=&quot;00AE524C&quot;/&gt;&lt;wsp:rsid wsp:val=&quot;00AE5404&quot;/&gt;&lt;wsp:rsid wsp:val=&quot;00AE602B&quot;/&gt;&lt;wsp:rsid wsp:val=&quot;00AE7592&quot;/&gt;&lt;wsp:rsid wsp:val=&quot;00AE7D9A&quot;/&gt;&lt;wsp:rsid wsp:val=&quot;00AE7DAD&quot;/&gt;&lt;wsp:rsid wsp:val=&quot;00AE7DCF&quot;/&gt;&lt;wsp:rsid wsp:val=&quot;00AE7E23&quot;/&gt;&lt;wsp:rsid wsp:val=&quot;00AE7F29&quot;/&gt;&lt;wsp:rsid wsp:val=&quot;00AF04FE&quot;/&gt;&lt;wsp:rsid wsp:val=&quot;00AF080A&quot;/&gt;&lt;wsp:rsid wsp:val=&quot;00AF09FC&quot;/&gt;&lt;wsp:rsid wsp:val=&quot;00AF0A43&quot;/&gt;&lt;wsp:rsid wsp:val=&quot;00AF0E70&quot;/&gt;&lt;wsp:rsid wsp:val=&quot;00AF0F10&quot;/&gt;&lt;wsp:rsid wsp:val=&quot;00AF1249&quot;/&gt;&lt;wsp:rsid wsp:val=&quot;00AF167F&quot;/&gt;&lt;wsp:rsid wsp:val=&quot;00AF16F5&quot;/&gt;&lt;wsp:rsid wsp:val=&quot;00AF18B7&quot;/&gt;&lt;wsp:rsid wsp:val=&quot;00AF1D35&quot;/&gt;&lt;wsp:rsid wsp:val=&quot;00AF1E8F&quot;/&gt;&lt;wsp:rsid wsp:val=&quot;00AF1EE5&quot;/&gt;&lt;wsp:rsid wsp:val=&quot;00AF24A3&quot;/&gt;&lt;wsp:rsid wsp:val=&quot;00AF26D9&quot;/&gt;&lt;wsp:rsid wsp:val=&quot;00AF26F7&quot;/&gt;&lt;wsp:rsid wsp:val=&quot;00AF2FBD&quot;/&gt;&lt;wsp:rsid wsp:val=&quot;00AF330A&quot;/&gt;&lt;wsp:rsid wsp:val=&quot;00AF347F&quot;/&gt;&lt;wsp:rsid wsp:val=&quot;00AF35FB&quot;/&gt;&lt;wsp:rsid wsp:val=&quot;00AF391E&quot;/&gt;&lt;wsp:rsid wsp:val=&quot;00AF3E6B&quot;/&gt;&lt;wsp:rsid wsp:val=&quot;00AF3F63&quot;/&gt;&lt;wsp:rsid wsp:val=&quot;00AF3FFB&quot;/&gt;&lt;wsp:rsid wsp:val=&quot;00AF4507&quot;/&gt;&lt;wsp:rsid wsp:val=&quot;00AF453B&quot;/&gt;&lt;wsp:rsid wsp:val=&quot;00AF5859&quot;/&gt;&lt;wsp:rsid wsp:val=&quot;00AF5B41&quot;/&gt;&lt;wsp:rsid wsp:val=&quot;00AF63C0&quot;/&gt;&lt;wsp:rsid wsp:val=&quot;00AF68EB&quot;/&gt;&lt;wsp:rsid wsp:val=&quot;00AF732B&quot;/&gt;&lt;wsp:rsid wsp:val=&quot;00AF749A&quot;/&gt;&lt;wsp:rsid wsp:val=&quot;00AF7ED5&quot;/&gt;&lt;wsp:rsid wsp:val=&quot;00B000A3&quot;/&gt;&lt;wsp:rsid wsp:val=&quot;00B00341&quot;/&gt;&lt;wsp:rsid wsp:val=&quot;00B00644&quot;/&gt;&lt;wsp:rsid wsp:val=&quot;00B00680&quot;/&gt;&lt;wsp:rsid wsp:val=&quot;00B00E0F&quot;/&gt;&lt;wsp:rsid wsp:val=&quot;00B01791&quot;/&gt;&lt;wsp:rsid wsp:val=&quot;00B01851&quot;/&gt;&lt;wsp:rsid wsp:val=&quot;00B025DB&quot;/&gt;&lt;wsp:rsid wsp:val=&quot;00B02A43&quot;/&gt;&lt;wsp:rsid wsp:val=&quot;00B02C15&quot;/&gt;&lt;wsp:rsid wsp:val=&quot;00B03367&quot;/&gt;&lt;wsp:rsid wsp:val=&quot;00B037AB&quot;/&gt;&lt;wsp:rsid wsp:val=&quot;00B038D6&quot;/&gt;&lt;wsp:rsid wsp:val=&quot;00B0410F&quot;/&gt;&lt;wsp:rsid wsp:val=&quot;00B042E0&quot;/&gt;&lt;wsp:rsid wsp:val=&quot;00B04331&quot;/&gt;&lt;wsp:rsid wsp:val=&quot;00B04826&quot;/&gt;&lt;wsp:rsid wsp:val=&quot;00B0482D&quot;/&gt;&lt;wsp:rsid wsp:val=&quot;00B04E26&quot;/&gt;&lt;wsp:rsid wsp:val=&quot;00B05326&quot;/&gt;&lt;wsp:rsid wsp:val=&quot;00B05C3C&quot;/&gt;&lt;wsp:rsid wsp:val=&quot;00B0632D&quot;/&gt;&lt;wsp:rsid wsp:val=&quot;00B06456&quot;/&gt;&lt;wsp:rsid wsp:val=&quot;00B06ECC&quot;/&gt;&lt;wsp:rsid wsp:val=&quot;00B07562&quot;/&gt;&lt;wsp:rsid wsp:val=&quot;00B07A28&quot;/&gt;&lt;wsp:rsid wsp:val=&quot;00B07C76&quot;/&gt;&lt;wsp:rsid wsp:val=&quot;00B1003F&quot;/&gt;&lt;wsp:rsid wsp:val=&quot;00B1034C&quot;/&gt;&lt;wsp:rsid wsp:val=&quot;00B10350&quot;/&gt;&lt;wsp:rsid wsp:val=&quot;00B105DF&quot;/&gt;&lt;wsp:rsid wsp:val=&quot;00B1087F&quot;/&gt;&lt;wsp:rsid wsp:val=&quot;00B1094B&quot;/&gt;&lt;wsp:rsid wsp:val=&quot;00B10A5E&quot;/&gt;&lt;wsp:rsid wsp:val=&quot;00B10DF9&quot;/&gt;&lt;wsp:rsid wsp:val=&quot;00B11335&quot;/&gt;&lt;wsp:rsid wsp:val=&quot;00B11515&quot;/&gt;&lt;wsp:rsid wsp:val=&quot;00B12640&quot;/&gt;&lt;wsp:rsid wsp:val=&quot;00B128C1&quot;/&gt;&lt;wsp:rsid wsp:val=&quot;00B13361&quot;/&gt;&lt;wsp:rsid wsp:val=&quot;00B1377C&quot;/&gt;&lt;wsp:rsid wsp:val=&quot;00B13AAF&quot;/&gt;&lt;wsp:rsid wsp:val=&quot;00B14157&quot;/&gt;&lt;wsp:rsid wsp:val=&quot;00B141C7&quot;/&gt;&lt;wsp:rsid wsp:val=&quot;00B14577&quot;/&gt;&lt;wsp:rsid wsp:val=&quot;00B145E0&quot;/&gt;&lt;wsp:rsid wsp:val=&quot;00B14B90&quot;/&gt;&lt;wsp:rsid wsp:val=&quot;00B14D6F&quot;/&gt;&lt;wsp:rsid wsp:val=&quot;00B154D1&quot;/&gt;&lt;wsp:rsid wsp:val=&quot;00B15541&quot;/&gt;&lt;wsp:rsid wsp:val=&quot;00B1683F&quot;/&gt;&lt;wsp:rsid wsp:val=&quot;00B16EF0&quot;/&gt;&lt;wsp:rsid wsp:val=&quot;00B177CE&quot;/&gt;&lt;wsp:rsid wsp:val=&quot;00B20331&quot;/&gt;&lt;wsp:rsid wsp:val=&quot;00B206F2&quot;/&gt;&lt;wsp:rsid wsp:val=&quot;00B20C63&quot;/&gt;&lt;wsp:rsid wsp:val=&quot;00B20FBC&quot;/&gt;&lt;wsp:rsid wsp:val=&quot;00B2148D&quot;/&gt;&lt;wsp:rsid wsp:val=&quot;00B21A1D&quot;/&gt;&lt;wsp:rsid wsp:val=&quot;00B21C14&quot;/&gt;&lt;wsp:rsid wsp:val=&quot;00B21F6D&quot;/&gt;&lt;wsp:rsid wsp:val=&quot;00B221A9&quot;/&gt;&lt;wsp:rsid wsp:val=&quot;00B23336&quot;/&gt;&lt;wsp:rsid wsp:val=&quot;00B236AC&quot;/&gt;&lt;wsp:rsid wsp:val=&quot;00B23B96&quot;/&gt;&lt;wsp:rsid wsp:val=&quot;00B23EF4&quot;/&gt;&lt;wsp:rsid wsp:val=&quot;00B24A59&quot;/&gt;&lt;wsp:rsid wsp:val=&quot;00B24BC2&quot;/&gt;&lt;wsp:rsid wsp:val=&quot;00B24CC4&quot;/&gt;&lt;wsp:rsid wsp:val=&quot;00B257A9&quot;/&gt;&lt;wsp:rsid wsp:val=&quot;00B25EF5&quot;/&gt;&lt;wsp:rsid wsp:val=&quot;00B25F8F&quot;/&gt;&lt;wsp:rsid wsp:val=&quot;00B25FA4&quot;/&gt;&lt;wsp:rsid wsp:val=&quot;00B270E8&quot;/&gt;&lt;wsp:rsid wsp:val=&quot;00B27B91&quot;/&gt;&lt;wsp:rsid wsp:val=&quot;00B27D6A&quot;/&gt;&lt;wsp:rsid wsp:val=&quot;00B30472&quot;/&gt;&lt;wsp:rsid wsp:val=&quot;00B3056F&quot;/&gt;&lt;wsp:rsid wsp:val=&quot;00B314E9&quot;/&gt;&lt;wsp:rsid wsp:val=&quot;00B316A1&quot;/&gt;&lt;wsp:rsid wsp:val=&quot;00B31BB6&quot;/&gt;&lt;wsp:rsid wsp:val=&quot;00B31E15&quot;/&gt;&lt;wsp:rsid wsp:val=&quot;00B32938&quot;/&gt;&lt;wsp:rsid wsp:val=&quot;00B32D18&quot;/&gt;&lt;wsp:rsid wsp:val=&quot;00B336F0&quot;/&gt;&lt;wsp:rsid wsp:val=&quot;00B337D6&quot;/&gt;&lt;wsp:rsid wsp:val=&quot;00B3414D&quot;/&gt;&lt;wsp:rsid wsp:val=&quot;00B34A12&quot;/&gt;&lt;wsp:rsid wsp:val=&quot;00B353E8&quot;/&gt;&lt;wsp:rsid wsp:val=&quot;00B360F6&quot;/&gt;&lt;wsp:rsid wsp:val=&quot;00B361B9&quot;/&gt;&lt;wsp:rsid wsp:val=&quot;00B3662E&quot;/&gt;&lt;wsp:rsid wsp:val=&quot;00B37094&quot;/&gt;&lt;wsp:rsid wsp:val=&quot;00B3713C&quot;/&gt;&lt;wsp:rsid wsp:val=&quot;00B37550&quot;/&gt;&lt;wsp:rsid wsp:val=&quot;00B377DA&quot;/&gt;&lt;wsp:rsid wsp:val=&quot;00B37D2B&quot;/&gt;&lt;wsp:rsid wsp:val=&quot;00B40158&quot;/&gt;&lt;wsp:rsid wsp:val=&quot;00B40214&quot;/&gt;&lt;wsp:rsid wsp:val=&quot;00B40EC7&quot;/&gt;&lt;wsp:rsid wsp:val=&quot;00B4100B&quot;/&gt;&lt;wsp:rsid wsp:val=&quot;00B417E8&quot;/&gt;&lt;wsp:rsid wsp:val=&quot;00B4182A&quot;/&gt;&lt;wsp:rsid wsp:val=&quot;00B41BE6&quot;/&gt;&lt;wsp:rsid wsp:val=&quot;00B41EDE&quot;/&gt;&lt;wsp:rsid wsp:val=&quot;00B42386&quot;/&gt;&lt;wsp:rsid wsp:val=&quot;00B4245F&quot;/&gt;&lt;wsp:rsid wsp:val=&quot;00B42A3D&quot;/&gt;&lt;wsp:rsid wsp:val=&quot;00B43367&quot;/&gt;&lt;wsp:rsid wsp:val=&quot;00B4358C&quot;/&gt;&lt;wsp:rsid wsp:val=&quot;00B43B33&quot;/&gt;&lt;wsp:rsid wsp:val=&quot;00B43CE2&quot;/&gt;&lt;wsp:rsid wsp:val=&quot;00B44CA5&quot;/&gt;&lt;wsp:rsid wsp:val=&quot;00B45390&quot;/&gt;&lt;wsp:rsid wsp:val=&quot;00B453A4&quot;/&gt;&lt;wsp:rsid wsp:val=&quot;00B4544B&quot;/&gt;&lt;wsp:rsid wsp:val=&quot;00B45ADF&quot;/&gt;&lt;wsp:rsid wsp:val=&quot;00B45C15&quot;/&gt;&lt;wsp:rsid wsp:val=&quot;00B45F93&quot;/&gt;&lt;wsp:rsid wsp:val=&quot;00B4603D&quot;/&gt;&lt;wsp:rsid wsp:val=&quot;00B462E1&quot;/&gt;&lt;wsp:rsid wsp:val=&quot;00B46497&quot;/&gt;&lt;wsp:rsid wsp:val=&quot;00B46AEF&quot;/&gt;&lt;wsp:rsid wsp:val=&quot;00B4799A&quot;/&gt;&lt;wsp:rsid wsp:val=&quot;00B47E2C&quot;/&gt;&lt;wsp:rsid wsp:val=&quot;00B47FF3&quot;/&gt;&lt;wsp:rsid wsp:val=&quot;00B503C0&quot;/&gt;&lt;wsp:rsid wsp:val=&quot;00B50C28&quot;/&gt;&lt;wsp:rsid wsp:val=&quot;00B50C6C&quot;/&gt;&lt;wsp:rsid wsp:val=&quot;00B51E5D&quot;/&gt;&lt;wsp:rsid wsp:val=&quot;00B529D3&quot;/&gt;&lt;wsp:rsid wsp:val=&quot;00B53580&quot;/&gt;&lt;wsp:rsid wsp:val=&quot;00B535BC&quot;/&gt;&lt;wsp:rsid wsp:val=&quot;00B54423&quot;/&gt;&lt;wsp:rsid wsp:val=&quot;00B54CC4&quot;/&gt;&lt;wsp:rsid wsp:val=&quot;00B54D5F&quot;/&gt;&lt;wsp:rsid wsp:val=&quot;00B550CE&quot;/&gt;&lt;wsp:rsid wsp:val=&quot;00B55402&quot;/&gt;&lt;wsp:rsid wsp:val=&quot;00B55853&quot;/&gt;&lt;wsp:rsid wsp:val=&quot;00B55BC9&quot;/&gt;&lt;wsp:rsid wsp:val=&quot;00B55F75&quot;/&gt;&lt;wsp:rsid wsp:val=&quot;00B56247&quot;/&gt;&lt;wsp:rsid wsp:val=&quot;00B5681D&quot;/&gt;&lt;wsp:rsid wsp:val=&quot;00B56FA7&quot;/&gt;&lt;wsp:rsid wsp:val=&quot;00B5742A&quot;/&gt;&lt;wsp:rsid wsp:val=&quot;00B576D4&quot;/&gt;&lt;wsp:rsid wsp:val=&quot;00B577E5&quot;/&gt;&lt;wsp:rsid wsp:val=&quot;00B57D37&quot;/&gt;&lt;wsp:rsid wsp:val=&quot;00B57FD8&quot;/&gt;&lt;wsp:rsid wsp:val=&quot;00B6010B&quot;/&gt;&lt;wsp:rsid wsp:val=&quot;00B60248&quot;/&gt;&lt;wsp:rsid wsp:val=&quot;00B61459&quot;/&gt;&lt;wsp:rsid wsp:val=&quot;00B615F5&quot;/&gt;&lt;wsp:rsid wsp:val=&quot;00B61668&quot;/&gt;&lt;wsp:rsid wsp:val=&quot;00B622E5&quot;/&gt;&lt;wsp:rsid wsp:val=&quot;00B62AE8&quot;/&gt;&lt;wsp:rsid wsp:val=&quot;00B62D1A&quot;/&gt;&lt;wsp:rsid wsp:val=&quot;00B632A3&quot;/&gt;&lt;wsp:rsid wsp:val=&quot;00B63B45&quot;/&gt;&lt;wsp:rsid wsp:val=&quot;00B642F8&quot;/&gt;&lt;wsp:rsid wsp:val=&quot;00B644E8&quot;/&gt;&lt;wsp:rsid wsp:val=&quot;00B647F7&quot;/&gt;&lt;wsp:rsid wsp:val=&quot;00B6491D&quot;/&gt;&lt;wsp:rsid wsp:val=&quot;00B64F91&quot;/&gt;&lt;wsp:rsid wsp:val=&quot;00B65389&quot;/&gt;&lt;wsp:rsid wsp:val=&quot;00B657AD&quot;/&gt;&lt;wsp:rsid wsp:val=&quot;00B65C1D&quot;/&gt;&lt;wsp:rsid wsp:val=&quot;00B65CE9&quot;/&gt;&lt;wsp:rsid wsp:val=&quot;00B65D8F&quot;/&gt;&lt;wsp:rsid wsp:val=&quot;00B65EA8&quot;/&gt;&lt;wsp:rsid wsp:val=&quot;00B65F62&quot;/&gt;&lt;wsp:rsid wsp:val=&quot;00B66190&quot;/&gt;&lt;wsp:rsid wsp:val=&quot;00B66240&quot;/&gt;&lt;wsp:rsid wsp:val=&quot;00B66372&quot;/&gt;&lt;wsp:rsid wsp:val=&quot;00B6746F&quot;/&gt;&lt;wsp:rsid wsp:val=&quot;00B674A3&quot;/&gt;&lt;wsp:rsid wsp:val=&quot;00B678DD&quot;/&gt;&lt;wsp:rsid wsp:val=&quot;00B67B30&quot;/&gt;&lt;wsp:rsid wsp:val=&quot;00B7012B&quot;/&gt;&lt;wsp:rsid wsp:val=&quot;00B70B23&quot;/&gt;&lt;wsp:rsid wsp:val=&quot;00B70F58&quot;/&gt;&lt;wsp:rsid wsp:val=&quot;00B71419&quot;/&gt;&lt;wsp:rsid wsp:val=&quot;00B7155D&quot;/&gt;&lt;wsp:rsid wsp:val=&quot;00B716D3&quot;/&gt;&lt;wsp:rsid wsp:val=&quot;00B71B53&quot;/&gt;&lt;wsp:rsid wsp:val=&quot;00B73386&quot;/&gt;&lt;wsp:rsid wsp:val=&quot;00B73915&quot;/&gt;&lt;wsp:rsid wsp:val=&quot;00B73994&quot;/&gt;&lt;wsp:rsid wsp:val=&quot;00B741EE&quot;/&gt;&lt;wsp:rsid wsp:val=&quot;00B744EF&quot;/&gt;&lt;wsp:rsid wsp:val=&quot;00B74CB2&quot;/&gt;&lt;wsp:rsid wsp:val=&quot;00B74FD6&quot;/&gt;&lt;wsp:rsid wsp:val=&quot;00B7511A&quot;/&gt;&lt;wsp:rsid wsp:val=&quot;00B75661&quot;/&gt;&lt;wsp:rsid wsp:val=&quot;00B76588&quot;/&gt;&lt;wsp:rsid wsp:val=&quot;00B77617&quot;/&gt;&lt;wsp:rsid wsp:val=&quot;00B776BD&quot;/&gt;&lt;wsp:rsid wsp:val=&quot;00B7775B&quot;/&gt;&lt;wsp:rsid wsp:val=&quot;00B77B17&quot;/&gt;&lt;wsp:rsid wsp:val=&quot;00B77B98&quot;/&gt;&lt;wsp:rsid wsp:val=&quot;00B77E04&quot;/&gt;&lt;wsp:rsid wsp:val=&quot;00B8032E&quot;/&gt;&lt;wsp:rsid wsp:val=&quot;00B80F49&quot;/&gt;&lt;wsp:rsid wsp:val=&quot;00B8101D&quot;/&gt;&lt;wsp:rsid wsp:val=&quot;00B81543&quot;/&gt;&lt;wsp:rsid wsp:val=&quot;00B81E7F&quot;/&gt;&lt;wsp:rsid wsp:val=&quot;00B8284A&quot;/&gt;&lt;wsp:rsid wsp:val=&quot;00B828B0&quot;/&gt;&lt;wsp:rsid wsp:val=&quot;00B83130&quot;/&gt;&lt;wsp:rsid wsp:val=&quot;00B83551&quot;/&gt;&lt;wsp:rsid wsp:val=&quot;00B837BF&quot;/&gt;&lt;wsp:rsid wsp:val=&quot;00B84006&quot;/&gt;&lt;wsp:rsid wsp:val=&quot;00B84172&quot;/&gt;&lt;wsp:rsid wsp:val=&quot;00B84A64&quot;/&gt;&lt;wsp:rsid wsp:val=&quot;00B84DB3&quot;/&gt;&lt;wsp:rsid wsp:val=&quot;00B85AD2&quot;/&gt;&lt;wsp:rsid wsp:val=&quot;00B85BFC&quot;/&gt;&lt;wsp:rsid wsp:val=&quot;00B85CF1&quot;/&gt;&lt;wsp:rsid wsp:val=&quot;00B867B6&quot;/&gt;&lt;wsp:rsid wsp:val=&quot;00B86F6D&quot;/&gt;&lt;wsp:rsid wsp:val=&quot;00B874DB&quot;/&gt;&lt;wsp:rsid wsp:val=&quot;00B876BE&quot;/&gt;&lt;wsp:rsid wsp:val=&quot;00B877B9&quot;/&gt;&lt;wsp:rsid wsp:val=&quot;00B90129&quot;/&gt;&lt;wsp:rsid wsp:val=&quot;00B909DC&quot;/&gt;&lt;wsp:rsid wsp:val=&quot;00B90BF1&quot;/&gt;&lt;wsp:rsid wsp:val=&quot;00B91396&quot;/&gt;&lt;wsp:rsid wsp:val=&quot;00B91627&quot;/&gt;&lt;wsp:rsid wsp:val=&quot;00B91C99&quot;/&gt;&lt;wsp:rsid wsp:val=&quot;00B91E72&quot;/&gt;&lt;wsp:rsid wsp:val=&quot;00B920C6&quot;/&gt;&lt;wsp:rsid wsp:val=&quot;00B92161&quot;/&gt;&lt;wsp:rsid wsp:val=&quot;00B925DE&quot;/&gt;&lt;wsp:rsid wsp:val=&quot;00B926DB&quot;/&gt;&lt;wsp:rsid wsp:val=&quot;00B9280A&quot;/&gt;&lt;wsp:rsid wsp:val=&quot;00B9284D&quot;/&gt;&lt;wsp:rsid wsp:val=&quot;00B9338F&quot;/&gt;&lt;wsp:rsid wsp:val=&quot;00B937E3&quot;/&gt;&lt;wsp:rsid wsp:val=&quot;00B93A94&quot;/&gt;&lt;wsp:rsid wsp:val=&quot;00B94018&quot;/&gt;&lt;wsp:rsid wsp:val=&quot;00B94B59&quot;/&gt;&lt;wsp:rsid wsp:val=&quot;00B952A3&quot;/&gt;&lt;wsp:rsid wsp:val=&quot;00B9568B&quot;/&gt;&lt;wsp:rsid wsp:val=&quot;00B95CBF&quot;/&gt;&lt;wsp:rsid wsp:val=&quot;00B95D07&quot;/&gt;&lt;wsp:rsid wsp:val=&quot;00B95DE1&quot;/&gt;&lt;wsp:rsid wsp:val=&quot;00B95FBA&quot;/&gt;&lt;wsp:rsid wsp:val=&quot;00B96559&quot;/&gt;&lt;wsp:rsid wsp:val=&quot;00B97BE2&quot;/&gt;&lt;wsp:rsid wsp:val=&quot;00B97FEE&quot;/&gt;&lt;wsp:rsid wsp:val=&quot;00BA0187&quot;/&gt;&lt;wsp:rsid wsp:val=&quot;00BA0DE5&quot;/&gt;&lt;wsp:rsid wsp:val=&quot;00BA0EC1&quot;/&gt;&lt;wsp:rsid wsp:val=&quot;00BA10DD&quot;/&gt;&lt;wsp:rsid wsp:val=&quot;00BA1532&quot;/&gt;&lt;wsp:rsid wsp:val=&quot;00BA19A5&quot;/&gt;&lt;wsp:rsid wsp:val=&quot;00BA2F5F&quot;/&gt;&lt;wsp:rsid wsp:val=&quot;00BA3015&quot;/&gt;&lt;wsp:rsid wsp:val=&quot;00BA30A8&quot;/&gt;&lt;wsp:rsid wsp:val=&quot;00BA31A3&quot;/&gt;&lt;wsp:rsid wsp:val=&quot;00BA32E4&quot;/&gt;&lt;wsp:rsid wsp:val=&quot;00BA3A65&quot;/&gt;&lt;wsp:rsid wsp:val=&quot;00BA3C1F&quot;/&gt;&lt;wsp:rsid wsp:val=&quot;00BA3FA4&quot;/&gt;&lt;wsp:rsid wsp:val=&quot;00BA430C&quot;/&gt;&lt;wsp:rsid wsp:val=&quot;00BA4A71&quot;/&gt;&lt;wsp:rsid wsp:val=&quot;00BA4E6E&quot;/&gt;&lt;wsp:rsid wsp:val=&quot;00BA582E&quot;/&gt;&lt;wsp:rsid wsp:val=&quot;00BA5B1D&quot;/&gt;&lt;wsp:rsid wsp:val=&quot;00BA61AC&quot;/&gt;&lt;wsp:rsid wsp:val=&quot;00BA61EA&quot;/&gt;&lt;wsp:rsid wsp:val=&quot;00BA6209&quot;/&gt;&lt;wsp:rsid wsp:val=&quot;00BA6520&quot;/&gt;&lt;wsp:rsid wsp:val=&quot;00BA6FF1&quot;/&gt;&lt;wsp:rsid wsp:val=&quot;00BA7289&quot;/&gt;&lt;wsp:rsid wsp:val=&quot;00BA76C8&quot;/&gt;&lt;wsp:rsid wsp:val=&quot;00BA775A&quot;/&gt;&lt;wsp:rsid wsp:val=&quot;00BA7952&quot;/&gt;&lt;wsp:rsid wsp:val=&quot;00BA7A65&quot;/&gt;&lt;wsp:rsid wsp:val=&quot;00BA7C9B&quot;/&gt;&lt;wsp:rsid wsp:val=&quot;00BB0BFB&quot;/&gt;&lt;wsp:rsid wsp:val=&quot;00BB1645&quot;/&gt;&lt;wsp:rsid wsp:val=&quot;00BB1DCD&quot;/&gt;&lt;wsp:rsid wsp:val=&quot;00BB1E4A&quot;/&gt;&lt;wsp:rsid wsp:val=&quot;00BB1F9C&quot;/&gt;&lt;wsp:rsid wsp:val=&quot;00BB23AD&quot;/&gt;&lt;wsp:rsid wsp:val=&quot;00BB2D92&quot;/&gt;&lt;wsp:rsid wsp:val=&quot;00BB2E89&quot;/&gt;&lt;wsp:rsid wsp:val=&quot;00BB3635&quot;/&gt;&lt;wsp:rsid wsp:val=&quot;00BB408B&quot;/&gt;&lt;wsp:rsid wsp:val=&quot;00BB40D6&quot;/&gt;&lt;wsp:rsid wsp:val=&quot;00BB422B&quot;/&gt;&lt;wsp:rsid wsp:val=&quot;00BB4671&quot;/&gt;&lt;wsp:rsid wsp:val=&quot;00BB46A7&quot;/&gt;&lt;wsp:rsid wsp:val=&quot;00BB4F48&quot;/&gt;&lt;wsp:rsid wsp:val=&quot;00BB5023&quot;/&gt;&lt;wsp:rsid wsp:val=&quot;00BB56CC&quot;/&gt;&lt;wsp:rsid wsp:val=&quot;00BB57A1&quot;/&gt;&lt;wsp:rsid wsp:val=&quot;00BB593B&quot;/&gt;&lt;wsp:rsid wsp:val=&quot;00BB593D&quot;/&gt;&lt;wsp:rsid wsp:val=&quot;00BB5D3F&quot;/&gt;&lt;wsp:rsid wsp:val=&quot;00BB6547&quot;/&gt;&lt;wsp:rsid wsp:val=&quot;00BB711F&quot;/&gt;&lt;wsp:rsid wsp:val=&quot;00BB73A3&quot;/&gt;&lt;wsp:rsid wsp:val=&quot;00BB73EF&quot;/&gt;&lt;wsp:rsid wsp:val=&quot;00BB7B99&quot;/&gt;&lt;wsp:rsid wsp:val=&quot;00BB7C18&quot;/&gt;&lt;wsp:rsid wsp:val=&quot;00BC000B&quot;/&gt;&lt;wsp:rsid wsp:val=&quot;00BC013E&quot;/&gt;&lt;wsp:rsid wsp:val=&quot;00BC0376&quot;/&gt;&lt;wsp:rsid wsp:val=&quot;00BC0399&quot;/&gt;&lt;wsp:rsid wsp:val=&quot;00BC058D&quot;/&gt;&lt;wsp:rsid wsp:val=&quot;00BC1335&quot;/&gt;&lt;wsp:rsid wsp:val=&quot;00BC20F2&quot;/&gt;&lt;wsp:rsid wsp:val=&quot;00BC28F8&quot;/&gt;&lt;wsp:rsid wsp:val=&quot;00BC2F59&quot;/&gt;&lt;wsp:rsid wsp:val=&quot;00BC354B&quot;/&gt;&lt;wsp:rsid wsp:val=&quot;00BC3CFB&quot;/&gt;&lt;wsp:rsid wsp:val=&quot;00BC43C5&quot;/&gt;&lt;wsp:rsid wsp:val=&quot;00BC444F&quot;/&gt;&lt;wsp:rsid wsp:val=&quot;00BC458A&quot;/&gt;&lt;wsp:rsid wsp:val=&quot;00BC4A43&quot;/&gt;&lt;wsp:rsid wsp:val=&quot;00BC4C23&quot;/&gt;&lt;wsp:rsid wsp:val=&quot;00BC4DB5&quot;/&gt;&lt;wsp:rsid wsp:val=&quot;00BC4FDF&quot;/&gt;&lt;wsp:rsid wsp:val=&quot;00BC665F&quot;/&gt;&lt;wsp:rsid wsp:val=&quot;00BC70DE&quot;/&gt;&lt;wsp:rsid wsp:val=&quot;00BC7316&quot;/&gt;&lt;wsp:rsid wsp:val=&quot;00BC7445&quot;/&gt;&lt;wsp:rsid wsp:val=&quot;00BC78CD&quot;/&gt;&lt;wsp:rsid wsp:val=&quot;00BC7909&quot;/&gt;&lt;wsp:rsid wsp:val=&quot;00BD0D07&quot;/&gt;&lt;wsp:rsid wsp:val=&quot;00BD0DF4&quot;/&gt;&lt;wsp:rsid wsp:val=&quot;00BD186B&quot;/&gt;&lt;wsp:rsid wsp:val=&quot;00BD1A7C&quot;/&gt;&lt;wsp:rsid wsp:val=&quot;00BD2560&quot;/&gt;&lt;wsp:rsid wsp:val=&quot;00BD25A3&quot;/&gt;&lt;wsp:rsid wsp:val=&quot;00BD2671&quot;/&gt;&lt;wsp:rsid wsp:val=&quot;00BD2B45&quot;/&gt;&lt;wsp:rsid wsp:val=&quot;00BD2B74&quot;/&gt;&lt;wsp:rsid wsp:val=&quot;00BD36BD&quot;/&gt;&lt;wsp:rsid wsp:val=&quot;00BD44FB&quot;/&gt;&lt;wsp:rsid wsp:val=&quot;00BD4531&quot;/&gt;&lt;wsp:rsid wsp:val=&quot;00BD4676&quot;/&gt;&lt;wsp:rsid wsp:val=&quot;00BD4D93&quot;/&gt;&lt;wsp:rsid wsp:val=&quot;00BD4E74&quot;/&gt;&lt;wsp:rsid wsp:val=&quot;00BD5046&quot;/&gt;&lt;wsp:rsid wsp:val=&quot;00BD5313&quot;/&gt;&lt;wsp:rsid wsp:val=&quot;00BD5437&quot;/&gt;&lt;wsp:rsid wsp:val=&quot;00BD5F90&quot;/&gt;&lt;wsp:rsid wsp:val=&quot;00BD61BB&quot;/&gt;&lt;wsp:rsid wsp:val=&quot;00BD6624&quot;/&gt;&lt;wsp:rsid wsp:val=&quot;00BD6F2F&quot;/&gt;&lt;wsp:rsid wsp:val=&quot;00BD7086&quot;/&gt;&lt;wsp:rsid wsp:val=&quot;00BD7F8F&quot;/&gt;&lt;wsp:rsid wsp:val=&quot;00BE003F&quot;/&gt;&lt;wsp:rsid wsp:val=&quot;00BE020E&quot;/&gt;&lt;wsp:rsid wsp:val=&quot;00BE06D2&quot;/&gt;&lt;wsp:rsid wsp:val=&quot;00BE0E2C&quot;/&gt;&lt;wsp:rsid wsp:val=&quot;00BE1EFA&quot;/&gt;&lt;wsp:rsid wsp:val=&quot;00BE21BC&quot;/&gt;&lt;wsp:rsid wsp:val=&quot;00BE23FF&quot;/&gt;&lt;wsp:rsid wsp:val=&quot;00BE3124&quot;/&gt;&lt;wsp:rsid wsp:val=&quot;00BE371A&quot;/&gt;&lt;wsp:rsid wsp:val=&quot;00BE3921&quot;/&gt;&lt;wsp:rsid wsp:val=&quot;00BE4355&quot;/&gt;&lt;wsp:rsid wsp:val=&quot;00BE5156&quot;/&gt;&lt;wsp:rsid wsp:val=&quot;00BE5165&quot;/&gt;&lt;wsp:rsid wsp:val=&quot;00BE59D7&quot;/&gt;&lt;wsp:rsid wsp:val=&quot;00BE5A94&quot;/&gt;&lt;wsp:rsid wsp:val=&quot;00BE5C24&quot;/&gt;&lt;wsp:rsid wsp:val=&quot;00BE604F&quot;/&gt;&lt;wsp:rsid wsp:val=&quot;00BE63CC&quot;/&gt;&lt;wsp:rsid wsp:val=&quot;00BE6414&quot;/&gt;&lt;wsp:rsid wsp:val=&quot;00BE6840&quot;/&gt;&lt;wsp:rsid wsp:val=&quot;00BE6B3D&quot;/&gt;&lt;wsp:rsid wsp:val=&quot;00BE7026&quot;/&gt;&lt;wsp:rsid wsp:val=&quot;00BE70D6&quot;/&gt;&lt;wsp:rsid wsp:val=&quot;00BE74A9&quot;/&gt;&lt;wsp:rsid wsp:val=&quot;00BE7C5D&quot;/&gt;&lt;wsp:rsid wsp:val=&quot;00BF0D61&quot;/&gt;&lt;wsp:rsid wsp:val=&quot;00BF12EC&quot;/&gt;&lt;wsp:rsid wsp:val=&quot;00BF1572&quot;/&gt;&lt;wsp:rsid wsp:val=&quot;00BF1C5F&quot;/&gt;&lt;wsp:rsid wsp:val=&quot;00BF2102&quot;/&gt;&lt;wsp:rsid wsp:val=&quot;00BF21D2&quot;/&gt;&lt;wsp:rsid wsp:val=&quot;00BF26F8&quot;/&gt;&lt;wsp:rsid wsp:val=&quot;00BF2CD7&quot;/&gt;&lt;wsp:rsid wsp:val=&quot;00BF30BD&quot;/&gt;&lt;wsp:rsid wsp:val=&quot;00BF361C&quot;/&gt;&lt;wsp:rsid wsp:val=&quot;00BF365B&quot;/&gt;&lt;wsp:rsid wsp:val=&quot;00BF3753&quot;/&gt;&lt;wsp:rsid wsp:val=&quot;00BF37A1&quot;/&gt;&lt;wsp:rsid wsp:val=&quot;00BF37D8&quot;/&gt;&lt;wsp:rsid wsp:val=&quot;00BF3888&quot;/&gt;&lt;wsp:rsid wsp:val=&quot;00BF39A4&quot;/&gt;&lt;wsp:rsid wsp:val=&quot;00BF3A3B&quot;/&gt;&lt;wsp:rsid wsp:val=&quot;00BF5394&quot;/&gt;&lt;wsp:rsid wsp:val=&quot;00BF5541&quot;/&gt;&lt;wsp:rsid wsp:val=&quot;00BF60BC&quot;/&gt;&lt;wsp:rsid wsp:val=&quot;00BF6A75&quot;/&gt;&lt;wsp:rsid wsp:val=&quot;00BF6DDA&quot;/&gt;&lt;wsp:rsid wsp:val=&quot;00BF73D9&quot;/&gt;&lt;wsp:rsid wsp:val=&quot;00BF7413&quot;/&gt;&lt;wsp:rsid wsp:val=&quot;00BF7B6A&quot;/&gt;&lt;wsp:rsid wsp:val=&quot;00C00484&quot;/&gt;&lt;wsp:rsid wsp:val=&quot;00C008C3&quot;/&gt;&lt;wsp:rsid wsp:val=&quot;00C00B4C&quot;/&gt;&lt;wsp:rsid wsp:val=&quot;00C00BFF&quot;/&gt;&lt;wsp:rsid wsp:val=&quot;00C02003&quot;/&gt;&lt;wsp:rsid wsp:val=&quot;00C02161&quot;/&gt;&lt;wsp:rsid wsp:val=&quot;00C022B9&quot;/&gt;&lt;wsp:rsid wsp:val=&quot;00C02375&quot;/&gt;&lt;wsp:rsid wsp:val=&quot;00C0265F&quot;/&gt;&lt;wsp:rsid wsp:val=&quot;00C02AE7&quot;/&gt;&lt;wsp:rsid wsp:val=&quot;00C02E71&quot;/&gt;&lt;wsp:rsid wsp:val=&quot;00C0311F&quot;/&gt;&lt;wsp:rsid wsp:val=&quot;00C03BF3&quot;/&gt;&lt;wsp:rsid wsp:val=&quot;00C03FEF&quot;/&gt;&lt;wsp:rsid wsp:val=&quot;00C0426A&quot;/&gt;&lt;wsp:rsid wsp:val=&quot;00C042AC&quot;/&gt;&lt;wsp:rsid wsp:val=&quot;00C0441E&quot;/&gt;&lt;wsp:rsid wsp:val=&quot;00C0474E&quot;/&gt;&lt;wsp:rsid wsp:val=&quot;00C049DE&quot;/&gt;&lt;wsp:rsid wsp:val=&quot;00C04BC7&quot;/&gt;&lt;wsp:rsid wsp:val=&quot;00C053FD&quot;/&gt;&lt;wsp:rsid wsp:val=&quot;00C05A3B&quot;/&gt;&lt;wsp:rsid wsp:val=&quot;00C06230&quot;/&gt;&lt;wsp:rsid wsp:val=&quot;00C065C5&quot;/&gt;&lt;wsp:rsid wsp:val=&quot;00C0695B&quot;/&gt;&lt;wsp:rsid wsp:val=&quot;00C06BC5&quot;/&gt;&lt;wsp:rsid wsp:val=&quot;00C078DF&quot;/&gt;&lt;wsp:rsid wsp:val=&quot;00C100B4&quot;/&gt;&lt;wsp:rsid wsp:val=&quot;00C108B2&quot;/&gt;&lt;wsp:rsid wsp:val=&quot;00C109B6&quot;/&gt;&lt;wsp:rsid wsp:val=&quot;00C10E53&quot;/&gt;&lt;wsp:rsid wsp:val=&quot;00C1141F&quot;/&gt;&lt;wsp:rsid wsp:val=&quot;00C11C4E&quot;/&gt;&lt;wsp:rsid wsp:val=&quot;00C11D4C&quot;/&gt;&lt;wsp:rsid wsp:val=&quot;00C12034&quot;/&gt;&lt;wsp:rsid wsp:val=&quot;00C12624&quot;/&gt;&lt;wsp:rsid wsp:val=&quot;00C130EF&quot;/&gt;&lt;wsp:rsid wsp:val=&quot;00C13FA2&quot;/&gt;&lt;wsp:rsid wsp:val=&quot;00C147EF&quot;/&gt;&lt;wsp:rsid wsp:val=&quot;00C148CA&quot;/&gt;&lt;wsp:rsid wsp:val=&quot;00C14AA6&quot;/&gt;&lt;wsp:rsid wsp:val=&quot;00C1549C&quot;/&gt;&lt;wsp:rsid wsp:val=&quot;00C16C58&quot;/&gt;&lt;wsp:rsid wsp:val=&quot;00C16D80&quot;/&gt;&lt;wsp:rsid wsp:val=&quot;00C16F86&quot;/&gt;&lt;wsp:rsid wsp:val=&quot;00C173EC&quot;/&gt;&lt;wsp:rsid wsp:val=&quot;00C17561&quot;/&gt;&lt;wsp:rsid wsp:val=&quot;00C1789B&quot;/&gt;&lt;wsp:rsid wsp:val=&quot;00C203A0&quot;/&gt;&lt;wsp:rsid wsp:val=&quot;00C2112F&quot;/&gt;&lt;wsp:rsid wsp:val=&quot;00C21EF6&quot;/&gt;&lt;wsp:rsid wsp:val=&quot;00C2208E&quot;/&gt;&lt;wsp:rsid wsp:val=&quot;00C2213E&quot;/&gt;&lt;wsp:rsid wsp:val=&quot;00C221E2&quot;/&gt;&lt;wsp:rsid wsp:val=&quot;00C2222E&quot;/&gt;&lt;wsp:rsid wsp:val=&quot;00C22757&quot;/&gt;&lt;wsp:rsid wsp:val=&quot;00C23478&quot;/&gt;&lt;wsp:rsid wsp:val=&quot;00C23CC8&quot;/&gt;&lt;wsp:rsid wsp:val=&quot;00C241B0&quot;/&gt;&lt;wsp:rsid wsp:val=&quot;00C2470C&quot;/&gt;&lt;wsp:rsid wsp:val=&quot;00C247EE&quot;/&gt;&lt;wsp:rsid wsp:val=&quot;00C25377&quot;/&gt;&lt;wsp:rsid wsp:val=&quot;00C25945&quot;/&gt;&lt;wsp:rsid wsp:val=&quot;00C266B5&quot;/&gt;&lt;wsp:rsid wsp:val=&quot;00C266C5&quot;/&gt;&lt;wsp:rsid wsp:val=&quot;00C26715&quot;/&gt;&lt;wsp:rsid wsp:val=&quot;00C26954&quot;/&gt;&lt;wsp:rsid wsp:val=&quot;00C26BE7&quot;/&gt;&lt;wsp:rsid wsp:val=&quot;00C26F7E&quot;/&gt;&lt;wsp:rsid wsp:val=&quot;00C270ED&quot;/&gt;&lt;wsp:rsid wsp:val=&quot;00C278E3&quot;/&gt;&lt;wsp:rsid wsp:val=&quot;00C3177F&quot;/&gt;&lt;wsp:rsid wsp:val=&quot;00C31781&quot;/&gt;&lt;wsp:rsid wsp:val=&quot;00C317F6&quot;/&gt;&lt;wsp:rsid wsp:val=&quot;00C318BC&quot;/&gt;&lt;wsp:rsid wsp:val=&quot;00C319CB&quot;/&gt;&lt;wsp:rsid wsp:val=&quot;00C31DB9&quot;/&gt;&lt;wsp:rsid wsp:val=&quot;00C31DC4&quot;/&gt;&lt;wsp:rsid wsp:val=&quot;00C31E52&quot;/&gt;&lt;wsp:rsid wsp:val=&quot;00C32B45&quot;/&gt;&lt;wsp:rsid wsp:val=&quot;00C335FB&quot;/&gt;&lt;wsp:rsid wsp:val=&quot;00C33EE4&quot;/&gt;&lt;wsp:rsid wsp:val=&quot;00C346F8&quot;/&gt;&lt;wsp:rsid wsp:val=&quot;00C35066&quot;/&gt;&lt;wsp:rsid wsp:val=&quot;00C350CA&quot;/&gt;&lt;wsp:rsid wsp:val=&quot;00C354E3&quot;/&gt;&lt;wsp:rsid wsp:val=&quot;00C35631&quot;/&gt;&lt;wsp:rsid wsp:val=&quot;00C35AFA&quot;/&gt;&lt;wsp:rsid wsp:val=&quot;00C35C0D&quot;/&gt;&lt;wsp:rsid wsp:val=&quot;00C35E9C&quot;/&gt;&lt;wsp:rsid wsp:val=&quot;00C362E1&quot;/&gt;&lt;wsp:rsid wsp:val=&quot;00C3682A&quot;/&gt;&lt;wsp:rsid wsp:val=&quot;00C36DC1&quot;/&gt;&lt;wsp:rsid wsp:val=&quot;00C37A89&quot;/&gt;&lt;wsp:rsid wsp:val=&quot;00C37BF5&quot;/&gt;&lt;wsp:rsid wsp:val=&quot;00C37CEB&quot;/&gt;&lt;wsp:rsid wsp:val=&quot;00C37E52&quot;/&gt;&lt;wsp:rsid wsp:val=&quot;00C37FEE&quot;/&gt;&lt;wsp:rsid wsp:val=&quot;00C403D6&quot;/&gt;&lt;wsp:rsid wsp:val=&quot;00C40479&quot;/&gt;&lt;wsp:rsid wsp:val=&quot;00C4091F&quot;/&gt;&lt;wsp:rsid wsp:val=&quot;00C412CF&quot;/&gt;&lt;wsp:rsid wsp:val=&quot;00C427A0&quot;/&gt;&lt;wsp:rsid wsp:val=&quot;00C427D7&quot;/&gt;&lt;wsp:rsid wsp:val=&quot;00C42B67&quot;/&gt;&lt;wsp:rsid wsp:val=&quot;00C42F34&quot;/&gt;&lt;wsp:rsid wsp:val=&quot;00C42F4B&quot;/&gt;&lt;wsp:rsid wsp:val=&quot;00C43755&quot;/&gt;&lt;wsp:rsid wsp:val=&quot;00C440D4&quot;/&gt;&lt;wsp:rsid wsp:val=&quot;00C4459F&quot;/&gt;&lt;wsp:rsid wsp:val=&quot;00C44E92&quot;/&gt;&lt;wsp:rsid wsp:val=&quot;00C452E8&quot;/&gt;&lt;wsp:rsid wsp:val=&quot;00C45379&quot;/&gt;&lt;wsp:rsid wsp:val=&quot;00C45646&quot;/&gt;&lt;wsp:rsid wsp:val=&quot;00C45BD0&quot;/&gt;&lt;wsp:rsid wsp:val=&quot;00C45BD4&quot;/&gt;&lt;wsp:rsid wsp:val=&quot;00C45C8F&quot;/&gt;&lt;wsp:rsid wsp:val=&quot;00C45E52&quot;/&gt;&lt;wsp:rsid wsp:val=&quot;00C4629D&quot;/&gt;&lt;wsp:rsid wsp:val=&quot;00C46442&quot;/&gt;&lt;wsp:rsid wsp:val=&quot;00C46D02&quot;/&gt;&lt;wsp:rsid wsp:val=&quot;00C50005&quot;/&gt;&lt;wsp:rsid wsp:val=&quot;00C50331&quot;/&gt;&lt;wsp:rsid wsp:val=&quot;00C50E5F&quot;/&gt;&lt;wsp:rsid wsp:val=&quot;00C50F8D&quot;/&gt;&lt;wsp:rsid wsp:val=&quot;00C51ABA&quot;/&gt;&lt;wsp:rsid wsp:val=&quot;00C51EDF&quot;/&gt;&lt;wsp:rsid wsp:val=&quot;00C528EA&quot;/&gt;&lt;wsp:rsid wsp:val=&quot;00C52D39&quot;/&gt;&lt;wsp:rsid wsp:val=&quot;00C54194&quot;/&gt;&lt;wsp:rsid wsp:val=&quot;00C55066&quot;/&gt;&lt;wsp:rsid wsp:val=&quot;00C5618C&quot;/&gt;&lt;wsp:rsid wsp:val=&quot;00C568DD&quot;/&gt;&lt;wsp:rsid wsp:val=&quot;00C56B84&quot;/&gt;&lt;wsp:rsid wsp:val=&quot;00C57541&quot;/&gt;&lt;wsp:rsid wsp:val=&quot;00C57A64&quot;/&gt;&lt;wsp:rsid wsp:val=&quot;00C57D53&quot;/&gt;&lt;wsp:rsid wsp:val=&quot;00C57F28&quot;/&gt;&lt;wsp:rsid wsp:val=&quot;00C60740&quot;/&gt;&lt;wsp:rsid wsp:val=&quot;00C60A71&quot;/&gt;&lt;wsp:rsid wsp:val=&quot;00C60B3A&quot;/&gt;&lt;wsp:rsid wsp:val=&quot;00C62055&quot;/&gt;&lt;wsp:rsid wsp:val=&quot;00C6224C&quot;/&gt;&lt;wsp:rsid wsp:val=&quot;00C62734&quot;/&gt;&lt;wsp:rsid wsp:val=&quot;00C62846&quot;/&gt;&lt;wsp:rsid wsp:val=&quot;00C62F47&quot;/&gt;&lt;wsp:rsid wsp:val=&quot;00C63021&quot;/&gt;&lt;wsp:rsid wsp:val=&quot;00C638E5&quot;/&gt;&lt;wsp:rsid wsp:val=&quot;00C63B14&quot;/&gt;&lt;wsp:rsid wsp:val=&quot;00C64768&quot;/&gt;&lt;wsp:rsid wsp:val=&quot;00C64A76&quot;/&gt;&lt;wsp:rsid wsp:val=&quot;00C64BFD&quot;/&gt;&lt;wsp:rsid wsp:val=&quot;00C65BEF&quot;/&gt;&lt;wsp:rsid wsp:val=&quot;00C66281&quot;/&gt;&lt;wsp:rsid wsp:val=&quot;00C670A4&quot;/&gt;&lt;wsp:rsid wsp:val=&quot;00C675B8&quot;/&gt;&lt;wsp:rsid wsp:val=&quot;00C703BB&quot;/&gt;&lt;wsp:rsid wsp:val=&quot;00C70DBF&quot;/&gt;&lt;wsp:rsid wsp:val=&quot;00C70E15&quot;/&gt;&lt;wsp:rsid wsp:val=&quot;00C70F56&quot;/&gt;&lt;wsp:rsid wsp:val=&quot;00C70FFA&quot;/&gt;&lt;wsp:rsid wsp:val=&quot;00C713CD&quot;/&gt;&lt;wsp:rsid wsp:val=&quot;00C71440&quot;/&gt;&lt;wsp:rsid wsp:val=&quot;00C71935&quot;/&gt;&lt;wsp:rsid wsp:val=&quot;00C71BA5&quot;/&gt;&lt;wsp:rsid wsp:val=&quot;00C71CDB&quot;/&gt;&lt;wsp:rsid wsp:val=&quot;00C71EBE&quot;/&gt;&lt;wsp:rsid wsp:val=&quot;00C73BAB&quot;/&gt;&lt;wsp:rsid wsp:val=&quot;00C748B0&quot;/&gt;&lt;wsp:rsid wsp:val=&quot;00C75170&quot;/&gt;&lt;wsp:rsid wsp:val=&quot;00C752ED&quot;/&gt;&lt;wsp:rsid wsp:val=&quot;00C75502&quot;/&gt;&lt;wsp:rsid wsp:val=&quot;00C75742&quot;/&gt;&lt;wsp:rsid wsp:val=&quot;00C75D72&quot;/&gt;&lt;wsp:rsid wsp:val=&quot;00C76366&quot;/&gt;&lt;wsp:rsid wsp:val=&quot;00C7773C&quot;/&gt;&lt;wsp:rsid wsp:val=&quot;00C778BF&quot;/&gt;&lt;wsp:rsid wsp:val=&quot;00C779F6&quot;/&gt;&lt;wsp:rsid wsp:val=&quot;00C77C87&quot;/&gt;&lt;wsp:rsid wsp:val=&quot;00C80421&quot;/&gt;&lt;wsp:rsid wsp:val=&quot;00C8073C&quot;/&gt;&lt;wsp:rsid wsp:val=&quot;00C80CD9&quot;/&gt;&lt;wsp:rsid wsp:val=&quot;00C81B60&quot;/&gt;&lt;wsp:rsid wsp:val=&quot;00C82117&quot;/&gt;&lt;wsp:rsid wsp:val=&quot;00C82465&quot;/&gt;&lt;wsp:rsid wsp:val=&quot;00C83328&quot;/&gt;&lt;wsp:rsid wsp:val=&quot;00C836F7&quot;/&gt;&lt;wsp:rsid wsp:val=&quot;00C84624&quot;/&gt;&lt;wsp:rsid wsp:val=&quot;00C849B6&quot;/&gt;&lt;wsp:rsid wsp:val=&quot;00C853D1&quot;/&gt;&lt;wsp:rsid wsp:val=&quot;00C8599B&quot;/&gt;&lt;wsp:rsid wsp:val=&quot;00C859E1&quot;/&gt;&lt;wsp:rsid wsp:val=&quot;00C85F5E&quot;/&gt;&lt;wsp:rsid wsp:val=&quot;00C86033&quot;/&gt;&lt;wsp:rsid wsp:val=&quot;00C862C9&quot;/&gt;&lt;wsp:rsid wsp:val=&quot;00C86773&quot;/&gt;&lt;wsp:rsid wsp:val=&quot;00C86BA9&quot;/&gt;&lt;wsp:rsid wsp:val=&quot;00C86FEE&quot;/&gt;&lt;wsp:rsid wsp:val=&quot;00C87282&quot;/&gt;&lt;wsp:rsid wsp:val=&quot;00C87364&quot;/&gt;&lt;wsp:rsid wsp:val=&quot;00C874B2&quot;/&gt;&lt;wsp:rsid wsp:val=&quot;00C87C59&quot;/&gt;&lt;wsp:rsid wsp:val=&quot;00C87F36&quot;/&gt;&lt;wsp:rsid wsp:val=&quot;00C90651&quot;/&gt;&lt;wsp:rsid wsp:val=&quot;00C90BFE&quot;/&gt;&lt;wsp:rsid wsp:val=&quot;00C90CD5&quot;/&gt;&lt;wsp:rsid wsp:val=&quot;00C92252&quot;/&gt;&lt;wsp:rsid wsp:val=&quot;00C926DB&quot;/&gt;&lt;wsp:rsid wsp:val=&quot;00C933C3&quot;/&gt;&lt;wsp:rsid wsp:val=&quot;00C93799&quot;/&gt;&lt;wsp:rsid wsp:val=&quot;00C93EA8&quot;/&gt;&lt;wsp:rsid wsp:val=&quot;00C943DA&quot;/&gt;&lt;wsp:rsid wsp:val=&quot;00C94934&quot;/&gt;&lt;wsp:rsid wsp:val=&quot;00C94B0F&quot;/&gt;&lt;wsp:rsid wsp:val=&quot;00C94BE7&quot;/&gt;&lt;wsp:rsid wsp:val=&quot;00C94DD4&quot;/&gt;&lt;wsp:rsid wsp:val=&quot;00C9550B&quot;/&gt;&lt;wsp:rsid wsp:val=&quot;00C9632B&quot;/&gt;&lt;wsp:rsid wsp:val=&quot;00C9685B&quot;/&gt;&lt;wsp:rsid wsp:val=&quot;00C96CED&quot;/&gt;&lt;wsp:rsid wsp:val=&quot;00C9783D&quot;/&gt;&lt;wsp:rsid wsp:val=&quot;00CA05DF&quot;/&gt;&lt;wsp:rsid wsp:val=&quot;00CA0F68&quot;/&gt;&lt;wsp:rsid wsp:val=&quot;00CA1F83&quot;/&gt;&lt;wsp:rsid wsp:val=&quot;00CA2993&quot;/&gt;&lt;wsp:rsid wsp:val=&quot;00CA2D15&quot;/&gt;&lt;wsp:rsid wsp:val=&quot;00CA2F69&quot;/&gt;&lt;wsp:rsid wsp:val=&quot;00CA3291&quot;/&gt;&lt;wsp:rsid wsp:val=&quot;00CA332A&quot;/&gt;&lt;wsp:rsid wsp:val=&quot;00CA3BC0&quot;/&gt;&lt;wsp:rsid wsp:val=&quot;00CA3BD8&quot;/&gt;&lt;wsp:rsid wsp:val=&quot;00CA3CD1&quot;/&gt;&lt;wsp:rsid wsp:val=&quot;00CA5425&quot;/&gt;&lt;wsp:rsid wsp:val=&quot;00CA5489&quot;/&gt;&lt;wsp:rsid wsp:val=&quot;00CA5978&quot;/&gt;&lt;wsp:rsid wsp:val=&quot;00CA6036&quot;/&gt;&lt;wsp:rsid wsp:val=&quot;00CA6141&quot;/&gt;&lt;wsp:rsid wsp:val=&quot;00CA634D&quot;/&gt;&lt;wsp:rsid wsp:val=&quot;00CA65E8&quot;/&gt;&lt;wsp:rsid wsp:val=&quot;00CA6BCF&quot;/&gt;&lt;wsp:rsid wsp:val=&quot;00CA6F82&quot;/&gt;&lt;wsp:rsid wsp:val=&quot;00CA712E&quot;/&gt;&lt;wsp:rsid wsp:val=&quot;00CA749A&quot;/&gt;&lt;wsp:rsid wsp:val=&quot;00CA7985&quot;/&gt;&lt;wsp:rsid wsp:val=&quot;00CB0B0A&quot;/&gt;&lt;wsp:rsid wsp:val=&quot;00CB0B4B&quot;/&gt;&lt;wsp:rsid wsp:val=&quot;00CB0DA8&quot;/&gt;&lt;wsp:rsid wsp:val=&quot;00CB1FC3&quot;/&gt;&lt;wsp:rsid wsp:val=&quot;00CB274D&quot;/&gt;&lt;wsp:rsid wsp:val=&quot;00CB31BA&quot;/&gt;&lt;wsp:rsid wsp:val=&quot;00CB32BE&quot;/&gt;&lt;wsp:rsid wsp:val=&quot;00CB3D5A&quot;/&gt;&lt;wsp:rsid wsp:val=&quot;00CB401B&quot;/&gt;&lt;wsp:rsid wsp:val=&quot;00CB42B6&quot;/&gt;&lt;wsp:rsid wsp:val=&quot;00CB491B&quot;/&gt;&lt;wsp:rsid wsp:val=&quot;00CB55FC&quot;/&gt;&lt;wsp:rsid wsp:val=&quot;00CB5816&quot;/&gt;&lt;wsp:rsid wsp:val=&quot;00CB6917&quot;/&gt;&lt;wsp:rsid wsp:val=&quot;00CB6A3E&quot;/&gt;&lt;wsp:rsid wsp:val=&quot;00CB7170&quot;/&gt;&lt;wsp:rsid wsp:val=&quot;00CB73FF&quot;/&gt;&lt;wsp:rsid wsp:val=&quot;00CB77ED&quot;/&gt;&lt;wsp:rsid wsp:val=&quot;00CC0244&quot;/&gt;&lt;wsp:rsid wsp:val=&quot;00CC0403&quot;/&gt;&lt;wsp:rsid wsp:val=&quot;00CC0FFF&quot;/&gt;&lt;wsp:rsid wsp:val=&quot;00CC1610&quot;/&gt;&lt;wsp:rsid wsp:val=&quot;00CC22D3&quot;/&gt;&lt;wsp:rsid wsp:val=&quot;00CC2652&quot;/&gt;&lt;wsp:rsid wsp:val=&quot;00CC2C41&quot;/&gt;&lt;wsp:rsid wsp:val=&quot;00CC2C7B&quot;/&gt;&lt;wsp:rsid wsp:val=&quot;00CC2E66&quot;/&gt;&lt;wsp:rsid wsp:val=&quot;00CC3896&quot;/&gt;&lt;wsp:rsid wsp:val=&quot;00CC3F9E&quot;/&gt;&lt;wsp:rsid wsp:val=&quot;00CC4E98&quot;/&gt;&lt;wsp:rsid wsp:val=&quot;00CC512B&quot;/&gt;&lt;wsp:rsid wsp:val=&quot;00CC53E6&quot;/&gt;&lt;wsp:rsid wsp:val=&quot;00CC54D7&quot;/&gt;&lt;wsp:rsid wsp:val=&quot;00CC55B5&quot;/&gt;&lt;wsp:rsid wsp:val=&quot;00CC5E40&quot;/&gt;&lt;wsp:rsid wsp:val=&quot;00CC5E62&quot;/&gt;&lt;wsp:rsid wsp:val=&quot;00CC5EE5&quot;/&gt;&lt;wsp:rsid wsp:val=&quot;00CC6576&quot;/&gt;&lt;wsp:rsid wsp:val=&quot;00CC696E&quot;/&gt;&lt;wsp:rsid wsp:val=&quot;00CC6A69&quot;/&gt;&lt;wsp:rsid wsp:val=&quot;00CC6C54&quot;/&gt;&lt;wsp:rsid wsp:val=&quot;00CC7030&quot;/&gt;&lt;wsp:rsid wsp:val=&quot;00CC741B&quot;/&gt;&lt;wsp:rsid wsp:val=&quot;00CC7926&quot;/&gt;&lt;wsp:rsid wsp:val=&quot;00CD0A29&quot;/&gt;&lt;wsp:rsid wsp:val=&quot;00CD1281&quot;/&gt;&lt;wsp:rsid wsp:val=&quot;00CD19ED&quot;/&gt;&lt;wsp:rsid wsp:val=&quot;00CD1CE3&quot;/&gt;&lt;wsp:rsid wsp:val=&quot;00CD2074&quot;/&gt;&lt;wsp:rsid wsp:val=&quot;00CD213E&quot;/&gt;&lt;wsp:rsid wsp:val=&quot;00CD218F&quot;/&gt;&lt;wsp:rsid wsp:val=&quot;00CD2288&quot;/&gt;&lt;wsp:rsid wsp:val=&quot;00CD2DF9&quot;/&gt;&lt;wsp:rsid wsp:val=&quot;00CD3084&quot;/&gt;&lt;wsp:rsid wsp:val=&quot;00CD30FE&quot;/&gt;&lt;wsp:rsid wsp:val=&quot;00CD3692&quot;/&gt;&lt;wsp:rsid wsp:val=&quot;00CD3774&quot;/&gt;&lt;wsp:rsid wsp:val=&quot;00CD37CD&quot;/&gt;&lt;wsp:rsid wsp:val=&quot;00CD3B71&quot;/&gt;&lt;wsp:rsid wsp:val=&quot;00CD51CA&quot;/&gt;&lt;wsp:rsid wsp:val=&quot;00CD52E8&quot;/&gt;&lt;wsp:rsid wsp:val=&quot;00CD5CCE&quot;/&gt;&lt;wsp:rsid wsp:val=&quot;00CD5EED&quot;/&gt;&lt;wsp:rsid wsp:val=&quot;00CD6514&quot;/&gt;&lt;wsp:rsid wsp:val=&quot;00CD65A2&quot;/&gt;&lt;wsp:rsid wsp:val=&quot;00CD6637&quot;/&gt;&lt;wsp:rsid wsp:val=&quot;00CD66A4&quot;/&gt;&lt;wsp:rsid wsp:val=&quot;00CD694B&quot;/&gt;&lt;wsp:rsid wsp:val=&quot;00CD69E7&quot;/&gt;&lt;wsp:rsid wsp:val=&quot;00CD69E9&quot;/&gt;&lt;wsp:rsid wsp:val=&quot;00CD6A70&quot;/&gt;&lt;wsp:rsid wsp:val=&quot;00CD74D8&quot;/&gt;&lt;wsp:rsid wsp:val=&quot;00CD7999&quot;/&gt;&lt;wsp:rsid wsp:val=&quot;00CD7BF1&quot;/&gt;&lt;wsp:rsid wsp:val=&quot;00CE0AB2&quot;/&gt;&lt;wsp:rsid wsp:val=&quot;00CE0C16&quot;/&gt;&lt;wsp:rsid wsp:val=&quot;00CE0CA0&quot;/&gt;&lt;wsp:rsid wsp:val=&quot;00CE1CCE&quot;/&gt;&lt;wsp:rsid wsp:val=&quot;00CE21FB&quot;/&gt;&lt;wsp:rsid wsp:val=&quot;00CE376E&quot;/&gt;&lt;wsp:rsid wsp:val=&quot;00CE3866&quot;/&gt;&lt;wsp:rsid wsp:val=&quot;00CE399C&quot;/&gt;&lt;wsp:rsid wsp:val=&quot;00CE4C8A&quot;/&gt;&lt;wsp:rsid wsp:val=&quot;00CE4FD3&quot;/&gt;&lt;wsp:rsid wsp:val=&quot;00CE576A&quot;/&gt;&lt;wsp:rsid wsp:val=&quot;00CE5853&quot;/&gt;&lt;wsp:rsid wsp:val=&quot;00CE5BD9&quot;/&gt;&lt;wsp:rsid wsp:val=&quot;00CE5D8F&quot;/&gt;&lt;wsp:rsid wsp:val=&quot;00CE6025&quot;/&gt;&lt;wsp:rsid wsp:val=&quot;00CE6071&quot;/&gt;&lt;wsp:rsid wsp:val=&quot;00CE611F&quot;/&gt;&lt;wsp:rsid wsp:val=&quot;00CE61F5&quot;/&gt;&lt;wsp:rsid wsp:val=&quot;00CE6ABF&quot;/&gt;&lt;wsp:rsid wsp:val=&quot;00CE6BA9&quot;/&gt;&lt;wsp:rsid wsp:val=&quot;00CE6F0E&quot;/&gt;&lt;wsp:rsid wsp:val=&quot;00CE7151&quot;/&gt;&lt;wsp:rsid wsp:val=&quot;00CF09BF&quot;/&gt;&lt;wsp:rsid wsp:val=&quot;00CF1B2A&quot;/&gt;&lt;wsp:rsid wsp:val=&quot;00CF1CFA&quot;/&gt;&lt;wsp:rsid wsp:val=&quot;00CF22DE&quot;/&gt;&lt;wsp:rsid wsp:val=&quot;00CF2B49&quot;/&gt;&lt;wsp:rsid wsp:val=&quot;00CF2EA1&quot;/&gt;&lt;wsp:rsid wsp:val=&quot;00CF2FB9&quot;/&gt;&lt;wsp:rsid wsp:val=&quot;00CF31DC&quot;/&gt;&lt;wsp:rsid wsp:val=&quot;00CF3F30&quot;/&gt;&lt;wsp:rsid wsp:val=&quot;00CF3FEF&quot;/&gt;&lt;wsp:rsid wsp:val=&quot;00CF4B77&quot;/&gt;&lt;wsp:rsid wsp:val=&quot;00CF51DB&quot;/&gt;&lt;wsp:rsid wsp:val=&quot;00CF5B2E&quot;/&gt;&lt;wsp:rsid wsp:val=&quot;00CF5BDF&quot;/&gt;&lt;wsp:rsid wsp:val=&quot;00CF5D64&quot;/&gt;&lt;wsp:rsid wsp:val=&quot;00CF6B2C&quot;/&gt;&lt;wsp:rsid wsp:val=&quot;00CF7115&quot;/&gt;&lt;wsp:rsid wsp:val=&quot;00CF7996&quot;/&gt;&lt;wsp:rsid wsp:val=&quot;00D00238&quot;/&gt;&lt;wsp:rsid wsp:val=&quot;00D00DC6&quot;/&gt;&lt;wsp:rsid wsp:val=&quot;00D00EF3&quot;/&gt;&lt;wsp:rsid wsp:val=&quot;00D01224&quot;/&gt;&lt;wsp:rsid wsp:val=&quot;00D01783&quot;/&gt;&lt;wsp:rsid wsp:val=&quot;00D01B32&quot;/&gt;&lt;wsp:rsid wsp:val=&quot;00D01C6C&quot;/&gt;&lt;wsp:rsid wsp:val=&quot;00D01F24&quot;/&gt;&lt;wsp:rsid wsp:val=&quot;00D02011&quot;/&gt;&lt;wsp:rsid wsp:val=&quot;00D02109&quot;/&gt;&lt;wsp:rsid wsp:val=&quot;00D029A1&quot;/&gt;&lt;wsp:rsid wsp:val=&quot;00D02EE9&quot;/&gt;&lt;wsp:rsid wsp:val=&quot;00D0360E&quot;/&gt;&lt;wsp:rsid wsp:val=&quot;00D03C5C&quot;/&gt;&lt;wsp:rsid wsp:val=&quot;00D0458F&quot;/&gt;&lt;wsp:rsid wsp:val=&quot;00D0461D&quot;/&gt;&lt;wsp:rsid wsp:val=&quot;00D04749&quot;/&gt;&lt;wsp:rsid wsp:val=&quot;00D04A59&quot;/&gt;&lt;wsp:rsid wsp:val=&quot;00D0500A&quot;/&gt;&lt;wsp:rsid wsp:val=&quot;00D05301&quot;/&gt;&lt;wsp:rsid wsp:val=&quot;00D06BB5&quot;/&gt;&lt;wsp:rsid wsp:val=&quot;00D06C66&quot;/&gt;&lt;wsp:rsid wsp:val=&quot;00D0705E&quot;/&gt;&lt;wsp:rsid wsp:val=&quot;00D072B4&quot;/&gt;&lt;wsp:rsid wsp:val=&quot;00D07CA7&quot;/&gt;&lt;wsp:rsid wsp:val=&quot;00D1001E&quot;/&gt;&lt;wsp:rsid wsp:val=&quot;00D10129&quot;/&gt;&lt;wsp:rsid wsp:val=&quot;00D103C2&quot;/&gt;&lt;wsp:rsid wsp:val=&quot;00D1040B&quot;/&gt;&lt;wsp:rsid wsp:val=&quot;00D10740&quot;/&gt;&lt;wsp:rsid wsp:val=&quot;00D109E2&quot;/&gt;&lt;wsp:rsid wsp:val=&quot;00D10DD5&quot;/&gt;&lt;wsp:rsid wsp:val=&quot;00D10EA0&quot;/&gt;&lt;wsp:rsid wsp:val=&quot;00D10F30&quot;/&gt;&lt;wsp:rsid wsp:val=&quot;00D10F73&quot;/&gt;&lt;wsp:rsid wsp:val=&quot;00D12115&quot;/&gt;&lt;wsp:rsid wsp:val=&quot;00D1261E&quot;/&gt;&lt;wsp:rsid wsp:val=&quot;00D12AE5&quot;/&gt;&lt;wsp:rsid wsp:val=&quot;00D13184&quot;/&gt;&lt;wsp:rsid wsp:val=&quot;00D13CF7&quot;/&gt;&lt;wsp:rsid wsp:val=&quot;00D14195&quot;/&gt;&lt;wsp:rsid wsp:val=&quot;00D14A38&quot;/&gt;&lt;wsp:rsid wsp:val=&quot;00D14FDD&quot;/&gt;&lt;wsp:rsid wsp:val=&quot;00D1586E&quot;/&gt;&lt;wsp:rsid wsp:val=&quot;00D158B9&quot;/&gt;&lt;wsp:rsid wsp:val=&quot;00D15EFE&quot;/&gt;&lt;wsp:rsid wsp:val=&quot;00D1676A&quot;/&gt;&lt;wsp:rsid wsp:val=&quot;00D168FF&quot;/&gt;&lt;wsp:rsid wsp:val=&quot;00D16E18&quot;/&gt;&lt;wsp:rsid wsp:val=&quot;00D17550&quot;/&gt;&lt;wsp:rsid wsp:val=&quot;00D17560&quot;/&gt;&lt;wsp:rsid wsp:val=&quot;00D20CCA&quot;/&gt;&lt;wsp:rsid wsp:val=&quot;00D2117D&quot;/&gt;&lt;wsp:rsid wsp:val=&quot;00D21199&quot;/&gt;&lt;wsp:rsid wsp:val=&quot;00D215AC&quot;/&gt;&lt;wsp:rsid wsp:val=&quot;00D2209F&quot;/&gt;&lt;wsp:rsid wsp:val=&quot;00D222AA&quot;/&gt;&lt;wsp:rsid wsp:val=&quot;00D223CB&quot;/&gt;&lt;wsp:rsid wsp:val=&quot;00D228B5&quot;/&gt;&lt;wsp:rsid wsp:val=&quot;00D22C6A&quot;/&gt;&lt;wsp:rsid wsp:val=&quot;00D230DE&quot;/&gt;&lt;wsp:rsid wsp:val=&quot;00D23301&quot;/&gt;&lt;wsp:rsid wsp:val=&quot;00D238BE&quot;/&gt;&lt;wsp:rsid wsp:val=&quot;00D23DD5&quot;/&gt;&lt;wsp:rsid wsp:val=&quot;00D2415B&quot;/&gt;&lt;wsp:rsid wsp:val=&quot;00D249B8&quot;/&gt;&lt;wsp:rsid wsp:val=&quot;00D258A2&quot;/&gt;&lt;wsp:rsid wsp:val=&quot;00D262DE&quot;/&gt;&lt;wsp:rsid wsp:val=&quot;00D2643A&quot;/&gt;&lt;wsp:rsid wsp:val=&quot;00D268A0&quot;/&gt;&lt;wsp:rsid wsp:val=&quot;00D26C6B&quot;/&gt;&lt;wsp:rsid wsp:val=&quot;00D26E1A&quot;/&gt;&lt;wsp:rsid wsp:val=&quot;00D271FF&quot;/&gt;&lt;wsp:rsid wsp:val=&quot;00D27EA4&quot;/&gt;&lt;wsp:rsid wsp:val=&quot;00D30019&quot;/&gt;&lt;wsp:rsid wsp:val=&quot;00D306A9&quot;/&gt;&lt;wsp:rsid wsp:val=&quot;00D30D67&quot;/&gt;&lt;wsp:rsid wsp:val=&quot;00D31279&quot;/&gt;&lt;wsp:rsid wsp:val=&quot;00D31676&quot;/&gt;&lt;wsp:rsid wsp:val=&quot;00D321F1&quot;/&gt;&lt;wsp:rsid wsp:val=&quot;00D333CA&quot;/&gt;&lt;wsp:rsid wsp:val=&quot;00D33F76&quot;/&gt;&lt;wsp:rsid wsp:val=&quot;00D342D5&quot;/&gt;&lt;wsp:rsid wsp:val=&quot;00D3449C&quot;/&gt;&lt;wsp:rsid wsp:val=&quot;00D34AE0&quot;/&gt;&lt;wsp:rsid wsp:val=&quot;00D34C28&quot;/&gt;&lt;wsp:rsid wsp:val=&quot;00D34F95&quot;/&gt;&lt;wsp:rsid wsp:val=&quot;00D35492&quot;/&gt;&lt;wsp:rsid wsp:val=&quot;00D35C79&quot;/&gt;&lt;wsp:rsid wsp:val=&quot;00D3664E&quot;/&gt;&lt;wsp:rsid wsp:val=&quot;00D366C3&quot;/&gt;&lt;wsp:rsid wsp:val=&quot;00D36E16&quot;/&gt;&lt;wsp:rsid wsp:val=&quot;00D3707F&quot;/&gt;&lt;wsp:rsid wsp:val=&quot;00D371F3&quot;/&gt;&lt;wsp:rsid wsp:val=&quot;00D3739A&quot;/&gt;&lt;wsp:rsid wsp:val=&quot;00D375D0&quot;/&gt;&lt;wsp:rsid wsp:val=&quot;00D37749&quot;/&gt;&lt;wsp:rsid wsp:val=&quot;00D378EA&quot;/&gt;&lt;wsp:rsid wsp:val=&quot;00D405DB&quot;/&gt;&lt;wsp:rsid wsp:val=&quot;00D41606&quot;/&gt;&lt;wsp:rsid wsp:val=&quot;00D416BF&quot;/&gt;&lt;wsp:rsid wsp:val=&quot;00D4238F&quot;/&gt;&lt;wsp:rsid wsp:val=&quot;00D42C6A&quot;/&gt;&lt;wsp:rsid wsp:val=&quot;00D43761&quot;/&gt;&lt;wsp:rsid wsp:val=&quot;00D43F01&quot;/&gt;&lt;wsp:rsid wsp:val=&quot;00D440D6&quot;/&gt;&lt;wsp:rsid wsp:val=&quot;00D44A24&quot;/&gt;&lt;wsp:rsid wsp:val=&quot;00D44D03&quot;/&gt;&lt;wsp:rsid wsp:val=&quot;00D46A5A&quot;/&gt;&lt;wsp:rsid wsp:val=&quot;00D46C33&quot;/&gt;&lt;wsp:rsid wsp:val=&quot;00D46E0D&quot;/&gt;&lt;wsp:rsid wsp:val=&quot;00D47036&quot;/&gt;&lt;wsp:rsid wsp:val=&quot;00D476FA&quot;/&gt;&lt;wsp:rsid wsp:val=&quot;00D503B9&quot;/&gt;&lt;wsp:rsid wsp:val=&quot;00D503EA&quot;/&gt;&lt;wsp:rsid wsp:val=&quot;00D50EED&quot;/&gt;&lt;wsp:rsid wsp:val=&quot;00D51033&quot;/&gt;&lt;wsp:rsid wsp:val=&quot;00D51EDF&quot;/&gt;&lt;wsp:rsid wsp:val=&quot;00D520D5&quot;/&gt;&lt;wsp:rsid wsp:val=&quot;00D522B4&quot;/&gt;&lt;wsp:rsid wsp:val=&quot;00D523B6&quot;/&gt;&lt;wsp:rsid wsp:val=&quot;00D52513&quot;/&gt;&lt;wsp:rsid wsp:val=&quot;00D526CB&quot;/&gt;&lt;wsp:rsid wsp:val=&quot;00D528CE&quot;/&gt;&lt;wsp:rsid wsp:val=&quot;00D52A90&quot;/&gt;&lt;wsp:rsid wsp:val=&quot;00D52A94&quot;/&gt;&lt;wsp:rsid wsp:val=&quot;00D53085&quot;/&gt;&lt;wsp:rsid wsp:val=&quot;00D543FB&quot;/&gt;&lt;wsp:rsid wsp:val=&quot;00D5527B&quot;/&gt;&lt;wsp:rsid wsp:val=&quot;00D55EA7&quot;/&gt;&lt;wsp:rsid wsp:val=&quot;00D56130&quot;/&gt;&lt;wsp:rsid wsp:val=&quot;00D56EFA&quot;/&gt;&lt;wsp:rsid wsp:val=&quot;00D572BE&quot;/&gt;&lt;wsp:rsid wsp:val=&quot;00D5764C&quot;/&gt;&lt;wsp:rsid wsp:val=&quot;00D57B52&quot;/&gt;&lt;wsp:rsid wsp:val=&quot;00D60B33&quot;/&gt;&lt;wsp:rsid wsp:val=&quot;00D60B71&quot;/&gt;&lt;wsp:rsid wsp:val=&quot;00D60B7E&quot;/&gt;&lt;wsp:rsid wsp:val=&quot;00D611AF&quot;/&gt;&lt;wsp:rsid wsp:val=&quot;00D6135B&quot;/&gt;&lt;wsp:rsid wsp:val=&quot;00D617A8&quot;/&gt;&lt;wsp:rsid wsp:val=&quot;00D61E44&quot;/&gt;&lt;wsp:rsid wsp:val=&quot;00D62A06&quot;/&gt;&lt;wsp:rsid wsp:val=&quot;00D62C1A&quot;/&gt;&lt;wsp:rsid wsp:val=&quot;00D62F5E&quot;/&gt;&lt;wsp:rsid wsp:val=&quot;00D6377F&quot;/&gt;&lt;wsp:rsid wsp:val=&quot;00D64AED&quot;/&gt;&lt;wsp:rsid wsp:val=&quot;00D64CA7&quot;/&gt;&lt;wsp:rsid wsp:val=&quot;00D64DB1&quot;/&gt;&lt;wsp:rsid wsp:val=&quot;00D64E8D&quot;/&gt;&lt;wsp:rsid wsp:val=&quot;00D6501D&quot;/&gt;&lt;wsp:rsid wsp:val=&quot;00D65ADA&quot;/&gt;&lt;wsp:rsid wsp:val=&quot;00D66990&quot;/&gt;&lt;wsp:rsid wsp:val=&quot;00D66AA9&quot;/&gt;&lt;wsp:rsid wsp:val=&quot;00D66DC7&quot;/&gt;&lt;wsp:rsid wsp:val=&quot;00D67EB1&quot;/&gt;&lt;wsp:rsid wsp:val=&quot;00D67F1D&quot;/&gt;&lt;wsp:rsid wsp:val=&quot;00D70231&quot;/&gt;&lt;wsp:rsid wsp:val=&quot;00D70B1B&quot;/&gt;&lt;wsp:rsid wsp:val=&quot;00D70B59&quot;/&gt;&lt;wsp:rsid wsp:val=&quot;00D71152&quot;/&gt;&lt;wsp:rsid wsp:val=&quot;00D71913&quot;/&gt;&lt;wsp:rsid wsp:val=&quot;00D7193C&quot;/&gt;&lt;wsp:rsid wsp:val=&quot;00D71B3E&quot;/&gt;&lt;wsp:rsid wsp:val=&quot;00D7265F&quot;/&gt;&lt;wsp:rsid wsp:val=&quot;00D729F6&quot;/&gt;&lt;wsp:rsid wsp:val=&quot;00D729FA&quot;/&gt;&lt;wsp:rsid wsp:val=&quot;00D72BDA&quot;/&gt;&lt;wsp:rsid wsp:val=&quot;00D73677&quot;/&gt;&lt;wsp:rsid wsp:val=&quot;00D7389C&quot;/&gt;&lt;wsp:rsid wsp:val=&quot;00D74D59&quot;/&gt;&lt;wsp:rsid wsp:val=&quot;00D74DBC&quot;/&gt;&lt;wsp:rsid wsp:val=&quot;00D74DDD&quot;/&gt;&lt;wsp:rsid wsp:val=&quot;00D74E1A&quot;/&gt;&lt;wsp:rsid wsp:val=&quot;00D74E94&quot;/&gt;&lt;wsp:rsid wsp:val=&quot;00D75835&quot;/&gt;&lt;wsp:rsid wsp:val=&quot;00D75D47&quot;/&gt;&lt;wsp:rsid wsp:val=&quot;00D76048&quot;/&gt;&lt;wsp:rsid wsp:val=&quot;00D760E7&quot;/&gt;&lt;wsp:rsid wsp:val=&quot;00D762E8&quot;/&gt;&lt;wsp:rsid wsp:val=&quot;00D762EF&quot;/&gt;&lt;wsp:rsid wsp:val=&quot;00D76517&quot;/&gt;&lt;wsp:rsid wsp:val=&quot;00D76689&quot;/&gt;&lt;wsp:rsid wsp:val=&quot;00D766D2&quot;/&gt;&lt;wsp:rsid wsp:val=&quot;00D76919&quot;/&gt;&lt;wsp:rsid wsp:val=&quot;00D77E41&quot;/&gt;&lt;wsp:rsid wsp:val=&quot;00D77EE5&quot;/&gt;&lt;wsp:rsid wsp:val=&quot;00D8039A&quot;/&gt;&lt;wsp:rsid wsp:val=&quot;00D80913&quot;/&gt;&lt;wsp:rsid wsp:val=&quot;00D8099C&quot;/&gt;&lt;wsp:rsid wsp:val=&quot;00D81B99&quot;/&gt;&lt;wsp:rsid wsp:val=&quot;00D81FEC&quot;/&gt;&lt;wsp:rsid wsp:val=&quot;00D823EE&quot;/&gt;&lt;wsp:rsid wsp:val=&quot;00D82815&quot;/&gt;&lt;wsp:rsid wsp:val=&quot;00D82C31&quot;/&gt;&lt;wsp:rsid wsp:val=&quot;00D832A4&quot;/&gt;&lt;wsp:rsid wsp:val=&quot;00D8349C&quot;/&gt;&lt;wsp:rsid wsp:val=&quot;00D838AF&quot;/&gt;&lt;wsp:rsid wsp:val=&quot;00D84113&quot;/&gt;&lt;wsp:rsid wsp:val=&quot;00D84285&quot;/&gt;&lt;wsp:rsid wsp:val=&quot;00D84349&quot;/&gt;&lt;wsp:rsid wsp:val=&quot;00D84901&quot;/&gt;&lt;wsp:rsid wsp:val=&quot;00D8560C&quot;/&gt;&lt;wsp:rsid wsp:val=&quot;00D861CD&quot;/&gt;&lt;wsp:rsid wsp:val=&quot;00D8659C&quot;/&gt;&lt;wsp:rsid wsp:val=&quot;00D870F2&quot;/&gt;&lt;wsp:rsid wsp:val=&quot;00D87463&quot;/&gt;&lt;wsp:rsid wsp:val=&quot;00D87753&quot;/&gt;&lt;wsp:rsid wsp:val=&quot;00D87A65&quot;/&gt;&lt;wsp:rsid wsp:val=&quot;00D87E2C&quot;/&gt;&lt;wsp:rsid wsp:val=&quot;00D90202&quot;/&gt;&lt;wsp:rsid wsp:val=&quot;00D902F2&quot;/&gt;&lt;wsp:rsid wsp:val=&quot;00D90B88&quot;/&gt;&lt;wsp:rsid wsp:val=&quot;00D91448&quot;/&gt;&lt;wsp:rsid wsp:val=&quot;00D92263&quot;/&gt;&lt;wsp:rsid wsp:val=&quot;00D92855&quot;/&gt;&lt;wsp:rsid wsp:val=&quot;00D92C6B&quot;/&gt;&lt;wsp:rsid wsp:val=&quot;00D93D26&quot;/&gt;&lt;wsp:rsid wsp:val=&quot;00D94199&quot;/&gt;&lt;wsp:rsid wsp:val=&quot;00D956DD&quot;/&gt;&lt;wsp:rsid wsp:val=&quot;00D96206&quot;/&gt;&lt;wsp:rsid wsp:val=&quot;00D964F2&quot;/&gt;&lt;wsp:rsid wsp:val=&quot;00D96C27&quot;/&gt;&lt;wsp:rsid wsp:val=&quot;00D96EEC&quot;/&gt;&lt;wsp:rsid wsp:val=&quot;00D97034&quot;/&gt;&lt;wsp:rsid wsp:val=&quot;00D97574&quot;/&gt;&lt;wsp:rsid wsp:val=&quot;00D97F4E&quot;/&gt;&lt;wsp:rsid wsp:val=&quot;00DA0AFC&quot;/&gt;&lt;wsp:rsid wsp:val=&quot;00DA0B47&quot;/&gt;&lt;wsp:rsid wsp:val=&quot;00DA0BC9&quot;/&gt;&lt;wsp:rsid wsp:val=&quot;00DA0CD5&quot;/&gt;&lt;wsp:rsid wsp:val=&quot;00DA11A5&quot;/&gt;&lt;wsp:rsid wsp:val=&quot;00DA1871&quot;/&gt;&lt;wsp:rsid wsp:val=&quot;00DA1A41&quot;/&gt;&lt;wsp:rsid wsp:val=&quot;00DA20CD&quot;/&gt;&lt;wsp:rsid wsp:val=&quot;00DA21DD&quot;/&gt;&lt;wsp:rsid wsp:val=&quot;00DA2471&quot;/&gt;&lt;wsp:rsid wsp:val=&quot;00DA280C&quot;/&gt;&lt;wsp:rsid wsp:val=&quot;00DA2C4F&quot;/&gt;&lt;wsp:rsid wsp:val=&quot;00DA2E49&quot;/&gt;&lt;wsp:rsid wsp:val=&quot;00DA2E96&quot;/&gt;&lt;wsp:rsid wsp:val=&quot;00DA2EA7&quot;/&gt;&lt;wsp:rsid wsp:val=&quot;00DA2FE0&quot;/&gt;&lt;wsp:rsid wsp:val=&quot;00DA3027&quot;/&gt;&lt;wsp:rsid wsp:val=&quot;00DA32EB&quot;/&gt;&lt;wsp:rsid wsp:val=&quot;00DA337D&quot;/&gt;&lt;wsp:rsid wsp:val=&quot;00DA486E&quot;/&gt;&lt;wsp:rsid wsp:val=&quot;00DA512F&quot;/&gt;&lt;wsp:rsid wsp:val=&quot;00DA5201&quot;/&gt;&lt;wsp:rsid wsp:val=&quot;00DA54D4&quot;/&gt;&lt;wsp:rsid wsp:val=&quot;00DA5D21&quot;/&gt;&lt;wsp:rsid wsp:val=&quot;00DA617F&quot;/&gt;&lt;wsp:rsid wsp:val=&quot;00DA66B8&quot;/&gt;&lt;wsp:rsid wsp:val=&quot;00DA706A&quot;/&gt;&lt;wsp:rsid wsp:val=&quot;00DA72CF&quot;/&gt;&lt;wsp:rsid wsp:val=&quot;00DA734D&quot;/&gt;&lt;wsp:rsid wsp:val=&quot;00DA7727&quot;/&gt;&lt;wsp:rsid wsp:val=&quot;00DA78D0&quot;/&gt;&lt;wsp:rsid wsp:val=&quot;00DA7B02&quot;/&gt;&lt;wsp:rsid wsp:val=&quot;00DA7D0F&quot;/&gt;&lt;wsp:rsid wsp:val=&quot;00DB0281&quot;/&gt;&lt;wsp:rsid wsp:val=&quot;00DB03D0&quot;/&gt;&lt;wsp:rsid wsp:val=&quot;00DB0A6E&quot;/&gt;&lt;wsp:rsid wsp:val=&quot;00DB0D6F&quot;/&gt;&lt;wsp:rsid wsp:val=&quot;00DB1E42&quot;/&gt;&lt;wsp:rsid wsp:val=&quot;00DB1FB2&quot;/&gt;&lt;wsp:rsid wsp:val=&quot;00DB2616&quot;/&gt;&lt;wsp:rsid wsp:val=&quot;00DB2AD8&quot;/&gt;&lt;wsp:rsid wsp:val=&quot;00DB303C&quot;/&gt;&lt;wsp:rsid wsp:val=&quot;00DB31D4&quot;/&gt;&lt;wsp:rsid wsp:val=&quot;00DB34E0&quot;/&gt;&lt;wsp:rsid wsp:val=&quot;00DB4138&quot;/&gt;&lt;wsp:rsid wsp:val=&quot;00DB4491&quot;/&gt;&lt;wsp:rsid wsp:val=&quot;00DB4872&quot;/&gt;&lt;wsp:rsid wsp:val=&quot;00DB49C5&quot;/&gt;&lt;wsp:rsid wsp:val=&quot;00DB5001&quot;/&gt;&lt;wsp:rsid wsp:val=&quot;00DB589E&quot;/&gt;&lt;wsp:rsid wsp:val=&quot;00DB62A5&quot;/&gt;&lt;wsp:rsid wsp:val=&quot;00DB62A6&quot;/&gt;&lt;wsp:rsid wsp:val=&quot;00DB6606&quot;/&gt;&lt;wsp:rsid wsp:val=&quot;00DB6D36&quot;/&gt;&lt;wsp:rsid wsp:val=&quot;00DB7756&quot;/&gt;&lt;wsp:rsid wsp:val=&quot;00DB7784&quot;/&gt;&lt;wsp:rsid wsp:val=&quot;00DB7905&quot;/&gt;&lt;wsp:rsid wsp:val=&quot;00DB7A2A&quot;/&gt;&lt;wsp:rsid wsp:val=&quot;00DB7B75&quot;/&gt;&lt;wsp:rsid wsp:val=&quot;00DC0325&quot;/&gt;&lt;wsp:rsid wsp:val=&quot;00DC0A1C&quot;/&gt;&lt;wsp:rsid wsp:val=&quot;00DC169C&quot;/&gt;&lt;wsp:rsid wsp:val=&quot;00DC1922&quot;/&gt;&lt;wsp:rsid wsp:val=&quot;00DC2AED&quot;/&gt;&lt;wsp:rsid wsp:val=&quot;00DC3209&quot;/&gt;&lt;wsp:rsid wsp:val=&quot;00DC3548&quot;/&gt;&lt;wsp:rsid wsp:val=&quot;00DC3654&quot;/&gt;&lt;wsp:rsid wsp:val=&quot;00DC3CEF&quot;/&gt;&lt;wsp:rsid wsp:val=&quot;00DC40B0&quot;/&gt;&lt;wsp:rsid wsp:val=&quot;00DC4A31&quot;/&gt;&lt;wsp:rsid wsp:val=&quot;00DC4DEE&quot;/&gt;&lt;wsp:rsid wsp:val=&quot;00DC4F31&quot;/&gt;&lt;wsp:rsid wsp:val=&quot;00DC528E&quot;/&gt;&lt;wsp:rsid wsp:val=&quot;00DC54AC&quot;/&gt;&lt;wsp:rsid wsp:val=&quot;00DC5621&quot;/&gt;&lt;wsp:rsid wsp:val=&quot;00DC5AF4&quot;/&gt;&lt;wsp:rsid wsp:val=&quot;00DC6079&quot;/&gt;&lt;wsp:rsid wsp:val=&quot;00DC6567&quot;/&gt;&lt;wsp:rsid wsp:val=&quot;00DC692B&quot;/&gt;&lt;wsp:rsid wsp:val=&quot;00DC6977&quot;/&gt;&lt;wsp:rsid wsp:val=&quot;00DC6CD6&quot;/&gt;&lt;wsp:rsid wsp:val=&quot;00DC6DAF&quot;/&gt;&lt;wsp:rsid wsp:val=&quot;00DC6FFC&quot;/&gt;&lt;wsp:rsid wsp:val=&quot;00DC715F&quot;/&gt;&lt;wsp:rsid wsp:val=&quot;00DC7C84&quot;/&gt;&lt;wsp:rsid wsp:val=&quot;00DD00E1&quot;/&gt;&lt;wsp:rsid wsp:val=&quot;00DD0308&quot;/&gt;&lt;wsp:rsid wsp:val=&quot;00DD05E0&quot;/&gt;&lt;wsp:rsid wsp:val=&quot;00DD0BB7&quot;/&gt;&lt;wsp:rsid wsp:val=&quot;00DD0E63&quot;/&gt;&lt;wsp:rsid wsp:val=&quot;00DD1075&quot;/&gt;&lt;wsp:rsid wsp:val=&quot;00DD1586&quot;/&gt;&lt;wsp:rsid wsp:val=&quot;00DD1F25&quot;/&gt;&lt;wsp:rsid wsp:val=&quot;00DD258A&quot;/&gt;&lt;wsp:rsid wsp:val=&quot;00DD25DF&quot;/&gt;&lt;wsp:rsid wsp:val=&quot;00DD2ADC&quot;/&gt;&lt;wsp:rsid wsp:val=&quot;00DD2C56&quot;/&gt;&lt;wsp:rsid wsp:val=&quot;00DD2F38&quot;/&gt;&lt;wsp:rsid wsp:val=&quot;00DD39C8&quot;/&gt;&lt;wsp:rsid wsp:val=&quot;00DD4759&quot;/&gt;&lt;wsp:rsid wsp:val=&quot;00DD4A3C&quot;/&gt;&lt;wsp:rsid wsp:val=&quot;00DD4F3D&quot;/&gt;&lt;wsp:rsid wsp:val=&quot;00DD521B&quot;/&gt;&lt;wsp:rsid wsp:val=&quot;00DD5432&quot;/&gt;&lt;wsp:rsid wsp:val=&quot;00DD5BBC&quot;/&gt;&lt;wsp:rsid wsp:val=&quot;00DD60D4&quot;/&gt;&lt;wsp:rsid wsp:val=&quot;00DD736C&quot;/&gt;&lt;wsp:rsid wsp:val=&quot;00DD76FC&quot;/&gt;&lt;wsp:rsid wsp:val=&quot;00DD7B4A&quot;/&gt;&lt;wsp:rsid wsp:val=&quot;00DE0182&quot;/&gt;&lt;wsp:rsid wsp:val=&quot;00DE1999&quot;/&gt;&lt;wsp:rsid wsp:val=&quot;00DE1C00&quot;/&gt;&lt;wsp:rsid wsp:val=&quot;00DE2353&quot;/&gt;&lt;wsp:rsid wsp:val=&quot;00DE2665&quot;/&gt;&lt;wsp:rsid wsp:val=&quot;00DE278C&quot;/&gt;&lt;wsp:rsid wsp:val=&quot;00DE2CEC&quot;/&gt;&lt;wsp:rsid wsp:val=&quot;00DE2D9A&quot;/&gt;&lt;wsp:rsid wsp:val=&quot;00DE32DF&quot;/&gt;&lt;wsp:rsid wsp:val=&quot;00DE3400&quot;/&gt;&lt;wsp:rsid wsp:val=&quot;00DE3546&quot;/&gt;&lt;wsp:rsid wsp:val=&quot;00DE3CE4&quot;/&gt;&lt;wsp:rsid wsp:val=&quot;00DE3F26&quot;/&gt;&lt;wsp:rsid wsp:val=&quot;00DE429F&quot;/&gt;&lt;wsp:rsid wsp:val=&quot;00DE4733&quot;/&gt;&lt;wsp:rsid wsp:val=&quot;00DE5249&quot;/&gt;&lt;wsp:rsid wsp:val=&quot;00DE5A9C&quot;/&gt;&lt;wsp:rsid wsp:val=&quot;00DE5F92&quot;/&gt;&lt;wsp:rsid wsp:val=&quot;00DE620B&quot;/&gt;&lt;wsp:rsid wsp:val=&quot;00DE6CF2&quot;/&gt;&lt;wsp:rsid wsp:val=&quot;00DE7276&quot;/&gt;&lt;wsp:rsid wsp:val=&quot;00DF0C04&quot;/&gt;&lt;wsp:rsid wsp:val=&quot;00DF0F6D&quot;/&gt;&lt;wsp:rsid wsp:val=&quot;00DF13FD&quot;/&gt;&lt;wsp:rsid wsp:val=&quot;00DF1D30&quot;/&gt;&lt;wsp:rsid wsp:val=&quot;00DF1D9F&quot;/&gt;&lt;wsp:rsid wsp:val=&quot;00DF20DE&quot;/&gt;&lt;wsp:rsid wsp:val=&quot;00DF213A&quot;/&gt;&lt;wsp:rsid wsp:val=&quot;00DF2ED7&quot;/&gt;&lt;wsp:rsid wsp:val=&quot;00DF3311&quot;/&gt;&lt;wsp:rsid wsp:val=&quot;00DF337F&quot;/&gt;&lt;wsp:rsid wsp:val=&quot;00DF354A&quot;/&gt;&lt;wsp:rsid wsp:val=&quot;00DF45BC&quot;/&gt;&lt;wsp:rsid wsp:val=&quot;00DF4636&quot;/&gt;&lt;wsp:rsid wsp:val=&quot;00DF4698&quot;/&gt;&lt;wsp:rsid wsp:val=&quot;00DF478E&quot;/&gt;&lt;wsp:rsid wsp:val=&quot;00DF4BB2&quot;/&gt;&lt;wsp:rsid wsp:val=&quot;00DF4D7E&quot;/&gt;&lt;wsp:rsid wsp:val=&quot;00DF4EE2&quot;/&gt;&lt;wsp:rsid wsp:val=&quot;00DF5CB5&quot;/&gt;&lt;wsp:rsid wsp:val=&quot;00DF5FFE&quot;/&gt;&lt;wsp:rsid wsp:val=&quot;00DF6303&quot;/&gt;&lt;wsp:rsid wsp:val=&quot;00DF65F7&quot;/&gt;&lt;wsp:rsid wsp:val=&quot;00DF66AB&quot;/&gt;&lt;wsp:rsid wsp:val=&quot;00DF6820&quot;/&gt;&lt;wsp:rsid wsp:val=&quot;00DF6CDB&quot;/&gt;&lt;wsp:rsid wsp:val=&quot;00DF6D56&quot;/&gt;&lt;wsp:rsid wsp:val=&quot;00DF70D7&quot;/&gt;&lt;wsp:rsid wsp:val=&quot;00DF7A17&quot;/&gt;&lt;wsp:rsid wsp:val=&quot;00DF7AF3&quot;/&gt;&lt;wsp:rsid wsp:val=&quot;00DF7E57&quot;/&gt;&lt;wsp:rsid wsp:val=&quot;00DF7EDA&quot;/&gt;&lt;wsp:rsid wsp:val=&quot;00E00515&quot;/&gt;&lt;wsp:rsid wsp:val=&quot;00E011A8&quot;/&gt;&lt;wsp:rsid wsp:val=&quot;00E01436&quot;/&gt;&lt;wsp:rsid wsp:val=&quot;00E01975&quot;/&gt;&lt;wsp:rsid wsp:val=&quot;00E01A8C&quot;/&gt;&lt;wsp:rsid wsp:val=&quot;00E01B70&quot;/&gt;&lt;wsp:rsid wsp:val=&quot;00E01BFC&quot;/&gt;&lt;wsp:rsid wsp:val=&quot;00E01C05&quot;/&gt;&lt;wsp:rsid wsp:val=&quot;00E02292&quot;/&gt;&lt;wsp:rsid wsp:val=&quot;00E02581&quot;/&gt;&lt;wsp:rsid wsp:val=&quot;00E028D3&quot;/&gt;&lt;wsp:rsid wsp:val=&quot;00E02C39&quot;/&gt;&lt;wsp:rsid wsp:val=&quot;00E02DA9&quot;/&gt;&lt;wsp:rsid wsp:val=&quot;00E02FEA&quot;/&gt;&lt;wsp:rsid wsp:val=&quot;00E036E9&quot;/&gt;&lt;wsp:rsid wsp:val=&quot;00E03E72&quot;/&gt;&lt;wsp:rsid wsp:val=&quot;00E03FD4&quot;/&gt;&lt;wsp:rsid wsp:val=&quot;00E045BD&quot;/&gt;&lt;wsp:rsid wsp:val=&quot;00E04F65&quot;/&gt;&lt;wsp:rsid wsp:val=&quot;00E050A8&quot;/&gt;&lt;wsp:rsid wsp:val=&quot;00E057FE&quot;/&gt;&lt;wsp:rsid wsp:val=&quot;00E05A7B&quot;/&gt;&lt;wsp:rsid wsp:val=&quot;00E05C1C&quot;/&gt;&lt;wsp:rsid wsp:val=&quot;00E05C54&quot;/&gt;&lt;wsp:rsid wsp:val=&quot;00E05DBB&quot;/&gt;&lt;wsp:rsid wsp:val=&quot;00E060B7&quot;/&gt;&lt;wsp:rsid wsp:val=&quot;00E06579&quot;/&gt;&lt;wsp:rsid wsp:val=&quot;00E06777&quot;/&gt;&lt;wsp:rsid wsp:val=&quot;00E071DD&quot;/&gt;&lt;wsp:rsid wsp:val=&quot;00E07269&quot;/&gt;&lt;wsp:rsid wsp:val=&quot;00E0794A&quot;/&gt;&lt;wsp:rsid wsp:val=&quot;00E100F4&quot;/&gt;&lt;wsp:rsid wsp:val=&quot;00E10B0C&quot;/&gt;&lt;wsp:rsid wsp:val=&quot;00E10F47&quot;/&gt;&lt;wsp:rsid wsp:val=&quot;00E10F6C&quot;/&gt;&lt;wsp:rsid wsp:val=&quot;00E11274&quot;/&gt;&lt;wsp:rsid wsp:val=&quot;00E11398&quot;/&gt;&lt;wsp:rsid wsp:val=&quot;00E11AE8&quot;/&gt;&lt;wsp:rsid wsp:val=&quot;00E11EA2&quot;/&gt;&lt;wsp:rsid wsp:val=&quot;00E1218B&quot;/&gt;&lt;wsp:rsid wsp:val=&quot;00E121DA&quot;/&gt;&lt;wsp:rsid wsp:val=&quot;00E1277D&quot;/&gt;&lt;wsp:rsid wsp:val=&quot;00E13113&quot;/&gt;&lt;wsp:rsid wsp:val=&quot;00E13334&quot;/&gt;&lt;wsp:rsid wsp:val=&quot;00E13ADC&quot;/&gt;&lt;wsp:rsid wsp:val=&quot;00E13EE1&quot;/&gt;&lt;wsp:rsid wsp:val=&quot;00E140D1&quot;/&gt;&lt;wsp:rsid wsp:val=&quot;00E15621&quot;/&gt;&lt;wsp:rsid wsp:val=&quot;00E15877&quot;/&gt;&lt;wsp:rsid wsp:val=&quot;00E15C2D&quot;/&gt;&lt;wsp:rsid wsp:val=&quot;00E16461&quot;/&gt;&lt;wsp:rsid wsp:val=&quot;00E165BA&quot;/&gt;&lt;wsp:rsid wsp:val=&quot;00E165EE&quot;/&gt;&lt;wsp:rsid wsp:val=&quot;00E166BB&quot;/&gt;&lt;wsp:rsid wsp:val=&quot;00E16E0D&quot;/&gt;&lt;wsp:rsid wsp:val=&quot;00E16ED0&quot;/&gt;&lt;wsp:rsid wsp:val=&quot;00E178EE&quot;/&gt;&lt;wsp:rsid wsp:val=&quot;00E17958&quot;/&gt;&lt;wsp:rsid wsp:val=&quot;00E20191&quot;/&gt;&lt;wsp:rsid wsp:val=&quot;00E20806&quot;/&gt;&lt;wsp:rsid wsp:val=&quot;00E20956&quot;/&gt;&lt;wsp:rsid wsp:val=&quot;00E2097B&quot;/&gt;&lt;wsp:rsid wsp:val=&quot;00E20ED0&quot;/&gt;&lt;wsp:rsid wsp:val=&quot;00E2123B&quot;/&gt;&lt;wsp:rsid wsp:val=&quot;00E213AA&quot;/&gt;&lt;wsp:rsid wsp:val=&quot;00E2156A&quot;/&gt;&lt;wsp:rsid wsp:val=&quot;00E21795&quot;/&gt;&lt;wsp:rsid wsp:val=&quot;00E22191&quot;/&gt;&lt;wsp:rsid wsp:val=&quot;00E22241&quot;/&gt;&lt;wsp:rsid wsp:val=&quot;00E227F3&quot;/&gt;&lt;wsp:rsid wsp:val=&quot;00E228D3&quot;/&gt;&lt;wsp:rsid wsp:val=&quot;00E22B18&quot;/&gt;&lt;wsp:rsid wsp:val=&quot;00E22D2E&quot;/&gt;&lt;wsp:rsid wsp:val=&quot;00E22E47&quot;/&gt;&lt;wsp:rsid wsp:val=&quot;00E22F48&quot;/&gt;&lt;wsp:rsid wsp:val=&quot;00E22FB4&quot;/&gt;&lt;wsp:rsid wsp:val=&quot;00E235E7&quot;/&gt;&lt;wsp:rsid wsp:val=&quot;00E237F6&quot;/&gt;&lt;wsp:rsid wsp:val=&quot;00E24428&quot;/&gt;&lt;wsp:rsid wsp:val=&quot;00E24C65&quot;/&gt;&lt;wsp:rsid wsp:val=&quot;00E24E03&quot;/&gt;&lt;wsp:rsid wsp:val=&quot;00E24E3A&quot;/&gt;&lt;wsp:rsid wsp:val=&quot;00E250E8&quot;/&gt;&lt;wsp:rsid wsp:val=&quot;00E25218&quot;/&gt;&lt;wsp:rsid wsp:val=&quot;00E255E5&quot;/&gt;&lt;wsp:rsid wsp:val=&quot;00E256B9&quot;/&gt;&lt;wsp:rsid wsp:val=&quot;00E2585B&quot;/&gt;&lt;wsp:rsid wsp:val=&quot;00E25F1C&quot;/&gt;&lt;wsp:rsid wsp:val=&quot;00E25FD7&quot;/&gt;&lt;wsp:rsid wsp:val=&quot;00E260EA&quot;/&gt;&lt;wsp:rsid wsp:val=&quot;00E260FA&quot;/&gt;&lt;wsp:rsid wsp:val=&quot;00E26148&quot;/&gt;&lt;wsp:rsid wsp:val=&quot;00E2640D&quot;/&gt;&lt;wsp:rsid wsp:val=&quot;00E266CD&quot;/&gt;&lt;wsp:rsid wsp:val=&quot;00E26A5E&quot;/&gt;&lt;wsp:rsid wsp:val=&quot;00E26F84&quot;/&gt;&lt;wsp:rsid wsp:val=&quot;00E2721F&quot;/&gt;&lt;wsp:rsid wsp:val=&quot;00E27BB7&quot;/&gt;&lt;wsp:rsid wsp:val=&quot;00E30150&quot;/&gt;&lt;wsp:rsid wsp:val=&quot;00E304FB&quot;/&gt;&lt;wsp:rsid wsp:val=&quot;00E305DF&quot;/&gt;&lt;wsp:rsid wsp:val=&quot;00E3064C&quot;/&gt;&lt;wsp:rsid wsp:val=&quot;00E30936&quot;/&gt;&lt;wsp:rsid wsp:val=&quot;00E30AE1&quot;/&gt;&lt;wsp:rsid wsp:val=&quot;00E30DD1&quot;/&gt;&lt;wsp:rsid wsp:val=&quot;00E312D3&quot;/&gt;&lt;wsp:rsid wsp:val=&quot;00E31B59&quot;/&gt;&lt;wsp:rsid wsp:val=&quot;00E32A0A&quot;/&gt;&lt;wsp:rsid wsp:val=&quot;00E32A4E&quot;/&gt;&lt;wsp:rsid wsp:val=&quot;00E33904&quot;/&gt;&lt;wsp:rsid wsp:val=&quot;00E33DBB&quot;/&gt;&lt;wsp:rsid wsp:val=&quot;00E33EAE&quot;/&gt;&lt;wsp:rsid wsp:val=&quot;00E33EDA&quot;/&gt;&lt;wsp:rsid wsp:val=&quot;00E35513&quot;/&gt;&lt;wsp:rsid wsp:val=&quot;00E35FF9&quot;/&gt;&lt;wsp:rsid wsp:val=&quot;00E36334&quot;/&gt;&lt;wsp:rsid wsp:val=&quot;00E36C08&quot;/&gt;&lt;wsp:rsid wsp:val=&quot;00E370CD&quot;/&gt;&lt;wsp:rsid wsp:val=&quot;00E37150&quot;/&gt;&lt;wsp:rsid wsp:val=&quot;00E37BAB&quot;/&gt;&lt;wsp:rsid wsp:val=&quot;00E40E27&quot;/&gt;&lt;wsp:rsid wsp:val=&quot;00E40E7C&quot;/&gt;&lt;wsp:rsid wsp:val=&quot;00E4128D&quot;/&gt;&lt;wsp:rsid wsp:val=&quot;00E4136D&quot;/&gt;&lt;wsp:rsid wsp:val=&quot;00E413B5&quot;/&gt;&lt;wsp:rsid wsp:val=&quot;00E4142B&quot;/&gt;&lt;wsp:rsid wsp:val=&quot;00E4153E&quot;/&gt;&lt;wsp:rsid wsp:val=&quot;00E4376C&quot;/&gt;&lt;wsp:rsid wsp:val=&quot;00E44071&quot;/&gt;&lt;wsp:rsid wsp:val=&quot;00E44CBE&quot;/&gt;&lt;wsp:rsid wsp:val=&quot;00E44E97&quot;/&gt;&lt;wsp:rsid wsp:val=&quot;00E453A7&quot;/&gt;&lt;wsp:rsid wsp:val=&quot;00E453B1&quot;/&gt;&lt;wsp:rsid wsp:val=&quot;00E457C1&quot;/&gt;&lt;wsp:rsid wsp:val=&quot;00E4595B&quot;/&gt;&lt;wsp:rsid wsp:val=&quot;00E471B3&quot;/&gt;&lt;wsp:rsid wsp:val=&quot;00E4754D&quot;/&gt;&lt;wsp:rsid wsp:val=&quot;00E4784C&quot;/&gt;&lt;wsp:rsid wsp:val=&quot;00E47A8A&quot;/&gt;&lt;wsp:rsid wsp:val=&quot;00E50A99&quot;/&gt;&lt;wsp:rsid wsp:val=&quot;00E51B44&quot;/&gt;&lt;wsp:rsid wsp:val=&quot;00E51C8A&quot;/&gt;&lt;wsp:rsid wsp:val=&quot;00E51E98&quot;/&gt;&lt;wsp:rsid wsp:val=&quot;00E51F84&quot;/&gt;&lt;wsp:rsid wsp:val=&quot;00E530EF&quot;/&gt;&lt;wsp:rsid wsp:val=&quot;00E53AB6&quot;/&gt;&lt;wsp:rsid wsp:val=&quot;00E5464C&quot;/&gt;&lt;wsp:rsid wsp:val=&quot;00E54B97&quot;/&gt;&lt;wsp:rsid wsp:val=&quot;00E54C65&quot;/&gt;&lt;wsp:rsid wsp:val=&quot;00E550DF&quot;/&gt;&lt;wsp:rsid wsp:val=&quot;00E55200&quot;/&gt;&lt;wsp:rsid wsp:val=&quot;00E552F6&quot;/&gt;&lt;wsp:rsid wsp:val=&quot;00E5535D&quot;/&gt;&lt;wsp:rsid wsp:val=&quot;00E5539D&quot;/&gt;&lt;wsp:rsid wsp:val=&quot;00E556B0&quot;/&gt;&lt;wsp:rsid wsp:val=&quot;00E557B2&quot;/&gt;&lt;wsp:rsid wsp:val=&quot;00E55AF2&quot;/&gt;&lt;wsp:rsid wsp:val=&quot;00E55CAA&quot;/&gt;&lt;wsp:rsid wsp:val=&quot;00E55EA3&quot;/&gt;&lt;wsp:rsid wsp:val=&quot;00E56614&quot;/&gt;&lt;wsp:rsid wsp:val=&quot;00E57202&quot;/&gt;&lt;wsp:rsid wsp:val=&quot;00E5751F&quot;/&gt;&lt;wsp:rsid wsp:val=&quot;00E5753A&quot;/&gt;&lt;wsp:rsid wsp:val=&quot;00E602DD&quot;/&gt;&lt;wsp:rsid wsp:val=&quot;00E609F9&quot;/&gt;&lt;wsp:rsid wsp:val=&quot;00E61222&quot;/&gt;&lt;wsp:rsid wsp:val=&quot;00E61788&quot;/&gt;&lt;wsp:rsid wsp:val=&quot;00E6181C&quot;/&gt;&lt;wsp:rsid wsp:val=&quot;00E61C7F&quot;/&gt;&lt;wsp:rsid wsp:val=&quot;00E629A8&quot;/&gt;&lt;wsp:rsid wsp:val=&quot;00E62F4C&quot;/&gt;&lt;wsp:rsid wsp:val=&quot;00E6361F&quot;/&gt;&lt;wsp:rsid wsp:val=&quot;00E63889&quot;/&gt;&lt;wsp:rsid wsp:val=&quot;00E65295&quot;/&gt;&lt;wsp:rsid wsp:val=&quot;00E654CD&quot;/&gt;&lt;wsp:rsid wsp:val=&quot;00E65642&quot;/&gt;&lt;wsp:rsid wsp:val=&quot;00E65A60&quot;/&gt;&lt;wsp:rsid wsp:val=&quot;00E65BFC&quot;/&gt;&lt;wsp:rsid wsp:val=&quot;00E65DE0&quot;/&gt;&lt;wsp:rsid wsp:val=&quot;00E661F4&quot;/&gt;&lt;wsp:rsid wsp:val=&quot;00E67921&quot;/&gt;&lt;wsp:rsid wsp:val=&quot;00E67A81&quot;/&gt;&lt;wsp:rsid wsp:val=&quot;00E67E88&quot;/&gt;&lt;wsp:rsid wsp:val=&quot;00E705F2&quot;/&gt;&lt;wsp:rsid wsp:val=&quot;00E71329&quot;/&gt;&lt;wsp:rsid wsp:val=&quot;00E71370&quot;/&gt;&lt;wsp:rsid wsp:val=&quot;00E71989&quot;/&gt;&lt;wsp:rsid wsp:val=&quot;00E71E64&quot;/&gt;&lt;wsp:rsid wsp:val=&quot;00E7293E&quot;/&gt;&lt;wsp:rsid wsp:val=&quot;00E72B30&quot;/&gt;&lt;wsp:rsid wsp:val=&quot;00E730E8&quot;/&gt;&lt;wsp:rsid wsp:val=&quot;00E7331A&quot;/&gt;&lt;wsp:rsid wsp:val=&quot;00E73BC3&quot;/&gt;&lt;wsp:rsid wsp:val=&quot;00E74541&quot;/&gt;&lt;wsp:rsid wsp:val=&quot;00E74E9C&quot;/&gt;&lt;wsp:rsid wsp:val=&quot;00E76534&quot;/&gt;&lt;wsp:rsid wsp:val=&quot;00E76A71&quot;/&gt;&lt;wsp:rsid wsp:val=&quot;00E76F07&quot;/&gt;&lt;wsp:rsid wsp:val=&quot;00E77367&quot;/&gt;&lt;wsp:rsid wsp:val=&quot;00E7736B&quot;/&gt;&lt;wsp:rsid wsp:val=&quot;00E77491&quot;/&gt;&lt;wsp:rsid wsp:val=&quot;00E7783E&quot;/&gt;&lt;wsp:rsid wsp:val=&quot;00E80742&quot;/&gt;&lt;wsp:rsid wsp:val=&quot;00E8076A&quot;/&gt;&lt;wsp:rsid wsp:val=&quot;00E80E38&quot;/&gt;&lt;wsp:rsid wsp:val=&quot;00E81065&quot;/&gt;&lt;wsp:rsid wsp:val=&quot;00E81080&quot;/&gt;&lt;wsp:rsid wsp:val=&quot;00E8151B&quot;/&gt;&lt;wsp:rsid wsp:val=&quot;00E81D41&quot;/&gt;&lt;wsp:rsid wsp:val=&quot;00E81DE7&quot;/&gt;&lt;wsp:rsid wsp:val=&quot;00E8306E&quot;/&gt;&lt;wsp:rsid wsp:val=&quot;00E83392&quot;/&gt;&lt;wsp:rsid wsp:val=&quot;00E8358C&quot;/&gt;&lt;wsp:rsid wsp:val=&quot;00E83AB2&quot;/&gt;&lt;wsp:rsid wsp:val=&quot;00E83AD9&quot;/&gt;&lt;wsp:rsid wsp:val=&quot;00E842F3&quot;/&gt;&lt;wsp:rsid wsp:val=&quot;00E84594&quot;/&gt;&lt;wsp:rsid wsp:val=&quot;00E84708&quot;/&gt;&lt;wsp:rsid wsp:val=&quot;00E84D3F&quot;/&gt;&lt;wsp:rsid wsp:val=&quot;00E851E6&quot;/&gt;&lt;wsp:rsid wsp:val=&quot;00E8579F&quot;/&gt;&lt;wsp:rsid wsp:val=&quot;00E85A3C&quot;/&gt;&lt;wsp:rsid wsp:val=&quot;00E85DF9&quot;/&gt;&lt;wsp:rsid wsp:val=&quot;00E86904&quot;/&gt;&lt;wsp:rsid wsp:val=&quot;00E86CCA&quot;/&gt;&lt;wsp:rsid wsp:val=&quot;00E879D3&quot;/&gt;&lt;wsp:rsid wsp:val=&quot;00E87FB4&quot;/&gt;&lt;wsp:rsid wsp:val=&quot;00E901D0&quot;/&gt;&lt;wsp:rsid wsp:val=&quot;00E90708&quot;/&gt;&lt;wsp:rsid wsp:val=&quot;00E9070C&quot;/&gt;&lt;wsp:rsid wsp:val=&quot;00E9085E&quot;/&gt;&lt;wsp:rsid wsp:val=&quot;00E90D6E&quot;/&gt;&lt;wsp:rsid wsp:val=&quot;00E912EE&quot;/&gt;&lt;wsp:rsid wsp:val=&quot;00E914CD&quot;/&gt;&lt;wsp:rsid wsp:val=&quot;00E915CC&quot;/&gt;&lt;wsp:rsid wsp:val=&quot;00E91F68&quot;/&gt;&lt;wsp:rsid wsp:val=&quot;00E91F7C&quot;/&gt;&lt;wsp:rsid wsp:val=&quot;00E92949&quot;/&gt;&lt;wsp:rsid wsp:val=&quot;00E92BAF&quot;/&gt;&lt;wsp:rsid wsp:val=&quot;00E93270&quot;/&gt;&lt;wsp:rsid wsp:val=&quot;00E94296&quot;/&gt;&lt;wsp:rsid wsp:val=&quot;00E94607&quot;/&gt;&lt;wsp:rsid wsp:val=&quot;00E9471D&quot;/&gt;&lt;wsp:rsid wsp:val=&quot;00E94937&quot;/&gt;&lt;wsp:rsid wsp:val=&quot;00E94C77&quot;/&gt;&lt;wsp:rsid wsp:val=&quot;00E94DC9&quot;/&gt;&lt;wsp:rsid wsp:val=&quot;00E94F57&quot;/&gt;&lt;wsp:rsid wsp:val=&quot;00E94FDF&quot;/&gt;&lt;wsp:rsid wsp:val=&quot;00E9500A&quot;/&gt;&lt;wsp:rsid wsp:val=&quot;00E95855&quot;/&gt;&lt;wsp:rsid wsp:val=&quot;00E95A0B&quot;/&gt;&lt;wsp:rsid wsp:val=&quot;00E960CE&quot;/&gt;&lt;wsp:rsid wsp:val=&quot;00E960FF&quot;/&gt;&lt;wsp:rsid wsp:val=&quot;00E961CF&quot;/&gt;&lt;wsp:rsid wsp:val=&quot;00E96CED&quot;/&gt;&lt;wsp:rsid wsp:val=&quot;00E976F6&quot;/&gt;&lt;wsp:rsid wsp:val=&quot;00E9774A&quot;/&gt;&lt;wsp:rsid wsp:val=&quot;00E97C94&quot;/&gt;&lt;wsp:rsid wsp:val=&quot;00E97E5A&quot;/&gt;&lt;wsp:rsid wsp:val=&quot;00EA026C&quot;/&gt;&lt;wsp:rsid wsp:val=&quot;00EA1D2F&quot;/&gt;&lt;wsp:rsid wsp:val=&quot;00EA1F19&quot;/&gt;&lt;wsp:rsid wsp:val=&quot;00EA2C5B&quot;/&gt;&lt;wsp:rsid wsp:val=&quot;00EA32D8&quot;/&gt;&lt;wsp:rsid wsp:val=&quot;00EA33C2&quot;/&gt;&lt;wsp:rsid wsp:val=&quot;00EA351D&quot;/&gt;&lt;wsp:rsid wsp:val=&quot;00EA3EBC&quot;/&gt;&lt;wsp:rsid wsp:val=&quot;00EA4258&quot;/&gt;&lt;wsp:rsid wsp:val=&quot;00EA5058&quot;/&gt;&lt;wsp:rsid wsp:val=&quot;00EA5338&quot;/&gt;&lt;wsp:rsid wsp:val=&quot;00EA5509&quot;/&gt;&lt;wsp:rsid wsp:val=&quot;00EA567F&quot;/&gt;&lt;wsp:rsid wsp:val=&quot;00EA67CA&quot;/&gt;&lt;wsp:rsid wsp:val=&quot;00EB01A5&quot;/&gt;&lt;wsp:rsid wsp:val=&quot;00EB01EE&quot;/&gt;&lt;wsp:rsid wsp:val=&quot;00EB0AA1&quot;/&gt;&lt;wsp:rsid wsp:val=&quot;00EB0B79&quot;/&gt;&lt;wsp:rsid wsp:val=&quot;00EB16FA&quot;/&gt;&lt;wsp:rsid wsp:val=&quot;00EB1B40&quot;/&gt;&lt;wsp:rsid wsp:val=&quot;00EB1E5B&quot;/&gt;&lt;wsp:rsid wsp:val=&quot;00EB2223&quot;/&gt;&lt;wsp:rsid wsp:val=&quot;00EB22EF&quot;/&gt;&lt;wsp:rsid wsp:val=&quot;00EB234D&quot;/&gt;&lt;wsp:rsid wsp:val=&quot;00EB2676&quot;/&gt;&lt;wsp:rsid wsp:val=&quot;00EB2C53&quot;/&gt;&lt;wsp:rsid wsp:val=&quot;00EB2F62&quot;/&gt;&lt;wsp:rsid wsp:val=&quot;00EB3835&quot;/&gt;&lt;wsp:rsid wsp:val=&quot;00EB4476&quot;/&gt;&lt;wsp:rsid wsp:val=&quot;00EB4C66&quot;/&gt;&lt;wsp:rsid wsp:val=&quot;00EB52C2&quot;/&gt;&lt;wsp:rsid wsp:val=&quot;00EB54AC&quot;/&gt;&lt;wsp:rsid wsp:val=&quot;00EB5A3F&quot;/&gt;&lt;wsp:rsid wsp:val=&quot;00EB637D&quot;/&gt;&lt;wsp:rsid wsp:val=&quot;00EB6AEA&quot;/&gt;&lt;wsp:rsid wsp:val=&quot;00EB6B22&quot;/&gt;&lt;wsp:rsid wsp:val=&quot;00EB7452&quot;/&gt;&lt;wsp:rsid wsp:val=&quot;00EB74F7&quot;/&gt;&lt;wsp:rsid wsp:val=&quot;00EB7501&quot;/&gt;&lt;wsp:rsid wsp:val=&quot;00EB7B7A&quot;/&gt;&lt;wsp:rsid wsp:val=&quot;00EC015C&quot;/&gt;&lt;wsp:rsid wsp:val=&quot;00EC0796&quot;/&gt;&lt;wsp:rsid wsp:val=&quot;00EC0D2B&quot;/&gt;&lt;wsp:rsid wsp:val=&quot;00EC0FB3&quot;/&gt;&lt;wsp:rsid wsp:val=&quot;00EC102D&quot;/&gt;&lt;wsp:rsid wsp:val=&quot;00EC1C5B&quot;/&gt;&lt;wsp:rsid wsp:val=&quot;00EC1E78&quot;/&gt;&lt;wsp:rsid wsp:val=&quot;00EC2279&quot;/&gt;&lt;wsp:rsid wsp:val=&quot;00EC27C5&quot;/&gt;&lt;wsp:rsid wsp:val=&quot;00EC3C9E&quot;/&gt;&lt;wsp:rsid wsp:val=&quot;00EC3E18&quot;/&gt;&lt;wsp:rsid wsp:val=&quot;00EC3E1E&quot;/&gt;&lt;wsp:rsid wsp:val=&quot;00EC3E2C&quot;/&gt;&lt;wsp:rsid wsp:val=&quot;00EC43D3&quot;/&gt;&lt;wsp:rsid wsp:val=&quot;00EC4891&quot;/&gt;&lt;wsp:rsid wsp:val=&quot;00EC4B44&quot;/&gt;&lt;wsp:rsid wsp:val=&quot;00EC4D1F&quot;/&gt;&lt;wsp:rsid wsp:val=&quot;00EC6673&quot;/&gt;&lt;wsp:rsid wsp:val=&quot;00EC74D4&quot;/&gt;&lt;wsp:rsid wsp:val=&quot;00EC7AE9&quot;/&gt;&lt;wsp:rsid wsp:val=&quot;00EC7E81&quot;/&gt;&lt;wsp:rsid wsp:val=&quot;00ED0702&quot;/&gt;&lt;wsp:rsid wsp:val=&quot;00ED0904&quot;/&gt;&lt;wsp:rsid wsp:val=&quot;00ED0E0F&quot;/&gt;&lt;wsp:rsid wsp:val=&quot;00ED129E&quot;/&gt;&lt;wsp:rsid wsp:val=&quot;00ED13EF&quot;/&gt;&lt;wsp:rsid wsp:val=&quot;00ED1B04&quot;/&gt;&lt;wsp:rsid wsp:val=&quot;00ED27C3&quot;/&gt;&lt;wsp:rsid wsp:val=&quot;00ED28FF&quot;/&gt;&lt;wsp:rsid wsp:val=&quot;00ED2E1B&quot;/&gt;&lt;wsp:rsid wsp:val=&quot;00ED3496&quot;/&gt;&lt;wsp:rsid wsp:val=&quot;00ED3D22&quot;/&gt;&lt;wsp:rsid wsp:val=&quot;00ED417D&quot;/&gt;&lt;wsp:rsid wsp:val=&quot;00ED4790&quot;/&gt;&lt;wsp:rsid wsp:val=&quot;00ED5087&quot;/&gt;&lt;wsp:rsid wsp:val=&quot;00ED522B&quot;/&gt;&lt;wsp:rsid wsp:val=&quot;00ED544C&quot;/&gt;&lt;wsp:rsid wsp:val=&quot;00ED59B1&quot;/&gt;&lt;wsp:rsid wsp:val=&quot;00ED63FE&quot;/&gt;&lt;wsp:rsid wsp:val=&quot;00ED66B3&quot;/&gt;&lt;wsp:rsid wsp:val=&quot;00ED68FC&quot;/&gt;&lt;wsp:rsid wsp:val=&quot;00ED6BC5&quot;/&gt;&lt;wsp:rsid wsp:val=&quot;00ED6DA3&quot;/&gt;&lt;wsp:rsid wsp:val=&quot;00ED73B9&quot;/&gt;&lt;wsp:rsid wsp:val=&quot;00ED7595&quot;/&gt;&lt;wsp:rsid wsp:val=&quot;00ED7620&quot;/&gt;&lt;wsp:rsid wsp:val=&quot;00ED77C7&quot;/&gt;&lt;wsp:rsid wsp:val=&quot;00ED784D&quot;/&gt;&lt;wsp:rsid wsp:val=&quot;00ED7E7C&quot;/&gt;&lt;wsp:rsid wsp:val=&quot;00ED7EBC&quot;/&gt;&lt;wsp:rsid wsp:val=&quot;00EE00E1&quot;/&gt;&lt;wsp:rsid wsp:val=&quot;00EE0B2F&quot;/&gt;&lt;wsp:rsid wsp:val=&quot;00EE0F8D&quot;/&gt;&lt;wsp:rsid wsp:val=&quot;00EE136C&quot;/&gt;&lt;wsp:rsid wsp:val=&quot;00EE1886&quot;/&gt;&lt;wsp:rsid wsp:val=&quot;00EE1907&quot;/&gt;&lt;wsp:rsid wsp:val=&quot;00EE1D05&quot;/&gt;&lt;wsp:rsid wsp:val=&quot;00EE20E9&quot;/&gt;&lt;wsp:rsid wsp:val=&quot;00EE2CBE&quot;/&gt;&lt;wsp:rsid wsp:val=&quot;00EE2CDA&quot;/&gt;&lt;wsp:rsid wsp:val=&quot;00EE37A6&quot;/&gt;&lt;wsp:rsid wsp:val=&quot;00EE3F5B&quot;/&gt;&lt;wsp:rsid wsp:val=&quot;00EE509E&quot;/&gt;&lt;wsp:rsid wsp:val=&quot;00EE5C92&quot;/&gt;&lt;wsp:rsid wsp:val=&quot;00EE5E3D&quot;/&gt;&lt;wsp:rsid wsp:val=&quot;00EE6309&quot;/&gt;&lt;wsp:rsid wsp:val=&quot;00EE6D1B&quot;/&gt;&lt;wsp:rsid wsp:val=&quot;00EE6DE6&quot;/&gt;&lt;wsp:rsid wsp:val=&quot;00EE72DA&quot;/&gt;&lt;wsp:rsid wsp:val=&quot;00EE76F6&quot;/&gt;&lt;wsp:rsid wsp:val=&quot;00EE78F9&quot;/&gt;&lt;wsp:rsid wsp:val=&quot;00EE7DCA&quot;/&gt;&lt;wsp:rsid wsp:val=&quot;00EE7E16&quot;/&gt;&lt;wsp:rsid wsp:val=&quot;00EF1170&quot;/&gt;&lt;wsp:rsid wsp:val=&quot;00EF1741&quot;/&gt;&lt;wsp:rsid wsp:val=&quot;00EF19FC&quot;/&gt;&lt;wsp:rsid wsp:val=&quot;00EF1ED2&quot;/&gt;&lt;wsp:rsid wsp:val=&quot;00EF322D&quot;/&gt;&lt;wsp:rsid wsp:val=&quot;00EF3A83&quot;/&gt;&lt;wsp:rsid wsp:val=&quot;00EF3AAD&quot;/&gt;&lt;wsp:rsid wsp:val=&quot;00EF3C53&quot;/&gt;&lt;wsp:rsid wsp:val=&quot;00EF456F&quot;/&gt;&lt;wsp:rsid wsp:val=&quot;00EF4608&quot;/&gt;&lt;wsp:rsid wsp:val=&quot;00EF5FBE&quot;/&gt;&lt;wsp:rsid wsp:val=&quot;00EF70F4&quot;/&gt;&lt;wsp:rsid wsp:val=&quot;00EF7615&quot;/&gt;&lt;wsp:rsid wsp:val=&quot;00EF7924&quot;/&gt;&lt;wsp:rsid wsp:val=&quot;00EF7EEB&quot;/&gt;&lt;wsp:rsid wsp:val=&quot;00F00139&quot;/&gt;&lt;wsp:rsid wsp:val=&quot;00F0025F&quot;/&gt;&lt;wsp:rsid wsp:val=&quot;00F003C5&quot;/&gt;&lt;wsp:rsid wsp:val=&quot;00F012F4&quot;/&gt;&lt;wsp:rsid wsp:val=&quot;00F0170D&quot;/&gt;&lt;wsp:rsid wsp:val=&quot;00F02A0C&quot;/&gt;&lt;wsp:rsid wsp:val=&quot;00F02BC1&quot;/&gt;&lt;wsp:rsid wsp:val=&quot;00F03119&quot;/&gt;&lt;wsp:rsid wsp:val=&quot;00F0348C&quot;/&gt;&lt;wsp:rsid wsp:val=&quot;00F03DCF&quot;/&gt;&lt;wsp:rsid wsp:val=&quot;00F03FEC&quot;/&gt;&lt;wsp:rsid wsp:val=&quot;00F047DD&quot;/&gt;&lt;wsp:rsid wsp:val=&quot;00F04A7C&quot;/&gt;&lt;wsp:rsid wsp:val=&quot;00F04D10&quot;/&gt;&lt;wsp:rsid wsp:val=&quot;00F04F1F&quot;/&gt;&lt;wsp:rsid wsp:val=&quot;00F05C4A&quot;/&gt;&lt;wsp:rsid wsp:val=&quot;00F06AE0&quot;/&gt;&lt;wsp:rsid wsp:val=&quot;00F07021&quot;/&gt;&lt;wsp:rsid wsp:val=&quot;00F07036&quot;/&gt;&lt;wsp:rsid wsp:val=&quot;00F079D2&quot;/&gt;&lt;wsp:rsid wsp:val=&quot;00F07C4F&quot;/&gt;&lt;wsp:rsid wsp:val=&quot;00F10144&quot;/&gt;&lt;wsp:rsid wsp:val=&quot;00F1017B&quot;/&gt;&lt;wsp:rsid wsp:val=&quot;00F10A43&quot;/&gt;&lt;wsp:rsid wsp:val=&quot;00F10BB0&quot;/&gt;&lt;wsp:rsid wsp:val=&quot;00F111E6&quot;/&gt;&lt;wsp:rsid wsp:val=&quot;00F11A05&quot;/&gt;&lt;wsp:rsid wsp:val=&quot;00F11F2D&quot;/&gt;&lt;wsp:rsid wsp:val=&quot;00F120A8&quot;/&gt;&lt;wsp:rsid wsp:val=&quot;00F12607&quot;/&gt;&lt;wsp:rsid wsp:val=&quot;00F1275A&quot;/&gt;&lt;wsp:rsid wsp:val=&quot;00F127C8&quot;/&gt;&lt;wsp:rsid wsp:val=&quot;00F129F3&quot;/&gt;&lt;wsp:rsid wsp:val=&quot;00F12AED&quot;/&gt;&lt;wsp:rsid wsp:val=&quot;00F13705&quot;/&gt;&lt;wsp:rsid wsp:val=&quot;00F138F2&quot;/&gt;&lt;wsp:rsid wsp:val=&quot;00F13A51&quot;/&gt;&lt;wsp:rsid wsp:val=&quot;00F144D6&quot;/&gt;&lt;wsp:rsid wsp:val=&quot;00F14DF2&quot;/&gt;&lt;wsp:rsid wsp:val=&quot;00F14E9B&quot;/&gt;&lt;wsp:rsid wsp:val=&quot;00F151F5&quot;/&gt;&lt;wsp:rsid wsp:val=&quot;00F1532F&quot;/&gt;&lt;wsp:rsid wsp:val=&quot;00F16167&quot;/&gt;&lt;wsp:rsid wsp:val=&quot;00F161C4&quot;/&gt;&lt;wsp:rsid wsp:val=&quot;00F1631A&quot;/&gt;&lt;wsp:rsid wsp:val=&quot;00F1644F&quot;/&gt;&lt;wsp:rsid wsp:val=&quot;00F168A7&quot;/&gt;&lt;wsp:rsid wsp:val=&quot;00F1694B&quot;/&gt;&lt;wsp:rsid wsp:val=&quot;00F16DB6&quot;/&gt;&lt;wsp:rsid wsp:val=&quot;00F17122&quot;/&gt;&lt;wsp:rsid wsp:val=&quot;00F17274&quot;/&gt;&lt;wsp:rsid wsp:val=&quot;00F17410&quot;/&gt;&lt;wsp:rsid wsp:val=&quot;00F179D0&quot;/&gt;&lt;wsp:rsid wsp:val=&quot;00F179E1&quot;/&gt;&lt;wsp:rsid wsp:val=&quot;00F17D12&quot;/&gt;&lt;wsp:rsid wsp:val=&quot;00F203B8&quot;/&gt;&lt;wsp:rsid wsp:val=&quot;00F209A8&quot;/&gt;&lt;wsp:rsid wsp:val=&quot;00F20AE8&quot;/&gt;&lt;wsp:rsid wsp:val=&quot;00F210F3&quot;/&gt;&lt;wsp:rsid wsp:val=&quot;00F212E0&quot;/&gt;&lt;wsp:rsid wsp:val=&quot;00F213A0&quot;/&gt;&lt;wsp:rsid wsp:val=&quot;00F21434&quot;/&gt;&lt;wsp:rsid wsp:val=&quot;00F21ACB&quot;/&gt;&lt;wsp:rsid wsp:val=&quot;00F22B0A&quot;/&gt;&lt;wsp:rsid wsp:val=&quot;00F2318E&quot;/&gt;&lt;wsp:rsid wsp:val=&quot;00F23FAD&quot;/&gt;&lt;wsp:rsid wsp:val=&quot;00F25BCA&quot;/&gt;&lt;wsp:rsid wsp:val=&quot;00F25D19&quot;/&gt;&lt;wsp:rsid wsp:val=&quot;00F25D3E&quot;/&gt;&lt;wsp:rsid wsp:val=&quot;00F26151&quot;/&gt;&lt;wsp:rsid wsp:val=&quot;00F261FF&quot;/&gt;&lt;wsp:rsid wsp:val=&quot;00F26C12&quot;/&gt;&lt;wsp:rsid wsp:val=&quot;00F26D40&quot;/&gt;&lt;wsp:rsid wsp:val=&quot;00F26DE5&quot;/&gt;&lt;wsp:rsid wsp:val=&quot;00F26E9B&quot;/&gt;&lt;wsp:rsid wsp:val=&quot;00F26FC5&quot;/&gt;&lt;wsp:rsid wsp:val=&quot;00F27428&quot;/&gt;&lt;wsp:rsid wsp:val=&quot;00F276CF&quot;/&gt;&lt;wsp:rsid wsp:val=&quot;00F27F5B&quot;/&gt;&lt;wsp:rsid wsp:val=&quot;00F30057&quot;/&gt;&lt;wsp:rsid wsp:val=&quot;00F30113&quot;/&gt;&lt;wsp:rsid wsp:val=&quot;00F303FC&quot;/&gt;&lt;wsp:rsid wsp:val=&quot;00F305D4&quot;/&gt;&lt;wsp:rsid wsp:val=&quot;00F318EA&quot;/&gt;&lt;wsp:rsid wsp:val=&quot;00F31B64&quot;/&gt;&lt;wsp:rsid wsp:val=&quot;00F321DB&quot;/&gt;&lt;wsp:rsid wsp:val=&quot;00F32B74&quot;/&gt;&lt;wsp:rsid wsp:val=&quot;00F32C1A&quot;/&gt;&lt;wsp:rsid wsp:val=&quot;00F33119&quot;/&gt;&lt;wsp:rsid wsp:val=&quot;00F3323B&quot;/&gt;&lt;wsp:rsid wsp:val=&quot;00F3365C&quot;/&gt;&lt;wsp:rsid wsp:val=&quot;00F33C62&quot;/&gt;&lt;wsp:rsid wsp:val=&quot;00F34491&quot;/&gt;&lt;wsp:rsid wsp:val=&quot;00F3458D&quot;/&gt;&lt;wsp:rsid wsp:val=&quot;00F34A79&quot;/&gt;&lt;wsp:rsid wsp:val=&quot;00F34C74&quot;/&gt;&lt;wsp:rsid wsp:val=&quot;00F35253&quot;/&gt;&lt;wsp:rsid wsp:val=&quot;00F35303&quot;/&gt;&lt;wsp:rsid wsp:val=&quot;00F35627&quot;/&gt;&lt;wsp:rsid wsp:val=&quot;00F35659&quot;/&gt;&lt;wsp:rsid wsp:val=&quot;00F35AAA&quot;/&gt;&lt;wsp:rsid wsp:val=&quot;00F35F9D&quot;/&gt;&lt;wsp:rsid wsp:val=&quot;00F3615E&quot;/&gt;&lt;wsp:rsid wsp:val=&quot;00F361C5&quot;/&gt;&lt;wsp:rsid wsp:val=&quot;00F3669D&quot;/&gt;&lt;wsp:rsid wsp:val=&quot;00F3767A&quot;/&gt;&lt;wsp:rsid wsp:val=&quot;00F3779C&quot;/&gt;&lt;wsp:rsid wsp:val=&quot;00F414C8&quot;/&gt;&lt;wsp:rsid wsp:val=&quot;00F41ACC&quot;/&gt;&lt;wsp:rsid wsp:val=&quot;00F41AFB&quot;/&gt;&lt;wsp:rsid wsp:val=&quot;00F428C8&quot;/&gt;&lt;wsp:rsid wsp:val=&quot;00F431B3&quot;/&gt;&lt;wsp:rsid wsp:val=&quot;00F433B8&quot;/&gt;&lt;wsp:rsid wsp:val=&quot;00F4391C&quot;/&gt;&lt;wsp:rsid wsp:val=&quot;00F43F55&quot;/&gt;&lt;wsp:rsid wsp:val=&quot;00F445E2&quot;/&gt;&lt;wsp:rsid wsp:val=&quot;00F4550F&quot;/&gt;&lt;wsp:rsid wsp:val=&quot;00F45E60&quot;/&gt;&lt;wsp:rsid wsp:val=&quot;00F46106&quot;/&gt;&lt;wsp:rsid wsp:val=&quot;00F4625A&quot;/&gt;&lt;wsp:rsid wsp:val=&quot;00F469C2&quot;/&gt;&lt;wsp:rsid wsp:val=&quot;00F46FBB&quot;/&gt;&lt;wsp:rsid wsp:val=&quot;00F4710B&quot;/&gt;&lt;wsp:rsid wsp:val=&quot;00F477C9&quot;/&gt;&lt;wsp:rsid wsp:val=&quot;00F47958&quot;/&gt;&lt;wsp:rsid wsp:val=&quot;00F47A7F&quot;/&gt;&lt;wsp:rsid wsp:val=&quot;00F47CE9&quot;/&gt;&lt;wsp:rsid wsp:val=&quot;00F502FD&quot;/&gt;&lt;wsp:rsid wsp:val=&quot;00F503A7&quot;/&gt;&lt;wsp:rsid wsp:val=&quot;00F50673&quot;/&gt;&lt;wsp:rsid wsp:val=&quot;00F508D8&quot;/&gt;&lt;wsp:rsid wsp:val=&quot;00F50B1C&quot;/&gt;&lt;wsp:rsid wsp:val=&quot;00F51164&quot;/&gt;&lt;wsp:rsid wsp:val=&quot;00F51A53&quot;/&gt;&lt;wsp:rsid wsp:val=&quot;00F51EB3&quot;/&gt;&lt;wsp:rsid wsp:val=&quot;00F51F90&quot;/&gt;&lt;wsp:rsid wsp:val=&quot;00F52141&quot;/&gt;&lt;wsp:rsid wsp:val=&quot;00F52185&quot;/&gt;&lt;wsp:rsid wsp:val=&quot;00F52A6D&quot;/&gt;&lt;wsp:rsid wsp:val=&quot;00F5327D&quot;/&gt;&lt;wsp:rsid wsp:val=&quot;00F53CA9&quot;/&gt;&lt;wsp:rsid wsp:val=&quot;00F53E30&quot;/&gt;&lt;wsp:rsid wsp:val=&quot;00F5481D&quot;/&gt;&lt;wsp:rsid wsp:val=&quot;00F55101&quot;/&gt;&lt;wsp:rsid wsp:val=&quot;00F553A0&quot;/&gt;&lt;wsp:rsid wsp:val=&quot;00F55AA1&quot;/&gt;&lt;wsp:rsid wsp:val=&quot;00F55BFE&quot;/&gt;&lt;wsp:rsid wsp:val=&quot;00F56762&quot;/&gt;&lt;wsp:rsid wsp:val=&quot;00F567D8&quot;/&gt;&lt;wsp:rsid wsp:val=&quot;00F56CA6&quot;/&gt;&lt;wsp:rsid wsp:val=&quot;00F571DE&quot;/&gt;&lt;wsp:rsid wsp:val=&quot;00F57629&quot;/&gt;&lt;wsp:rsid wsp:val=&quot;00F57C0E&quot;/&gt;&lt;wsp:rsid wsp:val=&quot;00F603B8&quot;/&gt;&lt;wsp:rsid wsp:val=&quot;00F6054C&quot;/&gt;&lt;wsp:rsid wsp:val=&quot;00F6089D&quot;/&gt;&lt;wsp:rsid wsp:val=&quot;00F60977&quot;/&gt;&lt;wsp:rsid wsp:val=&quot;00F6124D&quot;/&gt;&lt;wsp:rsid wsp:val=&quot;00F6168E&quot;/&gt;&lt;wsp:rsid wsp:val=&quot;00F617DE&quot;/&gt;&lt;wsp:rsid wsp:val=&quot;00F618E5&quot;/&gt;&lt;wsp:rsid wsp:val=&quot;00F61919&quot;/&gt;&lt;wsp:rsid wsp:val=&quot;00F619D8&quot;/&gt;&lt;wsp:rsid wsp:val=&quot;00F6211D&quot;/&gt;&lt;wsp:rsid wsp:val=&quot;00F62A9A&quot;/&gt;&lt;wsp:rsid wsp:val=&quot;00F62B9B&quot;/&gt;&lt;wsp:rsid wsp:val=&quot;00F62EE2&quot;/&gt;&lt;wsp:rsid wsp:val=&quot;00F630B7&quot;/&gt;&lt;wsp:rsid wsp:val=&quot;00F63489&quot;/&gt;&lt;wsp:rsid wsp:val=&quot;00F634CF&quot;/&gt;&lt;wsp:rsid wsp:val=&quot;00F642BC&quot;/&gt;&lt;wsp:rsid wsp:val=&quot;00F64DD1&quot;/&gt;&lt;wsp:rsid wsp:val=&quot;00F65225&quot;/&gt;&lt;wsp:rsid wsp:val=&quot;00F657DB&quot;/&gt;&lt;wsp:rsid wsp:val=&quot;00F6628C&quot;/&gt;&lt;wsp:rsid wsp:val=&quot;00F6655F&quot;/&gt;&lt;wsp:rsid wsp:val=&quot;00F6669B&quot;/&gt;&lt;wsp:rsid wsp:val=&quot;00F67000&quot;/&gt;&lt;wsp:rsid wsp:val=&quot;00F67B51&quot;/&gt;&lt;wsp:rsid wsp:val=&quot;00F67E92&quot;/&gt;&lt;wsp:rsid wsp:val=&quot;00F70BE3&quot;/&gt;&lt;wsp:rsid wsp:val=&quot;00F70E87&quot;/&gt;&lt;wsp:rsid wsp:val=&quot;00F70E9B&quot;/&gt;&lt;wsp:rsid wsp:val=&quot;00F71204&quot;/&gt;&lt;wsp:rsid wsp:val=&quot;00F71894&quot;/&gt;&lt;wsp:rsid wsp:val=&quot;00F71D0E&quot;/&gt;&lt;wsp:rsid wsp:val=&quot;00F72FF5&quot;/&gt;&lt;wsp:rsid wsp:val=&quot;00F7309C&quot;/&gt;&lt;wsp:rsid wsp:val=&quot;00F73759&quot;/&gt;&lt;wsp:rsid wsp:val=&quot;00F73B87&quot;/&gt;&lt;wsp:rsid wsp:val=&quot;00F74599&quot;/&gt;&lt;wsp:rsid wsp:val=&quot;00F74B29&quot;/&gt;&lt;wsp:rsid wsp:val=&quot;00F74F0B&quot;/&gt;&lt;wsp:rsid wsp:val=&quot;00F74F68&quot;/&gt;&lt;wsp:rsid wsp:val=&quot;00F75032&quot;/&gt;&lt;wsp:rsid wsp:val=&quot;00F75744&quot;/&gt;&lt;wsp:rsid wsp:val=&quot;00F757E7&quot;/&gt;&lt;wsp:rsid wsp:val=&quot;00F758FB&quot;/&gt;&lt;wsp:rsid wsp:val=&quot;00F75D53&quot;/&gt;&lt;wsp:rsid wsp:val=&quot;00F761EF&quot;/&gt;&lt;wsp:rsid wsp:val=&quot;00F76330&quot;/&gt;&lt;wsp:rsid wsp:val=&quot;00F766E0&quot;/&gt;&lt;wsp:rsid wsp:val=&quot;00F76C27&quot;/&gt;&lt;wsp:rsid wsp:val=&quot;00F77564&quot;/&gt;&lt;wsp:rsid wsp:val=&quot;00F80109&quot;/&gt;&lt;wsp:rsid wsp:val=&quot;00F80D60&quot;/&gt;&lt;wsp:rsid wsp:val=&quot;00F811F8&quot;/&gt;&lt;wsp:rsid wsp:val=&quot;00F81CA2&quot;/&gt;&lt;wsp:rsid wsp:val=&quot;00F81DE4&quot;/&gt;&lt;wsp:rsid wsp:val=&quot;00F81E1F&quot;/&gt;&lt;wsp:rsid wsp:val=&quot;00F82813&quot;/&gt;&lt;wsp:rsid wsp:val=&quot;00F82A61&quot;/&gt;&lt;wsp:rsid wsp:val=&quot;00F82ABB&quot;/&gt;&lt;wsp:rsid wsp:val=&quot;00F84930&quot;/&gt;&lt;wsp:rsid wsp:val=&quot;00F84B1F&quot;/&gt;&lt;wsp:rsid wsp:val=&quot;00F84BC5&quot;/&gt;&lt;wsp:rsid wsp:val=&quot;00F8534E&quot;/&gt;&lt;wsp:rsid wsp:val=&quot;00F85445&quot;/&gt;&lt;wsp:rsid wsp:val=&quot;00F85DC9&quot;/&gt;&lt;wsp:rsid wsp:val=&quot;00F86368&quot;/&gt;&lt;wsp:rsid wsp:val=&quot;00F86B2D&quot;/&gt;&lt;wsp:rsid wsp:val=&quot;00F8734F&quot;/&gt;&lt;wsp:rsid wsp:val=&quot;00F87875&quot;/&gt;&lt;wsp:rsid wsp:val=&quot;00F87B63&quot;/&gt;&lt;wsp:rsid wsp:val=&quot;00F9065E&quot;/&gt;&lt;wsp:rsid wsp:val=&quot;00F9094E&quot;/&gt;&lt;wsp:rsid wsp:val=&quot;00F90EC1&quot;/&gt;&lt;wsp:rsid wsp:val=&quot;00F90FCB&quot;/&gt;&lt;wsp:rsid wsp:val=&quot;00F910BB&quot;/&gt;&lt;wsp:rsid wsp:val=&quot;00F914BD&quot;/&gt;&lt;wsp:rsid wsp:val=&quot;00F91529&quot;/&gt;&lt;wsp:rsid wsp:val=&quot;00F9172C&quot;/&gt;&lt;wsp:rsid wsp:val=&quot;00F91A35&quot;/&gt;&lt;wsp:rsid wsp:val=&quot;00F91F04&quot;/&gt;&lt;wsp:rsid wsp:val=&quot;00F92504&quot;/&gt;&lt;wsp:rsid wsp:val=&quot;00F928F4&quot;/&gt;&lt;wsp:rsid wsp:val=&quot;00F92B78&quot;/&gt;&lt;wsp:rsid wsp:val=&quot;00F92DBE&quot;/&gt;&lt;wsp:rsid wsp:val=&quot;00F93A6D&quot;/&gt;&lt;wsp:rsid wsp:val=&quot;00F93B1B&quot;/&gt;&lt;wsp:rsid wsp:val=&quot;00F93E01&quot;/&gt;&lt;wsp:rsid wsp:val=&quot;00F9415F&quot;/&gt;&lt;wsp:rsid wsp:val=&quot;00F946B7&quot;/&gt;&lt;wsp:rsid wsp:val=&quot;00F94A12&quot;/&gt;&lt;wsp:rsid wsp:val=&quot;00F94AAB&quot;/&gt;&lt;wsp:rsid wsp:val=&quot;00F94E5B&quot;/&gt;&lt;wsp:rsid wsp:val=&quot;00F94ED5&quot;/&gt;&lt;wsp:rsid wsp:val=&quot;00F953DC&quot;/&gt;&lt;wsp:rsid wsp:val=&quot;00F95705&quot;/&gt;&lt;wsp:rsid wsp:val=&quot;00F96148&quot;/&gt;&lt;wsp:rsid wsp:val=&quot;00F964B6&quot;/&gt;&lt;wsp:rsid wsp:val=&quot;00F96591&quot;/&gt;&lt;wsp:rsid wsp:val=&quot;00F96663&quot;/&gt;&lt;wsp:rsid wsp:val=&quot;00F96A55&quot;/&gt;&lt;wsp:rsid wsp:val=&quot;00F96E6C&quot;/&gt;&lt;wsp:rsid wsp:val=&quot;00F96F01&quot;/&gt;&lt;wsp:rsid wsp:val=&quot;00F97185&quot;/&gt;&lt;wsp:rsid wsp:val=&quot;00FA020E&quot;/&gt;&lt;wsp:rsid wsp:val=&quot;00FA0331&quot;/&gt;&lt;wsp:rsid wsp:val=&quot;00FA042A&quot;/&gt;&lt;wsp:rsid wsp:val=&quot;00FA0999&quot;/&gt;&lt;wsp:rsid wsp:val=&quot;00FA09FE&quot;/&gt;&lt;wsp:rsid wsp:val=&quot;00FA1BD0&quot;/&gt;&lt;wsp:rsid wsp:val=&quot;00FA1E8A&quot;/&gt;&lt;wsp:rsid wsp:val=&quot;00FA244A&quot;/&gt;&lt;wsp:rsid wsp:val=&quot;00FA2DFD&quot;/&gt;&lt;wsp:rsid wsp:val=&quot;00FA2EE2&quot;/&gt;&lt;wsp:rsid wsp:val=&quot;00FA3033&quot;/&gt;&lt;wsp:rsid wsp:val=&quot;00FA3261&quot;/&gt;&lt;wsp:rsid wsp:val=&quot;00FA35A4&quot;/&gt;&lt;wsp:rsid wsp:val=&quot;00FA40DA&quot;/&gt;&lt;wsp:rsid wsp:val=&quot;00FA4223&quot;/&gt;&lt;wsp:rsid wsp:val=&quot;00FA485C&quot;/&gt;&lt;wsp:rsid wsp:val=&quot;00FA48B4&quot;/&gt;&lt;wsp:rsid wsp:val=&quot;00FA7892&quot;/&gt;&lt;wsp:rsid wsp:val=&quot;00FA7FEB&quot;/&gt;&lt;wsp:rsid wsp:val=&quot;00FB0CE7&quot;/&gt;&lt;wsp:rsid wsp:val=&quot;00FB0F4D&quot;/&gt;&lt;wsp:rsid wsp:val=&quot;00FB1034&quot;/&gt;&lt;wsp:rsid wsp:val=&quot;00FB14E5&quot;/&gt;&lt;wsp:rsid wsp:val=&quot;00FB1647&quot;/&gt;&lt;wsp:rsid wsp:val=&quot;00FB1C16&quot;/&gt;&lt;wsp:rsid wsp:val=&quot;00FB246E&quot;/&gt;&lt;wsp:rsid wsp:val=&quot;00FB415E&quot;/&gt;&lt;wsp:rsid wsp:val=&quot;00FB4719&quot;/&gt;&lt;wsp:rsid wsp:val=&quot;00FB49B4&quot;/&gt;&lt;wsp:rsid wsp:val=&quot;00FB517E&quot;/&gt;&lt;wsp:rsid wsp:val=&quot;00FB5704&quot;/&gt;&lt;wsp:rsid wsp:val=&quot;00FB581F&quot;/&gt;&lt;wsp:rsid wsp:val=&quot;00FB60E4&quot;/&gt;&lt;wsp:rsid wsp:val=&quot;00FB6580&quot;/&gt;&lt;wsp:rsid wsp:val=&quot;00FB6749&quot;/&gt;&lt;wsp:rsid wsp:val=&quot;00FB6A72&quot;/&gt;&lt;wsp:rsid wsp:val=&quot;00FB6BA8&quot;/&gt;&lt;wsp:rsid wsp:val=&quot;00FB6E04&quot;/&gt;&lt;wsp:rsid wsp:val=&quot;00FB71AB&quot;/&gt;&lt;wsp:rsid wsp:val=&quot;00FB71C1&quot;/&gt;&lt;wsp:rsid wsp:val=&quot;00FB7348&quot;/&gt;&lt;wsp:rsid wsp:val=&quot;00FB739F&quot;/&gt;&lt;wsp:rsid wsp:val=&quot;00FC033D&quot;/&gt;&lt;wsp:rsid wsp:val=&quot;00FC07B8&quot;/&gt;&lt;wsp:rsid wsp:val=&quot;00FC08F0&quot;/&gt;&lt;wsp:rsid wsp:val=&quot;00FC0CBE&quot;/&gt;&lt;wsp:rsid wsp:val=&quot;00FC0CF6&quot;/&gt;&lt;wsp:rsid wsp:val=&quot;00FC0FAD&quot;/&gt;&lt;wsp:rsid wsp:val=&quot;00FC1AE0&quot;/&gt;&lt;wsp:rsid wsp:val=&quot;00FC1D98&quot;/&gt;&lt;wsp:rsid wsp:val=&quot;00FC1E72&quot;/&gt;&lt;wsp:rsid wsp:val=&quot;00FC1FAC&quot;/&gt;&lt;wsp:rsid wsp:val=&quot;00FC3FE0&quot;/&gt;&lt;wsp:rsid wsp:val=&quot;00FC4251&quot;/&gt;&lt;wsp:rsid wsp:val=&quot;00FC4557&quot;/&gt;&lt;wsp:rsid wsp:val=&quot;00FC46F1&quot;/&gt;&lt;wsp:rsid wsp:val=&quot;00FC5328&quot;/&gt;&lt;wsp:rsid wsp:val=&quot;00FC5583&quot;/&gt;&lt;wsp:rsid wsp:val=&quot;00FC5A6F&quot;/&gt;&lt;wsp:rsid wsp:val=&quot;00FC5AA1&quot;/&gt;&lt;wsp:rsid wsp:val=&quot;00FC5B85&quot;/&gt;&lt;wsp:rsid wsp:val=&quot;00FC6C16&quot;/&gt;&lt;wsp:rsid wsp:val=&quot;00FC6C1E&quot;/&gt;&lt;wsp:rsid wsp:val=&quot;00FC6CD3&quot;/&gt;&lt;wsp:rsid wsp:val=&quot;00FC6D57&quot;/&gt;&lt;wsp:rsid wsp:val=&quot;00FC7EC4&quot;/&gt;&lt;wsp:rsid wsp:val=&quot;00FD0982&quot;/&gt;&lt;wsp:rsid wsp:val=&quot;00FD0A94&quot;/&gt;&lt;wsp:rsid wsp:val=&quot;00FD0F4E&quot;/&gt;&lt;wsp:rsid wsp:val=&quot;00FD1450&quot;/&gt;&lt;wsp:rsid wsp:val=&quot;00FD147F&quot;/&gt;&lt;wsp:rsid wsp:val=&quot;00FD1912&quot;/&gt;&lt;wsp:rsid wsp:val=&quot;00FD20F7&quot;/&gt;&lt;wsp:rsid wsp:val=&quot;00FD28F9&quot;/&gt;&lt;wsp:rsid wsp:val=&quot;00FD30FB&quot;/&gt;&lt;wsp:rsid wsp:val=&quot;00FD33A4&quot;/&gt;&lt;wsp:rsid wsp:val=&quot;00FD36C7&quot;/&gt;&lt;wsp:rsid wsp:val=&quot;00FD3A38&quot;/&gt;&lt;wsp:rsid wsp:val=&quot;00FD3B99&quot;/&gt;&lt;wsp:rsid wsp:val=&quot;00FD3C42&quot;/&gt;&lt;wsp:rsid wsp:val=&quot;00FD4E2B&quot;/&gt;&lt;wsp:rsid wsp:val=&quot;00FD5974&quot;/&gt;&lt;wsp:rsid wsp:val=&quot;00FD60FD&quot;/&gt;&lt;wsp:rsid wsp:val=&quot;00FD6213&quot;/&gt;&lt;wsp:rsid wsp:val=&quot;00FD6403&quot;/&gt;&lt;wsp:rsid wsp:val=&quot;00FD6435&quot;/&gt;&lt;wsp:rsid wsp:val=&quot;00FD6548&quot;/&gt;&lt;wsp:rsid wsp:val=&quot;00FD69AE&quot;/&gt;&lt;wsp:rsid wsp:val=&quot;00FD6D0C&quot;/&gt;&lt;wsp:rsid wsp:val=&quot;00FD797E&quot;/&gt;&lt;wsp:rsid wsp:val=&quot;00FD7AB3&quot;/&gt;&lt;wsp:rsid wsp:val=&quot;00FD7CB8&quot;/&gt;&lt;wsp:rsid wsp:val=&quot;00FD7E27&quot;/&gt;&lt;wsp:rsid wsp:val=&quot;00FE02DB&quot;/&gt;&lt;wsp:rsid wsp:val=&quot;00FE02F8&quot;/&gt;&lt;wsp:rsid wsp:val=&quot;00FE04D6&quot;/&gt;&lt;wsp:rsid wsp:val=&quot;00FE0BAC&quot;/&gt;&lt;wsp:rsid wsp:val=&quot;00FE135A&quot;/&gt;&lt;wsp:rsid wsp:val=&quot;00FE1443&quot;/&gt;&lt;wsp:rsid wsp:val=&quot;00FE15A0&quot;/&gt;&lt;wsp:rsid wsp:val=&quot;00FE1A02&quot;/&gt;&lt;wsp:rsid wsp:val=&quot;00FE224A&quot;/&gt;&lt;wsp:rsid wsp:val=&quot;00FE22F8&quot;/&gt;&lt;wsp:rsid wsp:val=&quot;00FE2580&quot;/&gt;&lt;wsp:rsid wsp:val=&quot;00FE2D89&quot;/&gt;&lt;wsp:rsid wsp:val=&quot;00FE31F6&quot;/&gt;&lt;wsp:rsid wsp:val=&quot;00FE380C&quot;/&gt;&lt;wsp:rsid wsp:val=&quot;00FE3D97&quot;/&gt;&lt;wsp:rsid wsp:val=&quot;00FE4A8B&quot;/&gt;&lt;wsp:rsid wsp:val=&quot;00FE4CF0&quot;/&gt;&lt;wsp:rsid wsp:val=&quot;00FE59BB&quot;/&gt;&lt;wsp:rsid wsp:val=&quot;00FE5D59&quot;/&gt;&lt;wsp:rsid wsp:val=&quot;00FE5F42&quot;/&gt;&lt;wsp:rsid wsp:val=&quot;00FE631F&quot;/&gt;&lt;wsp:rsid wsp:val=&quot;00FE695E&quot;/&gt;&lt;wsp:rsid wsp:val=&quot;00FE6A8F&quot;/&gt;&lt;wsp:rsid wsp:val=&quot;00FE6A9F&quot;/&gt;&lt;wsp:rsid wsp:val=&quot;00FE6BB5&quot;/&gt;&lt;wsp:rsid wsp:val=&quot;00FF1644&quot;/&gt;&lt;wsp:rsid wsp:val=&quot;00FF25A7&quot;/&gt;&lt;wsp:rsid wsp:val=&quot;00FF2888&quot;/&gt;&lt;wsp:rsid wsp:val=&quot;00FF2953&quot;/&gt;&lt;wsp:rsid wsp:val=&quot;00FF2EA3&quot;/&gt;&lt;wsp:rsid wsp:val=&quot;00FF414C&quot;/&gt;&lt;wsp:rsid wsp:val=&quot;00FF4764&quot;/&gt;&lt;wsp:rsid wsp:val=&quot;00FF4CCA&quot;/&gt;&lt;wsp:rsid wsp:val=&quot;00FF50FD&quot;/&gt;&lt;wsp:rsid wsp:val=&quot;00FF5E00&quot;/&gt;&lt;wsp:rsid wsp:val=&quot;00FF5E10&quot;/&gt;&lt;wsp:rsid wsp:val=&quot;00FF6DB6&quot;/&gt;&lt;wsp:rsid wsp:val=&quot;00FF73A1&quot;/&gt;&lt;wsp:rsid wsp:val=&quot;02B26B56&quot;/&gt;&lt;wsp:rsid wsp:val=&quot;03D66BA6&quot;/&gt;&lt;wsp:rsid wsp:val=&quot;051A0D14&quot;/&gt;&lt;wsp:rsid wsp:val=&quot;08373D17&quot;/&gt;&lt;wsp:rsid wsp:val=&quot;08D31906&quot;/&gt;&lt;wsp:rsid wsp:val=&quot;099B57EC&quot;/&gt;&lt;wsp:rsid wsp:val=&quot;09C35E1E&quot;/&gt;&lt;wsp:rsid wsp:val=&quot;0A7B2255&quot;/&gt;&lt;wsp:rsid wsp:val=&quot;0AA30366&quot;/&gt;&lt;wsp:rsid wsp:val=&quot;0CC7731D&quot;/&gt;&lt;wsp:rsid wsp:val=&quot;0FCD6BA8&quot;/&gt;&lt;wsp:rsid wsp:val=&quot;0FF419B0&quot;/&gt;&lt;wsp:rsid wsp:val=&quot;11A14B86&quot;/&gt;&lt;wsp:rsid wsp:val=&quot;12E11476&quot;/&gt;&lt;wsp:rsid wsp:val=&quot;13CA5776&quot;/&gt;&lt;wsp:rsid wsp:val=&quot;1451781E&quot;/&gt;&lt;wsp:rsid wsp:val=&quot;15151F29&quot;/&gt;&lt;wsp:rsid wsp:val=&quot;1BC22817&quot;/&gt;&lt;wsp:rsid wsp:val=&quot;1F14103B&quot;/&gt;&lt;wsp:rsid wsp:val=&quot;1F83778A&quot;/&gt;&lt;wsp:rsid wsp:val=&quot;224631C9&quot;/&gt;&lt;wsp:rsid wsp:val=&quot;240F2DC9&quot;/&gt;&lt;wsp:rsid wsp:val=&quot;24C30629&quot;/&gt;&lt;wsp:rsid wsp:val=&quot;25763D25&quot;/&gt;&lt;wsp:rsid wsp:val=&quot;26A5092E&quot;/&gt;&lt;wsp:rsid wsp:val=&quot;29BC0105&quot;/&gt;&lt;wsp:rsid wsp:val=&quot;2B6770FF&quot;/&gt;&lt;wsp:rsid wsp:val=&quot;2D123049&quot;/&gt;&lt;wsp:rsid wsp:val=&quot;2D947006&quot;/&gt;&lt;wsp:rsid wsp:val=&quot;2E3276DD&quot;/&gt;&lt;wsp:rsid wsp:val=&quot;314A0E14&quot;/&gt;&lt;wsp:rsid wsp:val=&quot;32037751&quot;/&gt;&lt;wsp:rsid wsp:val=&quot;330D18BF&quot;/&gt;&lt;wsp:rsid wsp:val=&quot;33CE629A&quot;/&gt;&lt;wsp:rsid wsp:val=&quot;342521FB&quot;/&gt;&lt;wsp:rsid wsp:val=&quot;350308E2&quot;/&gt;&lt;wsp:rsid wsp:val=&quot;38042FDA&quot;/&gt;&lt;wsp:rsid wsp:val=&quot;3A184B1B&quot;/&gt;&lt;wsp:rsid wsp:val=&quot;3AA1137B&quot;/&gt;&lt;wsp:rsid wsp:val=&quot;3BC67B86&quot;/&gt;&lt;wsp:rsid wsp:val=&quot;3CB74F79&quot;/&gt;&lt;wsp:rsid wsp:val=&quot;3CC80A7A&quot;/&gt;&lt;wsp:rsid wsp:val=&quot;3E63644F&quot;/&gt;&lt;wsp:rsid wsp:val=&quot;42211EC1&quot;/&gt;&lt;wsp:rsid wsp:val=&quot;42C06726&quot;/&gt;&lt;wsp:rsid wsp:val=&quot;430E56F4&quot;/&gt;&lt;wsp:rsid wsp:val=&quot;48CC13D9&quot;/&gt;&lt;wsp:rsid wsp:val=&quot;4CD34ADE&quot;/&gt;&lt;wsp:rsid wsp:val=&quot;4CDB2302&quot;/&gt;&lt;wsp:rsid wsp:val=&quot;500F7705&quot;/&gt;&lt;wsp:rsid wsp:val=&quot;50223AD5&quot;/&gt;&lt;wsp:rsid wsp:val=&quot;52231D58&quot;/&gt;&lt;wsp:rsid wsp:val=&quot;57A606AC&quot;/&gt;&lt;wsp:rsid wsp:val=&quot;58C45316&quot;/&gt;&lt;wsp:rsid wsp:val=&quot;59F7468F&quot;/&gt;&lt;wsp:rsid wsp:val=&quot;5B3C50B8&quot;/&gt;&lt;wsp:rsid wsp:val=&quot;5FF37537&quot;/&gt;&lt;wsp:rsid wsp:val=&quot;60BB0848&quot;/&gt;&lt;wsp:rsid wsp:val=&quot;60CF1B28&quot;/&gt;&lt;wsp:rsid wsp:val=&quot;61A22D98&quot;/&gt;&lt;wsp:rsid wsp:val=&quot;648C3B2E&quot;/&gt;&lt;wsp:rsid wsp:val=&quot;67702502&quot;/&gt;&lt;wsp:rsid wsp:val=&quot;68B106FE&quot;/&gt;&lt;wsp:rsid wsp:val=&quot;69845BA5&quot;/&gt;&lt;wsp:rsid wsp:val=&quot;699340F5&quot;/&gt;&lt;wsp:rsid wsp:val=&quot;6ABB51FD&quot;/&gt;&lt;wsp:rsid wsp:val=&quot;6BA51E03&quot;/&gt;&lt;wsp:rsid wsp:val=&quot;6D0F48A1&quot;/&gt;&lt;wsp:rsid wsp:val=&quot;6E5E1E17&quot;/&gt;&lt;wsp:rsid wsp:val=&quot;6ECF755A&quot;/&gt;&lt;wsp:rsid wsp:val=&quot;6F060991&quot;/&gt;&lt;wsp:rsid wsp:val=&quot;6FD1670D&quot;/&gt;&lt;wsp:rsid wsp:val=&quot;73EA2AA9&quot;/&gt;&lt;wsp:rsid wsp:val=&quot;76117BAB&quot;/&gt;&lt;wsp:rsid wsp:val=&quot;76244F59&quot;/&gt;&lt;wsp:rsid wsp:val=&quot;76854E63&quot;/&gt;&lt;wsp:rsid wsp:val=&quot;777E3C5F&quot;/&gt;&lt;wsp:rsid wsp:val=&quot;7A0F70A9&quot;/&gt;&lt;wsp:rsid wsp:val=&quot;7BD70A60&quot;/&gt;&lt;wsp:rsid wsp:val=&quot;7E21356B&quot;/&gt;&lt;wsp:rsid wsp:val=&quot;7EFE0D38&quot;/&gt;&lt;/wsp:rsids&gt;&lt;/w:docPr&gt;&lt;w:body&gt;&lt;wx:sect&gt;&lt;w:p wsp:rsidR=&quot;00000000&quot; wsp:rsidRPr=&quot;00992E95&quot; wsp:rsidRDefault=&quot;00992E95&quot; wsp:rsidP=&quot;00992E95&quot;&gt;&lt;m:oMathPara&gt;&lt;m:oMath&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L&lt;/m:t&gt;&lt;/m:r&gt;&lt;/m:e&gt;&lt;m:sub&gt;&lt;m:r&gt;&lt;m:rPr&gt;&lt;m:nor/&gt;&lt;/m:rPr&gt;&lt;w:rPr&gt;&lt;w:b-cs/&gt;&lt;w:i/&gt;&lt;w:color w:val=&quot;000000&quot;/&gt;&lt;w:sz w:val=&quot;24&quot;/&gt;&lt;w:sz-cs w:val=&quot;24&quot;/&gt;&lt;/w:rPr&gt;&lt;m:t&gt;P2&lt;/m:t&gt;&lt;/m:r&gt;&lt;/m:sub&gt;&lt;/m:sSub&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L&lt;/m:t&gt;&lt;/m:r&gt;&lt;/m:e&gt;&lt;m:sub&gt;&lt;m:r&gt;&lt;m:rPr&gt;&lt;m:nor/&gt;&lt;/m:rPr&gt;&lt;w:rPr&gt;&lt;w:b-cs/&gt;&lt;w:i/&gt;&lt;w:color w:val=&quot;000000&quot;/&gt;&lt;w:sz w:val=&quot;24&quot;/&gt;&lt;w:sz-cs w:val=&quot;24&quot;/&gt;&lt;/w:rPr&gt;&lt;m:t&gt;P1&lt;/m:t&gt;&lt;/m:r&gt;&lt;/m:sub&gt;&lt;/m:sSub&gt;&lt;m:r&gt;&lt;m:rPr&gt;&lt;m:nor/&gt;&lt;/m:rPr&gt;&lt;w:rPr&gt;&lt;w:b-cs/&gt;&lt;w:i/&gt;&lt;w:color w:val=&quot;000000&quot;/&gt;&lt;w:sz w:val=&quot;24&quot;/&gt;&lt;w:sz-cs w:val=&quot;24&quot;/&gt;&lt;/w:rPr&gt;&lt;m:t&gt;-&lt;/m:t&gt;&lt;/m:r&gt;&lt;m:r&gt;&lt;m:rPr&gt;&lt;m:nor/&gt;&lt;/m:rPr&gt;&lt;w:rPr&gt;&lt;wx:font wx:val=&quot;瀹嬩綋&quot;/&gt;&lt;w:b-cs/&gt;&lt;w:i/&gt;&lt;w:color w:val=&quot;000000&quot;/&gt;&lt;w:sz w:val=&quot;24&quot;/&gt;&lt;w:sz-cs w:val=&quot;24&quot;/&gt;&lt;/w:rPr&gt;&lt;m:t&gt;锛?/m:t&gt;&lt;/m:r&gt;&lt;m:r&gt;&lt;m:rPr&gt;&lt;m:nor/&gt;&lt;/m:rPr&gt;&lt;w:rPr&gt;&lt;w:b-cs/&gt;&lt;w:i/&gt;&lt;w:color w:val=&gt;&lt;/w:&lt;/w:&lt;/w:&lt;/w:&lt;/w:&lt;/w:&lt;/w:&lt;/w:&lt;/w:&lt;/w:&lt;/w:&lt;/w:&lt;/w:&lt;/w:&lt;/w:&lt;/w:&lt;/w:&lt;/w:&lt;/w:&lt;/w:&lt;/w:&lt;/w:&lt;/w:&lt;/w:&lt;/w:&lt;/w:&quot;000000&quot;/&gt;&lt;w:sz w:val=&quot;24&quot;/&gt;&lt;w:sz-cs w:val=&quot;24&quot;/&gt;&lt;/w:rPr&gt;&lt;m:t&gt;TL+6&lt;/m:t&gt;&lt;/m:r&gt;&lt;m:r&gt;&lt;m:rPr&gt;&lt;m:nor/&gt;&lt;/m:rPr&gt;&lt;w:rPr&gt;&lt;wx:font wx:val=&quot;瀹嬩綋&quot;/&gt;&lt;w:b-cs/&gt;&lt;w:i/&gt;&lt;/w:w:co/w:lor /w:w:va/w:l=&quot;0/w:0000/w:0&quot;/&gt;/w:&lt;w:s/w:z w:/w:val=/w:&quot;24&quot;/w:/&gt;&lt;w/w::sz-/w:cs w/w::val/w:=&quot;24/w:&quot;/&gt;&lt;/w:/w:r/w:Pr&gt;&lt;/w:m:t&gt;/w:锛?/&lt;/w:m:t&gt;&lt;/w:&lt;/m:&lt;/w:r&gt;&lt;/&lt;/w:m:oM&lt;/w:ath&gt;&lt;/w:&gt;&lt;/m:oMathPara&gt;&lt;/w:p&gt;&lt;w:sectPr wsp:rsidR=&quot;00000000&quot; wsp:rsidRPr=&quot;00992E95&quot;:&gt;&lt;w:pgS:z w:w=&quot;:12240&quot; :w:h=&quot;15:840&quot;/&gt;&lt;:w:pgMar: w:top=:&quot;1440&quot; :w:right:=&quot;1800&quot;: w:bott:om=&quot;144:0&quot; w:le:ft=&quot;180:0&quot; w:he:ader=&quot;7:20&quot; w:f:ooter=&quot;:720&quot; w::gutter=&quot;0&quot;/&gt;&lt;w:cols w:space=&quot;720&quot;/&gt;&lt;/w:sectPr&gt;&lt;/wx:sect&gt;&lt;/w:body&gt;&lt;/w:wordDocument&gt;">
                  <v:path/>
                  <v:fill on="f" focussize="0,0"/>
                  <v:stroke on="f" joinstyle="miter"/>
                  <v:imagedata r:id="rId19" chromakey="#FFFFFF" o:title=""/>
                  <o:lock v:ext="edit" aspectratio="t"/>
                  <w10:wrap type="none"/>
                  <w10:anchorlock/>
                </v:shape>
              </w:pict>
            </w:r>
          </w:p>
          <w:p w14:paraId="7B55639B">
            <w:pPr>
              <w:adjustRightInd w:val="0"/>
              <w:snapToGrid w:val="0"/>
              <w:spacing w:line="360" w:lineRule="auto"/>
              <w:ind w:firstLine="480" w:firstLineChars="200"/>
              <w:rPr>
                <w:bCs/>
                <w:color w:val="000000"/>
                <w:sz w:val="24"/>
                <w:szCs w:val="24"/>
              </w:rPr>
            </w:pPr>
            <w:r>
              <w:rPr>
                <w:bCs/>
                <w:color w:val="000000"/>
                <w:sz w:val="24"/>
                <w:szCs w:val="24"/>
              </w:rPr>
              <w:fldChar w:fldCharType="begin"/>
            </w:r>
            <w:r>
              <w:rPr>
                <w:bCs/>
                <w:color w:val="000000"/>
                <w:sz w:val="24"/>
                <w:szCs w:val="24"/>
              </w:rPr>
              <w:instrText xml:space="preserve"> = 3 \* GB3 </w:instrText>
            </w:r>
            <w:r>
              <w:rPr>
                <w:bCs/>
                <w:color w:val="000000"/>
                <w:sz w:val="24"/>
                <w:szCs w:val="24"/>
              </w:rPr>
              <w:fldChar w:fldCharType="separate"/>
            </w:r>
            <w:r>
              <w:rPr>
                <w:rFonts w:hint="eastAsia" w:ascii="宋体" w:hAnsi="宋体" w:cs="宋体"/>
                <w:bCs/>
                <w:color w:val="000000"/>
                <w:sz w:val="24"/>
                <w:szCs w:val="24"/>
              </w:rPr>
              <w:t>③</w:t>
            </w:r>
            <w:r>
              <w:rPr>
                <w:bCs/>
                <w:color w:val="000000"/>
                <w:sz w:val="24"/>
                <w:szCs w:val="24"/>
              </w:rPr>
              <w:fldChar w:fldCharType="end"/>
            </w:r>
            <w:r>
              <w:rPr>
                <w:bCs/>
                <w:color w:val="000000"/>
                <w:sz w:val="24"/>
                <w:szCs w:val="24"/>
              </w:rPr>
              <w:t>衰减项的计算</w:t>
            </w:r>
          </w:p>
          <w:p w14:paraId="15DB2D3E">
            <w:pPr>
              <w:adjustRightInd w:val="0"/>
              <w:snapToGrid w:val="0"/>
              <w:spacing w:line="360" w:lineRule="auto"/>
              <w:ind w:firstLine="480" w:firstLineChars="200"/>
              <w:rPr>
                <w:bCs/>
                <w:color w:val="000000"/>
                <w:sz w:val="24"/>
                <w:szCs w:val="24"/>
              </w:rPr>
            </w:pPr>
            <w:r>
              <w:rPr>
                <w:bCs/>
                <w:color w:val="000000"/>
                <w:sz w:val="24"/>
                <w:szCs w:val="24"/>
              </w:rPr>
              <w:t>本项目衰减项的计算主要考虑点声源的几何发散衰减，公式如下：</w:t>
            </w:r>
          </w:p>
          <w:p w14:paraId="146367C9">
            <w:pPr>
              <w:adjustRightInd w:val="0"/>
              <w:snapToGrid w:val="0"/>
              <w:spacing w:line="360" w:lineRule="auto"/>
              <w:ind w:firstLine="420" w:firstLineChars="200"/>
              <w:rPr>
                <w:bCs/>
                <w:i/>
                <w:color w:val="000000"/>
                <w:sz w:val="24"/>
                <w:szCs w:val="24"/>
              </w:rPr>
            </w:pPr>
            <w:r>
              <w:pict>
                <v:shape id="_x0000_i1030" o:spt="75" type="#_x0000_t75" style="height:27.85pt;width:129.75pt;" filled="f" o:preferrelative="t" stroked="f" coordsize="21600,21600"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80&quot;/&gt;&lt;w:displayBackgroundShape/&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docVars&gt;&lt;w:docVar w:name=&quot;commondata&quot; w:val=&quot;eyJoZGlkIjoiYzYxMTk3NTc1NzI3NTBmNjE3NTg5YTVhYmVmNzdhOWQifQ==&quot;/&gt;&lt;/w:docVars&gt;&lt;wsp:rsids&gt;&lt;wsp:rsidRoot wsp:val=&quot;00172A27&quot;/&gt;&lt;wsp:rsid wsp:val=&quot;000000E1&quot;/&gt;&lt;wsp:rsid wsp:val=&quot;00000384&quot;/&gt;&lt;wsp:rsid wsp:val=&quot;000006AB&quot;/&gt;&lt;wsp:rsid wsp:val=&quot;000009D1&quot;/&gt;&lt;wsp:rsid wsp:val=&quot;00001235&quot;/&gt;&lt;wsp:rsid wsp:val=&quot;000014A9&quot;/&gt;&lt;wsp:rsid wsp:val=&quot;000022C8&quot;/&gt;&lt;wsp:rsid wsp:val=&quot;00002B6D&quot;/&gt;&lt;wsp:rsid wsp:val=&quot;00002DC4&quot;/&gt;&lt;wsp:rsid wsp:val=&quot;000032CD&quot;/&gt;&lt;wsp:rsid wsp:val=&quot;000034AA&quot;/&gt;&lt;wsp:rsid wsp:val=&quot;0000355C&quot;/&gt;&lt;wsp:rsid wsp:val=&quot;00003718&quot;/&gt;&lt;wsp:rsid wsp:val=&quot;000038BB&quot;/&gt;&lt;wsp:rsid wsp:val=&quot;00003FCC&quot;/&gt;&lt;wsp:rsid wsp:val=&quot;00004021&quot;/&gt;&lt;wsp:rsid wsp:val=&quot;00004A8A&quot;/&gt;&lt;wsp:rsid wsp:val=&quot;00005F47&quot;/&gt;&lt;wsp:rsid wsp:val=&quot;00006EB1&quot;/&gt;&lt;wsp:rsid wsp:val=&quot;0000713A&quot;/&gt;&lt;wsp:rsid wsp:val=&quot;000072D5&quot;/&gt;&lt;wsp:rsid wsp:val=&quot;00007BE5&quot;/&gt;&lt;wsp:rsid wsp:val=&quot;0001075F&quot;/&gt;&lt;wsp:rsid wsp:val=&quot;000114A3&quot;/&gt;&lt;wsp:rsid wsp:val=&quot;000122D0&quot;/&gt;&lt;wsp:rsid wsp:val=&quot;00012356&quot;/&gt;&lt;wsp:rsid wsp:val=&quot;000123CF&quot;/&gt;&lt;wsp:rsid wsp:val=&quot;000130F0&quot;/&gt;&lt;wsp:rsid wsp:val=&quot;0001348A&quot;/&gt;&lt;wsp:rsid wsp:val=&quot;00013BF5&quot;/&gt;&lt;wsp:rsid wsp:val=&quot;00013CBF&quot;/&gt;&lt;wsp:rsid wsp:val=&quot;00014340&quot;/&gt;&lt;wsp:rsid wsp:val=&quot;00014DB6&quot;/&gt;&lt;wsp:rsid wsp:val=&quot;0001517C&quot;/&gt;&lt;wsp:rsid wsp:val=&quot;000154A5&quot;/&gt;&lt;wsp:rsid wsp:val=&quot;00015A1F&quot;/&gt;&lt;wsp:rsid wsp:val=&quot;00015BB0&quot;/&gt;&lt;wsp:rsid wsp:val=&quot;00016A81&quot;/&gt;&lt;wsp:rsid wsp:val=&quot;00016EC0&quot;/&gt;&lt;wsp:rsid wsp:val=&quot;0001730A&quot;/&gt;&lt;wsp:rsid wsp:val=&quot;00017469&quot;/&gt;&lt;wsp:rsid wsp:val=&quot;0001755D&quot;/&gt;&lt;wsp:rsid wsp:val=&quot;00017CEA&quot;/&gt;&lt;wsp:rsid wsp:val=&quot;00017F89&quot;/&gt;&lt;wsp:rsid wsp:val=&quot;00020D89&quot;/&gt;&lt;wsp:rsid wsp:val=&quot;00021E12&quot;/&gt;&lt;wsp:rsid wsp:val=&quot;00021E6B&quot;/&gt;&lt;wsp:rsid wsp:val=&quot;000224B7&quot;/&gt;&lt;wsp:rsid wsp:val=&quot;0002338D&quot;/&gt;&lt;wsp:rsid wsp:val=&quot;00023A95&quot;/&gt;&lt;wsp:rsid wsp:val=&quot;000240ED&quot;/&gt;&lt;wsp:rsid wsp:val=&quot;00024481&quot;/&gt;&lt;wsp:rsid wsp:val=&quot;000245B2&quot;/&gt;&lt;wsp:rsid wsp:val=&quot;00024E4C&quot;/&gt;&lt;wsp:rsid wsp:val=&quot;00025204&quot;/&gt;&lt;wsp:rsid wsp:val=&quot;00025A1D&quot;/&gt;&lt;wsp:rsid wsp:val=&quot;00025FDA&quot;/&gt;&lt;wsp:rsid wsp:val=&quot;000261E7&quot;/&gt;&lt;wsp:rsid wsp:val=&quot;00026A7E&quot;/&gt;&lt;wsp:rsid wsp:val=&quot;00026E58&quot;/&gt;&lt;wsp:rsid wsp:val=&quot;000275E4&quot;/&gt;&lt;wsp:rsid wsp:val=&quot;00027BBB&quot;/&gt;&lt;wsp:rsid wsp:val=&quot;00027E5A&quot;/&gt;&lt;wsp:rsid wsp:val=&quot;00027F18&quot;/&gt;&lt;wsp:rsid wsp:val=&quot;0003029B&quot;/&gt;&lt;wsp:rsid wsp:val=&quot;000303DC&quot;/&gt;&lt;wsp:rsid wsp:val=&quot;0003057F&quot;/&gt;&lt;wsp:rsid wsp:val=&quot;00030993&quot;/&gt;&lt;wsp:rsid wsp:val=&quot;00030CCD&quot;/&gt;&lt;wsp:rsid wsp:val=&quot;00032665&quot;/&gt;&lt;wsp:rsid wsp:val=&quot;000327B7&quot;/&gt;&lt;wsp:rsid wsp:val=&quot;00032A9F&quot;/&gt;&lt;wsp:rsid wsp:val=&quot;00032BFA&quot;/&gt;&lt;wsp:rsid wsp:val=&quot;00032D02&quot;/&gt;&lt;wsp:rsid wsp:val=&quot;00032FB9&quot;/&gt;&lt;wsp:rsid wsp:val=&quot;0003314E&quot;/&gt;&lt;wsp:rsid wsp:val=&quot;000332B9&quot;/&gt;&lt;wsp:rsid wsp:val=&quot;00033402&quot;/&gt;&lt;wsp:rsid wsp:val=&quot;00033925&quot;/&gt;&lt;wsp:rsid wsp:val=&quot;000339F8&quot;/&gt;&lt;wsp:rsid wsp:val=&quot;00033EEB&quot;/&gt;&lt;wsp:rsid wsp:val=&quot;000343C9&quot;/&gt;&lt;wsp:rsid wsp:val=&quot;00034E5F&quot;/&gt;&lt;wsp:rsid wsp:val=&quot;00035946&quot;/&gt;&lt;wsp:rsid wsp:val=&quot;00035DBC&quot;/&gt;&lt;wsp:rsid wsp:val=&quot;0003607A&quot;/&gt;&lt;wsp:rsid wsp:val=&quot;000368CA&quot;/&gt;&lt;wsp:rsid wsp:val=&quot;000369B8&quot;/&gt;&lt;wsp:rsid wsp:val=&quot;00036D60&quot;/&gt;&lt;wsp:rsid wsp:val=&quot;00036F18&quot;/&gt;&lt;wsp:rsid wsp:val=&quot;000379E1&quot;/&gt;&lt;wsp:rsid wsp:val=&quot;00037B71&quot;/&gt;&lt;wsp:rsid wsp:val=&quot;00037C97&quot;/&gt;&lt;wsp:rsid wsp:val=&quot;000403A0&quot;/&gt;&lt;wsp:rsid wsp:val=&quot;00040E2F&quot;/&gt;&lt;wsp:rsid wsp:val=&quot;00040FAB&quot;/&gt;&lt;wsp:rsid wsp:val=&quot;0004133E&quot;/&gt;&lt;wsp:rsid wsp:val=&quot;000419F0&quot;/&gt;&lt;wsp:rsid wsp:val=&quot;00041DDD&quot;/&gt;&lt;wsp:rsid wsp:val=&quot;00041DF7&quot;/&gt;&lt;wsp:rsid wsp:val=&quot;0004231E&quot;/&gt;&lt;wsp:rsid wsp:val=&quot;000428F9&quot;/&gt;&lt;wsp:rsid wsp:val=&quot;0004324C&quot;/&gt;&lt;wsp:rsid wsp:val=&quot;00043302&quot;/&gt;&lt;wsp:rsid wsp:val=&quot;00043460&quot;/&gt;&lt;wsp:rsid wsp:val=&quot;0004381A&quot;/&gt;&lt;wsp:rsid wsp:val=&quot;00043A61&quot;/&gt;&lt;wsp:rsid wsp:val=&quot;00044079&quot;/&gt;&lt;wsp:rsid wsp:val=&quot;00044735&quot;/&gt;&lt;wsp:rsid wsp:val=&quot;00044945&quot;/&gt;&lt;wsp:rsid wsp:val=&quot;000451D9&quot;/&gt;&lt;wsp:rsid wsp:val=&quot;00046136&quot;/&gt;&lt;wsp:rsid wsp:val=&quot;00046842&quot;/&gt;&lt;wsp:rsid wsp:val=&quot;00047117&quot;/&gt;&lt;wsp:rsid wsp:val=&quot;00047226&quot;/&gt;&lt;wsp:rsid wsp:val=&quot;0004742D&quot;/&gt;&lt;wsp:rsid wsp:val=&quot;000478BE&quot;/&gt;&lt;wsp:rsid wsp:val=&quot;00047D6E&quot;/&gt;&lt;wsp:rsid wsp:val=&quot;00047DA1&quot;/&gt;&lt;wsp:rsid wsp:val=&quot;0005042F&quot;/&gt;&lt;wsp:rsid wsp:val=&quot;00050A8E&quot;/&gt;&lt;wsp:rsid wsp:val=&quot;00050AF8&quot;/&gt;&lt;wsp:rsid wsp:val=&quot;00050BBA&quot;/&gt;&lt;wsp:rsid wsp:val=&quot;00050E97&quot;/&gt;&lt;wsp:rsid wsp:val=&quot;00050EF2&quot;/&gt;&lt;wsp:rsid wsp:val=&quot;000510FC&quot;/&gt;&lt;wsp:rsid wsp:val=&quot;000513EB&quot;/&gt;&lt;wsp:rsid wsp:val=&quot;0005152E&quot;/&gt;&lt;wsp:rsid wsp:val=&quot;00051CE8&quot;/&gt;&lt;wsp:rsid wsp:val=&quot;00051EC6&quot;/&gt;&lt;wsp:rsid wsp:val=&quot;0005203D&quot;/&gt;&lt;wsp:rsid wsp:val=&quot;000525A1&quot;/&gt;&lt;wsp:rsid wsp:val=&quot;00052790&quot;/&gt;&lt;wsp:rsid wsp:val=&quot;00053ABF&quot;/&gt;&lt;wsp:rsid wsp:val=&quot;00053CC4&quot;/&gt;&lt;wsp:rsid wsp:val=&quot;00053FC8&quot;/&gt;&lt;wsp:rsid wsp:val=&quot;0005435D&quot;/&gt;&lt;wsp:rsid wsp:val=&quot;00054CBF&quot;/&gt;&lt;wsp:rsid wsp:val=&quot;00054CF1&quot;/&gt;&lt;wsp:rsid wsp:val=&quot;00054E06&quot;/&gt;&lt;wsp:rsid wsp:val=&quot;00054E67&quot;/&gt;&lt;wsp:rsid wsp:val=&quot;00056697&quot;/&gt;&lt;wsp:rsid wsp:val=&quot;0005719D&quot;/&gt;&lt;wsp:rsid wsp:val=&quot;00057445&quot;/&gt;&lt;wsp:rsid wsp:val=&quot;000575FC&quot;/&gt;&lt;wsp:rsid wsp:val=&quot;00057AC4&quot;/&gt;&lt;wsp:rsid wsp:val=&quot;00057D9D&quot;/&gt;&lt;wsp:rsid wsp:val=&quot;00060708&quot;/&gt;&lt;wsp:rsid wsp:val=&quot;00060AC3&quot;/&gt;&lt;wsp:rsid wsp:val=&quot;00060BF1&quot;/&gt;&lt;wsp:rsid wsp:val=&quot;00061A2B&quot;/&gt;&lt;wsp:rsid wsp:val=&quot;00062344&quot;/&gt;&lt;wsp:rsid wsp:val=&quot;00062606&quot;/&gt;&lt;wsp:rsid wsp:val=&quot;00062675&quot;/&gt;&lt;wsp:rsid wsp:val=&quot;00062692&quot;/&gt;&lt;wsp:rsid wsp:val=&quot;00062AC1&quot;/&gt;&lt;wsp:rsid wsp:val=&quot;00062FD6&quot;/&gt;&lt;wsp:rsid wsp:val=&quot;00063457&quot;/&gt;&lt;wsp:rsid wsp:val=&quot;000639DD&quot;/&gt;&lt;wsp:rsid wsp:val=&quot;00063BB0&quot;/&gt;&lt;wsp:rsid wsp:val=&quot;00063CDE&quot;/&gt;&lt;wsp:rsid wsp:val=&quot;00063E4C&quot;/&gt;&lt;wsp:rsid wsp:val=&quot;00063F85&quot;/&gt;&lt;wsp:rsid wsp:val=&quot;0006454E&quot;/&gt;&lt;wsp:rsid wsp:val=&quot;00065025&quot;/&gt;&lt;wsp:rsid wsp:val=&quot;0006572B&quot;/&gt;&lt;wsp:rsid wsp:val=&quot;000665A5&quot;/&gt;&lt;wsp:rsid wsp:val=&quot;000672FE&quot;/&gt;&lt;wsp:rsid wsp:val=&quot;00070280&quot;/&gt;&lt;wsp:rsid wsp:val=&quot;00070A32&quot;/&gt;&lt;wsp:rsid wsp:val=&quot;00070F4C&quot;/&gt;&lt;wsp:rsid wsp:val=&quot;000713B5&quot;/&gt;&lt;wsp:rsid wsp:val=&quot;00071AD0&quot;/&gt;&lt;wsp:rsid wsp:val=&quot;00071E2D&quot;/&gt;&lt;wsp:rsid wsp:val=&quot;0007206C&quot;/&gt;&lt;wsp:rsid wsp:val=&quot;00072397&quot;/&gt;&lt;wsp:rsid wsp:val=&quot;00072D6D&quot;/&gt;&lt;wsp:rsid wsp:val=&quot;000731EF&quot;/&gt;&lt;wsp:rsid wsp:val=&quot;00073780&quot;/&gt;&lt;wsp:rsid wsp:val=&quot;00073A88&quot;/&gt;&lt;wsp:rsid wsp:val=&quot;00073B30&quot;/&gt;&lt;wsp:rsid wsp:val=&quot;00074EF3&quot;/&gt;&lt;wsp:rsid wsp:val=&quot;000750CA&quot;/&gt;&lt;wsp:rsid wsp:val=&quot;0007642D&quot;/&gt;&lt;wsp:rsid wsp:val=&quot;00076989&quot;/&gt;&lt;wsp:rsid wsp:val=&quot;00076B05&quot;/&gt;&lt;wsp:rsid wsp:val=&quot;0008046A&quot;/&gt;&lt;wsp:rsid wsp:val=&quot;000820A1&quot;/&gt;&lt;wsp:rsid wsp:val=&quot;00082718&quot;/&gt;&lt;wsp:rsid wsp:val=&quot;00082780&quot;/&gt;&lt;wsp:rsid wsp:val=&quot;00082836&quot;/&gt;&lt;wsp:rsid wsp:val=&quot;00082A7E&quot;/&gt;&lt;wsp:rsid wsp:val=&quot;00082B73&quot;/&gt;&lt;wsp:rsid wsp:val=&quot;00082BB1&quot;/&gt;&lt;wsp:rsid wsp:val=&quot;00082C63&quot;/&gt;&lt;wsp:rsid wsp:val=&quot;00083256&quot;/&gt;&lt;wsp:rsid wsp:val=&quot;00083A9D&quot;/&gt;&lt;wsp:rsid wsp:val=&quot;000847DE&quot;/&gt;&lt;wsp:rsid wsp:val=&quot;00084C61&quot;/&gt;&lt;wsp:rsid wsp:val=&quot;00084E5B&quot;/&gt;&lt;wsp:rsid wsp:val=&quot;0008524B&quot;/&gt;&lt;wsp:rsid wsp:val=&quot;0008557C&quot;/&gt;&lt;wsp:rsid wsp:val=&quot;00085970&quot;/&gt;&lt;wsp:rsid wsp:val=&quot;00085F0E&quot;/&gt;&lt;wsp:rsid wsp:val=&quot;00086DA3&quot;/&gt;&lt;wsp:rsid wsp:val=&quot;00087183&quot;/&gt;&lt;wsp:rsid wsp:val=&quot;00087EB8&quot;/&gt;&lt;wsp:rsid wsp:val=&quot;0009007B&quot;/&gt;&lt;wsp:rsid wsp:val=&quot;00090B2E&quot;/&gt;&lt;wsp:rsid wsp:val=&quot;00090B96&quot;/&gt;&lt;wsp:rsid wsp:val=&quot;00090BE8&quot;/&gt;&lt;wsp:rsid wsp:val=&quot;00090CAD&quot;/&gt;&lt;wsp:rsid wsp:val=&quot;00091336&quot;/&gt;&lt;wsp:rsid wsp:val=&quot;00091435&quot;/&gt;&lt;wsp:rsid wsp:val=&quot;00091EAE&quot;/&gt;&lt;wsp:rsid wsp:val=&quot;00092501&quot;/&gt;&lt;wsp:rsid wsp:val=&quot;00093107&quot;/&gt;&lt;wsp:rsid wsp:val=&quot;000937A1&quot;/&gt;&lt;wsp:rsid wsp:val=&quot;0009433D&quot;/&gt;&lt;wsp:rsid wsp:val=&quot;00095509&quot;/&gt;&lt;wsp:rsid wsp:val=&quot;00095519&quot;/&gt;&lt;wsp:rsid wsp:val=&quot;000957BC&quot;/&gt;&lt;wsp:rsid wsp:val=&quot;00095A1A&quot;/&gt;&lt;wsp:rsid wsp:val=&quot;00095BDC&quot;/&gt;&lt;wsp:rsid wsp:val=&quot;0009632C&quot;/&gt;&lt;wsp:rsid wsp:val=&quot;0009675A&quot;/&gt;&lt;wsp:rsid wsp:val=&quot;00096A33&quot;/&gt;&lt;wsp:rsid wsp:val=&quot;00096C0E&quot;/&gt;&lt;wsp:rsid wsp:val=&quot;00097294&quot;/&gt;&lt;wsp:rsid wsp:val=&quot;00097BBF&quot;/&gt;&lt;wsp:rsid wsp:val=&quot;00097E40&quot;/&gt;&lt;wsp:rsid wsp:val=&quot;000A0A75&quot;/&gt;&lt;wsp:rsid wsp:val=&quot;000A0B0C&quot;/&gt;&lt;wsp:rsid wsp:val=&quot;000A0F15&quot;/&gt;&lt;wsp:rsid wsp:val=&quot;000A1578&quot;/&gt;&lt;wsp:rsid wsp:val=&quot;000A19B5&quot;/&gt;&lt;wsp:rsid wsp:val=&quot;000A19B7&quot;/&gt;&lt;wsp:rsid wsp:val=&quot;000A1DD4&quot;/&gt;&lt;wsp:rsid wsp:val=&quot;000A1EAF&quot;/&gt;&lt;wsp:rsid wsp:val=&quot;000A1EFA&quot;/&gt;&lt;wsp:rsid wsp:val=&quot;000A2DEC&quot;/&gt;&lt;wsp:rsid wsp:val=&quot;000A3147&quot;/&gt;&lt;wsp:rsid wsp:val=&quot;000A3333&quot;/&gt;&lt;wsp:rsid wsp:val=&quot;000A3931&quot;/&gt;&lt;wsp:rsid wsp:val=&quot;000A44C6&quot;/&gt;&lt;wsp:rsid wsp:val=&quot;000A46B2&quot;/&gt;&lt;wsp:rsid wsp:val=&quot;000A4D6D&quot;/&gt;&lt;wsp:rsid wsp:val=&quot;000A61DB&quot;/&gt;&lt;wsp:rsid wsp:val=&quot;000A675B&quot;/&gt;&lt;wsp:rsid wsp:val=&quot;000A7337&quot;/&gt;&lt;wsp:rsid wsp:val=&quot;000A741E&quot;/&gt;&lt;wsp:rsid wsp:val=&quot;000A7CE7&quot;/&gt;&lt;wsp:rsid wsp:val=&quot;000B0216&quot;/&gt;&lt;wsp:rsid wsp:val=&quot;000B03F5&quot;/&gt;&lt;wsp:rsid wsp:val=&quot;000B064B&quot;/&gt;&lt;wsp:rsid wsp:val=&quot;000B0F8E&quot;/&gt;&lt;wsp:rsid wsp:val=&quot;000B0FCB&quot;/&gt;&lt;wsp:rsid wsp:val=&quot;000B1EC8&quot;/&gt;&lt;wsp:rsid wsp:val=&quot;000B264B&quot;/&gt;&lt;wsp:rsid wsp:val=&quot;000B2DAA&quot;/&gt;&lt;wsp:rsid wsp:val=&quot;000B2E4A&quot;/&gt;&lt;wsp:rsid wsp:val=&quot;000B31CA&quot;/&gt;&lt;wsp:rsid wsp:val=&quot;000B31F7&quot;/&gt;&lt;wsp:rsid wsp:val=&quot;000B4062&quot;/&gt;&lt;wsp:rsid wsp:val=&quot;000B45A4&quot;/&gt;&lt;wsp:rsid wsp:val=&quot;000B4AD7&quot;/&gt;&lt;wsp:rsid wsp:val=&quot;000B5458&quot;/&gt;&lt;wsp:rsid wsp:val=&quot;000B55AF&quot;/&gt;&lt;wsp:rsid wsp:val=&quot;000B5B93&quot;/&gt;&lt;wsp:rsid wsp:val=&quot;000B5E06&quot;/&gt;&lt;wsp:rsid wsp:val=&quot;000B6106&quot;/&gt;&lt;wsp:rsid wsp:val=&quot;000B6678&quot;/&gt;&lt;wsp:rsid wsp:val=&quot;000B671F&quot;/&gt;&lt;wsp:rsid wsp:val=&quot;000B70F1&quot;/&gt;&lt;wsp:rsid wsp:val=&quot;000B744B&quot;/&gt;&lt;wsp:rsid wsp:val=&quot;000B7B79&quot;/&gt;&lt;wsp:rsid wsp:val=&quot;000C0B5E&quot;/&gt;&lt;wsp:rsid wsp:val=&quot;000C0C18&quot;/&gt;&lt;wsp:rsid wsp:val=&quot;000C0D66&quot;/&gt;&lt;wsp:rsid wsp:val=&quot;000C1120&quot;/&gt;&lt;wsp:rsid wsp:val=&quot;000C1252&quot;/&gt;&lt;wsp:rsid wsp:val=&quot;000C1AF2&quot;/&gt;&lt;wsp:rsid wsp:val=&quot;000C1EF9&quot;/&gt;&lt;wsp:rsid wsp:val=&quot;000C2262&quot;/&gt;&lt;wsp:rsid wsp:val=&quot;000C235E&quot;/&gt;&lt;wsp:rsid wsp:val=&quot;000C2459&quot;/&gt;&lt;wsp:rsid wsp:val=&quot;000C2967&quot;/&gt;&lt;wsp:rsid wsp:val=&quot;000C2C75&quot;/&gt;&lt;wsp:rsid wsp:val=&quot;000C2F5D&quot;/&gt;&lt;wsp:rsid wsp:val=&quot;000C3017&quot;/&gt;&lt;wsp:rsid wsp:val=&quot;000C316A&quot;/&gt;&lt;wsp:rsid wsp:val=&quot;000C369E&quot;/&gt;&lt;wsp:rsid wsp:val=&quot;000C436C&quot;/&gt;&lt;wsp:rsid wsp:val=&quot;000C47D6&quot;/&gt;&lt;wsp:rsid wsp:val=&quot;000C4E3B&quot;/&gt;&lt;wsp:rsid wsp:val=&quot;000C5CE0&quot;/&gt;&lt;wsp:rsid wsp:val=&quot;000C5E17&quot;/&gt;&lt;wsp:rsid wsp:val=&quot;000C5E29&quot;/&gt;&lt;wsp:rsid wsp:val=&quot;000C5F29&quot;/&gt;&lt;wsp:rsid wsp:val=&quot;000C61E6&quot;/&gt;&lt;wsp:rsid wsp:val=&quot;000C7137&quot;/&gt;&lt;wsp:rsid wsp:val=&quot;000C75A5&quot;/&gt;&lt;wsp:rsid wsp:val=&quot;000C79B7&quot;/&gt;&lt;wsp:rsid wsp:val=&quot;000C7C56&quot;/&gt;&lt;wsp:rsid wsp:val=&quot;000C7C5F&quot;/&gt;&lt;wsp:rsid wsp:val=&quot;000C7DBB&quot;/&gt;&lt;wsp:rsid wsp:val=&quot;000C7E0F&quot;/&gt;&lt;wsp:rsid wsp:val=&quot;000D06E9&quot;/&gt;&lt;wsp:rsid wsp:val=&quot;000D09C4&quot;/&gt;&lt;wsp:rsid wsp:val=&quot;000D0ECA&quot;/&gt;&lt;wsp:rsid wsp:val=&quot;000D22EE&quot;/&gt;&lt;wsp:rsid wsp:val=&quot;000D243F&quot;/&gt;&lt;wsp:rsid wsp:val=&quot;000D24E0&quot;/&gt;&lt;wsp:rsid wsp:val=&quot;000D385C&quot;/&gt;&lt;wsp:rsid wsp:val=&quot;000D4110&quot;/&gt;&lt;wsp:rsid wsp:val=&quot;000D4E93&quot;/&gt;&lt;wsp:rsid wsp:val=&quot;000D51E7&quot;/&gt;&lt;wsp:rsid wsp:val=&quot;000D573D&quot;/&gt;&lt;wsp:rsid wsp:val=&quot;000D5F41&quot;/&gt;&lt;wsp:rsid wsp:val=&quot;000D5F7F&quot;/&gt;&lt;wsp:rsid wsp:val=&quot;000D6463&quot;/&gt;&lt;wsp:rsid wsp:val=&quot;000D6FC9&quot;/&gt;&lt;wsp:rsid wsp:val=&quot;000D78F8&quot;/&gt;&lt;wsp:rsid wsp:val=&quot;000E0B11&quot;/&gt;&lt;wsp:rsid wsp:val=&quot;000E0B9B&quot;/&gt;&lt;wsp:rsid wsp:val=&quot;000E0D49&quot;/&gt;&lt;wsp:rsid wsp:val=&quot;000E0D4F&quot;/&gt;&lt;wsp:rsid wsp:val=&quot;000E1CB4&quot;/&gt;&lt;wsp:rsid wsp:val=&quot;000E1D2A&quot;/&gt;&lt;wsp:rsid wsp:val=&quot;000E24C3&quot;/&gt;&lt;wsp:rsid wsp:val=&quot;000E27B5&quot;/&gt;&lt;wsp:rsid wsp:val=&quot;000E2925&quot;/&gt;&lt;wsp:rsid wsp:val=&quot;000E2E1C&quot;/&gt;&lt;wsp:rsid wsp:val=&quot;000E3485&quot;/&gt;&lt;wsp:rsid wsp:val=&quot;000E34CD&quot;/&gt;&lt;wsp:rsid wsp:val=&quot;000E3638&quot;/&gt;&lt;wsp:rsid wsp:val=&quot;000E37E4&quot;/&gt;&lt;wsp:rsid wsp:val=&quot;000E492D&quot;/&gt;&lt;wsp:rsid wsp:val=&quot;000E4957&quot;/&gt;&lt;wsp:rsid wsp:val=&quot;000E4C70&quot;/&gt;&lt;wsp:rsid wsp:val=&quot;000E4D7D&quot;/&gt;&lt;wsp:rsid wsp:val=&quot;000E51C4&quot;/&gt;&lt;wsp:rsid wsp:val=&quot;000E55E2&quot;/&gt;&lt;wsp:rsid wsp:val=&quot;000E5CC4&quot;/&gt;&lt;wsp:rsid wsp:val=&quot;000E5E2A&quot;/&gt;&lt;wsp:rsid wsp:val=&quot;000E6CE0&quot;/&gt;&lt;wsp:rsid wsp:val=&quot;000E71DC&quot;/&gt;&lt;wsp:rsid wsp:val=&quot;000E7850&quot;/&gt;&lt;wsp:rsid wsp:val=&quot;000E7882&quot;/&gt;&lt;wsp:rsid wsp:val=&quot;000F06FB&quot;/&gt;&lt;wsp:rsid wsp:val=&quot;000F15F1&quot;/&gt;&lt;wsp:rsid wsp:val=&quot;000F1A26&quot;/&gt;&lt;wsp:rsid wsp:val=&quot;000F1C34&quot;/&gt;&lt;wsp:rsid wsp:val=&quot;000F1CE3&quot;/&gt;&lt;wsp:rsid wsp:val=&quot;000F2080&quot;/&gt;&lt;wsp:rsid wsp:val=&quot;000F2E83&quot;/&gt;&lt;wsp:rsid wsp:val=&quot;000F3DC7&quot;/&gt;&lt;wsp:rsid wsp:val=&quot;000F3EA9&quot;/&gt;&lt;wsp:rsid wsp:val=&quot;000F3FF0&quot;/&gt;&lt;wsp:rsid wsp:val=&quot;000F401A&quot;/&gt;&lt;wsp:rsid wsp:val=&quot;000F4380&quot;/&gt;&lt;wsp:rsid wsp:val=&quot;000F6629&quot;/&gt;&lt;wsp:rsid wsp:val=&quot;000F66BD&quot;/&gt;&lt;wsp:rsid wsp:val=&quot;000F7BC2&quot;/&gt;&lt;wsp:rsid wsp:val=&quot;001001EC&quot;/&gt;&lt;wsp:rsid wsp:val=&quot;001001ED&quot;/&gt;&lt;wsp:rsid wsp:val=&quot;001003BB&quot;/&gt;&lt;wsp:rsid wsp:val=&quot;00100D34&quot;/&gt;&lt;wsp:rsid wsp:val=&quot;001012DC&quot;/&gt;&lt;wsp:rsid wsp:val=&quot;001016E3&quot;/&gt;&lt;wsp:rsid wsp:val=&quot;0010206A&quot;/&gt;&lt;wsp:rsid wsp:val=&quot;001020EC&quot;/&gt;&lt;wsp:rsid wsp:val=&quot;0010273F&quot;/&gt;&lt;wsp:rsid wsp:val=&quot;00102EDF&quot;/&gt;&lt;wsp:rsid wsp:val=&quot;001034DB&quot;/&gt;&lt;wsp:rsid wsp:val=&quot;00103774&quot;/&gt;&lt;wsp:rsid wsp:val=&quot;0010390E&quot;/&gt;&lt;wsp:rsid wsp:val=&quot;001039C1&quot;/&gt;&lt;wsp:rsid wsp:val=&quot;00103C31&quot;/&gt;&lt;wsp:rsid wsp:val=&quot;0010503D&quot;/&gt;&lt;wsp:rsid wsp:val=&quot;001055E3&quot;/&gt;&lt;wsp:rsid wsp:val=&quot;00105C3A&quot;/&gt;&lt;wsp:rsid wsp:val=&quot;001071B2&quot;/&gt;&lt;wsp:rsid wsp:val=&quot;001073D3&quot;/&gt;&lt;wsp:rsid wsp:val=&quot;001075EA&quot;/&gt;&lt;wsp:rsid wsp:val=&quot;0010772D&quot;/&gt;&lt;wsp:rsid wsp:val=&quot;00107808&quot;/&gt;&lt;wsp:rsid wsp:val=&quot;00107CF3&quot;/&gt;&lt;wsp:rsid wsp:val=&quot;00107D8D&quot;/&gt;&lt;wsp:rsid wsp:val=&quot;00110191&quot;/&gt;&lt;wsp:rsid wsp:val=&quot;001106D8&quot;/&gt;&lt;wsp:rsid wsp:val=&quot;00110D9F&quot;/&gt;&lt;wsp:rsid wsp:val=&quot;00111EF3&quot;/&gt;&lt;wsp:rsid wsp:val=&quot;0011207F&quot;/&gt;&lt;wsp:rsid wsp:val=&quot;001121DC&quot;/&gt;&lt;wsp:rsid wsp:val=&quot;00113030&quot;/&gt;&lt;wsp:rsid wsp:val=&quot;00113291&quot;/&gt;&lt;wsp:rsid wsp:val=&quot;00113E68&quot;/&gt;&lt;wsp:rsid wsp:val=&quot;001147D7&quot;/&gt;&lt;wsp:rsid wsp:val=&quot;001150A9&quot;/&gt;&lt;wsp:rsid wsp:val=&quot;001165B3&quot;/&gt;&lt;wsp:rsid wsp:val=&quot;00117786&quot;/&gt;&lt;wsp:rsid wsp:val=&quot;00117AB9&quot;/&gt;&lt;wsp:rsid wsp:val=&quot;00117AE8&quot;/&gt;&lt;wsp:rsid wsp:val=&quot;001200DF&quot;/&gt;&lt;wsp:rsid wsp:val=&quot;001204F1&quot;/&gt;&lt;wsp:rsid wsp:val=&quot;00120677&quot;/&gt;&lt;wsp:rsid wsp:val=&quot;00120E1C&quot;/&gt;&lt;wsp:rsid wsp:val=&quot;00120EAD&quot;/&gt;&lt;wsp:rsid wsp:val=&quot;001211FD&quot;/&gt;&lt;wsp:rsid wsp:val=&quot;00121875&quot;/&gt;&lt;wsp:rsid wsp:val=&quot;001218B4&quot;/&gt;&lt;wsp:rsid wsp:val=&quot;00121B39&quot;/&gt;&lt;wsp:rsid wsp:val=&quot;00121DA9&quot;/&gt;&lt;wsp:rsid wsp:val=&quot;00122016&quot;/&gt;&lt;wsp:rsid wsp:val=&quot;00122099&quot;/&gt;&lt;wsp:rsid wsp:val=&quot;00122293&quot;/&gt;&lt;wsp:rsid wsp:val=&quot;00122C29&quot;/&gt;&lt;wsp:rsid wsp:val=&quot;00122E6C&quot;/&gt;&lt;wsp:rsid wsp:val=&quot;00123150&quot;/&gt;&lt;wsp:rsid wsp:val=&quot;001239C7&quot;/&gt;&lt;wsp:rsid wsp:val=&quot;00123B28&quot;/&gt;&lt;wsp:rsid wsp:val=&quot;00123B74&quot;/&gt;&lt;wsp:rsid wsp:val=&quot;001240F1&quot;/&gt;&lt;wsp:rsid wsp:val=&quot;00124460&quot;/&gt;&lt;wsp:rsid wsp:val=&quot;00124CF3&quot;/&gt;&lt;wsp:rsid wsp:val=&quot;00124D34&quot;/&gt;&lt;wsp:rsid wsp:val=&quot;00125145&quot;/&gt;&lt;wsp:rsid wsp:val=&quot;00126167&quot;/&gt;&lt;wsp:rsid wsp:val=&quot;00126AD4&quot;/&gt;&lt;wsp:rsid wsp:val=&quot;00127245&quot;/&gt;&lt;wsp:rsid wsp:val=&quot;0012729C&quot;/&gt;&lt;wsp:rsid wsp:val=&quot;001276BE&quot;/&gt;&lt;wsp:rsid wsp:val=&quot;00130AE8&quot;/&gt;&lt;wsp:rsid wsp:val=&quot;00131B56&quot;/&gt;&lt;wsp:rsid wsp:val=&quot;001329E5&quot;/&gt;&lt;wsp:rsid wsp:val=&quot;001330B9&quot;/&gt;&lt;wsp:rsid wsp:val=&quot;00133676&quot;/&gt;&lt;wsp:rsid wsp:val=&quot;00133A41&quot;/&gt;&lt;wsp:rsid wsp:val=&quot;00133C5F&quot;/&gt;&lt;wsp:rsid wsp:val=&quot;00133D0E&quot;/&gt;&lt;wsp:rsid wsp:val=&quot;00134204&quot;/&gt;&lt;wsp:rsid wsp:val=&quot;001345C5&quot;/&gt;&lt;wsp:rsid wsp:val=&quot;00134ED3&quot;/&gt;&lt;wsp:rsid wsp:val=&quot;001351E5&quot;/&gt;&lt;wsp:rsid wsp:val=&quot;00135303&quot;/&gt;&lt;wsp:rsid wsp:val=&quot;00135674&quot;/&gt;&lt;wsp:rsid wsp:val=&quot;001356A6&quot;/&gt;&lt;wsp:rsid wsp:val=&quot;00135733&quot;/&gt;&lt;wsp:rsid wsp:val=&quot;00135791&quot;/&gt;&lt;wsp:rsid wsp:val=&quot;0013585D&quot;/&gt;&lt;wsp:rsid wsp:val=&quot;001359A0&quot;/&gt;&lt;wsp:rsid wsp:val=&quot;0013611F&quot;/&gt;&lt;wsp:rsid wsp:val=&quot;0013619C&quot;/&gt;&lt;wsp:rsid wsp:val=&quot;00136DF3&quot;/&gt;&lt;wsp:rsid wsp:val=&quot;001372FF&quot;/&gt;&lt;wsp:rsid wsp:val=&quot;001378EF&quot;/&gt;&lt;wsp:rsid wsp:val=&quot;00137988&quot;/&gt;&lt;wsp:rsid wsp:val=&quot;00140863&quot;/&gt;&lt;wsp:rsid wsp:val=&quot;001412A7&quot;/&gt;&lt;wsp:rsid wsp:val=&quot;0014131F&quot;/&gt;&lt;wsp:rsid wsp:val=&quot;001420AB&quot;/&gt;&lt;wsp:rsid wsp:val=&quot;001420B8&quot;/&gt;&lt;wsp:rsid wsp:val=&quot;001428CC&quot;/&gt;&lt;wsp:rsid wsp:val=&quot;00142AC5&quot;/&gt;&lt;wsp:rsid wsp:val=&quot;00142E23&quot;/&gt;&lt;wsp:rsid wsp:val=&quot;00143B23&quot;/&gt;&lt;wsp:rsid wsp:val=&quot;001444D2&quot;/&gt;&lt;wsp:rsid wsp:val=&quot;0014466A&quot;/&gt;&lt;wsp:rsid wsp:val=&quot;00144FBB&quot;/&gt;&lt;wsp:rsid wsp:val=&quot;00145316&quot;/&gt;&lt;wsp:rsid wsp:val=&quot;00145633&quot;/&gt;&lt;wsp:rsid wsp:val=&quot;00145DFF&quot;/&gt;&lt;wsp:rsid wsp:val=&quot;00145E35&quot;/&gt;&lt;wsp:rsid wsp:val=&quot;0014641F&quot;/&gt;&lt;wsp:rsid wsp:val=&quot;00146DC1&quot;/&gt;&lt;wsp:rsid wsp:val=&quot;001470EC&quot;/&gt;&lt;wsp:rsid wsp:val=&quot;0014788C&quot;/&gt;&lt;wsp:rsid wsp:val=&quot;001478F2&quot;/&gt;&lt;wsp:rsid wsp:val=&quot;00147EE2&quot;/&gt;&lt;wsp:rsid wsp:val=&quot;00147F6A&quot;/&gt;&lt;wsp:rsid wsp:val=&quot;00150275&quot;/&gt;&lt;wsp:rsid wsp:val=&quot;0015077B&quot;/&gt;&lt;wsp:rsid wsp:val=&quot;001517C2&quot;/&gt;&lt;wsp:rsid wsp:val=&quot;0015180A&quot;/&gt;&lt;wsp:rsid wsp:val=&quot;001519EF&quot;/&gt;&lt;wsp:rsid wsp:val=&quot;00151FF5&quot;/&gt;&lt;wsp:rsid wsp:val=&quot;0015215A&quot;/&gt;&lt;wsp:rsid wsp:val=&quot;001523DF&quot;/&gt;&lt;wsp:rsid wsp:val=&quot;00152B94&quot;/&gt;&lt;wsp:rsid wsp:val=&quot;00152F03&quot;/&gt;&lt;wsp:rsid wsp:val=&quot;00152F47&quot;/&gt;&lt;wsp:rsid wsp:val=&quot;00153BB4&quot;/&gt;&lt;wsp:rsid wsp:val=&quot;00153C79&quot;/&gt;&lt;wsp:rsid wsp:val=&quot;00154095&quot;/&gt;&lt;wsp:rsid wsp:val=&quot;00155276&quot;/&gt;&lt;wsp:rsid wsp:val=&quot;001554AD&quot;/&gt;&lt;wsp:rsid wsp:val=&quot;001555DC&quot;/&gt;&lt;wsp:rsid wsp:val=&quot;001557DB&quot;/&gt;&lt;wsp:rsid wsp:val=&quot;00155B27&quot;/&gt;&lt;wsp:rsid wsp:val=&quot;00155D6E&quot;/&gt;&lt;wsp:rsid wsp:val=&quot;0015638E&quot;/&gt;&lt;wsp:rsid wsp:val=&quot;00156DA3&quot;/&gt;&lt;wsp:rsid wsp:val=&quot;00156EBD&quot;/&gt;&lt;wsp:rsid wsp:val=&quot;001572D2&quot;/&gt;&lt;wsp:rsid wsp:val=&quot;0015752E&quot;/&gt;&lt;wsp:rsid wsp:val=&quot;00160B9A&quot;/&gt;&lt;wsp:rsid wsp:val=&quot;00160EF9&quot;/&gt;&lt;wsp:rsid wsp:val=&quot;00161081&quot;/&gt;&lt;wsp:rsid wsp:val=&quot;00161266&quot;/&gt;&lt;wsp:rsid wsp:val=&quot;001613D9&quot;/&gt;&lt;wsp:rsid wsp:val=&quot;0016151A&quot;/&gt;&lt;wsp:rsid wsp:val=&quot;001619F2&quot;/&gt;&lt;wsp:rsid wsp:val=&quot;00161A19&quot;/&gt;&lt;wsp:rsid wsp:val=&quot;00161A8F&quot;/&gt;&lt;wsp:rsid wsp:val=&quot;00161A90&quot;/&gt;&lt;wsp:rsid wsp:val=&quot;00161FB8&quot;/&gt;&lt;wsp:rsid wsp:val=&quot;00162064&quot;/&gt;&lt;wsp:rsid wsp:val=&quot;00163235&quot;/&gt;&lt;wsp:rsid wsp:val=&quot;00163325&quot;/&gt;&lt;wsp:rsid wsp:val=&quot;00163ED9&quot;/&gt;&lt;wsp:rsid wsp:val=&quot;00164141&quot;/&gt;&lt;wsp:rsid wsp:val=&quot;001642AF&quot;/&gt;&lt;wsp:rsid wsp:val=&quot;00164885&quot;/&gt;&lt;wsp:rsid wsp:val=&quot;00165016&quot;/&gt;&lt;wsp:rsid wsp:val=&quot;001650CD&quot;/&gt;&lt;wsp:rsid wsp:val=&quot;00165397&quot;/&gt;&lt;wsp:rsid wsp:val=&quot;001654CE&quot;/&gt;&lt;wsp:rsid wsp:val=&quot;00165581&quot;/&gt;&lt;wsp:rsid wsp:val=&quot;00165EBF&quot;/&gt;&lt;wsp:rsid wsp:val=&quot;00165F81&quot;/&gt;&lt;wsp:rsid wsp:val=&quot;00166374&quot;/&gt;&lt;wsp:rsid wsp:val=&quot;00166F00&quot;/&gt;&lt;wsp:rsid wsp:val=&quot;001678B3&quot;/&gt;&lt;wsp:rsid wsp:val=&quot;00167D65&quot;/&gt;&lt;wsp:rsid wsp:val=&quot;001700D0&quot;/&gt;&lt;wsp:rsid wsp:val=&quot;001708B9&quot;/&gt;&lt;wsp:rsid wsp:val=&quot;0017099E&quot;/&gt;&lt;wsp:rsid wsp:val=&quot;00170D02&quot;/&gt;&lt;wsp:rsid wsp:val=&quot;00172045&quot;/&gt;&lt;wsp:rsid wsp:val=&quot;0017209E&quot;/&gt;&lt;wsp:rsid wsp:val=&quot;00172DC8&quot;/&gt;&lt;wsp:rsid wsp:val=&quot;00173E3D&quot;/&gt;&lt;wsp:rsid wsp:val=&quot;00173E8F&quot;/&gt;&lt;wsp:rsid wsp:val=&quot;001741D6&quot;/&gt;&lt;wsp:rsid wsp:val=&quot;0017420E&quot;/&gt;&lt;wsp:rsid wsp:val=&quot;0017442B&quot;/&gt;&lt;wsp:rsid wsp:val=&quot;00174C68&quot;/&gt;&lt;wsp:rsid wsp:val=&quot;00174DB9&quot;/&gt;&lt;wsp:rsid wsp:val=&quot;001754BB&quot;/&gt;&lt;wsp:rsid wsp:val=&quot;00175917&quot;/&gt;&lt;wsp:rsid wsp:val=&quot;00175CE5&quot;/&gt;&lt;wsp:rsid wsp:val=&quot;00176593&quot;/&gt;&lt;wsp:rsid wsp:val=&quot;00176D19&quot;/&gt;&lt;wsp:rsid wsp:val=&quot;0017779C&quot;/&gt;&lt;wsp:rsid wsp:val=&quot;00177AAE&quot;/&gt;&lt;wsp:rsid wsp:val=&quot;00177BE0&quot;/&gt;&lt;wsp:rsid wsp:val=&quot;00177EE7&quot;/&gt;&lt;wsp:rsid wsp:val=&quot;00177F06&quot;/&gt;&lt;wsp:rsid wsp:val=&quot;00180278&quot;/&gt;&lt;wsp:rsid wsp:val=&quot;00180B93&quot;/&gt;&lt;wsp:rsid wsp:val=&quot;0018107E&quot;/&gt;&lt;wsp:rsid wsp:val=&quot;001812E7&quot;/&gt;&lt;wsp:rsid wsp:val=&quot;001814EB&quot;/&gt;&lt;wsp:rsid wsp:val=&quot;001828D0&quot;/&gt;&lt;wsp:rsid wsp:val=&quot;00182990&quot;/&gt;&lt;wsp:rsid wsp:val=&quot;00182F4A&quot;/&gt;&lt;wsp:rsid wsp:val=&quot;0018316A&quot;/&gt;&lt;wsp:rsid wsp:val=&quot;001832A3&quot;/&gt;&lt;wsp:rsid wsp:val=&quot;00183651&quot;/&gt;&lt;wsp:rsid wsp:val=&quot;00183FD1&quot;/&gt;&lt;wsp:rsid wsp:val=&quot;001841B4&quot;/&gt;&lt;wsp:rsid wsp:val=&quot;001859F3&quot;/&gt;&lt;wsp:rsid wsp:val=&quot;00185BAB&quot;/&gt;&lt;wsp:rsid wsp:val=&quot;001860DE&quot;/&gt;&lt;wsp:rsid wsp:val=&quot;001860E7&quot;/&gt;&lt;wsp:rsid wsp:val=&quot;00186DFB&quot;/&gt;&lt;wsp:rsid wsp:val=&quot;001871A4&quot;/&gt;&lt;wsp:rsid wsp:val=&quot;00187BE3&quot;/&gt;&lt;wsp:rsid wsp:val=&quot;00190459&quot;/&gt;&lt;wsp:rsid wsp:val=&quot;0019068E&quot;/&gt;&lt;wsp:rsid wsp:val=&quot;00190BF9&quot;/&gt;&lt;wsp:rsid wsp:val=&quot;0019118D&quot;/&gt;&lt;wsp:rsid wsp:val=&quot;001913DC&quot;/&gt;&lt;wsp:rsid wsp:val=&quot;00191BA2&quot;/&gt;&lt;wsp:rsid wsp:val=&quot;00192216&quot;/&gt;&lt;wsp:rsid wsp:val=&quot;00192413&quot;/&gt;&lt;wsp:rsid wsp:val=&quot;00192F23&quot;/&gt;&lt;wsp:rsid wsp:val=&quot;00192F25&quot;/&gt;&lt;wsp:rsid wsp:val=&quot;00193163&quot;/&gt;&lt;wsp:rsid wsp:val=&quot;00193A03&quot;/&gt;&lt;wsp:rsid wsp:val=&quot;00193EA6&quot;/&gt;&lt;wsp:rsid wsp:val=&quot;0019440C&quot;/&gt;&lt;wsp:rsid wsp:val=&quot;00194428&quot;/&gt;&lt;wsp:rsid wsp:val=&quot;0019479F&quot;/&gt;&lt;wsp:rsid wsp:val=&quot;00194B3B&quot;/&gt;&lt;wsp:rsid wsp:val=&quot;0019521E&quot;/&gt;&lt;wsp:rsid wsp:val=&quot;00195362&quot;/&gt;&lt;wsp:rsid wsp:val=&quot;001955CA&quot;/&gt;&lt;wsp:rsid wsp:val=&quot;00195866&quot;/&gt;&lt;wsp:rsid wsp:val=&quot;00195E8E&quot;/&gt;&lt;wsp:rsid wsp:val=&quot;0019613A&quot;/&gt;&lt;wsp:rsid wsp:val=&quot;0019622D&quot;/&gt;&lt;wsp:rsid wsp:val=&quot;00196C46&quot;/&gt;&lt;wsp:rsid wsp:val=&quot;00196FFE&quot;/&gt;&lt;wsp:rsid wsp:val=&quot;0019719C&quot;/&gt;&lt;wsp:rsid wsp:val=&quot;0019731C&quot;/&gt;&lt;wsp:rsid wsp:val=&quot;00197334&quot;/&gt;&lt;wsp:rsid wsp:val=&quot;00197C0E&quot;/&gt;&lt;wsp:rsid wsp:val=&quot;001A02A7&quot;/&gt;&lt;wsp:rsid wsp:val=&quot;001A040F&quot;/&gt;&lt;wsp:rsid wsp:val=&quot;001A05EC&quot;/&gt;&lt;wsp:rsid wsp:val=&quot;001A1261&quot;/&gt;&lt;wsp:rsid wsp:val=&quot;001A1DD3&quot;/&gt;&lt;wsp:rsid wsp:val=&quot;001A26A9&quot;/&gt;&lt;wsp:rsid wsp:val=&quot;001A3997&quot;/&gt;&lt;wsp:rsid wsp:val=&quot;001A3B2C&quot;/&gt;&lt;wsp:rsid wsp:val=&quot;001A4034&quot;/&gt;&lt;wsp:rsid wsp:val=&quot;001A443C&quot;/&gt;&lt;wsp:rsid wsp:val=&quot;001A4BEE&quot;/&gt;&lt;wsp:rsid wsp:val=&quot;001A54C7&quot;/&gt;&lt;wsp:rsid wsp:val=&quot;001A5F6C&quot;/&gt;&lt;wsp:rsid wsp:val=&quot;001A64AD&quot;/&gt;&lt;wsp:rsid wsp:val=&quot;001A68D7&quot;/&gt;&lt;wsp:rsid wsp:val=&quot;001A6E4C&quot;/&gt;&lt;wsp:rsid wsp:val=&quot;001A6FF5&quot;/&gt;&lt;wsp:rsid wsp:val=&quot;001A78BE&quot;/&gt;&lt;wsp:rsid wsp:val=&quot;001A78C4&quot;/&gt;&lt;wsp:rsid wsp:val=&quot;001A790A&quot;/&gt;&lt;wsp:rsid wsp:val=&quot;001A7F5B&quot;/&gt;&lt;wsp:rsid wsp:val=&quot;001B052B&quot;/&gt;&lt;wsp:rsid wsp:val=&quot;001B0909&quot;/&gt;&lt;wsp:rsid wsp:val=&quot;001B1211&quot;/&gt;&lt;wsp:rsid wsp:val=&quot;001B1270&quot;/&gt;&lt;wsp:rsid wsp:val=&quot;001B1EC0&quot;/&gt;&lt;wsp:rsid wsp:val=&quot;001B2290&quot;/&gt;&lt;wsp:rsid wsp:val=&quot;001B27B0&quot;/&gt;&lt;wsp:rsid wsp:val=&quot;001B28D1&quot;/&gt;&lt;wsp:rsid wsp:val=&quot;001B3242&quot;/&gt;&lt;wsp:rsid wsp:val=&quot;001B37D4&quot;/&gt;&lt;wsp:rsid wsp:val=&quot;001B46D0&quot;/&gt;&lt;wsp:rsid wsp:val=&quot;001B4909&quot;/&gt;&lt;wsp:rsid wsp:val=&quot;001B5072&quot;/&gt;&lt;wsp:rsid wsp:val=&quot;001B549A&quot;/&gt;&lt;wsp:rsid wsp:val=&quot;001B5D25&quot;/&gt;&lt;wsp:rsid wsp:val=&quot;001B5F7C&quot;/&gt;&lt;wsp:rsid wsp:val=&quot;001B5F93&quot;/&gt;&lt;wsp:rsid wsp:val=&quot;001B6E22&quot;/&gt;&lt;wsp:rsid wsp:val=&quot;001B71BE&quot;/&gt;&lt;wsp:rsid wsp:val=&quot;001B7310&quot;/&gt;&lt;wsp:rsid wsp:val=&quot;001B78E9&quot;/&gt;&lt;wsp:rsid wsp:val=&quot;001B7DEE&quot;/&gt;&lt;wsp:rsid wsp:val=&quot;001B7FCF&quot;/&gt;&lt;wsp:rsid wsp:val=&quot;001C0540&quot;/&gt;&lt;wsp:rsid wsp:val=&quot;001C0739&quot;/&gt;&lt;wsp:rsid wsp:val=&quot;001C0985&quot;/&gt;&lt;wsp:rsid wsp:val=&quot;001C0A70&quot;/&gt;&lt;wsp:rsid wsp:val=&quot;001C0D50&quot;/&gt;&lt;wsp:rsid wsp:val=&quot;001C19FA&quot;/&gt;&lt;wsp:rsid wsp:val=&quot;001C1A49&quot;/&gt;&lt;wsp:rsid wsp:val=&quot;001C1D4E&quot;/&gt;&lt;wsp:rsid wsp:val=&quot;001C2355&quot;/&gt;&lt;wsp:rsid wsp:val=&quot;001C2781&quot;/&gt;&lt;wsp:rsid wsp:val=&quot;001C2D97&quot;/&gt;&lt;wsp:rsid wsp:val=&quot;001C2F84&quot;/&gt;&lt;wsp:rsid wsp:val=&quot;001C345A&quot;/&gt;&lt;wsp:rsid wsp:val=&quot;001C376E&quot;/&gt;&lt;wsp:rsid wsp:val=&quot;001C3C03&quot;/&gt;&lt;wsp:rsid wsp:val=&quot;001C3D43&quot;/&gt;&lt;wsp:rsid wsp:val=&quot;001C43E7&quot;/&gt;&lt;wsp:rsid wsp:val=&quot;001C4745&quot;/&gt;&lt;wsp:rsid wsp:val=&quot;001C48FB&quot;/&gt;&lt;wsp:rsid wsp:val=&quot;001C49AE&quot;/&gt;&lt;wsp:rsid wsp:val=&quot;001C5049&quot;/&gt;&lt;wsp:rsid wsp:val=&quot;001C50B1&quot;/&gt;&lt;wsp:rsid wsp:val=&quot;001C5F03&quot;/&gt;&lt;wsp:rsid wsp:val=&quot;001C5FE9&quot;/&gt;&lt;wsp:rsid wsp:val=&quot;001C63FE&quot;/&gt;&lt;wsp:rsid wsp:val=&quot;001C66CD&quot;/&gt;&lt;wsp:rsid wsp:val=&quot;001C6A96&quot;/&gt;&lt;wsp:rsid wsp:val=&quot;001C77A1&quot;/&gt;&lt;wsp:rsid wsp:val=&quot;001C7F81&quot;/&gt;&lt;wsp:rsid wsp:val=&quot;001D0B01&quot;/&gt;&lt;wsp:rsid wsp:val=&quot;001D10DA&quot;/&gt;&lt;wsp:rsid wsp:val=&quot;001D1737&quot;/&gt;&lt;wsp:rsid wsp:val=&quot;001D1CCD&quot;/&gt;&lt;wsp:rsid wsp:val=&quot;001D1FBD&quot;/&gt;&lt;wsp:rsid wsp:val=&quot;001D2028&quot;/&gt;&lt;wsp:rsid wsp:val=&quot;001D2652&quot;/&gt;&lt;wsp:rsid wsp:val=&quot;001D2BD8&quot;/&gt;&lt;wsp:rsid wsp:val=&quot;001D3181&quot;/&gt;&lt;wsp:rsid wsp:val=&quot;001D36A8&quot;/&gt;&lt;wsp:rsid wsp:val=&quot;001D36BA&quot;/&gt;&lt;wsp:rsid wsp:val=&quot;001D37A6&quot;/&gt;&lt;wsp:rsid wsp:val=&quot;001D404E&quot;/&gt;&lt;wsp:rsid wsp:val=&quot;001D4BDD&quot;/&gt;&lt;wsp:rsid wsp:val=&quot;001D4FB3&quot;/&gt;&lt;wsp:rsid wsp:val=&quot;001D6332&quot;/&gt;&lt;wsp:rsid wsp:val=&quot;001D78C8&quot;/&gt;&lt;wsp:rsid wsp:val=&quot;001D792C&quot;/&gt;&lt;wsp:rsid wsp:val=&quot;001D7A4C&quot;/&gt;&lt;wsp:rsid wsp:val=&quot;001D7A61&quot;/&gt;&lt;wsp:rsid wsp:val=&quot;001D7E0B&quot;/&gt;&lt;wsp:rsid wsp:val=&quot;001D7F98&quot;/&gt;&lt;wsp:rsid wsp:val=&quot;001E01E7&quot;/&gt;&lt;wsp:rsid wsp:val=&quot;001E05AA&quot;/&gt;&lt;wsp:rsid wsp:val=&quot;001E0AF2&quot;/&gt;&lt;wsp:rsid wsp:val=&quot;001E10F5&quot;/&gt;&lt;wsp:rsid wsp:val=&quot;001E113C&quot;/&gt;&lt;wsp:rsid wsp:val=&quot;001E156A&quot;/&gt;&lt;wsp:rsid wsp:val=&quot;001E1605&quot;/&gt;&lt;wsp:rsid wsp:val=&quot;001E2C32&quot;/&gt;&lt;wsp:rsid wsp:val=&quot;001E3385&quot;/&gt;&lt;wsp:rsid wsp:val=&quot;001E3583&quot;/&gt;&lt;wsp:rsid wsp:val=&quot;001E42B7&quot;/&gt;&lt;wsp:rsid wsp:val=&quot;001E4752&quot;/&gt;&lt;wsp:rsid wsp:val=&quot;001E483C&quot;/&gt;&lt;wsp:rsid wsp:val=&quot;001E4861&quot;/&gt;&lt;wsp:rsid wsp:val=&quot;001E4983&quot;/&gt;&lt;wsp:rsid wsp:val=&quot;001E4B90&quot;/&gt;&lt;wsp:rsid wsp:val=&quot;001E50E3&quot;/&gt;&lt;wsp:rsid wsp:val=&quot;001E523B&quot;/&gt;&lt;wsp:rsid wsp:val=&quot;001E54FA&quot;/&gt;&lt;wsp:rsid wsp:val=&quot;001E5BC7&quot;/&gt;&lt;wsp:rsid wsp:val=&quot;001E664D&quot;/&gt;&lt;wsp:rsid wsp:val=&quot;001E73A7&quot;/&gt;&lt;wsp:rsid wsp:val=&quot;001E74C8&quot;/&gt;&lt;wsp:rsid wsp:val=&quot;001E7E38&quot;/&gt;&lt;wsp:rsid wsp:val=&quot;001F0080&quot;/&gt;&lt;wsp:rsid wsp:val=&quot;001F076E&quot;/&gt;&lt;wsp:rsid wsp:val=&quot;001F19F5&quot;/&gt;&lt;wsp:rsid wsp:val=&quot;001F1DA9&quot;/&gt;&lt;wsp:rsid wsp:val=&quot;001F2588&quot;/&gt;&lt;wsp:rsid wsp:val=&quot;001F31CA&quot;/&gt;&lt;wsp:rsid wsp:val=&quot;001F382C&quot;/&gt;&lt;wsp:rsid wsp:val=&quot;001F38B9&quot;/&gt;&lt;wsp:rsid wsp:val=&quot;001F3AF4&quot;/&gt;&lt;wsp:rsid wsp:val=&quot;001F3B6B&quot;/&gt;&lt;wsp:rsid wsp:val=&quot;001F3F65&quot;/&gt;&lt;wsp:rsid wsp:val=&quot;001F4E7C&quot;/&gt;&lt;wsp:rsid wsp:val=&quot;001F51FB&quot;/&gt;&lt;wsp:rsid wsp:val=&quot;001F5B86&quot;/&gt;&lt;wsp:rsid wsp:val=&quot;001F6C73&quot;/&gt;&lt;wsp:rsid wsp:val=&quot;001F740C&quot;/&gt;&lt;wsp:rsid wsp:val=&quot;001F7BE7&quot;/&gt;&lt;wsp:rsid wsp:val=&quot;002000B6&quot;/&gt;&lt;wsp:rsid wsp:val=&quot;00200526&quot;/&gt;&lt;wsp:rsid wsp:val=&quot;002006AD&quot;/&gt;&lt;wsp:rsid wsp:val=&quot;002013BF&quot;/&gt;&lt;wsp:rsid wsp:val=&quot;002015F9&quot;/&gt;&lt;wsp:rsid wsp:val=&quot;0020218C&quot;/&gt;&lt;wsp:rsid wsp:val=&quot;00202AB5&quot;/&gt;&lt;wsp:rsid wsp:val=&quot;002039D4&quot;/&gt;&lt;wsp:rsid wsp:val=&quot;00203CC6&quot;/&gt;&lt;wsp:rsid wsp:val=&quot;0020466E&quot;/&gt;&lt;wsp:rsid wsp:val=&quot;0020491B&quot;/&gt;&lt;wsp:rsid wsp:val=&quot;00204C9C&quot;/&gt;&lt;wsp:rsid wsp:val=&quot;00204E02&quot;/&gt;&lt;wsp:rsid wsp:val=&quot;00205158&quot;/&gt;&lt;wsp:rsid wsp:val=&quot;00205639&quot;/&gt;&lt;wsp:rsid wsp:val=&quot;00205910&quot;/&gt;&lt;wsp:rsid wsp:val=&quot;00205B6C&quot;/&gt;&lt;wsp:rsid wsp:val=&quot;00205BC4&quot;/&gt;&lt;wsp:rsid wsp:val=&quot;00205D7B&quot;/&gt;&lt;wsp:rsid wsp:val=&quot;00205D82&quot;/&gt;&lt;wsp:rsid wsp:val=&quot;002062DE&quot;/&gt;&lt;wsp:rsid wsp:val=&quot;00206487&quot;/&gt;&lt;wsp:rsid wsp:val=&quot;00206866&quot;/&gt;&lt;wsp:rsid wsp:val=&quot;00206BA0&quot;/&gt;&lt;wsp:rsid wsp:val=&quot;00207A48&quot;/&gt;&lt;wsp:rsid wsp:val=&quot;00210679&quot;/&gt;&lt;wsp:rsid wsp:val=&quot;00210851&quot;/&gt;&lt;wsp:rsid wsp:val=&quot;0021127A&quot;/&gt;&lt;wsp:rsid wsp:val=&quot;0021239D&quot;/&gt;&lt;wsp:rsid wsp:val=&quot;00212513&quot;/&gt;&lt;wsp:rsid wsp:val=&quot;00212659&quot;/&gt;&lt;wsp:rsid wsp:val=&quot;0021275D&quot;/&gt;&lt;wsp:rsid wsp:val=&quot;002128EC&quot;/&gt;&lt;wsp:rsid wsp:val=&quot;0021311B&quot;/&gt;&lt;wsp:rsid wsp:val=&quot;00213745&quot;/&gt;&lt;wsp:rsid wsp:val=&quot;00214702&quot;/&gt;&lt;wsp:rsid wsp:val=&quot;00214AB4&quot;/&gt;&lt;wsp:rsid wsp:val=&quot;002150CC&quot;/&gt;&lt;wsp:rsid wsp:val=&quot;00215361&quot;/&gt;&lt;wsp:rsid wsp:val=&quot;0021553B&quot;/&gt;&lt;wsp:rsid wsp:val=&quot;0021595F&quot;/&gt;&lt;wsp:rsid wsp:val=&quot;0021635E&quot;/&gt;&lt;wsp:rsid wsp:val=&quot;00216563&quot;/&gt;&lt;wsp:rsid wsp:val=&quot;00216C94&quot;/&gt;&lt;wsp:rsid wsp:val=&quot;00216F38&quot;/&gt;&lt;wsp:rsid wsp:val=&quot;00217273&quot;/&gt;&lt;wsp:rsid wsp:val=&quot;00217BF8&quot;/&gt;&lt;wsp:rsid wsp:val=&quot;00217C29&quot;/&gt;&lt;wsp:rsid wsp:val=&quot;00221154&quot;/&gt;&lt;wsp:rsid wsp:val=&quot;00221AFB&quot;/&gt;&lt;wsp:rsid wsp:val=&quot;00221D17&quot;/&gt;&lt;wsp:rsid wsp:val=&quot;00222395&quot;/&gt;&lt;wsp:rsid wsp:val=&quot;002228F0&quot;/&gt;&lt;wsp:rsid wsp:val=&quot;00222950&quot;/&gt;&lt;wsp:rsid wsp:val=&quot;00222C50&quot;/&gt;&lt;wsp:rsid wsp:val=&quot;00222C6E&quot;/&gt;&lt;wsp:rsid wsp:val=&quot;00222FCB&quot;/&gt;&lt;wsp:rsid wsp:val=&quot;00223028&quot;/&gt;&lt;wsp:rsid wsp:val=&quot;00223E06&quot;/&gt;&lt;wsp:rsid wsp:val=&quot;00223EAF&quot;/&gt;&lt;wsp:rsid wsp:val=&quot;00224119&quot;/&gt;&lt;wsp:rsid wsp:val=&quot;00224493&quot;/&gt;&lt;wsp:rsid wsp:val=&quot;002247B1&quot;/&gt;&lt;wsp:rsid wsp:val=&quot;00225162&quot;/&gt;&lt;wsp:rsid wsp:val=&quot;002257A3&quot;/&gt;&lt;wsp:rsid wsp:val=&quot;002267FD&quot;/&gt;&lt;wsp:rsid wsp:val=&quot;00226D86&quot;/&gt;&lt;wsp:rsid wsp:val=&quot;00227EE9&quot;/&gt;&lt;wsp:rsid wsp:val=&quot;00230340&quot;/&gt;&lt;wsp:rsid wsp:val=&quot;002309EE&quot;/&gt;&lt;wsp:rsid wsp:val=&quot;00230BCF&quot;/&gt;&lt;wsp:rsid wsp:val=&quot;00230FD2&quot;/&gt;&lt;wsp:rsid wsp:val=&quot;00231351&quot;/&gt;&lt;wsp:rsid wsp:val=&quot;00231630&quot;/&gt;&lt;wsp:rsid wsp:val=&quot;002339DB&quot;/&gt;&lt;wsp:rsid wsp:val=&quot;00233BA5&quot;/&gt;&lt;wsp:rsid wsp:val=&quot;00233D21&quot;/&gt;&lt;wsp:rsid wsp:val=&quot;002341D5&quot;/&gt;&lt;wsp:rsid wsp:val=&quot;00234C44&quot;/&gt;&lt;wsp:rsid wsp:val=&quot;00234DFB&quot;/&gt;&lt;wsp:rsid wsp:val=&quot;002353DC&quot;/&gt;&lt;wsp:rsid wsp:val=&quot;00235782&quot;/&gt;&lt;wsp:rsid wsp:val=&quot;00235866&quot;/&gt;&lt;wsp:rsid wsp:val=&quot;00235AB4&quot;/&gt;&lt;wsp:rsid wsp:val=&quot;00235F2A&quot;/&gt;&lt;wsp:rsid wsp:val=&quot;00236228&quot;/&gt;&lt;wsp:rsid wsp:val=&quot;00236A1D&quot;/&gt;&lt;wsp:rsid wsp:val=&quot;00237449&quot;/&gt;&lt;wsp:rsid wsp:val=&quot;002377CE&quot;/&gt;&lt;wsp:rsid wsp:val=&quot;002379D2&quot;/&gt;&lt;wsp:rsid wsp:val=&quot;0024042A&quot;/&gt;&lt;wsp:rsid wsp:val=&quot;00240DE0&quot;/&gt;&lt;wsp:rsid wsp:val=&quot;00242432&quot;/&gt;&lt;wsp:rsid wsp:val=&quot;00243004&quot;/&gt;&lt;wsp:rsid wsp:val=&quot;0024302F&quot;/&gt;&lt;wsp:rsid wsp:val=&quot;00243292&quot;/&gt;&lt;wsp:rsid wsp:val=&quot;002433DB&quot;/&gt;&lt;wsp:rsid wsp:val=&quot;00243720&quot;/&gt;&lt;wsp:rsid wsp:val=&quot;00243CDD&quot;/&gt;&lt;wsp:rsid wsp:val=&quot;00243D4F&quot;/&gt;&lt;wsp:rsid wsp:val=&quot;00243FCD&quot;/&gt;&lt;wsp:rsid wsp:val=&quot;002446E6&quot;/&gt;&lt;wsp:rsid wsp:val=&quot;002449E0&quot;/&gt;&lt;wsp:rsid wsp:val=&quot;00244C0C&quot;/&gt;&lt;wsp:rsid wsp:val=&quot;002456AF&quot;/&gt;&lt;wsp:rsid wsp:val=&quot;00245E86&quot;/&gt;&lt;wsp:rsid wsp:val=&quot;002462E6&quot;/&gt;&lt;wsp:rsid wsp:val=&quot;00246627&quot;/&gt;&lt;wsp:rsid wsp:val=&quot;00246C89&quot;/&gt;&lt;wsp:rsid wsp:val=&quot;00250E7A&quot;/&gt;&lt;wsp:rsid wsp:val=&quot;0025166D&quot;/&gt;&lt;wsp:rsid wsp:val=&quot;002517E7&quot;/&gt;&lt;wsp:rsid wsp:val=&quot;0025302B&quot;/&gt;&lt;wsp:rsid wsp:val=&quot;0025388A&quot;/&gt;&lt;wsp:rsid wsp:val=&quot;00253AEC&quot;/&gt;&lt;wsp:rsid wsp:val=&quot;00253C12&quot;/&gt;&lt;wsp:rsid wsp:val=&quot;00253D4F&quot;/&gt;&lt;wsp:rsid wsp:val=&quot;002544FE&quot;/&gt;&lt;wsp:rsid wsp:val=&quot;00254661&quot;/&gt;&lt;wsp:rsid wsp:val=&quot;0025485D&quot;/&gt;&lt;wsp:rsid wsp:val=&quot;00254C9A&quot;/&gt;&lt;wsp:rsid wsp:val=&quot;002572CD&quot;/&gt;&lt;wsp:rsid wsp:val=&quot;002575F1&quot;/&gt;&lt;wsp:rsid wsp:val=&quot;00257E2E&quot;/&gt;&lt;wsp:rsid wsp:val=&quot;00260AFC&quot;/&gt;&lt;wsp:rsid wsp:val=&quot;00260F41&quot;/&gt;&lt;wsp:rsid wsp:val=&quot;002613A9&quot;/&gt;&lt;wsp:rsid wsp:val=&quot;002619BE&quot;/&gt;&lt;wsp:rsid wsp:val=&quot;00261E78&quot;/&gt;&lt;wsp:rsid wsp:val=&quot;00261E93&quot;/&gt;&lt;wsp:rsid wsp:val=&quot;0026212F&quot;/&gt;&lt;wsp:rsid wsp:val=&quot;0026345B&quot;/&gt;&lt;wsp:rsid wsp:val=&quot;0026348E&quot;/&gt;&lt;wsp:rsid wsp:val=&quot;00263A11&quot;/&gt;&lt;wsp:rsid wsp:val=&quot;00263CF2&quot;/&gt;&lt;wsp:rsid wsp:val=&quot;00263D24&quot;/&gt;&lt;wsp:rsid wsp:val=&quot;00264032&quot;/&gt;&lt;wsp:rsid wsp:val=&quot;002644CA&quot;/&gt;&lt;wsp:rsid wsp:val=&quot;0026473B&quot;/&gt;&lt;wsp:rsid wsp:val=&quot;00264EC5&quot;/&gt;&lt;wsp:rsid wsp:val=&quot;002658CC&quot;/&gt;&lt;wsp:rsid wsp:val=&quot;00265A1D&quot;/&gt;&lt;wsp:rsid wsp:val=&quot;00265BC4&quot;/&gt;&lt;wsp:rsid wsp:val=&quot;002660BC&quot;/&gt;&lt;wsp:rsid wsp:val=&quot;00266192&quot;/&gt;&lt;wsp:rsid wsp:val=&quot;002662C8&quot;/&gt;&lt;wsp:rsid wsp:val=&quot;002665FC&quot;/&gt;&lt;wsp:rsid wsp:val=&quot;002669E3&quot;/&gt;&lt;wsp:rsid wsp:val=&quot;002669EA&quot;/&gt;&lt;wsp:rsid wsp:val=&quot;00266B49&quot;/&gt;&lt;wsp:rsid wsp:val=&quot;0026753C&quot;/&gt;&lt;wsp:rsid wsp:val=&quot;00267744&quot;/&gt;&lt;wsp:rsid wsp:val=&quot;00267E2B&quot;/&gt;&lt;wsp:rsid wsp:val=&quot;00270D5B&quot;/&gt;&lt;wsp:rsid wsp:val=&quot;00270F6B&quot;/&gt;&lt;wsp:rsid wsp:val=&quot;0027139C&quot;/&gt;&lt;wsp:rsid wsp:val=&quot;00271CBA&quot;/&gt;&lt;wsp:rsid wsp:val=&quot;002723C7&quot;/&gt;&lt;wsp:rsid wsp:val=&quot;002723C8&quot;/&gt;&lt;wsp:rsid wsp:val=&quot;002725F4&quot;/&gt;&lt;wsp:rsid wsp:val=&quot;00272DF2&quot;/&gt;&lt;wsp:rsid wsp:val=&quot;00273542&quot;/&gt;&lt;wsp:rsid wsp:val=&quot;00273559&quot;/&gt;&lt;wsp:rsid wsp:val=&quot;002738EB&quot;/&gt;&lt;wsp:rsid wsp:val=&quot;00273E72&quot;/&gt;&lt;wsp:rsid wsp:val=&quot;00274817&quot;/&gt;&lt;wsp:rsid wsp:val=&quot;002748BD&quot;/&gt;&lt;wsp:rsid wsp:val=&quot;00275111&quot;/&gt;&lt;wsp:rsid wsp:val=&quot;002753BD&quot;/&gt;&lt;wsp:rsid wsp:val=&quot;002765D3&quot;/&gt;&lt;wsp:rsid wsp:val=&quot;0027667E&quot;/&gt;&lt;wsp:rsid wsp:val=&quot;002769A3&quot;/&gt;&lt;wsp:rsid wsp:val=&quot;00276C8A&quot;/&gt;&lt;wsp:rsid wsp:val=&quot;00276D44&quot;/&gt;&lt;wsp:rsid wsp:val=&quot;00277816&quot;/&gt;&lt;wsp:rsid wsp:val=&quot;0028050E&quot;/&gt;&lt;wsp:rsid wsp:val=&quot;002805AC&quot;/&gt;&lt;wsp:rsid wsp:val=&quot;00280D14&quot;/&gt;&lt;wsp:rsid wsp:val=&quot;00281208&quot;/&gt;&lt;wsp:rsid wsp:val=&quot;002816E1&quot;/&gt;&lt;wsp:rsid wsp:val=&quot;00281B4E&quot;/&gt;&lt;wsp:rsid wsp:val=&quot;00281DCB&quot;/&gt;&lt;wsp:rsid wsp:val=&quot;00282366&quot;/&gt;&lt;wsp:rsid wsp:val=&quot;002836BD&quot;/&gt;&lt;wsp:rsid wsp:val=&quot;00283939&quot;/&gt;&lt;wsp:rsid wsp:val=&quot;00284250&quot;/&gt;&lt;wsp:rsid wsp:val=&quot;002843E1&quot;/&gt;&lt;wsp:rsid wsp:val=&quot;00284D5B&quot;/&gt;&lt;wsp:rsid wsp:val=&quot;00284F7B&quot;/&gt;&lt;wsp:rsid wsp:val=&quot;00285078&quot;/&gt;&lt;wsp:rsid wsp:val=&quot;002851F6&quot;/&gt;&lt;wsp:rsid wsp:val=&quot;00285323&quot;/&gt;&lt;wsp:rsid wsp:val=&quot;002854F3&quot;/&gt;&lt;wsp:rsid wsp:val=&quot;002857D1&quot;/&gt;&lt;wsp:rsid wsp:val=&quot;00285D12&quot;/&gt;&lt;wsp:rsid wsp:val=&quot;002864D5&quot;/&gt;&lt;wsp:rsid wsp:val=&quot;00286967&quot;/&gt;&lt;wsp:rsid wsp:val=&quot;00287612&quot;/&gt;&lt;wsp:rsid wsp:val=&quot;002878C7&quot;/&gt;&lt;wsp:rsid wsp:val=&quot;00287CAD&quot;/&gt;&lt;wsp:rsid wsp:val=&quot;0029021D&quot;/&gt;&lt;wsp:rsid wsp:val=&quot;00290391&quot;/&gt;&lt;wsp:rsid wsp:val=&quot;00290470&quot;/&gt;&lt;wsp:rsid wsp:val=&quot;00290BDC&quot;/&gt;&lt;wsp:rsid wsp:val=&quot;0029181F&quot;/&gt;&lt;wsp:rsid wsp:val=&quot;002918E2&quot;/&gt;&lt;wsp:rsid wsp:val=&quot;00291955&quot;/&gt;&lt;wsp:rsid wsp:val=&quot;00292212&quot;/&gt;&lt;wsp:rsid wsp:val=&quot;002929CC&quot;/&gt;&lt;wsp:rsid wsp:val=&quot;00292CDB&quot;/&gt;&lt;wsp:rsid wsp:val=&quot;00293DD5&quot;/&gt;&lt;wsp:rsid wsp:val=&quot;00293EEF&quot;/&gt;&lt;wsp:rsid wsp:val=&quot;00293F84&quot;/&gt;&lt;wsp:rsid wsp:val=&quot;00293FD5&quot;/&gt;&lt;wsp:rsid wsp:val=&quot;0029445A&quot;/&gt;&lt;wsp:rsid wsp:val=&quot;0029460E&quot;/&gt;&lt;wsp:rsid wsp:val=&quot;0029478B&quot;/&gt;&lt;wsp:rsid wsp:val=&quot;0029543F&quot;/&gt;&lt;wsp:rsid wsp:val=&quot;002959BC&quot;/&gt;&lt;wsp:rsid wsp:val=&quot;00295ABF&quot;/&gt;&lt;wsp:rsid wsp:val=&quot;00295D19&quot;/&gt;&lt;wsp:rsid wsp:val=&quot;00296A75&quot;/&gt;&lt;wsp:rsid wsp:val=&quot;00296A82&quot;/&gt;&lt;wsp:rsid wsp:val=&quot;00296F8E&quot;/&gt;&lt;wsp:rsid wsp:val=&quot;00297267&quot;/&gt;&lt;wsp:rsid wsp:val=&quot;002978D9&quot;/&gt;&lt;wsp:rsid wsp:val=&quot;00297CE4&quot;/&gt;&lt;wsp:rsid wsp:val=&quot;00297F94&quot;/&gt;&lt;wsp:rsid wsp:val=&quot;002A05DB&quot;/&gt;&lt;wsp:rsid wsp:val=&quot;002A0838&quot;/&gt;&lt;wsp:rsid wsp:val=&quot;002A0A67&quot;/&gt;&lt;wsp:rsid wsp:val=&quot;002A0DC1&quot;/&gt;&lt;wsp:rsid wsp:val=&quot;002A15D1&quot;/&gt;&lt;wsp:rsid wsp:val=&quot;002A1F25&quot;/&gt;&lt;wsp:rsid wsp:val=&quot;002A2407&quot;/&gt;&lt;wsp:rsid wsp:val=&quot;002A279A&quot;/&gt;&lt;wsp:rsid wsp:val=&quot;002A37A1&quot;/&gt;&lt;wsp:rsid wsp:val=&quot;002A3F0F&quot;/&gt;&lt;wsp:rsid wsp:val=&quot;002A48DD&quot;/&gt;&lt;wsp:rsid wsp:val=&quot;002A514E&quot;/&gt;&lt;wsp:rsid wsp:val=&quot;002A65CE&quot;/&gt;&lt;wsp:rsid wsp:val=&quot;002A6BE7&quot;/&gt;&lt;wsp:rsid wsp:val=&quot;002A7D1F&quot;/&gt;&lt;wsp:rsid wsp:val=&quot;002A7F68&quot;/&gt;&lt;wsp:rsid wsp:val=&quot;002B0A8F&quot;/&gt;&lt;wsp:rsid wsp:val=&quot;002B0C31&quot;/&gt;&lt;wsp:rsid wsp:val=&quot;002B0D32&quot;/&gt;&lt;wsp:rsid wsp:val=&quot;002B0D51&quot;/&gt;&lt;wsp:rsid wsp:val=&quot;002B1EF8&quot;/&gt;&lt;wsp:rsid wsp:val=&quot;002B2D71&quot;/&gt;&lt;wsp:rsid wsp:val=&quot;002B352F&quot;/&gt;&lt;wsp:rsid wsp:val=&quot;002B37BA&quot;/&gt;&lt;wsp:rsid wsp:val=&quot;002B4B79&quot;/&gt;&lt;wsp:rsid wsp:val=&quot;002B4F66&quot;/&gt;&lt;wsp:rsid wsp:val=&quot;002B5119&quot;/&gt;&lt;wsp:rsid wsp:val=&quot;002B5146&quot;/&gt;&lt;wsp:rsid wsp:val=&quot;002B51B6&quot;/&gt;&lt;wsp:rsid wsp:val=&quot;002B60EF&quot;/&gt;&lt;wsp:rsid wsp:val=&quot;002B749F&quot;/&gt;&lt;wsp:rsid wsp:val=&quot;002B79D1&quot;/&gt;&lt;wsp:rsid wsp:val=&quot;002B7DFF&quot;/&gt;&lt;wsp:rsid wsp:val=&quot;002C00D4&quot;/&gt;&lt;wsp:rsid wsp:val=&quot;002C0824&quot;/&gt;&lt;wsp:rsid wsp:val=&quot;002C09FC&quot;/&gt;&lt;wsp:rsid wsp:val=&quot;002C1FBE&quot;/&gt;&lt;wsp:rsid wsp:val=&quot;002C283B&quot;/&gt;&lt;wsp:rsid wsp:val=&quot;002C33EB&quot;/&gt;&lt;wsp:rsid wsp:val=&quot;002C3771&quot;/&gt;&lt;wsp:rsid wsp:val=&quot;002C3BEA&quot;/&gt;&lt;wsp:rsid wsp:val=&quot;002C4CA6&quot;/&gt;&lt;wsp:rsid wsp:val=&quot;002C526F&quot;/&gt;&lt;wsp:rsid wsp:val=&quot;002C536D&quot;/&gt;&lt;wsp:rsid wsp:val=&quot;002C56F6&quot;/&gt;&lt;wsp:rsid wsp:val=&quot;002C6986&quot;/&gt;&lt;wsp:rsid wsp:val=&quot;002C6A81&quot;/&gt;&lt;wsp:rsid wsp:val=&quot;002C7A4C&quot;/&gt;&lt;wsp:rsid wsp:val=&quot;002C7E90&quot;/&gt;&lt;wsp:rsid wsp:val=&quot;002C7F8F&quot;/&gt;&lt;wsp:rsid wsp:val=&quot;002D10FD&quot;/&gt;&lt;wsp:rsid wsp:val=&quot;002D1407&quot;/&gt;&lt;wsp:rsid wsp:val=&quot;002D1731&quot;/&gt;&lt;wsp:rsid wsp:val=&quot;002D19FB&quot;/&gt;&lt;wsp:rsid wsp:val=&quot;002D1C70&quot;/&gt;&lt;wsp:rsid wsp:val=&quot;002D23CF&quot;/&gt;&lt;wsp:rsid wsp:val=&quot;002D36F2&quot;/&gt;&lt;wsp:rsid wsp:val=&quot;002D3CFE&quot;/&gt;&lt;wsp:rsid wsp:val=&quot;002D444C&quot;/&gt;&lt;wsp:rsid wsp:val=&quot;002D4868&quot;/&gt;&lt;wsp:rsid wsp:val=&quot;002D4DE8&quot;/&gt;&lt;wsp:rsid wsp:val=&quot;002D4E6C&quot;/&gt;&lt;wsp:rsid wsp:val=&quot;002D51C3&quot;/&gt;&lt;wsp:rsid wsp:val=&quot;002D5564&quot;/&gt;&lt;wsp:rsid wsp:val=&quot;002D71DF&quot;/&gt;&lt;wsp:rsid wsp:val=&quot;002D7283&quot;/&gt;&lt;wsp:rsid wsp:val=&quot;002D7641&quot;/&gt;&lt;wsp:rsid wsp:val=&quot;002D7C37&quot;/&gt;&lt;wsp:rsid wsp:val=&quot;002E012D&quot;/&gt;&lt;wsp:rsid wsp:val=&quot;002E0376&quot;/&gt;&lt;wsp:rsid wsp:val=&quot;002E047B&quot;/&gt;&lt;wsp:rsid wsp:val=&quot;002E0A74&quot;/&gt;&lt;wsp:rsid wsp:val=&quot;002E0B7C&quot;/&gt;&lt;wsp:rsid wsp:val=&quot;002E1599&quot;/&gt;&lt;wsp:rsid wsp:val=&quot;002E17EF&quot;/&gt;&lt;wsp:rsid wsp:val=&quot;002E1BA3&quot;/&gt;&lt;wsp:rsid wsp:val=&quot;002E2074&quot;/&gt;&lt;wsp:rsid wsp:val=&quot;002E2610&quot;/&gt;&lt;wsp:rsid wsp:val=&quot;002E2882&quot;/&gt;&lt;wsp:rsid wsp:val=&quot;002E2969&quot;/&gt;&lt;wsp:rsid wsp:val=&quot;002E37B6&quot;/&gt;&lt;wsp:rsid wsp:val=&quot;002E3E87&quot;/&gt;&lt;wsp:rsid wsp:val=&quot;002E41D0&quot;/&gt;&lt;wsp:rsid wsp:val=&quot;002E450F&quot;/&gt;&lt;wsp:rsid wsp:val=&quot;002E46EA&quot;/&gt;&lt;wsp:rsid wsp:val=&quot;002E5927&quot;/&gt;&lt;wsp:rsid wsp:val=&quot;002E593F&quot;/&gt;&lt;wsp:rsid wsp:val=&quot;002E5D1A&quot;/&gt;&lt;wsp:rsid wsp:val=&quot;002E5DEA&quot;/&gt;&lt;wsp:rsid wsp:val=&quot;002E5E90&quot;/&gt;&lt;wsp:rsid wsp:val=&quot;002E6430&quot;/&gt;&lt;wsp:rsid wsp:val=&quot;002E686B&quot;/&gt;&lt;wsp:rsid wsp:val=&quot;002E6D4F&quot;/&gt;&lt;wsp:rsid wsp:val=&quot;002E7AB9&quot;/&gt;&lt;wsp:rsid wsp:val=&quot;002E7CBA&quot;/&gt;&lt;wsp:rsid wsp:val=&quot;002F0AFE&quot;/&gt;&lt;wsp:rsid wsp:val=&quot;002F0C3A&quot;/&gt;&lt;wsp:rsid wsp:val=&quot;002F158D&quot;/&gt;&lt;wsp:rsid wsp:val=&quot;002F1AA6&quot;/&gt;&lt;wsp:rsid wsp:val=&quot;002F27EC&quot;/&gt;&lt;wsp:rsid wsp:val=&quot;002F28A7&quot;/&gt;&lt;wsp:rsid wsp:val=&quot;002F2BEA&quot;/&gt;&lt;wsp:rsid wsp:val=&quot;002F35BA&quot;/&gt;&lt;wsp:rsid wsp:val=&quot;002F35BE&quot;/&gt;&lt;wsp:rsid wsp:val=&quot;002F4A0F&quot;/&gt;&lt;wsp:rsid wsp:val=&quot;002F4F82&quot;/&gt;&lt;wsp:rsid wsp:val=&quot;002F51F7&quot;/&gt;&lt;wsp:rsid wsp:val=&quot;002F54E6&quot;/&gt;&lt;wsp:rsid wsp:val=&quot;002F58EB&quot;/&gt;&lt;wsp:rsid wsp:val=&quot;002F59FB&quot;/&gt;&lt;wsp:rsid wsp:val=&quot;002F5DDF&quot;/&gt;&lt;wsp:rsid wsp:val=&quot;002F5FE1&quot;/&gt;&lt;wsp:rsid wsp:val=&quot;002F672C&quot;/&gt;&lt;wsp:rsid wsp:val=&quot;002F6AB7&quot;/&gt;&lt;wsp:rsid wsp:val=&quot;002F6F33&quot;/&gt;&lt;wsp:rsid wsp:val=&quot;002F7283&quot;/&gt;&lt;wsp:rsid wsp:val=&quot;002F72D0&quot;/&gt;&lt;wsp:rsid wsp:val=&quot;002F775E&quot;/&gt;&lt;wsp:rsid wsp:val=&quot;003006B4&quot;/&gt;&lt;wsp:rsid wsp:val=&quot;00300911&quot;/&gt;&lt;wsp:rsid wsp:val=&quot;00300A0B&quot;/&gt;&lt;wsp:rsid wsp:val=&quot;00300BE9&quot;/&gt;&lt;wsp:rsid wsp:val=&quot;00301DD3&quot;/&gt;&lt;wsp:rsid wsp:val=&quot;003020A5&quot;/&gt;&lt;wsp:rsid wsp:val=&quot;00302F27&quot;/&gt;&lt;wsp:rsid wsp:val=&quot;0030387B&quot;/&gt;&lt;wsp:rsid wsp:val=&quot;00303CD4&quot;/&gt;&lt;wsp:rsid wsp:val=&quot;00303E7E&quot;/&gt;&lt;wsp:rsid wsp:val=&quot;00304903&quot;/&gt;&lt;wsp:rsid wsp:val=&quot;00304B93&quot;/&gt;&lt;wsp:rsid wsp:val=&quot;00304E76&quot;/&gt;&lt;wsp:rsid wsp:val=&quot;00305381&quot;/&gt;&lt;wsp:rsid wsp:val=&quot;003058BB&quot;/&gt;&lt;wsp:rsid wsp:val=&quot;00306096&quot;/&gt;&lt;wsp:rsid wsp:val=&quot;003061F1&quot;/&gt;&lt;wsp:rsid wsp:val=&quot;003064B8&quot;/&gt;&lt;wsp:rsid wsp:val=&quot;003066C9&quot;/&gt;&lt;wsp:rsid wsp:val=&quot;003069ED&quot;/&gt;&lt;wsp:rsid wsp:val=&quot;003070C2&quot;/&gt;&lt;wsp:rsid wsp:val=&quot;00307A1D&quot;/&gt;&lt;wsp:rsid wsp:val=&quot;00307B2A&quot;/&gt;&lt;wsp:rsid wsp:val=&quot;00307E14&quot;/&gt;&lt;wsp:rsid wsp:val=&quot;00311451&quot;/&gt;&lt;wsp:rsid wsp:val=&quot;00311E22&quot;/&gt;&lt;wsp:rsid wsp:val=&quot;00312064&quot;/&gt;&lt;wsp:rsid wsp:val=&quot;0031225F&quot;/&gt;&lt;wsp:rsid wsp:val=&quot;003127A4&quot;/&gt;&lt;wsp:rsid wsp:val=&quot;003129AF&quot;/&gt;&lt;wsp:rsid wsp:val=&quot;00313B90&quot;/&gt;&lt;wsp:rsid wsp:val=&quot;00313D97&quot;/&gt;&lt;wsp:rsid wsp:val=&quot;0031408A&quot;/&gt;&lt;wsp:rsid wsp:val=&quot;00314373&quot;/&gt;&lt;wsp:rsid wsp:val=&quot;00314D50&quot;/&gt;&lt;wsp:rsid wsp:val=&quot;0031534E&quot;/&gt;&lt;wsp:rsid wsp:val=&quot;003153AA&quot;/&gt;&lt;wsp:rsid wsp:val=&quot;00315558&quot;/&gt;&lt;wsp:rsid wsp:val=&quot;0031582E&quot;/&gt;&lt;wsp:rsid wsp:val=&quot;00315C11&quot;/&gt;&lt;wsp:rsid wsp:val=&quot;00316175&quot;/&gt;&lt;wsp:rsid wsp:val=&quot;00316672&quot;/&gt;&lt;wsp:rsid wsp:val=&quot;00316881&quot;/&gt;&lt;wsp:rsid wsp:val=&quot;00316ED2&quot;/&gt;&lt;wsp:rsid wsp:val=&quot;00316F51&quot;/&gt;&lt;wsp:rsid wsp:val=&quot;00317048&quot;/&gt;&lt;wsp:rsid wsp:val=&quot;003170E1&quot;/&gt;&lt;wsp:rsid wsp:val=&quot;00317678&quot;/&gt;&lt;wsp:rsid wsp:val=&quot;0031787C&quot;/&gt;&lt;wsp:rsid wsp:val=&quot;00317A8C&quot;/&gt;&lt;wsp:rsid wsp:val=&quot;00317B4E&quot;/&gt;&lt;wsp:rsid wsp:val=&quot;00317BBD&quot;/&gt;&lt;wsp:rsid wsp:val=&quot;00317C0F&quot;/&gt;&lt;wsp:rsid wsp:val=&quot;00317F2E&quot;/&gt;&lt;wsp:rsid wsp:val=&quot;00320517&quot;/&gt;&lt;wsp:rsid wsp:val=&quot;00320667&quot;/&gt;&lt;wsp:rsid wsp:val=&quot;003206EE&quot;/&gt;&lt;wsp:rsid wsp:val=&quot;003208AB&quot;/&gt;&lt;wsp:rsid wsp:val=&quot;00320E7E&quot;/&gt;&lt;wsp:rsid wsp:val=&quot;00321278&quot;/&gt;&lt;wsp:rsid wsp:val=&quot;00321A74&quot;/&gt;&lt;wsp:rsid wsp:val=&quot;0032297F&quot;/&gt;&lt;wsp:rsid wsp:val=&quot;00322D0E&quot;/&gt;&lt;wsp:rsid wsp:val=&quot;00322E5A&quot;/&gt;&lt;wsp:rsid wsp:val=&quot;0032348E&quot;/&gt;&lt;wsp:rsid wsp:val=&quot;00323875&quot;/&gt;&lt;wsp:rsid wsp:val=&quot;00323EFC&quot;/&gt;&lt;wsp:rsid wsp:val=&quot;00323F72&quot;/&gt;&lt;wsp:rsid wsp:val=&quot;003241A2&quot;/&gt;&lt;wsp:rsid wsp:val=&quot;003245A2&quot;/&gt;&lt;wsp:rsid wsp:val=&quot;00326107&quot;/&gt;&lt;wsp:rsid wsp:val=&quot;00326496&quot;/&gt;&lt;wsp:rsid wsp:val=&quot;00326868&quot;/&gt;&lt;wsp:rsid wsp:val=&quot;00326C51&quot;/&gt;&lt;wsp:rsid wsp:val=&quot;003272C2&quot;/&gt;&lt;wsp:rsid wsp:val=&quot;00327705&quot;/&gt;&lt;wsp:rsid wsp:val=&quot;00327D26&quot;/&gt;&lt;wsp:rsid wsp:val=&quot;00330064&quot;/&gt;&lt;wsp:rsid wsp:val=&quot;003300EF&quot;/&gt;&lt;wsp:rsid wsp:val=&quot;00331760&quot;/&gt;&lt;wsp:rsid wsp:val=&quot;00331956&quot;/&gt;&lt;wsp:rsid wsp:val=&quot;00331F61&quot;/&gt;&lt;wsp:rsid wsp:val=&quot;003324CD&quot;/&gt;&lt;wsp:rsid wsp:val=&quot;0033252B&quot;/&gt;&lt;wsp:rsid wsp:val=&quot;003339D2&quot;/&gt;&lt;wsp:rsid wsp:val=&quot;00333BE7&quot;/&gt;&lt;wsp:rsid wsp:val=&quot;00333D92&quot;/&gt;&lt;wsp:rsid wsp:val=&quot;0033499D&quot;/&gt;&lt;wsp:rsid wsp:val=&quot;00334D17&quot;/&gt;&lt;wsp:rsid wsp:val=&quot;00335407&quot;/&gt;&lt;wsp:rsid wsp:val=&quot;00335AED&quot;/&gt;&lt;wsp:rsid wsp:val=&quot;00336F24&quot;/&gt;&lt;wsp:rsid wsp:val=&quot;00336F60&quot;/&gt;&lt;wsp:rsid wsp:val=&quot;003370CA&quot;/&gt;&lt;wsp:rsid wsp:val=&quot;0033710F&quot;/&gt;&lt;wsp:rsid wsp:val=&quot;003379A2&quot;/&gt;&lt;wsp:rsid wsp:val=&quot;00340DEA&quot;/&gt;&lt;wsp:rsid wsp:val=&quot;003410CC&quot;/&gt;&lt;wsp:rsid wsp:val=&quot;00341338&quot;/&gt;&lt;wsp:rsid wsp:val=&quot;0034169C&quot;/&gt;&lt;wsp:rsid wsp:val=&quot;00342A0B&quot;/&gt;&lt;wsp:rsid wsp:val=&quot;00342B14&quot;/&gt;&lt;wsp:rsid wsp:val=&quot;00343344&quot;/&gt;&lt;wsp:rsid wsp:val=&quot;003436B7&quot;/&gt;&lt;wsp:rsid wsp:val=&quot;00343B2F&quot;/&gt;&lt;wsp:rsid wsp:val=&quot;00343CD2&quot;/&gt;&lt;wsp:rsid wsp:val=&quot;00343F0B&quot;/&gt;&lt;wsp:rsid wsp:val=&quot;003444BC&quot;/&gt;&lt;wsp:rsid wsp:val=&quot;0034468A&quot;/&gt;&lt;wsp:rsid wsp:val=&quot;00344B81&quot;/&gt;&lt;wsp:rsid wsp:val=&quot;0034501A&quot;/&gt;&lt;wsp:rsid wsp:val=&quot;0034503E&quot;/&gt;&lt;wsp:rsid wsp:val=&quot;00345049&quot;/&gt;&lt;wsp:rsid wsp:val=&quot;0034582E&quot;/&gt;&lt;wsp:rsid wsp:val=&quot;003463C4&quot;/&gt;&lt;wsp:rsid wsp:val=&quot;00346C07&quot;/&gt;&lt;wsp:rsid wsp:val=&quot;00346CFA&quot;/&gt;&lt;wsp:rsid wsp:val=&quot;00346DE1&quot;/&gt;&lt;wsp:rsid wsp:val=&quot;00346F8F&quot;/&gt;&lt;wsp:rsid wsp:val=&quot;003472ED&quot;/&gt;&lt;wsp:rsid wsp:val=&quot;00347B4E&quot;/&gt;&lt;wsp:rsid wsp:val=&quot;00347D12&quot;/&gt;&lt;wsp:rsid wsp:val=&quot;00347DD4&quot;/&gt;&lt;wsp:rsid wsp:val=&quot;00347FE0&quot;/&gt;&lt;wsp:rsid wsp:val=&quot;003504FA&quot;/&gt;&lt;wsp:rsid wsp:val=&quot;00350E89&quot;/&gt;&lt;wsp:rsid wsp:val=&quot;00351514&quot;/&gt;&lt;wsp:rsid wsp:val=&quot;00351693&quot;/&gt;&lt;wsp:rsid wsp:val=&quot;0035177A&quot;/&gt;&lt;wsp:rsid wsp:val=&quot;00351797&quot;/&gt;&lt;wsp:rsid wsp:val=&quot;003519DE&quot;/&gt;&lt;wsp:rsid wsp:val=&quot;00351C31&quot;/&gt;&lt;wsp:rsid wsp:val=&quot;003522B5&quot;/&gt;&lt;wsp:rsid wsp:val=&quot;00352472&quot;/&gt;&lt;wsp:rsid wsp:val=&quot;00352A20&quot;/&gt;&lt;wsp:rsid wsp:val=&quot;00352B14&quot;/&gt;&lt;wsp:rsid wsp:val=&quot;00352E27&quot;/&gt;&lt;wsp:rsid wsp:val=&quot;0035415C&quot;/&gt;&lt;wsp:rsid wsp:val=&quot;0035420A&quot;/&gt;&lt;wsp:rsid wsp:val=&quot;00354239&quot;/&gt;&lt;wsp:rsid wsp:val=&quot;00354343&quot;/&gt;&lt;wsp:rsid wsp:val=&quot;003551D7&quot;/&gt;&lt;wsp:rsid wsp:val=&quot;00355B00&quot;/&gt;&lt;wsp:rsid wsp:val=&quot;003561AE&quot;/&gt;&lt;wsp:rsid wsp:val=&quot;0035633E&quot;/&gt;&lt;wsp:rsid wsp:val=&quot;00356DDF&quot;/&gt;&lt;wsp:rsid wsp:val=&quot;00356E78&quot;/&gt;&lt;wsp:rsid wsp:val=&quot;00357020&quot;/&gt;&lt;wsp:rsid wsp:val=&quot;0035728C&quot;/&gt;&lt;wsp:rsid wsp:val=&quot;003576FA&quot;/&gt;&lt;wsp:rsid wsp:val=&quot;00357E2F&quot;/&gt;&lt;wsp:rsid wsp:val=&quot;0036032C&quot;/&gt;&lt;wsp:rsid wsp:val=&quot;003605B7&quot;/&gt;&lt;wsp:rsid wsp:val=&quot;0036062F&quot;/&gt;&lt;wsp:rsid wsp:val=&quot;003611C0&quot;/&gt;&lt;wsp:rsid wsp:val=&quot;0036249D&quot;/&gt;&lt;wsp:rsid wsp:val=&quot;00362758&quot;/&gt;&lt;wsp:rsid wsp:val=&quot;003628FC&quot;/&gt;&lt;wsp:rsid wsp:val=&quot;00362969&quot;/&gt;&lt;wsp:rsid wsp:val=&quot;00362F3B&quot;/&gt;&lt;wsp:rsid wsp:val=&quot;003631AE&quot;/&gt;&lt;wsp:rsid wsp:val=&quot;00363456&quot;/&gt;&lt;wsp:rsid wsp:val=&quot;00363FC6&quot;/&gt;&lt;wsp:rsid wsp:val=&quot;0036456B&quot;/&gt;&lt;wsp:rsid wsp:val=&quot;0036473B&quot;/&gt;&lt;wsp:rsid wsp:val=&quot;00365258&quot;/&gt;&lt;wsp:rsid wsp:val=&quot;003656FE&quot;/&gt;&lt;wsp:rsid wsp:val=&quot;00365884&quot;/&gt;&lt;wsp:rsid wsp:val=&quot;003659BD&quot;/&gt;&lt;wsp:rsid wsp:val=&quot;003659D0&quot;/&gt;&lt;wsp:rsid wsp:val=&quot;00366197&quot;/&gt;&lt;wsp:rsid wsp:val=&quot;00366634&quot;/&gt;&lt;wsp:rsid wsp:val=&quot;00366705&quot;/&gt;&lt;wsp:rsid wsp:val=&quot;003676DA&quot;/&gt;&lt;wsp:rsid wsp:val=&quot;00367787&quot;/&gt;&lt;wsp:rsid wsp:val=&quot;00367AA4&quot;/&gt;&lt;wsp:rsid wsp:val=&quot;00367D8C&quot;/&gt;&lt;wsp:rsid wsp:val=&quot;00367F0D&quot;/&gt;&lt;wsp:rsid wsp:val=&quot;00370A6D&quot;/&gt;&lt;wsp:rsid wsp:val=&quot;003710C6&quot;/&gt;&lt;wsp:rsid wsp:val=&quot;003713C8&quot;/&gt;&lt;wsp:rsid wsp:val=&quot;00371A86&quot;/&gt;&lt;wsp:rsid wsp:val=&quot;003725C6&quot;/&gt;&lt;wsp:rsid wsp:val=&quot;00372944&quot;/&gt;&lt;wsp:rsid wsp:val=&quot;0037295C&quot;/&gt;&lt;wsp:rsid wsp:val=&quot;0037320C&quot;/&gt;&lt;wsp:rsid wsp:val=&quot;0037332E&quot;/&gt;&lt;wsp:rsid wsp:val=&quot;003736A1&quot;/&gt;&lt;wsp:rsid wsp:val=&quot;0037384D&quot;/&gt;&lt;wsp:rsid wsp:val=&quot;0037389B&quot;/&gt;&lt;wsp:rsid wsp:val=&quot;003739E1&quot;/&gt;&lt;wsp:rsid wsp:val=&quot;00374983&quot;/&gt;&lt;wsp:rsid wsp:val=&quot;00374EBA&quot;/&gt;&lt;wsp:rsid wsp:val=&quot;00375523&quot;/&gt;&lt;wsp:rsid wsp:val=&quot;00375E75&quot;/&gt;&lt;wsp:rsid wsp:val=&quot;003762A1&quot;/&gt;&lt;wsp:rsid wsp:val=&quot;00377079&quot;/&gt;&lt;wsp:rsid wsp:val=&quot;003772D7&quot;/&gt;&lt;wsp:rsid wsp:val=&quot;003774A5&quot;/&gt;&lt;wsp:rsid wsp:val=&quot;003775BF&quot;/&gt;&lt;wsp:rsid wsp:val=&quot;003776F6&quot;/&gt;&lt;wsp:rsid wsp:val=&quot;0037774F&quot;/&gt;&lt;wsp:rsid wsp:val=&quot;003777BC&quot;/&gt;&lt;wsp:rsid wsp:val=&quot;00377B7C&quot;/&gt;&lt;wsp:rsid wsp:val=&quot;00377CD1&quot;/&gt;&lt;wsp:rsid wsp:val=&quot;00380B06&quot;/&gt;&lt;wsp:rsid wsp:val=&quot;00380D26&quot;/&gt;&lt;wsp:rsid wsp:val=&quot;00381612&quot;/&gt;&lt;wsp:rsid wsp:val=&quot;003817C1&quot;/&gt;&lt;wsp:rsid wsp:val=&quot;00381B76&quot;/&gt;&lt;wsp:rsid wsp:val=&quot;00381E18&quot;/&gt;&lt;wsp:rsid wsp:val=&quot;003820F1&quot;/&gt;&lt;wsp:rsid wsp:val=&quot;00382F07&quot;/&gt;&lt;wsp:rsid wsp:val=&quot;00383007&quot;/&gt;&lt;wsp:rsid wsp:val=&quot;0038339D&quot;/&gt;&lt;wsp:rsid wsp:val=&quot;0038343F&quot;/&gt;&lt;wsp:rsid wsp:val=&quot;00383A5A&quot;/&gt;&lt;wsp:rsid wsp:val=&quot;00384442&quot;/&gt;&lt;wsp:rsid wsp:val=&quot;003849D9&quot;/&gt;&lt;wsp:rsid wsp:val=&quot;00385364&quot;/&gt;&lt;wsp:rsid wsp:val=&quot;0038682B&quot;/&gt;&lt;wsp:rsid wsp:val=&quot;00386992&quot;/&gt;&lt;wsp:rsid wsp:val=&quot;00386AE5&quot;/&gt;&lt;wsp:rsid wsp:val=&quot;00387BF3&quot;/&gt;&lt;wsp:rsid wsp:val=&quot;00387DCC&quot;/&gt;&lt;wsp:rsid wsp:val=&quot;0039001B&quot;/&gt;&lt;wsp:rsid wsp:val=&quot;0039059B&quot;/&gt;&lt;wsp:rsid wsp:val=&quot;00390F40&quot;/&gt;&lt;wsp:rsid wsp:val=&quot;00390F79&quot;/&gt;&lt;wsp:rsid wsp:val=&quot;00391288&quot;/&gt;&lt;wsp:rsid wsp:val=&quot;0039183A&quot;/&gt;&lt;wsp:rsid wsp:val=&quot;00391A9A&quot;/&gt;&lt;wsp:rsid wsp:val=&quot;0039282C&quot;/&gt;&lt;wsp:rsid wsp:val=&quot;00392980&quot;/&gt;&lt;wsp:rsid wsp:val=&quot;0039326A&quot;/&gt;&lt;wsp:rsid wsp:val=&quot;003933E7&quot;/&gt;&lt;wsp:rsid wsp:val=&quot;00393DD1&quot;/&gt;&lt;wsp:rsid wsp:val=&quot;0039447A&quot;/&gt;&lt;wsp:rsid wsp:val=&quot;0039494A&quot;/&gt;&lt;wsp:rsid wsp:val=&quot;00395164&quot;/&gt;&lt;wsp:rsid wsp:val=&quot;00395536&quot;/&gt;&lt;wsp:rsid wsp:val=&quot;0039585B&quot;/&gt;&lt;wsp:rsid wsp:val=&quot;00396085&quot;/&gt;&lt;wsp:rsid wsp:val=&quot;00396284&quot;/&gt;&lt;wsp:rsid wsp:val=&quot;0039687B&quot;/&gt;&lt;wsp:rsid wsp:val=&quot;0039715F&quot;/&gt;&lt;wsp:rsid wsp:val=&quot;00397161&quot;/&gt;&lt;wsp:rsid wsp:val=&quot;0039727C&quot;/&gt;&lt;wsp:rsid wsp:val=&quot;003A0192&quot;/&gt;&lt;wsp:rsid wsp:val=&quot;003A036B&quot;/&gt;&lt;wsp:rsid wsp:val=&quot;003A03E9&quot;/&gt;&lt;wsp:rsid wsp:val=&quot;003A0410&quot;/&gt;&lt;wsp:rsid wsp:val=&quot;003A0F30&quot;/&gt;&lt;wsp:rsid wsp:val=&quot;003A174D&quot;/&gt;&lt;wsp:rsid wsp:val=&quot;003A2CD6&quot;/&gt;&lt;wsp:rsid wsp:val=&quot;003A2D7A&quot;/&gt;&lt;wsp:rsid wsp:val=&quot;003A2FE4&quot;/&gt;&lt;wsp:rsid wsp:val=&quot;003A3009&quot;/&gt;&lt;wsp:rsid wsp:val=&quot;003A304E&quot;/&gt;&lt;wsp:rsid wsp:val=&quot;003A323F&quot;/&gt;&lt;wsp:rsid wsp:val=&quot;003A34C1&quot;/&gt;&lt;wsp:rsid wsp:val=&quot;003A35A1&quot;/&gt;&lt;wsp:rsid wsp:val=&quot;003A3967&quot;/&gt;&lt;wsp:rsid wsp:val=&quot;003A3FF6&quot;/&gt;&lt;wsp:rsid wsp:val=&quot;003A417D&quot;/&gt;&lt;wsp:rsid wsp:val=&quot;003A5896&quot;/&gt;&lt;wsp:rsid wsp:val=&quot;003A66C7&quot;/&gt;&lt;wsp:rsid wsp:val=&quot;003A6D58&quot;/&gt;&lt;wsp:rsid wsp:val=&quot;003A77AB&quot;/&gt;&lt;wsp:rsid wsp:val=&quot;003A7DC1&quot;/&gt;&lt;wsp:rsid wsp:val=&quot;003A7E7F&quot;/&gt;&lt;wsp:rsid wsp:val=&quot;003B05A7&quot;/&gt;&lt;wsp:rsid wsp:val=&quot;003B05C7&quot;/&gt;&lt;wsp:rsid wsp:val=&quot;003B05DD&quot;/&gt;&lt;wsp:rsid wsp:val=&quot;003B05FF&quot;/&gt;&lt;wsp:rsid wsp:val=&quot;003B07BB&quot;/&gt;&lt;wsp:rsid wsp:val=&quot;003B13D0&quot;/&gt;&lt;wsp:rsid wsp:val=&quot;003B1734&quot;/&gt;&lt;wsp:rsid wsp:val=&quot;003B1E97&quot;/&gt;&lt;wsp:rsid wsp:val=&quot;003B2B22&quot;/&gt;&lt;wsp:rsid wsp:val=&quot;003B2E8E&quot;/&gt;&lt;wsp:rsid wsp:val=&quot;003B3127&quot;/&gt;&lt;wsp:rsid wsp:val=&quot;003B32BA&quot;/&gt;&lt;wsp:rsid wsp:val=&quot;003B32CA&quot;/&gt;&lt;wsp:rsid wsp:val=&quot;003B32FB&quot;/&gt;&lt;wsp:rsid wsp:val=&quot;003B3A53&quot;/&gt;&lt;wsp:rsid wsp:val=&quot;003B4022&quot;/&gt;&lt;wsp:rsid wsp:val=&quot;003B4436&quot;/&gt;&lt;wsp:rsid wsp:val=&quot;003B5136&quot;/&gt;&lt;wsp:rsid wsp:val=&quot;003B60AF&quot;/&gt;&lt;wsp:rsid wsp:val=&quot;003B69F4&quot;/&gt;&lt;wsp:rsid wsp:val=&quot;003B717B&quot;/&gt;&lt;wsp:rsid wsp:val=&quot;003C01FD&quot;/&gt;&lt;wsp:rsid wsp:val=&quot;003C04D5&quot;/&gt;&lt;wsp:rsid wsp:val=&quot;003C0B24&quot;/&gt;&lt;wsp:rsid wsp:val=&quot;003C0D40&quot;/&gt;&lt;wsp:rsid wsp:val=&quot;003C0FB2&quot;/&gt;&lt;wsp:rsid wsp:val=&quot;003C26F8&quot;/&gt;&lt;wsp:rsid wsp:val=&quot;003C353C&quot;/&gt;&lt;wsp:rsid wsp:val=&quot;003C35F7&quot;/&gt;&lt;wsp:rsid wsp:val=&quot;003C3A3A&quot;/&gt;&lt;wsp:rsid wsp:val=&quot;003C49D7&quot;/&gt;&lt;wsp:rsid wsp:val=&quot;003C571C&quot;/&gt;&lt;wsp:rsid wsp:val=&quot;003C57EB&quot;/&gt;&lt;wsp:rsid wsp:val=&quot;003C6407&quot;/&gt;&lt;wsp:rsid wsp:val=&quot;003C6445&quot;/&gt;&lt;wsp:rsid wsp:val=&quot;003C6934&quot;/&gt;&lt;wsp:rsid wsp:val=&quot;003C6D5C&quot;/&gt;&lt;wsp:rsid wsp:val=&quot;003C6DE1&quot;/&gt;&lt;wsp:rsid wsp:val=&quot;003C6E6F&quot;/&gt;&lt;wsp:rsid wsp:val=&quot;003C74C7&quot;/&gt;&lt;wsp:rsid wsp:val=&quot;003C77A8&quot;/&gt;&lt;wsp:rsid wsp:val=&quot;003C78E5&quot;/&gt;&lt;wsp:rsid wsp:val=&quot;003D014A&quot;/&gt;&lt;wsp:rsid wsp:val=&quot;003D0211&quot;/&gt;&lt;wsp:rsid wsp:val=&quot;003D075C&quot;/&gt;&lt;wsp:rsid wsp:val=&quot;003D0854&quot;/&gt;&lt;wsp:rsid wsp:val=&quot;003D0FBF&quot;/&gt;&lt;wsp:rsid wsp:val=&quot;003D1600&quot;/&gt;&lt;wsp:rsid wsp:val=&quot;003D1863&quot;/&gt;&lt;wsp:rsid wsp:val=&quot;003D1A23&quot;/&gt;&lt;wsp:rsid wsp:val=&quot;003D219E&quot;/&gt;&lt;wsp:rsid wsp:val=&quot;003D2D07&quot;/&gt;&lt;wsp:rsid wsp:val=&quot;003D3650&quot;/&gt;&lt;wsp:rsid wsp:val=&quot;003D3931&quot;/&gt;&lt;wsp:rsid wsp:val=&quot;003D3A49&quot;/&gt;&lt;wsp:rsid wsp:val=&quot;003D3A99&quot;/&gt;&lt;wsp:rsid wsp:val=&quot;003D3E89&quot;/&gt;&lt;wsp:rsid wsp:val=&quot;003D42AB&quot;/&gt;&lt;wsp:rsid wsp:val=&quot;003D4410&quot;/&gt;&lt;wsp:rsid wsp:val=&quot;003D4F96&quot;/&gt;&lt;wsp:rsid wsp:val=&quot;003D5F46&quot;/&gt;&lt;wsp:rsid wsp:val=&quot;003D5FD3&quot;/&gt;&lt;wsp:rsid wsp:val=&quot;003D64A3&quot;/&gt;&lt;wsp:rsid wsp:val=&quot;003D65FE&quot;/&gt;&lt;wsp:rsid wsp:val=&quot;003D67D9&quot;/&gt;&lt;wsp:rsid wsp:val=&quot;003D6885&quot;/&gt;&lt;wsp:rsid wsp:val=&quot;003D6D1B&quot;/&gt;&lt;wsp:rsid wsp:val=&quot;003D7B92&quot;/&gt;&lt;wsp:rsid wsp:val=&quot;003E1D3B&quot;/&gt;&lt;wsp:rsid wsp:val=&quot;003E2454&quot;/&gt;&lt;wsp:rsid wsp:val=&quot;003E32FC&quot;/&gt;&lt;wsp:rsid wsp:val=&quot;003E3601&quot;/&gt;&lt;wsp:rsid wsp:val=&quot;003E3BF1&quot;/&gt;&lt;wsp:rsid wsp:val=&quot;003E3E55&quot;/&gt;&lt;wsp:rsid wsp:val=&quot;003E4381&quot;/&gt;&lt;wsp:rsid wsp:val=&quot;003E4415&quot;/&gt;&lt;wsp:rsid wsp:val=&quot;003E444C&quot;/&gt;&lt;wsp:rsid wsp:val=&quot;003E5017&quot;/&gt;&lt;wsp:rsid wsp:val=&quot;003E506C&quot;/&gt;&lt;wsp:rsid wsp:val=&quot;003E60C0&quot;/&gt;&lt;wsp:rsid wsp:val=&quot;003E68D1&quot;/&gt;&lt;wsp:rsid wsp:val=&quot;003E6A7F&quot;/&gt;&lt;wsp:rsid wsp:val=&quot;003E6B0E&quot;/&gt;&lt;wsp:rsid wsp:val=&quot;003E6F73&quot;/&gt;&lt;wsp:rsid wsp:val=&quot;003E6F96&quot;/&gt;&lt;wsp:rsid wsp:val=&quot;003E7AA6&quot;/&gt;&lt;wsp:rsid wsp:val=&quot;003E7B2A&quot;/&gt;&lt;wsp:rsid wsp:val=&quot;003F01DE&quot;/&gt;&lt;wsp:rsid wsp:val=&quot;003F0B5E&quot;/&gt;&lt;wsp:rsid wsp:val=&quot;003F0EB8&quot;/&gt;&lt;wsp:rsid wsp:val=&quot;003F1743&quot;/&gt;&lt;wsp:rsid wsp:val=&quot;003F2061&quot;/&gt;&lt;wsp:rsid wsp:val=&quot;003F216E&quot;/&gt;&lt;wsp:rsid wsp:val=&quot;003F24D8&quot;/&gt;&lt;wsp:rsid wsp:val=&quot;003F2979&quot;/&gt;&lt;wsp:rsid wsp:val=&quot;003F2A72&quot;/&gt;&lt;wsp:rsid wsp:val=&quot;003F3559&quot;/&gt;&lt;wsp:rsid wsp:val=&quot;003F397D&quot;/&gt;&lt;wsp:rsid wsp:val=&quot;003F4446&quot;/&gt;&lt;wsp:rsid wsp:val=&quot;003F4944&quot;/&gt;&lt;wsp:rsid wsp:val=&quot;003F4C02&quot;/&gt;&lt;wsp:rsid wsp:val=&quot;003F4F44&quot;/&gt;&lt;wsp:rsid wsp:val=&quot;003F65CA&quot;/&gt;&lt;wsp:rsid wsp:val=&quot;003F6669&quot;/&gt;&lt;wsp:rsid wsp:val=&quot;003F674E&quot;/&gt;&lt;wsp:rsid wsp:val=&quot;003F6AC2&quot;/&gt;&lt;wsp:rsid wsp:val=&quot;003F6B88&quot;/&gt;&lt;wsp:rsid wsp:val=&quot;003F7323&quot;/&gt;&lt;wsp:rsid wsp:val=&quot;003F7C18&quot;/&gt;&lt;wsp:rsid wsp:val=&quot;003F7E5F&quot;/&gt;&lt;wsp:rsid wsp:val=&quot;00400107&quot;/&gt;&lt;wsp:rsid wsp:val=&quot;004007C2&quot;/&gt;&lt;wsp:rsid wsp:val=&quot;00400835&quot;/&gt;&lt;wsp:rsid wsp:val=&quot;0040096A&quot;/&gt;&lt;wsp:rsid wsp:val=&quot;004009EA&quot;/&gt;&lt;wsp:rsid wsp:val=&quot;00400AF5&quot;/&gt;&lt;wsp:rsid wsp:val=&quot;00400EDC&quot;/&gt;&lt;wsp:rsid wsp:val=&quot;00400EEA&quot;/&gt;&lt;wsp:rsid wsp:val=&quot;0040106C&quot;/&gt;&lt;wsp:rsid wsp:val=&quot;00401D42&quot;/&gt;&lt;wsp:rsid wsp:val=&quot;004024B3&quot;/&gt;&lt;wsp:rsid wsp:val=&quot;00402B99&quot;/&gt;&lt;wsp:rsid wsp:val=&quot;00402C7B&quot;/&gt;&lt;wsp:rsid wsp:val=&quot;00402D5A&quot;/&gt;&lt;wsp:rsid wsp:val=&quot;0040316B&quot;/&gt;&lt;wsp:rsid wsp:val=&quot;00404247&quot;/&gt;&lt;wsp:rsid wsp:val=&quot;00404294&quot;/&gt;&lt;wsp:rsid wsp:val=&quot;004044A1&quot;/&gt;&lt;wsp:rsid wsp:val=&quot;004045B5&quot;/&gt;&lt;wsp:rsid wsp:val=&quot;00404DBD&quot;/&gt;&lt;wsp:rsid wsp:val=&quot;00404DEE&quot;/&gt;&lt;wsp:rsid wsp:val=&quot;00405A4F&quot;/&gt;&lt;wsp:rsid wsp:val=&quot;00405F50&quot;/&gt;&lt;wsp:rsid wsp:val=&quot;004060DB&quot;/&gt;&lt;wsp:rsid wsp:val=&quot;0040704B&quot;/&gt;&lt;wsp:rsid wsp:val=&quot;004079A0&quot;/&gt;&lt;wsp:rsid wsp:val=&quot;00407B0B&quot;/&gt;&lt;wsp:rsid wsp:val=&quot;00407CC0&quot;/&gt;&lt;wsp:rsid wsp:val=&quot;00407DD0&quot;/&gt;&lt;wsp:rsid wsp:val=&quot;00410419&quot;/&gt;&lt;wsp:rsid wsp:val=&quot;00410CAF&quot;/&gt;&lt;wsp:rsid wsp:val=&quot;004112A0&quot;/&gt;&lt;wsp:rsid wsp:val=&quot;00411B52&quot;/&gt;&lt;wsp:rsid wsp:val=&quot;00411CDF&quot;/&gt;&lt;wsp:rsid wsp:val=&quot;00412E0C&quot;/&gt;&lt;wsp:rsid wsp:val=&quot;0041307B&quot;/&gt;&lt;wsp:rsid wsp:val=&quot;004130C9&quot;/&gt;&lt;wsp:rsid wsp:val=&quot;004132EF&quot;/&gt;&lt;wsp:rsid wsp:val=&quot;00413EFC&quot;/&gt;&lt;wsp:rsid wsp:val=&quot;00413F5C&quot;/&gt;&lt;wsp:rsid wsp:val=&quot;00414048&quot;/&gt;&lt;wsp:rsid wsp:val=&quot;0041406F&quot;/&gt;&lt;wsp:rsid wsp:val=&quot;00414321&quot;/&gt;&lt;wsp:rsid wsp:val=&quot;00414916&quot;/&gt;&lt;wsp:rsid wsp:val=&quot;00414D06&quot;/&gt;&lt;wsp:rsid wsp:val=&quot;00415993&quot;/&gt;&lt;wsp:rsid wsp:val=&quot;00415E78&quot;/&gt;&lt;wsp:rsid wsp:val=&quot;0041631E&quot;/&gt;&lt;wsp:rsid wsp:val=&quot;004169AB&quot;/&gt;&lt;wsp:rsid wsp:val=&quot;00417052&quot;/&gt;&lt;wsp:rsid wsp:val=&quot;004201F3&quot;/&gt;&lt;wsp:rsid wsp:val=&quot;00420857&quot;/&gt;&lt;wsp:rsid wsp:val=&quot;00420BC5&quot;/&gt;&lt;wsp:rsid wsp:val=&quot;00420E3B&quot;/&gt;&lt;wsp:rsid wsp:val=&quot;004211FE&quot;/&gt;&lt;wsp:rsid wsp:val=&quot;00422422&quot;/&gt;&lt;wsp:rsid wsp:val=&quot;00422DE0&quot;/&gt;&lt;wsp:rsid wsp:val=&quot;004231C3&quot;/&gt;&lt;wsp:rsid wsp:val=&quot;00423878&quot;/&gt;&lt;wsp:rsid wsp:val=&quot;00423A46&quot;/&gt;&lt;wsp:rsid wsp:val=&quot;00424287&quot;/&gt;&lt;wsp:rsid wsp:val=&quot;0042429D&quot;/&gt;&lt;wsp:rsid wsp:val=&quot;004245FE&quot;/&gt;&lt;wsp:rsid wsp:val=&quot;00424E08&quot;/&gt;&lt;wsp:rsid wsp:val=&quot;00425A5B&quot;/&gt;&lt;wsp:rsid wsp:val=&quot;00425FF7&quot;/&gt;&lt;wsp:rsid wsp:val=&quot;004260EF&quot;/&gt;&lt;wsp:rsid wsp:val=&quot;00426BDC&quot;/&gt;&lt;wsp:rsid wsp:val=&quot;00426F32&quot;/&gt;&lt;wsp:rsid wsp:val=&quot;0042707B&quot;/&gt;&lt;wsp:rsid wsp:val=&quot;0042748E&quot;/&gt;&lt;wsp:rsid wsp:val=&quot;0042773D&quot;/&gt;&lt;wsp:rsid wsp:val=&quot;00427BD8&quot;/&gt;&lt;wsp:rsid wsp:val=&quot;00427F36&quot;/&gt;&lt;wsp:rsid wsp:val=&quot;00430F60&quot;/&gt;&lt;wsp:rsid wsp:val=&quot;00431036&quot;/&gt;&lt;wsp:rsid wsp:val=&quot;004312A0&quot;/&gt;&lt;wsp:rsid wsp:val=&quot;00431608&quot;/&gt;&lt;wsp:rsid wsp:val=&quot;0043197D&quot;/&gt;&lt;wsp:rsid wsp:val=&quot;0043289F&quot;/&gt;&lt;wsp:rsid wsp:val=&quot;00433AE7&quot;/&gt;&lt;wsp:rsid wsp:val=&quot;00433C07&quot;/&gt;&lt;wsp:rsid wsp:val=&quot;004342AB&quot;/&gt;&lt;wsp:rsid wsp:val=&quot;00434C50&quot;/&gt;&lt;wsp:rsid wsp:val=&quot;0043500A&quot;/&gt;&lt;wsp:rsid wsp:val=&quot;004358FD&quot;/&gt;&lt;wsp:rsid wsp:val=&quot;004359FF&quot;/&gt;&lt;wsp:rsid wsp:val=&quot;00435A77&quot;/&gt;&lt;wsp:rsid wsp:val=&quot;00435C7A&quot;/&gt;&lt;wsp:rsid wsp:val=&quot;004360C1&quot;/&gt;&lt;wsp:rsid wsp:val=&quot;004367CE&quot;/&gt;&lt;wsp:rsid wsp:val=&quot;00436BB8&quot;/&gt;&lt;wsp:rsid wsp:val=&quot;004376CD&quot;/&gt;&lt;wsp:rsid wsp:val=&quot;00437A27&quot;/&gt;&lt;wsp:rsid wsp:val=&quot;004400D7&quot;/&gt;&lt;wsp:rsid wsp:val=&quot;00440655&quot;/&gt;&lt;wsp:rsid wsp:val=&quot;0044144F&quot;/&gt;&lt;wsp:rsid wsp:val=&quot;0044173D&quot;/&gt;&lt;wsp:rsid wsp:val=&quot;00441812&quot;/&gt;&lt;wsp:rsid wsp:val=&quot;004421D6&quot;/&gt;&lt;wsp:rsid wsp:val=&quot;0044222C&quot;/&gt;&lt;wsp:rsid wsp:val=&quot;00442560&quot;/&gt;&lt;wsp:rsid wsp:val=&quot;00442E6E&quot;/&gt;&lt;wsp:rsid wsp:val=&quot;0044302C&quot;/&gt;&lt;wsp:rsid wsp:val=&quot;00444528&quot;/&gt;&lt;wsp:rsid wsp:val=&quot;00444B86&quot;/&gt;&lt;wsp:rsid wsp:val=&quot;004459FF&quot;/&gt;&lt;wsp:rsid wsp:val=&quot;00445A7A&quot;/&gt;&lt;wsp:rsid wsp:val=&quot;00446E75&quot;/&gt;&lt;wsp:rsid wsp:val=&quot;00447566&quot;/&gt;&lt;wsp:rsid wsp:val=&quot;004475AE&quot;/&gt;&lt;wsp:rsid wsp:val=&quot;0045054D&quot;/&gt;&lt;wsp:rsid wsp:val=&quot;00450938&quot;/&gt;&lt;wsp:rsid wsp:val=&quot;00450BE8&quot;/&gt;&lt;wsp:rsid wsp:val=&quot;00450F16&quot;/&gt;&lt;wsp:rsid wsp:val=&quot;00451501&quot;/&gt;&lt;wsp:rsid wsp:val=&quot;00451D9B&quot;/&gt;&lt;wsp:rsid wsp:val=&quot;00452229&quot;/&gt;&lt;wsp:rsid wsp:val=&quot;00452FFB&quot;/&gt;&lt;wsp:rsid wsp:val=&quot;00453778&quot;/&gt;&lt;wsp:rsid wsp:val=&quot;0045398A&quot;/&gt;&lt;wsp:rsid wsp:val=&quot;00453A0F&quot;/&gt;&lt;wsp:rsid wsp:val=&quot;004542B8&quot;/&gt;&lt;wsp:rsid wsp:val=&quot;004548D2&quot;/&gt;&lt;wsp:rsid wsp:val=&quot;0045551A&quot;/&gt;&lt;wsp:rsid wsp:val=&quot;00455599&quot;/&gt;&lt;wsp:rsid wsp:val=&quot;0045596A&quot;/&gt;&lt;wsp:rsid wsp:val=&quot;00457ACC&quot;/&gt;&lt;wsp:rsid wsp:val=&quot;00457B62&quot;/&gt;&lt;wsp:rsid wsp:val=&quot;00457B91&quot;/&gt;&lt;wsp:rsid wsp:val=&quot;00457CD6&quot;/&gt;&lt;wsp:rsid wsp:val=&quot;004601BF&quot;/&gt;&lt;wsp:rsid wsp:val=&quot;00460A1E&quot;/&gt;&lt;wsp:rsid wsp:val=&quot;00460D12&quot;/&gt;&lt;wsp:rsid wsp:val=&quot;0046107C&quot;/&gt;&lt;wsp:rsid wsp:val=&quot;00461F86&quot;/&gt;&lt;wsp:rsid wsp:val=&quot;00462000&quot;/&gt;&lt;wsp:rsid wsp:val=&quot;00462157&quot;/&gt;&lt;wsp:rsid wsp:val=&quot;004623EB&quot;/&gt;&lt;wsp:rsid wsp:val=&quot;004627E2&quot;/&gt;&lt;wsp:rsid wsp:val=&quot;0046284B&quot;/&gt;&lt;wsp:rsid wsp:val=&quot;004629E4&quot;/&gt;&lt;wsp:rsid wsp:val=&quot;00462E31&quot;/&gt;&lt;wsp:rsid wsp:val=&quot;00463117&quot;/&gt;&lt;wsp:rsid wsp:val=&quot;004633B6&quot;/&gt;&lt;wsp:rsid wsp:val=&quot;004637AE&quot;/&gt;&lt;wsp:rsid wsp:val=&quot;00463B8A&quot;/&gt;&lt;wsp:rsid wsp:val=&quot;00463C38&quot;/&gt;&lt;wsp:rsid wsp:val=&quot;0046440D&quot;/&gt;&lt;wsp:rsid wsp:val=&quot;00464FE9&quot;/&gt;&lt;wsp:rsid wsp:val=&quot;00465301&quot;/&gt;&lt;wsp:rsid wsp:val=&quot;0046559C&quot;/&gt;&lt;wsp:rsid wsp:val=&quot;004656B8&quot;/&gt;&lt;wsp:rsid wsp:val=&quot;0046588D&quot;/&gt;&lt;wsp:rsid wsp:val=&quot;00465AA1&quot;/&gt;&lt;wsp:rsid wsp:val=&quot;00465CD4&quot;/&gt;&lt;wsp:rsid wsp:val=&quot;004663BE&quot;/&gt;&lt;wsp:rsid wsp:val=&quot;004664CC&quot;/&gt;&lt;wsp:rsid wsp:val=&quot;00466541&quot;/&gt;&lt;wsp:rsid wsp:val=&quot;004665A7&quot;/&gt;&lt;wsp:rsid wsp:val=&quot;00467FDE&quot;/&gt;&lt;wsp:rsid wsp:val=&quot;004703F1&quot;/&gt;&lt;wsp:rsid wsp:val=&quot;0047070C&quot;/&gt;&lt;wsp:rsid wsp:val=&quot;00470C44&quot;/&gt;&lt;wsp:rsid wsp:val=&quot;00470EFE&quot;/&gt;&lt;wsp:rsid wsp:val=&quot;00471041&quot;/&gt;&lt;wsp:rsid wsp:val=&quot;00471351&quot;/&gt;&lt;wsp:rsid wsp:val=&quot;004722FE&quot;/&gt;&lt;wsp:rsid wsp:val=&quot;00472EF7&quot;/&gt;&lt;wsp:rsid wsp:val=&quot;004736C3&quot;/&gt;&lt;wsp:rsid wsp:val=&quot;00473C85&quot;/&gt;&lt;wsp:rsid wsp:val=&quot;0047418C&quot;/&gt;&lt;wsp:rsid wsp:val=&quot;0047449A&quot;/&gt;&lt;wsp:rsid wsp:val=&quot;004748B2&quot;/&gt;&lt;wsp:rsid wsp:val=&quot;00474957&quot;/&gt;&lt;wsp:rsid wsp:val=&quot;00474D9A&quot;/&gt;&lt;wsp:rsid wsp:val=&quot;00474F85&quot;/&gt;&lt;wsp:rsid wsp:val=&quot;00475646&quot;/&gt;&lt;wsp:rsid wsp:val=&quot;0047568C&quot;/&gt;&lt;wsp:rsid wsp:val=&quot;00475CA8&quot;/&gt;&lt;wsp:rsid wsp:val=&quot;00476098&quot;/&gt;&lt;wsp:rsid wsp:val=&quot;004762DA&quot;/&gt;&lt;wsp:rsid wsp:val=&quot;00476FFE&quot;/&gt;&lt;wsp:rsid wsp:val=&quot;00477055&quot;/&gt;&lt;wsp:rsid wsp:val=&quot;004771A3&quot;/&gt;&lt;wsp:rsid wsp:val=&quot;004810D5&quot;/&gt;&lt;wsp:rsid wsp:val=&quot;00481408&quot;/&gt;&lt;wsp:rsid wsp:val=&quot;00481411&quot;/&gt;&lt;wsp:rsid wsp:val=&quot;00481760&quot;/&gt;&lt;wsp:rsid wsp:val=&quot;00481965&quot;/&gt;&lt;wsp:rsid wsp:val=&quot;0048228D&quot;/&gt;&lt;wsp:rsid wsp:val=&quot;00482B2C&quot;/&gt;&lt;wsp:rsid wsp:val=&quot;004836B1&quot;/&gt;&lt;wsp:rsid wsp:val=&quot;004836F5&quot;/&gt;&lt;wsp:rsid wsp:val=&quot;00483B48&quot;/&gt;&lt;wsp:rsid wsp:val=&quot;00483E03&quot;/&gt;&lt;wsp:rsid wsp:val=&quot;00483F7C&quot;/&gt;&lt;wsp:rsid wsp:val=&quot;004840C2&quot;/&gt;&lt;wsp:rsid wsp:val=&quot;004845A7&quot;/&gt;&lt;wsp:rsid wsp:val=&quot;00484959&quot;/&gt;&lt;wsp:rsid wsp:val=&quot;00484987&quot;/&gt;&lt;wsp:rsid wsp:val=&quot;00485136&quot;/&gt;&lt;wsp:rsid wsp:val=&quot;004851EA&quot;/&gt;&lt;wsp:rsid wsp:val=&quot;0048553F&quot;/&gt;&lt;wsp:rsid wsp:val=&quot;004857FC&quot;/&gt;&lt;wsp:rsid wsp:val=&quot;00485E3D&quot;/&gt;&lt;wsp:rsid wsp:val=&quot;004868BD&quot;/&gt;&lt;wsp:rsid wsp:val=&quot;00486A15&quot;/&gt;&lt;wsp:rsid wsp:val=&quot;00486B6F&quot;/&gt;&lt;wsp:rsid wsp:val=&quot;0048710C&quot;/&gt;&lt;wsp:rsid wsp:val=&quot;004871E7&quot;/&gt;&lt;wsp:rsid wsp:val=&quot;004874C5&quot;/&gt;&lt;wsp:rsid wsp:val=&quot;0048767F&quot;/&gt;&lt;wsp:rsid wsp:val=&quot;004900AB&quot;/&gt;&lt;wsp:rsid wsp:val=&quot;004906D9&quot;/&gt;&lt;wsp:rsid wsp:val=&quot;0049164C&quot;/&gt;&lt;wsp:rsid wsp:val=&quot;004919E5&quot;/&gt;&lt;wsp:rsid wsp:val=&quot;00492275&quot;/&gt;&lt;wsp:rsid wsp:val=&quot;00492397&quot;/&gt;&lt;wsp:rsid wsp:val=&quot;0049261E&quot;/&gt;&lt;wsp:rsid wsp:val=&quot;00492792&quot;/&gt;&lt;wsp:rsid wsp:val=&quot;00493815&quot;/&gt;&lt;wsp:rsid wsp:val=&quot;004938AD&quot;/&gt;&lt;wsp:rsid wsp:val=&quot;0049422B&quot;/&gt;&lt;wsp:rsid wsp:val=&quot;004943A8&quot;/&gt;&lt;wsp:rsid wsp:val=&quot;004945C1&quot;/&gt;&lt;wsp:rsid wsp:val=&quot;00494F77&quot;/&gt;&lt;wsp:rsid wsp:val=&quot;00494FDA&quot;/&gt;&lt;wsp:rsid wsp:val=&quot;00495801&quot;/&gt;&lt;wsp:rsid wsp:val=&quot;00495BAC&quot;/&gt;&lt;wsp:rsid wsp:val=&quot;00495D57&quot;/&gt;&lt;wsp:rsid wsp:val=&quot;00496263&quot;/&gt;&lt;wsp:rsid wsp:val=&quot;004962A3&quot;/&gt;&lt;wsp:rsid wsp:val=&quot;0049677D&quot;/&gt;&lt;wsp:rsid wsp:val=&quot;00496B9D&quot;/&gt;&lt;wsp:rsid wsp:val=&quot;00496D28&quot;/&gt;&lt;wsp:rsid wsp:val=&quot;00496DC1&quot;/&gt;&lt;wsp:rsid wsp:val=&quot;00496DD2&quot;/&gt;&lt;wsp:rsid wsp:val=&quot;00497E46&quot;/&gt;&lt;wsp:rsid wsp:val=&quot;004A0279&quot;/&gt;&lt;wsp:rsid wsp:val=&quot;004A0299&quot;/&gt;&lt;wsp:rsid wsp:val=&quot;004A03D4&quot;/&gt;&lt;wsp:rsid wsp:val=&quot;004A159F&quot;/&gt;&lt;wsp:rsid wsp:val=&quot;004A1ED6&quot;/&gt;&lt;wsp:rsid wsp:val=&quot;004A205B&quot;/&gt;&lt;wsp:rsid wsp:val=&quot;004A219D&quot;/&gt;&lt;wsp:rsid wsp:val=&quot;004A248E&quot;/&gt;&lt;wsp:rsid wsp:val=&quot;004A25EB&quot;/&gt;&lt;wsp:rsid wsp:val=&quot;004A26EE&quot;/&gt;&lt;wsp:rsid wsp:val=&quot;004A29AE&quot;/&gt;&lt;wsp:rsid wsp:val=&quot;004A2AB4&quot;/&gt;&lt;wsp:rsid wsp:val=&quot;004A2B6E&quot;/&gt;&lt;wsp:rsid wsp:val=&quot;004A2E58&quot;/&gt;&lt;wsp:rsid wsp:val=&quot;004A2EB8&quot;/&gt;&lt;wsp:rsid wsp:val=&quot;004A31CA&quot;/&gt;&lt;wsp:rsid wsp:val=&quot;004A3387&quot;/&gt;&lt;wsp:rsid wsp:val=&quot;004A38E2&quot;/&gt;&lt;wsp:rsid wsp:val=&quot;004A3B28&quot;/&gt;&lt;wsp:rsid wsp:val=&quot;004A3C38&quot;/&gt;&lt;wsp:rsid wsp:val=&quot;004A427D&quot;/&gt;&lt;wsp:rsid wsp:val=&quot;004A4733&quot;/&gt;&lt;wsp:rsid wsp:val=&quot;004A4ADC&quot;/&gt;&lt;wsp:rsid wsp:val=&quot;004A5023&quot;/&gt;&lt;wsp:rsid wsp:val=&quot;004A5E72&quot;/&gt;&lt;wsp:rsid wsp:val=&quot;004A69A6&quot;/&gt;&lt;wsp:rsid wsp:val=&quot;004A70F9&quot;/&gt;&lt;wsp:rsid wsp:val=&quot;004A75AC&quot;/&gt;&lt;wsp:rsid wsp:val=&quot;004A7983&quot;/&gt;&lt;wsp:rsid wsp:val=&quot;004A7A03&quot;/&gt;&lt;wsp:rsid wsp:val=&quot;004B07DA&quot;/&gt;&lt;wsp:rsid wsp:val=&quot;004B0D95&quot;/&gt;&lt;wsp:rsid wsp:val=&quot;004B0F48&quot;/&gt;&lt;wsp:rsid wsp:val=&quot;004B165E&quot;/&gt;&lt;wsp:rsid wsp:val=&quot;004B1E42&quot;/&gt;&lt;wsp:rsid wsp:val=&quot;004B2259&quot;/&gt;&lt;wsp:rsid wsp:val=&quot;004B24D0&quot;/&gt;&lt;wsp:rsid wsp:val=&quot;004B34A1&quot;/&gt;&lt;wsp:rsid wsp:val=&quot;004B360E&quot;/&gt;&lt;wsp:rsid wsp:val=&quot;004B3A3E&quot;/&gt;&lt;wsp:rsid wsp:val=&quot;004B3B8D&quot;/&gt;&lt;wsp:rsid wsp:val=&quot;004B3F3F&quot;/&gt;&lt;wsp:rsid wsp:val=&quot;004B4092&quot;/&gt;&lt;wsp:rsid wsp:val=&quot;004B4816&quot;/&gt;&lt;wsp:rsid wsp:val=&quot;004B4C8C&quot;/&gt;&lt;wsp:rsid wsp:val=&quot;004B4FC8&quot;/&gt;&lt;wsp:rsid wsp:val=&quot;004B50A9&quot;/&gt;&lt;wsp:rsid wsp:val=&quot;004B58C6&quot;/&gt;&lt;wsp:rsid wsp:val=&quot;004B5994&quot;/&gt;&lt;wsp:rsid wsp:val=&quot;004B6268&quot;/&gt;&lt;wsp:rsid wsp:val=&quot;004B66CF&quot;/&gt;&lt;wsp:rsid wsp:val=&quot;004B6740&quot;/&gt;&lt;wsp:rsid wsp:val=&quot;004B6B04&quot;/&gt;&lt;wsp:rsid wsp:val=&quot;004B6C86&quot;/&gt;&lt;wsp:rsid wsp:val=&quot;004B6E4A&quot;/&gt;&lt;wsp:rsid wsp:val=&quot;004B72C6&quot;/&gt;&lt;wsp:rsid wsp:val=&quot;004B7514&quot;/&gt;&lt;wsp:rsid wsp:val=&quot;004B76F7&quot;/&gt;&lt;wsp:rsid wsp:val=&quot;004B79CF&quot;/&gt;&lt;wsp:rsid wsp:val=&quot;004B7B24&quot;/&gt;&lt;wsp:rsid wsp:val=&quot;004C093C&quot;/&gt;&lt;wsp:rsid wsp:val=&quot;004C0FE3&quot;/&gt;&lt;wsp:rsid wsp:val=&quot;004C105E&quot;/&gt;&lt;wsp:rsid wsp:val=&quot;004C14C3&quot;/&gt;&lt;wsp:rsid wsp:val=&quot;004C176D&quot;/&gt;&lt;wsp:rsid wsp:val=&quot;004C188F&quot;/&gt;&lt;wsp:rsid wsp:val=&quot;004C19B8&quot;/&gt;&lt;wsp:rsid wsp:val=&quot;004C1BE3&quot;/&gt;&lt;wsp:rsid wsp:val=&quot;004C1BEA&quot;/&gt;&lt;wsp:rsid wsp:val=&quot;004C28A8&quot;/&gt;&lt;wsp:rsid wsp:val=&quot;004C2D37&quot;/&gt;&lt;wsp:rsid wsp:val=&quot;004C3374&quot;/&gt;&lt;wsp:rsid wsp:val=&quot;004C37A6&quot;/&gt;&lt;wsp:rsid wsp:val=&quot;004C3D7E&quot;/&gt;&lt;wsp:rsid wsp:val=&quot;004C3E25&quot;/&gt;&lt;wsp:rsid wsp:val=&quot;004C3F60&quot;/&gt;&lt;wsp:rsid wsp:val=&quot;004C42A2&quot;/&gt;&lt;wsp:rsid wsp:val=&quot;004C43C0&quot;/&gt;&lt;wsp:rsid wsp:val=&quot;004C43E8&quot;/&gt;&lt;wsp:rsid wsp:val=&quot;004C4B4E&quot;/&gt;&lt;wsp:rsid wsp:val=&quot;004C4CA8&quot;/&gt;&lt;wsp:rsid wsp:val=&quot;004C4D7D&quot;/&gt;&lt;wsp:rsid wsp:val=&quot;004C4D9F&quot;/&gt;&lt;wsp:rsid wsp:val=&quot;004C507A&quot;/&gt;&lt;wsp:rsid wsp:val=&quot;004C5662&quot;/&gt;&lt;wsp:rsid wsp:val=&quot;004C5A3F&quot;/&gt;&lt;wsp:rsid wsp:val=&quot;004C60DB&quot;/&gt;&lt;wsp:rsid wsp:val=&quot;004C6AFF&quot;/&gt;&lt;wsp:rsid wsp:val=&quot;004C6B82&quot;/&gt;&lt;wsp:rsid wsp:val=&quot;004C71E5&quot;/&gt;&lt;wsp:rsid wsp:val=&quot;004C75F4&quot;/&gt;&lt;wsp:rsid wsp:val=&quot;004C7794&quot;/&gt;&lt;wsp:rsid wsp:val=&quot;004D02DF&quot;/&gt;&lt;wsp:rsid wsp:val=&quot;004D0737&quot;/&gt;&lt;wsp:rsid wsp:val=&quot;004D101C&quot;/&gt;&lt;wsp:rsid wsp:val=&quot;004D1543&quot;/&gt;&lt;wsp:rsid wsp:val=&quot;004D1D7E&quot;/&gt;&lt;wsp:rsid wsp:val=&quot;004D2B4B&quot;/&gt;&lt;wsp:rsid wsp:val=&quot;004D2B67&quot;/&gt;&lt;wsp:rsid wsp:val=&quot;004D2CF9&quot;/&gt;&lt;wsp:rsid wsp:val=&quot;004D30C8&quot;/&gt;&lt;wsp:rsid wsp:val=&quot;004D3191&quot;/&gt;&lt;wsp:rsid wsp:val=&quot;004D31BF&quot;/&gt;&lt;wsp:rsid wsp:val=&quot;004D379D&quot;/&gt;&lt;wsp:rsid wsp:val=&quot;004D397C&quot;/&gt;&lt;wsp:rsid wsp:val=&quot;004D4108&quot;/&gt;&lt;wsp:rsid wsp:val=&quot;004D436C&quot;/&gt;&lt;wsp:rsid wsp:val=&quot;004D4593&quot;/&gt;&lt;wsp:rsid wsp:val=&quot;004D471C&quot;/&gt;&lt;wsp:rsid wsp:val=&quot;004D4725&quot;/&gt;&lt;wsp:rsid wsp:val=&quot;004D4DE8&quot;/&gt;&lt;wsp:rsid wsp:val=&quot;004D579E&quot;/&gt;&lt;wsp:rsid wsp:val=&quot;004D5B0D&quot;/&gt;&lt;wsp:rsid wsp:val=&quot;004D61D6&quot;/&gt;&lt;wsp:rsid wsp:val=&quot;004D68B1&quot;/&gt;&lt;wsp:rsid wsp:val=&quot;004D6DD6&quot;/&gt;&lt;wsp:rsid wsp:val=&quot;004D76BC&quot;/&gt;&lt;wsp:rsid wsp:val=&quot;004D7A0A&quot;/&gt;&lt;wsp:rsid wsp:val=&quot;004D7AE6&quot;/&gt;&lt;wsp:rsid wsp:val=&quot;004E059E&quot;/&gt;&lt;wsp:rsid wsp:val=&quot;004E1531&quot;/&gt;&lt;wsp:rsid wsp:val=&quot;004E1C24&quot;/&gt;&lt;wsp:rsid wsp:val=&quot;004E276C&quot;/&gt;&lt;wsp:rsid wsp:val=&quot;004E2FF3&quot;/&gt;&lt;wsp:rsid wsp:val=&quot;004E3D03&quot;/&gt;&lt;wsp:rsid wsp:val=&quot;004E4BA9&quot;/&gt;&lt;wsp:rsid wsp:val=&quot;004E4D02&quot;/&gt;&lt;wsp:rsid wsp:val=&quot;004E4F9B&quot;/&gt;&lt;wsp:rsid wsp:val=&quot;004E5A94&quot;/&gt;&lt;wsp:rsid wsp:val=&quot;004E5CFB&quot;/&gt;&lt;wsp:rsid wsp:val=&quot;004E5EC6&quot;/&gt;&lt;wsp:rsid wsp:val=&quot;004E618C&quot;/&gt;&lt;wsp:rsid wsp:val=&quot;004E65A0&quot;/&gt;&lt;wsp:rsid wsp:val=&quot;004E6738&quot;/&gt;&lt;wsp:rsid wsp:val=&quot;004E6992&quot;/&gt;&lt;wsp:rsid wsp:val=&quot;004E6E4A&quot;/&gt;&lt;wsp:rsid wsp:val=&quot;004E7563&quot;/&gt;&lt;wsp:rsid wsp:val=&quot;004F0EDA&quot;/&gt;&lt;wsp:rsid wsp:val=&quot;004F110F&quot;/&gt;&lt;wsp:rsid wsp:val=&quot;004F1393&quot;/&gt;&lt;wsp:rsid wsp:val=&quot;004F1B89&quot;/&gt;&lt;wsp:rsid wsp:val=&quot;004F1BA1&quot;/&gt;&lt;wsp:rsid wsp:val=&quot;004F1D14&quot;/&gt;&lt;wsp:rsid wsp:val=&quot;004F2076&quot;/&gt;&lt;wsp:rsid wsp:val=&quot;004F2150&quot;/&gt;&lt;wsp:rsid wsp:val=&quot;004F222D&quot;/&gt;&lt;wsp:rsid wsp:val=&quot;004F252F&quot;/&gt;&lt;wsp:rsid wsp:val=&quot;004F276B&quot;/&gt;&lt;wsp:rsid wsp:val=&quot;004F27EC&quot;/&gt;&lt;wsp:rsid wsp:val=&quot;004F2ED8&quot;/&gt;&lt;wsp:rsid wsp:val=&quot;004F3978&quot;/&gt;&lt;wsp:rsid wsp:val=&quot;004F3A53&quot;/&gt;&lt;wsp:rsid wsp:val=&quot;004F3BA1&quot;/&gt;&lt;wsp:rsid wsp:val=&quot;004F3F3E&quot;/&gt;&lt;wsp:rsid wsp:val=&quot;004F40BC&quot;/&gt;&lt;wsp:rsid wsp:val=&quot;004F431C&quot;/&gt;&lt;wsp:rsid wsp:val=&quot;004F43A0&quot;/&gt;&lt;wsp:rsid wsp:val=&quot;004F447B&quot;/&gt;&lt;wsp:rsid wsp:val=&quot;004F4680&quot;/&gt;&lt;wsp:rsid wsp:val=&quot;004F4787&quot;/&gt;&lt;wsp:rsid wsp:val=&quot;004F50F5&quot;/&gt;&lt;wsp:rsid wsp:val=&quot;004F5246&quot;/&gt;&lt;wsp:rsid wsp:val=&quot;004F53D9&quot;/&gt;&lt;wsp:rsid wsp:val=&quot;004F62C1&quot;/&gt;&lt;wsp:rsid wsp:val=&quot;004F696E&quot;/&gt;&lt;wsp:rsid wsp:val=&quot;004F6A4F&quot;/&gt;&lt;wsp:rsid wsp:val=&quot;004F6FF7&quot;/&gt;&lt;wsp:rsid wsp:val=&quot;004F7309&quot;/&gt;&lt;wsp:rsid wsp:val=&quot;004F73C8&quot;/&gt;&lt;wsp:rsid wsp:val=&quot;004F74B1&quot;/&gt;&lt;wsp:rsid wsp:val=&quot;004F7667&quot;/&gt;&lt;wsp:rsid wsp:val=&quot;004F7691&quot;/&gt;&lt;wsp:rsid wsp:val=&quot;004F76F9&quot;/&gt;&lt;wsp:rsid wsp:val=&quot;004F7802&quot;/&gt;&lt;wsp:rsid wsp:val=&quot;004F7996&quot;/&gt;&lt;wsp:rsid wsp:val=&quot;004F7F5B&quot;/&gt;&lt;wsp:rsid wsp:val=&quot;005008EF&quot;/&gt;&lt;wsp:rsid wsp:val=&quot;00501012&quot;/&gt;&lt;wsp:rsid wsp:val=&quot;005019E2&quot;/&gt;&lt;wsp:rsid wsp:val=&quot;005027B0&quot;/&gt;&lt;wsp:rsid wsp:val=&quot;0050302B&quot;/&gt;&lt;wsp:rsid wsp:val=&quot;005031AE&quot;/&gt;&lt;wsp:rsid wsp:val=&quot;0050343F&quot;/&gt;&lt;wsp:rsid wsp:val=&quot;005036F4&quot;/&gt;&lt;wsp:rsid wsp:val=&quot;00503B2F&quot;/&gt;&lt;wsp:rsid wsp:val=&quot;00503B72&quot;/&gt;&lt;wsp:rsid wsp:val=&quot;005045BE&quot;/&gt;&lt;wsp:rsid wsp:val=&quot;005051E1&quot;/&gt;&lt;wsp:rsid wsp:val=&quot;0050522E&quot;/&gt;&lt;wsp:rsid wsp:val=&quot;005053A7&quot;/&gt;&lt;wsp:rsid wsp:val=&quot;00505475&quot;/&gt;&lt;wsp:rsid wsp:val=&quot;00505697&quot;/&gt;&lt;wsp:rsid wsp:val=&quot;00506956&quot;/&gt;&lt;wsp:rsid wsp:val=&quot;00506B66&quot;/&gt;&lt;wsp:rsid wsp:val=&quot;00506CE7&quot;/&gt;&lt;wsp:rsid wsp:val=&quot;00506EF7&quot;/&gt;&lt;wsp:rsid wsp:val=&quot;00507656&quot;/&gt;&lt;wsp:rsid wsp:val=&quot;0050778C&quot;/&gt;&lt;wsp:rsid wsp:val=&quot;00507A6C&quot;/&gt;&lt;wsp:rsid wsp:val=&quot;00507DB6&quot;/&gt;&lt;wsp:rsid wsp:val=&quot;005106E7&quot;/&gt;&lt;wsp:rsid wsp:val=&quot;00510DB0&quot;/&gt;&lt;wsp:rsid wsp:val=&quot;00512960&quot;/&gt;&lt;wsp:rsid wsp:val=&quot;00512E5E&quot;/&gt;&lt;wsp:rsid wsp:val=&quot;0051337F&quot;/&gt;&lt;wsp:rsid wsp:val=&quot;005147E0&quot;/&gt;&lt;wsp:rsid wsp:val=&quot;00514850&quot;/&gt;&lt;wsp:rsid wsp:val=&quot;005159CF&quot;/&gt;&lt;wsp:rsid wsp:val=&quot;00515B68&quot;/&gt;&lt;wsp:rsid wsp:val=&quot;00515D3F&quot;/&gt;&lt;wsp:rsid wsp:val=&quot;00516458&quot;/&gt;&lt;wsp:rsid wsp:val=&quot;00516CD7&quot;/&gt;&lt;wsp:rsid wsp:val=&quot;00516F53&quot;/&gt;&lt;wsp:rsid wsp:val=&quot;00516FF3&quot;/&gt;&lt;wsp:rsid wsp:val=&quot;00517A02&quot;/&gt;&lt;wsp:rsid wsp:val=&quot;00517B8B&quot;/&gt;&lt;wsp:rsid wsp:val=&quot;00517C72&quot;/&gt;&lt;wsp:rsid wsp:val=&quot;00517D93&quot;/&gt;&lt;wsp:rsid wsp:val=&quot;005202B9&quot;/&gt;&lt;wsp:rsid wsp:val=&quot;005216B0&quot;/&gt;&lt;wsp:rsid wsp:val=&quot;0052175C&quot;/&gt;&lt;wsp:rsid wsp:val=&quot;0052181C&quot;/&gt;&lt;wsp:rsid wsp:val=&quot;00521D97&quot;/&gt;&lt;wsp:rsid wsp:val=&quot;0052200F&quot;/&gt;&lt;wsp:rsid wsp:val=&quot;005221F9&quot;/&gt;&lt;wsp:rsid wsp:val=&quot;00522983&quot;/&gt;&lt;wsp:rsid wsp:val=&quot;005230F3&quot;/&gt;&lt;wsp:rsid wsp:val=&quot;00523498&quot;/&gt;&lt;wsp:rsid wsp:val=&quot;0052377E&quot;/&gt;&lt;wsp:rsid wsp:val=&quot;00524AB8&quot;/&gt;&lt;wsp:rsid wsp:val=&quot;005259A8&quot;/&gt;&lt;wsp:rsid wsp:val=&quot;00525F7C&quot;/&gt;&lt;wsp:rsid wsp:val=&quot;00526402&quot;/&gt;&lt;wsp:rsid wsp:val=&quot;0052708F&quot;/&gt;&lt;wsp:rsid wsp:val=&quot;0052781A&quot;/&gt;&lt;wsp:rsid wsp:val=&quot;00527F6A&quot;/&gt;&lt;wsp:rsid wsp:val=&quot;005305F3&quot;/&gt;&lt;wsp:rsid wsp:val=&quot;00530F44&quot;/&gt;&lt;wsp:rsid wsp:val=&quot;00531050&quot;/&gt;&lt;wsp:rsid wsp:val=&quot;005317FA&quot;/&gt;&lt;wsp:rsid wsp:val=&quot;005319BA&quot;/&gt;&lt;wsp:rsid wsp:val=&quot;00531E19&quot;/&gt;&lt;wsp:rsid wsp:val=&quot;005321B6&quot;/&gt;&lt;wsp:rsid wsp:val=&quot;005324F9&quot;/&gt;&lt;wsp:rsid wsp:val=&quot;00532E48&quot;/&gt;&lt;wsp:rsid wsp:val=&quot;0053307C&quot;/&gt;&lt;wsp:rsid wsp:val=&quot;005331AF&quot;/&gt;&lt;wsp:rsid wsp:val=&quot;005346A7&quot;/&gt;&lt;wsp:rsid wsp:val=&quot;00535054&quot;/&gt;&lt;wsp:rsid wsp:val=&quot;005352AD&quot;/&gt;&lt;wsp:rsid wsp:val=&quot;005352E3&quot;/&gt;&lt;wsp:rsid wsp:val=&quot;0053550D&quot;/&gt;&lt;wsp:rsid wsp:val=&quot;0053579F&quot;/&gt;&lt;wsp:rsid wsp:val=&quot;00535817&quot;/&gt;&lt;wsp:rsid wsp:val=&quot;00535933&quot;/&gt;&lt;wsp:rsid wsp:val=&quot;005365D4&quot;/&gt;&lt;wsp:rsid wsp:val=&quot;00536ABA&quot;/&gt;&lt;wsp:rsid wsp:val=&quot;00536F40&quot;/&gt;&lt;wsp:rsid wsp:val=&quot;005372C1&quot;/&gt;&lt;wsp:rsid wsp:val=&quot;00537E9E&quot;/&gt;&lt;wsp:rsid wsp:val=&quot;00540AD7&quot;/&gt;&lt;wsp:rsid wsp:val=&quot;00541753&quot;/&gt;&lt;wsp:rsid wsp:val=&quot;0054191D&quot;/&gt;&lt;wsp:rsid wsp:val=&quot;00541CCA&quot;/&gt;&lt;wsp:rsid wsp:val=&quot;00541D44&quot;/&gt;&lt;wsp:rsid wsp:val=&quot;0054203D&quot;/&gt;&lt;wsp:rsid wsp:val=&quot;005421D4&quot;/&gt;&lt;wsp:rsid wsp:val=&quot;00542906&quot;/&gt;&lt;wsp:rsid wsp:val=&quot;0054293A&quot;/&gt;&lt;wsp:rsid wsp:val=&quot;00543570&quot;/&gt;&lt;wsp:rsid wsp:val=&quot;005437AD&quot;/&gt;&lt;wsp:rsid wsp:val=&quot;00543924&quot;/&gt;&lt;wsp:rsid wsp:val=&quot;00543E5C&quot;/&gt;&lt;wsp:rsid wsp:val=&quot;00544B40&quot;/&gt;&lt;wsp:rsid wsp:val=&quot;00544C21&quot;/&gt;&lt;wsp:rsid wsp:val=&quot;00544FDD&quot;/&gt;&lt;wsp:rsid wsp:val=&quot;00545153&quot;/&gt;&lt;wsp:rsid wsp:val=&quot;0054538D&quot;/&gt;&lt;wsp:rsid wsp:val=&quot;005457C5&quot;/&gt;&lt;wsp:rsid wsp:val=&quot;005458E3&quot;/&gt;&lt;wsp:rsid wsp:val=&quot;00545A4D&quot;/&gt;&lt;wsp:rsid wsp:val=&quot;00545D67&quot;/&gt;&lt;wsp:rsid wsp:val=&quot;005460C6&quot;/&gt;&lt;wsp:rsid wsp:val=&quot;00547443&quot;/&gt;&lt;wsp:rsid wsp:val=&quot;0055079F&quot;/&gt;&lt;wsp:rsid wsp:val=&quot;00550A3A&quot;/&gt;&lt;wsp:rsid wsp:val=&quot;00550AA3&quot;/&gt;&lt;wsp:rsid wsp:val=&quot;00550BBE&quot;/&gt;&lt;wsp:rsid wsp:val=&quot;005520FD&quot;/&gt;&lt;wsp:rsid wsp:val=&quot;005524F6&quot;/&gt;&lt;wsp:rsid wsp:val=&quot;00552A21&quot;/&gt;&lt;wsp:rsid wsp:val=&quot;005531AB&quot;/&gt;&lt;wsp:rsid wsp:val=&quot;00553A9E&quot;/&gt;&lt;wsp:rsid wsp:val=&quot;00553D22&quot;/&gt;&lt;wsp:rsid wsp:val=&quot;00554258&quot;/&gt;&lt;wsp:rsid wsp:val=&quot;00554C01&quot;/&gt;&lt;wsp:rsid wsp:val=&quot;00554D02&quot;/&gt;&lt;wsp:rsid wsp:val=&quot;00554E4A&quot;/&gt;&lt;wsp:rsid wsp:val=&quot;00554FC9&quot;/&gt;&lt;wsp:rsid wsp:val=&quot;00555518&quot;/&gt;&lt;wsp:rsid wsp:val=&quot;00556818&quot;/&gt;&lt;wsp:rsid wsp:val=&quot;00556EC1&quot;/&gt;&lt;wsp:rsid wsp:val=&quot;00557610&quot;/&gt;&lt;wsp:rsid wsp:val=&quot;00560114&quot;/&gt;&lt;wsp:rsid wsp:val=&quot;005601E8&quot;/&gt;&lt;wsp:rsid wsp:val=&quot;005603EA&quot;/&gt;&lt;wsp:rsid wsp:val=&quot;005607F6&quot;/&gt;&lt;wsp:rsid wsp:val=&quot;00560D2A&quot;/&gt;&lt;wsp:rsid wsp:val=&quot;00560DCA&quot;/&gt;&lt;wsp:rsid wsp:val=&quot;005611AD&quot;/&gt;&lt;wsp:rsid wsp:val=&quot;0056141B&quot;/&gt;&lt;wsp:rsid wsp:val=&quot;0056154E&quot;/&gt;&lt;wsp:rsid wsp:val=&quot;00561B3E&quot;/&gt;&lt;wsp:rsid wsp:val=&quot;00562285&quot;/&gt;&lt;wsp:rsid wsp:val=&quot;00562517&quot;/&gt;&lt;wsp:rsid wsp:val=&quot;00562DCF&quot;/&gt;&lt;wsp:rsid wsp:val=&quot;00562E0A&quot;/&gt;&lt;wsp:rsid wsp:val=&quot;00563556&quot;/&gt;&lt;wsp:rsid wsp:val=&quot;005635FC&quot;/&gt;&lt;wsp:rsid wsp:val=&quot;005642B8&quot;/&gt;&lt;wsp:rsid wsp:val=&quot;0056495D&quot;/&gt;&lt;wsp:rsid wsp:val=&quot;00565A79&quot;/&gt;&lt;wsp:rsid wsp:val=&quot;00565BBE&quot;/&gt;&lt;wsp:rsid wsp:val=&quot;00565FA9&quot;/&gt;&lt;wsp:rsid wsp:val=&quot;0056629C&quot;/&gt;&lt;wsp:rsid wsp:val=&quot;00566519&quot;/&gt;&lt;wsp:rsid wsp:val=&quot;0056657E&quot;/&gt;&lt;wsp:rsid wsp:val=&quot;005665EB&quot;/&gt;&lt;wsp:rsid wsp:val=&quot;005668BE&quot;/&gt;&lt;wsp:rsid wsp:val=&quot;00566AFF&quot;/&gt;&lt;wsp:rsid wsp:val=&quot;00566E6F&quot;/&gt;&lt;wsp:rsid wsp:val=&quot;005670E9&quot;/&gt;&lt;wsp:rsid wsp:val=&quot;00567866&quot;/&gt;&lt;wsp:rsid wsp:val=&quot;00567BFA&quot;/&gt;&lt;wsp:rsid wsp:val=&quot;00570BAD&quot;/&gt;&lt;wsp:rsid wsp:val=&quot;0057107A&quot;/&gt;&lt;wsp:rsid wsp:val=&quot;00571514&quot;/&gt;&lt;wsp:rsid wsp:val=&quot;005717D4&quot;/&gt;&lt;wsp:rsid wsp:val=&quot;00571C4D&quot;/&gt;&lt;wsp:rsid wsp:val=&quot;00571E47&quot;/&gt;&lt;wsp:rsid wsp:val=&quot;0057286F&quot;/&gt;&lt;wsp:rsid wsp:val=&quot;00572C6A&quot;/&gt;&lt;wsp:rsid wsp:val=&quot;00573012&quot;/&gt;&lt;wsp:rsid wsp:val=&quot;0057339E&quot;/&gt;&lt;wsp:rsid wsp:val=&quot;00573AD0&quot;/&gt;&lt;wsp:rsid wsp:val=&quot;0057411E&quot;/&gt;&lt;wsp:rsid wsp:val=&quot;005742D4&quot;/&gt;&lt;wsp:rsid wsp:val=&quot;0057470E&quot;/&gt;&lt;wsp:rsid wsp:val=&quot;00574D29&quot;/&gt;&lt;wsp:rsid wsp:val=&quot;00575651&quot;/&gt;&lt;wsp:rsid wsp:val=&quot;00575868&quot;/&gt;&lt;wsp:rsid wsp:val=&quot;00575972&quot;/&gt;&lt;wsp:rsid wsp:val=&quot;00575F99&quot;/&gt;&lt;wsp:rsid wsp:val=&quot;00576218&quot;/&gt;&lt;wsp:rsid wsp:val=&quot;00576268&quot;/&gt;&lt;wsp:rsid wsp:val=&quot;00576451&quot;/&gt;&lt;wsp:rsid wsp:val=&quot;005766E8&quot;/&gt;&lt;wsp:rsid wsp:val=&quot;00576796&quot;/&gt;&lt;wsp:rsid wsp:val=&quot;0057719D&quot;/&gt;&lt;wsp:rsid wsp:val=&quot;005774D2&quot;/&gt;&lt;wsp:rsid wsp:val=&quot;00577EA7&quot;/&gt;&lt;wsp:rsid wsp:val=&quot;00577F89&quot;/&gt;&lt;wsp:rsid wsp:val=&quot;00577FD4&quot;/&gt;&lt;wsp:rsid wsp:val=&quot;00580470&quot;/&gt;&lt;wsp:rsid wsp:val=&quot;005816D8&quot;/&gt;&lt;wsp:rsid wsp:val=&quot;005817B6&quot;/&gt;&lt;wsp:rsid wsp:val=&quot;005817B8&quot;/&gt;&lt;wsp:rsid wsp:val=&quot;005818E2&quot;/&gt;&lt;wsp:rsid wsp:val=&quot;00581A75&quot;/&gt;&lt;wsp:rsid wsp:val=&quot;00581B4F&quot;/&gt;&lt;wsp:rsid wsp:val=&quot;00581DE5&quot;/&gt;&lt;wsp:rsid wsp:val=&quot;00581E6B&quot;/&gt;&lt;wsp:rsid wsp:val=&quot;005823AA&quot;/&gt;&lt;wsp:rsid wsp:val=&quot;00582A71&quot;/&gt;&lt;wsp:rsid wsp:val=&quot;00582C4F&quot;/&gt;&lt;wsp:rsid wsp:val=&quot;00583071&quot;/&gt;&lt;wsp:rsid wsp:val=&quot;00583413&quot;/&gt;&lt;wsp:rsid wsp:val=&quot;0058389D&quot;/&gt;&lt;wsp:rsid wsp:val=&quot;00583E01&quot;/&gt;&lt;wsp:rsid wsp:val=&quot;00585962&quot;/&gt;&lt;wsp:rsid wsp:val=&quot;00586086&quot;/&gt;&lt;wsp:rsid wsp:val=&quot;0058640B&quot;/&gt;&lt;wsp:rsid wsp:val=&quot;0058677E&quot;/&gt;&lt;wsp:rsid wsp:val=&quot;00586F7A&quot;/&gt;&lt;wsp:rsid wsp:val=&quot;005871B8&quot;/&gt;&lt;wsp:rsid wsp:val=&quot;00587DF9&quot;/&gt;&lt;wsp:rsid wsp:val=&quot;00587F78&quot;/&gt;&lt;wsp:rsid wsp:val=&quot;00590569&quot;/&gt;&lt;wsp:rsid wsp:val=&quot;0059124A&quot;/&gt;&lt;wsp:rsid wsp:val=&quot;00591A3B&quot;/&gt;&lt;wsp:rsid wsp:val=&quot;00592339&quot;/&gt;&lt;wsp:rsid wsp:val=&quot;005925F4&quot;/&gt;&lt;wsp:rsid wsp:val=&quot;0059300F&quot;/&gt;&lt;wsp:rsid wsp:val=&quot;005935B8&quot;/&gt;&lt;wsp:rsid wsp:val=&quot;00593CFA&quot;/&gt;&lt;wsp:rsid wsp:val=&quot;00594064&quot;/&gt;&lt;wsp:rsid wsp:val=&quot;0059440B&quot;/&gt;&lt;wsp:rsid wsp:val=&quot;00594884&quot;/&gt;&lt;wsp:rsid wsp:val=&quot;00594B7A&quot;/&gt;&lt;wsp:rsid wsp:val=&quot;00594BF4&quot;/&gt;&lt;wsp:rsid wsp:val=&quot;00594CBB&quot;/&gt;&lt;wsp:rsid wsp:val=&quot;00594EAE&quot;/&gt;&lt;wsp:rsid wsp:val=&quot;0059523E&quot;/&gt;&lt;wsp:rsid wsp:val=&quot;00595548&quot;/&gt;&lt;wsp:rsid wsp:val=&quot;0059560F&quot;/&gt;&lt;wsp:rsid wsp:val=&quot;00596318&quot;/&gt;&lt;wsp:rsid wsp:val=&quot;00596BE2&quot;/&gt;&lt;wsp:rsid wsp:val=&quot;00596D1A&quot;/&gt;&lt;wsp:rsid wsp:val=&quot;005A06DB&quot;/&gt;&lt;wsp:rsid wsp:val=&quot;005A0A75&quot;/&gt;&lt;wsp:rsid wsp:val=&quot;005A0D74&quot;/&gt;&lt;wsp:rsid wsp:val=&quot;005A14CF&quot;/&gt;&lt;wsp:rsid wsp:val=&quot;005A1548&quot;/&gt;&lt;wsp:rsid wsp:val=&quot;005A1AC0&quot;/&gt;&lt;wsp:rsid wsp:val=&quot;005A1D93&quot;/&gt;&lt;wsp:rsid wsp:val=&quot;005A2037&quot;/&gt;&lt;wsp:rsid wsp:val=&quot;005A3930&quot;/&gt;&lt;wsp:rsid wsp:val=&quot;005A3B0B&quot;/&gt;&lt;wsp:rsid wsp:val=&quot;005A3B5D&quot;/&gt;&lt;wsp:rsid wsp:val=&quot;005A40AF&quot;/&gt;&lt;wsp:rsid wsp:val=&quot;005A447C&quot;/&gt;&lt;wsp:rsid wsp:val=&quot;005A4666&quot;/&gt;&lt;wsp:rsid wsp:val=&quot;005A4C97&quot;/&gt;&lt;wsp:rsid wsp:val=&quot;005A5539&quot;/&gt;&lt;wsp:rsid wsp:val=&quot;005A556D&quot;/&gt;&lt;wsp:rsid wsp:val=&quot;005A59C2&quot;/&gt;&lt;wsp:rsid wsp:val=&quot;005A62CC&quot;/&gt;&lt;wsp:rsid wsp:val=&quot;005A66D5&quot;/&gt;&lt;wsp:rsid wsp:val=&quot;005A73E7&quot;/&gt;&lt;wsp:rsid wsp:val=&quot;005A74C1&quot;/&gt;&lt;wsp:rsid wsp:val=&quot;005A78DC&quot;/&gt;&lt;wsp:rsid wsp:val=&quot;005A798B&quot;/&gt;&lt;wsp:rsid wsp:val=&quot;005A7C61&quot;/&gt;&lt;wsp:rsid wsp:val=&quot;005B0151&quot;/&gt;&lt;wsp:rsid wsp:val=&quot;005B0161&quot;/&gt;&lt;wsp:rsid wsp:val=&quot;005B0666&quot;/&gt;&lt;wsp:rsid wsp:val=&quot;005B0A12&quot;/&gt;&lt;wsp:rsid wsp:val=&quot;005B0BCC&quot;/&gt;&lt;wsp:rsid wsp:val=&quot;005B0F41&quot;/&gt;&lt;wsp:rsid wsp:val=&quot;005B16F8&quot;/&gt;&lt;wsp:rsid wsp:val=&quot;005B183A&quot;/&gt;&lt;wsp:rsid wsp:val=&quot;005B1FC4&quot;/&gt;&lt;wsp:rsid wsp:val=&quot;005B24F7&quot;/&gt;&lt;wsp:rsid wsp:val=&quot;005B2E38&quot;/&gt;&lt;wsp:rsid wsp:val=&quot;005B2F22&quot;/&gt;&lt;wsp:rsid wsp:val=&quot;005B30B5&quot;/&gt;&lt;wsp:rsid wsp:val=&quot;005B35EC&quot;/&gt;&lt;wsp:rsid wsp:val=&quot;005B388D&quot;/&gt;&lt;wsp:rsid wsp:val=&quot;005B3F5E&quot;/&gt;&lt;wsp:rsid wsp:val=&quot;005B405E&quot;/&gt;&lt;wsp:rsid wsp:val=&quot;005B4E94&quot;/&gt;&lt;wsp:rsid wsp:val=&quot;005B502B&quot;/&gt;&lt;wsp:rsid wsp:val=&quot;005B50D3&quot;/&gt;&lt;wsp:rsid wsp:val=&quot;005B5E70&quot;/&gt;&lt;wsp:rsid wsp:val=&quot;005B5F2B&quot;/&gt;&lt;wsp:rsid wsp:val=&quot;005B60B8&quot;/&gt;&lt;wsp:rsid wsp:val=&quot;005B68AE&quot;/&gt;&lt;wsp:rsid wsp:val=&quot;005B68EA&quot;/&gt;&lt;wsp:rsid wsp:val=&quot;005B6BF2&quot;/&gt;&lt;wsp:rsid wsp:val=&quot;005B6D8C&quot;/&gt;&lt;wsp:rsid wsp:val=&quot;005B7923&quot;/&gt;&lt;wsp:rsid wsp:val=&quot;005B7F18&quot;/&gt;&lt;wsp:rsid wsp:val=&quot;005C0526&quot;/&gt;&lt;wsp:rsid wsp:val=&quot;005C053C&quot;/&gt;&lt;wsp:rsid wsp:val=&quot;005C0982&quot;/&gt;&lt;wsp:rsid wsp:val=&quot;005C09B0&quot;/&gt;&lt;wsp:rsid wsp:val=&quot;005C0AB6&quot;/&gt;&lt;wsp:rsid wsp:val=&quot;005C0E12&quot;/&gt;&lt;wsp:rsid wsp:val=&quot;005C10B7&quot;/&gt;&lt;wsp:rsid wsp:val=&quot;005C1BBF&quot;/&gt;&lt;wsp:rsid wsp:val=&quot;005C225B&quot;/&gt;&lt;wsp:rsid wsp:val=&quot;005C2A6B&quot;/&gt;&lt;wsp:rsid wsp:val=&quot;005C2C66&quot;/&gt;&lt;wsp:rsid wsp:val=&quot;005C2E45&quot;/&gt;&lt;wsp:rsid wsp:val=&quot;005C3437&quot;/&gt;&lt;wsp:rsid wsp:val=&quot;005C3869&quot;/&gt;&lt;wsp:rsid wsp:val=&quot;005C38A4&quot;/&gt;&lt;wsp:rsid wsp:val=&quot;005C3B1B&quot;/&gt;&lt;wsp:rsid wsp:val=&quot;005C462D&quot;/&gt;&lt;wsp:rsid wsp:val=&quot;005C4F55&quot;/&gt;&lt;wsp:rsid wsp:val=&quot;005C68CB&quot;/&gt;&lt;wsp:rsid wsp:val=&quot;005C6901&quot;/&gt;&lt;wsp:rsid wsp:val=&quot;005C6A0A&quot;/&gt;&lt;wsp:rsid wsp:val=&quot;005C6FC8&quot;/&gt;&lt;wsp:rsid wsp:val=&quot;005C71C8&quot;/&gt;&lt;wsp:rsid wsp:val=&quot;005C787D&quot;/&gt;&lt;wsp:rsid wsp:val=&quot;005C7C25&quot;/&gt;&lt;wsp:rsid wsp:val=&quot;005C7ED2&quot;/&gt;&lt;wsp:rsid wsp:val=&quot;005D0099&quot;/&gt;&lt;wsp:rsid wsp:val=&quot;005D038D&quot;/&gt;&lt;wsp:rsid wsp:val=&quot;005D14BF&quot;/&gt;&lt;wsp:rsid wsp:val=&quot;005D18DE&quot;/&gt;&lt;wsp:rsid wsp:val=&quot;005D1910&quot;/&gt;&lt;wsp:rsid wsp:val=&quot;005D24D5&quot;/&gt;&lt;wsp:rsid wsp:val=&quot;005D344E&quot;/&gt;&lt;wsp:rsid wsp:val=&quot;005D4699&quot;/&gt;&lt;wsp:rsid wsp:val=&quot;005D46C1&quot;/&gt;&lt;wsp:rsid wsp:val=&quot;005D4DB4&quot;/&gt;&lt;wsp:rsid wsp:val=&quot;005D5123&quot;/&gt;&lt;wsp:rsid wsp:val=&quot;005D5961&quot;/&gt;&lt;wsp:rsid wsp:val=&quot;005D5BB0&quot;/&gt;&lt;wsp:rsid wsp:val=&quot;005D5C9C&quot;/&gt;&lt;wsp:rsid wsp:val=&quot;005D5F1D&quot;/&gt;&lt;wsp:rsid wsp:val=&quot;005D6BA8&quot;/&gt;&lt;wsp:rsid wsp:val=&quot;005D710E&quot;/&gt;&lt;wsp:rsid wsp:val=&quot;005D7793&quot;/&gt;&lt;wsp:rsid wsp:val=&quot;005D7A29&quot;/&gt;&lt;wsp:rsid wsp:val=&quot;005E00EA&quot;/&gt;&lt;wsp:rsid wsp:val=&quot;005E03C5&quot;/&gt;&lt;wsp:rsid wsp:val=&quot;005E04D6&quot;/&gt;&lt;wsp:rsid wsp:val=&quot;005E062B&quot;/&gt;&lt;wsp:rsid wsp:val=&quot;005E08F1&quot;/&gt;&lt;wsp:rsid wsp:val=&quot;005E0A65&quot;/&gt;&lt;wsp:rsid wsp:val=&quot;005E1779&quot;/&gt;&lt;wsp:rsid wsp:val=&quot;005E1782&quot;/&gt;&lt;wsp:rsid wsp:val=&quot;005E1930&quot;/&gt;&lt;wsp:rsid wsp:val=&quot;005E194B&quot;/&gt;&lt;wsp:rsid wsp:val=&quot;005E1F27&quot;/&gt;&lt;wsp:rsid wsp:val=&quot;005E2307&quot;/&gt;&lt;wsp:rsid wsp:val=&quot;005E241D&quot;/&gt;&lt;wsp:rsid wsp:val=&quot;005E2846&quot;/&gt;&lt;wsp:rsid wsp:val=&quot;005E2AB3&quot;/&gt;&lt;wsp:rsid wsp:val=&quot;005E3228&quot;/&gt;&lt;wsp:rsid wsp:val=&quot;005E3AB2&quot;/&gt;&lt;wsp:rsid wsp:val=&quot;005E3DC5&quot;/&gt;&lt;wsp:rsid wsp:val=&quot;005E3F50&quot;/&gt;&lt;wsp:rsid wsp:val=&quot;005E3FBA&quot;/&gt;&lt;wsp:rsid wsp:val=&quot;005E4E35&quot;/&gt;&lt;wsp:rsid wsp:val=&quot;005E505C&quot;/&gt;&lt;wsp:rsid wsp:val=&quot;005E5167&quot;/&gt;&lt;wsp:rsid wsp:val=&quot;005E59C4&quot;/&gt;&lt;wsp:rsid wsp:val=&quot;005E734E&quot;/&gt;&lt;wsp:rsid wsp:val=&quot;005E7354&quot;/&gt;&lt;wsp:rsid wsp:val=&quot;005E76EC&quot;/&gt;&lt;wsp:rsid wsp:val=&quot;005E7DC1&quot;/&gt;&lt;wsp:rsid wsp:val=&quot;005F0A42&quot;/&gt;&lt;wsp:rsid wsp:val=&quot;005F0B58&quot;/&gt;&lt;wsp:rsid wsp:val=&quot;005F15DD&quot;/&gt;&lt;wsp:rsid wsp:val=&quot;005F18DF&quot;/&gt;&lt;wsp:rsid wsp:val=&quot;005F202C&quot;/&gt;&lt;wsp:rsid wsp:val=&quot;005F24C6&quot;/&gt;&lt;wsp:rsid wsp:val=&quot;005F2F1B&quot;/&gt;&lt;wsp:rsid wsp:val=&quot;005F3032&quot;/&gt;&lt;wsp:rsid wsp:val=&quot;005F3269&quot;/&gt;&lt;wsp:rsid wsp:val=&quot;005F3283&quot;/&gt;&lt;wsp:rsid wsp:val=&quot;005F3949&quot;/&gt;&lt;wsp:rsid wsp:val=&quot;005F496E&quot;/&gt;&lt;wsp:rsid wsp:val=&quot;005F4ABE&quot;/&gt;&lt;wsp:rsid wsp:val=&quot;005F5820&quot;/&gt;&lt;wsp:rsid wsp:val=&quot;005F65BC&quot;/&gt;&lt;wsp:rsid wsp:val=&quot;005F65D2&quot;/&gt;&lt;wsp:rsid wsp:val=&quot;005F7634&quot;/&gt;&lt;wsp:rsid wsp:val=&quot;005F77A7&quot;/&gt;&lt;wsp:rsid wsp:val=&quot;005F7D6F&quot;/&gt;&lt;wsp:rsid wsp:val=&quot;00600A64&quot;/&gt;&lt;wsp:rsid wsp:val=&quot;00600C27&quot;/&gt;&lt;wsp:rsid wsp:val=&quot;0060130D&quot;/&gt;&lt;wsp:rsid wsp:val=&quot;00601614&quot;/&gt;&lt;wsp:rsid wsp:val=&quot;00601D88&quot;/&gt;&lt;wsp:rsid wsp:val=&quot;00602218&quot;/&gt;&lt;wsp:rsid wsp:val=&quot;00602ED0&quot;/&gt;&lt;wsp:rsid wsp:val=&quot;00603052&quot;/&gt;&lt;wsp:rsid wsp:val=&quot;00603101&quot;/&gt;&lt;wsp:rsid wsp:val=&quot;006033D9&quot;/&gt;&lt;wsp:rsid wsp:val=&quot;00603637&quot;/&gt;&lt;wsp:rsid wsp:val=&quot;00603650&quot;/&gt;&lt;wsp:rsid wsp:val=&quot;00603886&quot;/&gt;&lt;wsp:rsid wsp:val=&quot;00603C5D&quot;/&gt;&lt;wsp:rsid wsp:val=&quot;00603FBB&quot;/&gt;&lt;wsp:rsid wsp:val=&quot;00604425&quot;/&gt;&lt;wsp:rsid wsp:val=&quot;00604E8A&quot;/&gt;&lt;wsp:rsid wsp:val=&quot;00605C71&quot;/&gt;&lt;wsp:rsid wsp:val=&quot;006071D1&quot;/&gt;&lt;wsp:rsid wsp:val=&quot;006073D9&quot;/&gt;&lt;wsp:rsid wsp:val=&quot;00607844&quot;/&gt;&lt;wsp:rsid wsp:val=&quot;0060796C&quot;/&gt;&lt;wsp:rsid wsp:val=&quot;00610556&quot;/&gt;&lt;wsp:rsid wsp:val=&quot;00610894&quot;/&gt;&lt;wsp:rsid wsp:val=&quot;00610F60&quot;/&gt;&lt;wsp:rsid wsp:val=&quot;00611100&quot;/&gt;&lt;wsp:rsid wsp:val=&quot;00611194&quot;/&gt;&lt;wsp:rsid wsp:val=&quot;006113DE&quot;/&gt;&lt;wsp:rsid wsp:val=&quot;006115EF&quot;/&gt;&lt;wsp:rsid wsp:val=&quot;0061163E&quot;/&gt;&lt;wsp:rsid wsp:val=&quot;0061172C&quot;/&gt;&lt;wsp:rsid wsp:val=&quot;006118E9&quot;/&gt;&lt;wsp:rsid wsp:val=&quot;00612316&quot;/&gt;&lt;wsp:rsid wsp:val=&quot;006124C1&quot;/&gt;&lt;wsp:rsid wsp:val=&quot;00612CB0&quot;/&gt;&lt;wsp:rsid wsp:val=&quot;00612EF3&quot;/&gt;&lt;wsp:rsid wsp:val=&quot;00613D92&quot;/&gt;&lt;wsp:rsid wsp:val=&quot;00615592&quot;/&gt;&lt;wsp:rsid wsp:val=&quot;006155AA&quot;/&gt;&lt;wsp:rsid wsp:val=&quot;00615DC5&quot;/&gt;&lt;wsp:rsid wsp:val=&quot;00615F90&quot;/&gt;&lt;wsp:rsid wsp:val=&quot;0061709E&quot;/&gt;&lt;wsp:rsid wsp:val=&quot;006174DC&quot;/&gt;&lt;wsp:rsid wsp:val=&quot;00617790&quot;/&gt;&lt;wsp:rsid wsp:val=&quot;0062097F&quot;/&gt;&lt;wsp:rsid wsp:val=&quot;00621165&quot;/&gt;&lt;wsp:rsid wsp:val=&quot;00621DB5&quot;/&gt;&lt;wsp:rsid wsp:val=&quot;00624500&quot;/&gt;&lt;wsp:rsid wsp:val=&quot;00624644&quot;/&gt;&lt;wsp:rsid wsp:val=&quot;00624808&quot;/&gt;&lt;wsp:rsid wsp:val=&quot;0062487B&quot;/&gt;&lt;wsp:rsid wsp:val=&quot;00624934&quot;/&gt;&lt;wsp:rsid wsp:val=&quot;00624EB0&quot;/&gt;&lt;wsp:rsid wsp:val=&quot;006250EE&quot;/&gt;&lt;wsp:rsid wsp:val=&quot;0062562C&quot;/&gt;&lt;wsp:rsid wsp:val=&quot;00625A38&quot;/&gt;&lt;wsp:rsid wsp:val=&quot;00625BFE&quot;/&gt;&lt;wsp:rsid wsp:val=&quot;00625D28&quot;/&gt;&lt;wsp:rsid wsp:val=&quot;00626211&quot;/&gt;&lt;wsp:rsid wsp:val=&quot;006269F9&quot;/&gt;&lt;wsp:rsid wsp:val=&quot;00626B45&quot;/&gt;&lt;wsp:rsid wsp:val=&quot;0062714E&quot;/&gt;&lt;wsp:rsid wsp:val=&quot;00627295&quot;/&gt;&lt;wsp:rsid wsp:val=&quot;00627DE3&quot;/&gt;&lt;wsp:rsid wsp:val=&quot;0063024B&quot;/&gt;&lt;wsp:rsid wsp:val=&quot;00630691&quot;/&gt;&lt;wsp:rsid wsp:val=&quot;00631A79&quot;/&gt;&lt;wsp:rsid wsp:val=&quot;00631D1B&quot;/&gt;&lt;wsp:rsid wsp:val=&quot;00631DA6&quot;/&gt;&lt;wsp:rsid wsp:val=&quot;00631E2A&quot;/&gt;&lt;wsp:rsid wsp:val=&quot;006320DF&quot;/&gt;&lt;wsp:rsid wsp:val=&quot;00632161&quot;/&gt;&lt;wsp:rsid wsp:val=&quot;006329BD&quot;/&gt;&lt;wsp:rsid wsp:val=&quot;00632BF7&quot;/&gt;&lt;wsp:rsid wsp:val=&quot;00634445&quot;/&gt;&lt;wsp:rsid wsp:val=&quot;00634E2A&quot;/&gt;&lt;wsp:rsid wsp:val=&quot;00634E7D&quot;/&gt;&lt;wsp:rsid wsp:val=&quot;00635927&quot;/&gt;&lt;wsp:rsid wsp:val=&quot;006365B8&quot;/&gt;&lt;wsp:rsid wsp:val=&quot;00637394&quot;/&gt;&lt;wsp:rsid wsp:val=&quot;00637814&quot;/&gt;&lt;wsp:rsid wsp:val=&quot;0064044E&quot;/&gt;&lt;wsp:rsid wsp:val=&quot;006406A3&quot;/&gt;&lt;wsp:rsid wsp:val=&quot;006406B8&quot;/&gt;&lt;wsp:rsid wsp:val=&quot;0064130E&quot;/&gt;&lt;wsp:rsid wsp:val=&quot;00641735&quot;/&gt;&lt;wsp:rsid wsp:val=&quot;00641905&quot;/&gt;&lt;wsp:rsid wsp:val=&quot;00641A19&quot;/&gt;&lt;wsp:rsid wsp:val=&quot;00641D4B&quot;/&gt;&lt;wsp:rsid wsp:val=&quot;00642177&quot;/&gt;&lt;wsp:rsid wsp:val=&quot;00642443&quot;/&gt;&lt;wsp:rsid wsp:val=&quot;00642BF8&quot;/&gt;&lt;wsp:rsid wsp:val=&quot;00642FD5&quot;/&gt;&lt;wsp:rsid wsp:val=&quot;006430AA&quot;/&gt;&lt;wsp:rsid wsp:val=&quot;0064370D&quot;/&gt;&lt;wsp:rsid wsp:val=&quot;006448A0&quot;/&gt;&lt;wsp:rsid wsp:val=&quot;00645BC7&quot;/&gt;&lt;wsp:rsid wsp:val=&quot;00645E22&quot;/&gt;&lt;wsp:rsid wsp:val=&quot;006460FA&quot;/&gt;&lt;wsp:rsid wsp:val=&quot;0064619C&quot;/&gt;&lt;wsp:rsid wsp:val=&quot;00646522&quot;/&gt;&lt;wsp:rsid wsp:val=&quot;00646AB1&quot;/&gt;&lt;wsp:rsid wsp:val=&quot;00646EE5&quot;/&gt;&lt;wsp:rsid wsp:val=&quot;006470B4&quot;/&gt;&lt;wsp:rsid wsp:val=&quot;006473E8&quot;/&gt;&lt;wsp:rsid wsp:val=&quot;006479D9&quot;/&gt;&lt;wsp:rsid wsp:val=&quot;00647E03&quot;/&gt;&lt;wsp:rsid wsp:val=&quot;0065025D&quot;/&gt;&lt;wsp:rsid wsp:val=&quot;006505D0&quot;/&gt;&lt;wsp:rsid wsp:val=&quot;006509E8&quot;/&gt;&lt;wsp:rsid wsp:val=&quot;006510CF&quot;/&gt;&lt;wsp:rsid wsp:val=&quot;006513F0&quot;/&gt;&lt;wsp:rsid wsp:val=&quot;006515B2&quot;/&gt;&lt;wsp:rsid wsp:val=&quot;0065172D&quot;/&gt;&lt;wsp:rsid wsp:val=&quot;00651751&quot;/&gt;&lt;wsp:rsid wsp:val=&quot;00651F99&quot;/&gt;&lt;wsp:rsid wsp:val=&quot;006523C3&quot;/&gt;&lt;wsp:rsid wsp:val=&quot;0065244B&quot;/&gt;&lt;wsp:rsid wsp:val=&quot;006536C5&quot;/&gt;&lt;wsp:rsid wsp:val=&quot;00653B23&quot;/&gt;&lt;wsp:rsid wsp:val=&quot;00653F22&quot;/&gt;&lt;wsp:rsid wsp:val=&quot;00654420&quot;/&gt;&lt;wsp:rsid wsp:val=&quot;00654EDC&quot;/&gt;&lt;wsp:rsid wsp:val=&quot;006550A8&quot;/&gt;&lt;wsp:rsid wsp:val=&quot;00655EB9&quot;/&gt;&lt;wsp:rsid wsp:val=&quot;00655FE2&quot;/&gt;&lt;wsp:rsid wsp:val=&quot;00656CBE&quot;/&gt;&lt;wsp:rsid wsp:val=&quot;00656E2E&quot;/&gt;&lt;wsp:rsid wsp:val=&quot;00656F10&quot;/&gt;&lt;wsp:rsid wsp:val=&quot;00657066&quot;/&gt;&lt;wsp:rsid wsp:val=&quot;00657094&quot;/&gt;&lt;wsp:rsid wsp:val=&quot;006570F7&quot;/&gt;&lt;wsp:rsid wsp:val=&quot;0065725F&quot;/&gt;&lt;wsp:rsid wsp:val=&quot;006577D2&quot;/&gt;&lt;wsp:rsid wsp:val=&quot;00657AEE&quot;/&gt;&lt;wsp:rsid wsp:val=&quot;00657CDB&quot;/&gt;&lt;wsp:rsid wsp:val=&quot;00660094&quot;/&gt;&lt;wsp:rsid wsp:val=&quot;00660DCE&quot;/&gt;&lt;wsp:rsid wsp:val=&quot;006615D0&quot;/&gt;&lt;wsp:rsid wsp:val=&quot;00661890&quot;/&gt;&lt;wsp:rsid wsp:val=&quot;00662A17&quot;/&gt;&lt;wsp:rsid wsp:val=&quot;00662D05&quot;/&gt;&lt;wsp:rsid wsp:val=&quot;00662D0A&quot;/&gt;&lt;wsp:rsid wsp:val=&quot;00662D7A&quot;/&gt;&lt;wsp:rsid wsp:val=&quot;006645B4&quot;/&gt;&lt;wsp:rsid wsp:val=&quot;0066492E&quot;/&gt;&lt;wsp:rsid wsp:val=&quot;006660AD&quot;/&gt;&lt;wsp:rsid wsp:val=&quot;0066697E&quot;/&gt;&lt;wsp:rsid wsp:val=&quot;00670026&quot;/&gt;&lt;wsp:rsid wsp:val=&quot;00670384&quot;/&gt;&lt;wsp:rsid wsp:val=&quot;006704FA&quot;/&gt;&lt;wsp:rsid wsp:val=&quot;00672BE5&quot;/&gt;&lt;wsp:rsid wsp:val=&quot;00672C94&quot;/&gt;&lt;wsp:rsid wsp:val=&quot;00672E5D&quot;/&gt;&lt;wsp:rsid wsp:val=&quot;0067363C&quot;/&gt;&lt;wsp:rsid wsp:val=&quot;006736CD&quot;/&gt;&lt;wsp:rsid wsp:val=&quot;0067372B&quot;/&gt;&lt;wsp:rsid wsp:val=&quot;0067383B&quot;/&gt;&lt;wsp:rsid wsp:val=&quot;006739E3&quot;/&gt;&lt;wsp:rsid wsp:val=&quot;00673C9F&quot;/&gt;&lt;wsp:rsid wsp:val=&quot;00674788&quot;/&gt;&lt;wsp:rsid wsp:val=&quot;006748EE&quot;/&gt;&lt;wsp:rsid wsp:val=&quot;0067492D&quot;/&gt;&lt;wsp:rsid wsp:val=&quot;00674AC1&quot;/&gt;&lt;wsp:rsid wsp:val=&quot;00674B99&quot;/&gt;&lt;wsp:rsid wsp:val=&quot;0067611F&quot;/&gt;&lt;wsp:rsid wsp:val=&quot;00676315&quot;/&gt;&lt;wsp:rsid wsp:val=&quot;0067664A&quot;/&gt;&lt;wsp:rsid wsp:val=&quot;00676E91&quot;/&gt;&lt;wsp:rsid wsp:val=&quot;00677708&quot;/&gt;&lt;wsp:rsid wsp:val=&quot;006779FD&quot;/&gt;&lt;wsp:rsid wsp:val=&quot;006804DF&quot;/&gt;&lt;wsp:rsid wsp:val=&quot;0068089A&quot;/&gt;&lt;wsp:rsid wsp:val=&quot;0068148B&quot;/&gt;&lt;wsp:rsid wsp:val=&quot;006817E6&quot;/&gt;&lt;wsp:rsid wsp:val=&quot;006819DC&quot;/&gt;&lt;wsp:rsid wsp:val=&quot;00681A31&quot;/&gt;&lt;wsp:rsid wsp:val=&quot;00681B59&quot;/&gt;&lt;wsp:rsid wsp:val=&quot;00682161&quot;/&gt;&lt;wsp:rsid wsp:val=&quot;006821DF&quot;/&gt;&lt;wsp:rsid wsp:val=&quot;006825B7&quot;/&gt;&lt;wsp:rsid wsp:val=&quot;00682B51&quot;/&gt;&lt;wsp:rsid wsp:val=&quot;00683718&quot;/&gt;&lt;wsp:rsid wsp:val=&quot;00684582&quot;/&gt;&lt;wsp:rsid wsp:val=&quot;0068495E&quot;/&gt;&lt;wsp:rsid wsp:val=&quot;00684BA4&quot;/&gt;&lt;wsp:rsid wsp:val=&quot;00686A5B&quot;/&gt;&lt;wsp:rsid wsp:val=&quot;00686B56&quot;/&gt;&lt;wsp:rsid wsp:val=&quot;00686C09&quot;/&gt;&lt;wsp:rsid wsp:val=&quot;00687115&quot;/&gt;&lt;wsp:rsid wsp:val=&quot;006902FC&quot;/&gt;&lt;wsp:rsid wsp:val=&quot;006906B5&quot;/&gt;&lt;wsp:rsid wsp:val=&quot;0069086E&quot;/&gt;&lt;wsp:rsid wsp:val=&quot;0069107C&quot;/&gt;&lt;wsp:rsid wsp:val=&quot;00691891&quot;/&gt;&lt;wsp:rsid wsp:val=&quot;006920D9&quot;/&gt;&lt;wsp:rsid wsp:val=&quot;0069245F&quot;/&gt;&lt;wsp:rsid wsp:val=&quot;0069282B&quot;/&gt;&lt;wsp:rsid wsp:val=&quot;00692DFC&quot;/&gt;&lt;wsp:rsid wsp:val=&quot;00693CAA&quot;/&gt;&lt;wsp:rsid wsp:val=&quot;00693F24&quot;/&gt;&lt;wsp:rsid wsp:val=&quot;006940EC&quot;/&gt;&lt;wsp:rsid wsp:val=&quot;006944F8&quot;/&gt;&lt;wsp:rsid wsp:val=&quot;00694571&quot;/&gt;&lt;wsp:rsid wsp:val=&quot;00694D83&quot;/&gt;&lt;wsp:rsid wsp:val=&quot;0069513E&quot;/&gt;&lt;wsp:rsid wsp:val=&quot;00695276&quot;/&gt;&lt;wsp:rsid wsp:val=&quot;00695B7E&quot;/&gt;&lt;wsp:rsid wsp:val=&quot;00695F61&quot;/&gt;&lt;wsp:rsid wsp:val=&quot;006960FA&quot;/&gt;&lt;wsp:rsid wsp:val=&quot;0069632B&quot;/&gt;&lt;wsp:rsid wsp:val=&quot;006967F2&quot;/&gt;&lt;wsp:rsid wsp:val=&quot;00696B3C&quot;/&gt;&lt;wsp:rsid wsp:val=&quot;00697C4C&quot;/&gt;&lt;wsp:rsid wsp:val=&quot;006A01E7&quot;/&gt;&lt;wsp:rsid wsp:val=&quot;006A0BD1&quot;/&gt;&lt;wsp:rsid wsp:val=&quot;006A0EBB&quot;/&gt;&lt;wsp:rsid wsp:val=&quot;006A30C8&quot;/&gt;&lt;wsp:rsid wsp:val=&quot;006A3427&quot;/&gt;&lt;wsp:rsid wsp:val=&quot;006A3DC7&quot;/&gt;&lt;wsp:rsid wsp:val=&quot;006A3FCD&quot;/&gt;&lt;wsp:rsid wsp:val=&quot;006A400B&quot;/&gt;&lt;wsp:rsid wsp:val=&quot;006A411C&quot;/&gt;&lt;wsp:rsid wsp:val=&quot;006A44DA&quot;/&gt;&lt;wsp:rsid wsp:val=&quot;006A4773&quot;/&gt;&lt;wsp:rsid wsp:val=&quot;006A4934&quot;/&gt;&lt;wsp:rsid wsp:val=&quot;006A4B21&quot;/&gt;&lt;wsp:rsid wsp:val=&quot;006A4FBD&quot;/&gt;&lt;wsp:rsid wsp:val=&quot;006A5395&quot;/&gt;&lt;wsp:rsid wsp:val=&quot;006A5624&quot;/&gt;&lt;wsp:rsid wsp:val=&quot;006A5CC9&quot;/&gt;&lt;wsp:rsid wsp:val=&quot;006A6372&quot;/&gt;&lt;wsp:rsid wsp:val=&quot;006A6EBB&quot;/&gt;&lt;wsp:rsid wsp:val=&quot;006A7DA9&quot;/&gt;&lt;wsp:rsid wsp:val=&quot;006B02AF&quot;/&gt;&lt;wsp:rsid wsp:val=&quot;006B0CA2&quot;/&gt;&lt;wsp:rsid wsp:val=&quot;006B0F37&quot;/&gt;&lt;wsp:rsid wsp:val=&quot;006B1081&quot;/&gt;&lt;wsp:rsid wsp:val=&quot;006B15B7&quot;/&gt;&lt;wsp:rsid wsp:val=&quot;006B2BDA&quot;/&gt;&lt;wsp:rsid wsp:val=&quot;006B3754&quot;/&gt;&lt;wsp:rsid wsp:val=&quot;006B3B32&quot;/&gt;&lt;wsp:rsid wsp:val=&quot;006B3EA0&quot;/&gt;&lt;wsp:rsid wsp:val=&quot;006B4ADB&quot;/&gt;&lt;wsp:rsid wsp:val=&quot;006B4B58&quot;/&gt;&lt;wsp:rsid wsp:val=&quot;006B4B7F&quot;/&gt;&lt;wsp:rsid wsp:val=&quot;006B4CD9&quot;/&gt;&lt;wsp:rsid wsp:val=&quot;006B531E&quot;/&gt;&lt;wsp:rsid wsp:val=&quot;006B570F&quot;/&gt;&lt;wsp:rsid wsp:val=&quot;006B603E&quot;/&gt;&lt;wsp:rsid wsp:val=&quot;006B6382&quot;/&gt;&lt;wsp:rsid wsp:val=&quot;006B689E&quot;/&gt;&lt;wsp:rsid wsp:val=&quot;006B7EB3&quot;/&gt;&lt;wsp:rsid wsp:val=&quot;006C00B1&quot;/&gt;&lt;wsp:rsid wsp:val=&quot;006C0539&quot;/&gt;&lt;wsp:rsid wsp:val=&quot;006C14FE&quot;/&gt;&lt;wsp:rsid wsp:val=&quot;006C15D5&quot;/&gt;&lt;wsp:rsid wsp:val=&quot;006C20D2&quot;/&gt;&lt;wsp:rsid wsp:val=&quot;006C21D0&quot;/&gt;&lt;wsp:rsid wsp:val=&quot;006C24A6&quot;/&gt;&lt;wsp:rsid wsp:val=&quot;006C2543&quot;/&gt;&lt;wsp:rsid wsp:val=&quot;006C2608&quot;/&gt;&lt;wsp:rsid wsp:val=&quot;006C2DCE&quot;/&gt;&lt;wsp:rsid wsp:val=&quot;006C3631&quot;/&gt;&lt;wsp:rsid wsp:val=&quot;006C3650&quot;/&gt;&lt;wsp:rsid wsp:val=&quot;006C378A&quot;/&gt;&lt;wsp:rsid wsp:val=&quot;006C3B1B&quot;/&gt;&lt;wsp:rsid wsp:val=&quot;006C3B1C&quot;/&gt;&lt;wsp:rsid wsp:val=&quot;006C3F7B&quot;/&gt;&lt;wsp:rsid wsp:val=&quot;006C4BDE&quot;/&gt;&lt;wsp:rsid wsp:val=&quot;006C4C32&quot;/&gt;&lt;wsp:rsid wsp:val=&quot;006C4C72&quot;/&gt;&lt;wsp:rsid wsp:val=&quot;006C536F&quot;/&gt;&lt;wsp:rsid wsp:val=&quot;006C5D9B&quot;/&gt;&lt;wsp:rsid wsp:val=&quot;006C5FDA&quot;/&gt;&lt;wsp:rsid wsp:val=&quot;006C60F5&quot;/&gt;&lt;wsp:rsid wsp:val=&quot;006C6586&quot;/&gt;&lt;wsp:rsid wsp:val=&quot;006C69F0&quot;/&gt;&lt;wsp:rsid wsp:val=&quot;006C6A68&quot;/&gt;&lt;wsp:rsid wsp:val=&quot;006C6B68&quot;/&gt;&lt;wsp:rsid wsp:val=&quot;006C6BDB&quot;/&gt;&lt;wsp:rsid wsp:val=&quot;006C75E9&quot;/&gt;&lt;wsp:rsid wsp:val=&quot;006D01E9&quot;/&gt;&lt;wsp:rsid wsp:val=&quot;006D0522&quot;/&gt;&lt;wsp:rsid wsp:val=&quot;006D11FA&quot;/&gt;&lt;wsp:rsid wsp:val=&quot;006D1707&quot;/&gt;&lt;wsp:rsid wsp:val=&quot;006D1901&quot;/&gt;&lt;wsp:rsid wsp:val=&quot;006D1A02&quot;/&gt;&lt;wsp:rsid wsp:val=&quot;006D1EE2&quot;/&gt;&lt;wsp:rsid wsp:val=&quot;006D1FCF&quot;/&gt;&lt;wsp:rsid wsp:val=&quot;006D2C03&quot;/&gt;&lt;wsp:rsid wsp:val=&quot;006D2EB4&quot;/&gt;&lt;wsp:rsid wsp:val=&quot;006D306F&quot;/&gt;&lt;wsp:rsid wsp:val=&quot;006D3645&quot;/&gt;&lt;wsp:rsid wsp:val=&quot;006D36F9&quot;/&gt;&lt;wsp:rsid wsp:val=&quot;006D3D81&quot;/&gt;&lt;wsp:rsid wsp:val=&quot;006D3F33&quot;/&gt;&lt;wsp:rsid wsp:val=&quot;006D5822&quot;/&gt;&lt;wsp:rsid wsp:val=&quot;006D619D&quot;/&gt;&lt;wsp:rsid wsp:val=&quot;006D64FD&quot;/&gt;&lt;wsp:rsid wsp:val=&quot;006D65ED&quot;/&gt;&lt;wsp:rsid wsp:val=&quot;006D6A30&quot;/&gt;&lt;wsp:rsid wsp:val=&quot;006D6A61&quot;/&gt;&lt;wsp:rsid wsp:val=&quot;006D6A73&quot;/&gt;&lt;wsp:rsid wsp:val=&quot;006D73E7&quot;/&gt;&lt;wsp:rsid wsp:val=&quot;006D7654&quot;/&gt;&lt;wsp:rsid wsp:val=&quot;006D7701&quot;/&gt;&lt;wsp:rsid wsp:val=&quot;006D7DC8&quot;/&gt;&lt;wsp:rsid wsp:val=&quot;006E0753&quot;/&gt;&lt;wsp:rsid wsp:val=&quot;006E0B65&quot;/&gt;&lt;wsp:rsid wsp:val=&quot;006E0E67&quot;/&gt;&lt;wsp:rsid wsp:val=&quot;006E1492&quot;/&gt;&lt;wsp:rsid wsp:val=&quot;006E230D&quot;/&gt;&lt;wsp:rsid wsp:val=&quot;006E2C90&quot;/&gt;&lt;wsp:rsid wsp:val=&quot;006E30F4&quot;/&gt;&lt;wsp:rsid wsp:val=&quot;006E3D0F&quot;/&gt;&lt;wsp:rsid wsp:val=&quot;006E3F75&quot;/&gt;&lt;wsp:rsid wsp:val=&quot;006E426D&quot;/&gt;&lt;wsp:rsid wsp:val=&quot;006E4432&quot;/&gt;&lt;wsp:rsid wsp:val=&quot;006E458B&quot;/&gt;&lt;wsp:rsid wsp:val=&quot;006E5EBA&quot;/&gt;&lt;wsp:rsid wsp:val=&quot;006E644C&quot;/&gt;&lt;wsp:rsid wsp:val=&quot;006E6490&quot;/&gt;&lt;wsp:rsid wsp:val=&quot;006E6741&quot;/&gt;&lt;wsp:rsid wsp:val=&quot;006E694E&quot;/&gt;&lt;wsp:rsid wsp:val=&quot;006E6A4E&quot;/&gt;&lt;wsp:rsid wsp:val=&quot;006E6DCF&quot;/&gt;&lt;wsp:rsid wsp:val=&quot;006E6F11&quot;/&gt;&lt;wsp:rsid wsp:val=&quot;006E7211&quot;/&gt;&lt;wsp:rsid wsp:val=&quot;006F08D6&quot;/&gt;&lt;wsp:rsid wsp:val=&quot;006F0F8B&quot;/&gt;&lt;wsp:rsid wsp:val=&quot;006F1010&quot;/&gt;&lt;wsp:rsid wsp:val=&quot;006F11E6&quot;/&gt;&lt;wsp:rsid wsp:val=&quot;006F1AB9&quot;/&gt;&lt;wsp:rsid wsp:val=&quot;006F1D6B&quot;/&gt;&lt;wsp:rsid wsp:val=&quot;006F1E8C&quot;/&gt;&lt;wsp:rsid wsp:val=&quot;006F2B78&quot;/&gt;&lt;wsp:rsid wsp:val=&quot;006F3877&quot;/&gt;&lt;wsp:rsid wsp:val=&quot;006F38C5&quot;/&gt;&lt;wsp:rsid wsp:val=&quot;006F3B68&quot;/&gt;&lt;wsp:rsid wsp:val=&quot;006F3E3C&quot;/&gt;&lt;wsp:rsid wsp:val=&quot;006F4065&quot;/&gt;&lt;wsp:rsid wsp:val=&quot;006F4066&quot;/&gt;&lt;wsp:rsid wsp:val=&quot;006F4227&quot;/&gt;&lt;wsp:rsid wsp:val=&quot;006F43FF&quot;/&gt;&lt;wsp:rsid wsp:val=&quot;006F4493&quot;/&gt;&lt;wsp:rsid wsp:val=&quot;006F4674&quot;/&gt;&lt;wsp:rsid wsp:val=&quot;006F4832&quot;/&gt;&lt;wsp:rsid wsp:val=&quot;006F4DFB&quot;/&gt;&lt;wsp:rsid wsp:val=&quot;006F51BD&quot;/&gt;&lt;wsp:rsid wsp:val=&quot;006F56B3&quot;/&gt;&lt;wsp:rsid wsp:val=&quot;006F5D1F&quot;/&gt;&lt;wsp:rsid wsp:val=&quot;006F68A2&quot;/&gt;&lt;wsp:rsid wsp:val=&quot;006F6D48&quot;/&gt;&lt;wsp:rsid wsp:val=&quot;006F6DE0&quot;/&gt;&lt;wsp:rsid wsp:val=&quot;00700170&quot;/&gt;&lt;wsp:rsid wsp:val=&quot;00700335&quot;/&gt;&lt;wsp:rsid wsp:val=&quot;0070061E&quot;/&gt;&lt;wsp:rsid wsp:val=&quot;00700626&quot;/&gt;&lt;wsp:rsid wsp:val=&quot;00700A96&quot;/&gt;&lt;wsp:rsid wsp:val=&quot;00700CD7&quot;/&gt;&lt;wsp:rsid wsp:val=&quot;00702E49&quot;/&gt;&lt;wsp:rsid wsp:val=&quot;00703329&quot;/&gt;&lt;wsp:rsid wsp:val=&quot;00703565&quot;/&gt;&lt;wsp:rsid wsp:val=&quot;007039E8&quot;/&gt;&lt;wsp:rsid wsp:val=&quot;007040D8&quot;/&gt;&lt;wsp:rsid wsp:val=&quot;0070560C&quot;/&gt;&lt;wsp:rsid wsp:val=&quot;00705CC4&quot;/&gt;&lt;wsp:rsid wsp:val=&quot;00705F12&quot;/&gt;&lt;wsp:rsid wsp:val=&quot;00705FA2&quot;/&gt;&lt;wsp:rsid wsp:val=&quot;0070626C&quot;/&gt;&lt;wsp:rsid wsp:val=&quot;007065BA&quot;/&gt;&lt;wsp:rsid wsp:val=&quot;00706857&quot;/&gt;&lt;wsp:rsid wsp:val=&quot;00706B68&quot;/&gt;&lt;wsp:rsid wsp:val=&quot;00706BBA&quot;/&gt;&lt;wsp:rsid wsp:val=&quot;007075B5&quot;/&gt;&lt;wsp:rsid wsp:val=&quot;00707989&quot;/&gt;&lt;wsp:rsid wsp:val=&quot;00710277&quot;/&gt;&lt;wsp:rsid wsp:val=&quot;00710633&quot;/&gt;&lt;wsp:rsid wsp:val=&quot;00710E8C&quot;/&gt;&lt;wsp:rsid wsp:val=&quot;00710F1E&quot;/&gt;&lt;wsp:rsid wsp:val=&quot;00711B4E&quot;/&gt;&lt;wsp:rsid wsp:val=&quot;0071388B&quot;/&gt;&lt;wsp:rsid wsp:val=&quot;00713930&quot;/&gt;&lt;wsp:rsid wsp:val=&quot;007140C0&quot;/&gt;&lt;wsp:rsid wsp:val=&quot;00714710&quot;/&gt;&lt;wsp:rsid wsp:val=&quot;007147CB&quot;/&gt;&lt;wsp:rsid wsp:val=&quot;00714CA2&quot;/&gt;&lt;wsp:rsid wsp:val=&quot;00715174&quot;/&gt;&lt;wsp:rsid wsp:val=&quot;00715267&quot;/&gt;&lt;wsp:rsid wsp:val=&quot;00715720&quot;/&gt;&lt;wsp:rsid wsp:val=&quot;00715A65&quot;/&gt;&lt;wsp:rsid wsp:val=&quot;00715DC5&quot;/&gt;&lt;wsp:rsid wsp:val=&quot;00716492&quot;/&gt;&lt;wsp:rsid wsp:val=&quot;00716583&quot;/&gt;&lt;wsp:rsid wsp:val=&quot;0071683B&quot;/&gt;&lt;wsp:rsid wsp:val=&quot;00716EC1&quot;/&gt;&lt;wsp:rsid wsp:val=&quot;00717936&quot;/&gt;&lt;wsp:rsid wsp:val=&quot;00717F9A&quot;/&gt;&lt;wsp:rsid wsp:val=&quot;007200F1&quot;/&gt;&lt;wsp:rsid wsp:val=&quot;00720217&quot;/&gt;&lt;wsp:rsid wsp:val=&quot;00720386&quot;/&gt;&lt;wsp:rsid wsp:val=&quot;007206FD&quot;/&gt;&lt;wsp:rsid wsp:val=&quot;007209C1&quot;/&gt;&lt;wsp:rsid wsp:val=&quot;00720C9F&quot;/&gt;&lt;wsp:rsid wsp:val=&quot;00720D41&quot;/&gt;&lt;wsp:rsid wsp:val=&quot;0072101D&quot;/&gt;&lt;wsp:rsid wsp:val=&quot;007211CB&quot;/&gt;&lt;wsp:rsid wsp:val=&quot;00721499&quot;/&gt;&lt;wsp:rsid wsp:val=&quot;00721797&quot;/&gt;&lt;wsp:rsid wsp:val=&quot;007218AE&quot;/&gt;&lt;wsp:rsid wsp:val=&quot;007222A1&quot;/&gt;&lt;wsp:rsid wsp:val=&quot;0072350B&quot;/&gt;&lt;wsp:rsid wsp:val=&quot;00723ABC&quot;/&gt;&lt;wsp:rsid wsp:val=&quot;00723B64&quot;/&gt;&lt;wsp:rsid wsp:val=&quot;00724F55&quot;/&gt;&lt;wsp:rsid wsp:val=&quot;00724FB9&quot;/&gt;&lt;wsp:rsid wsp:val=&quot;00726304&quot;/&gt;&lt;wsp:rsid wsp:val=&quot;0072633F&quot;/&gt;&lt;wsp:rsid wsp:val=&quot;00726EDE&quot;/&gt;&lt;wsp:rsid wsp:val=&quot;00727422&quot;/&gt;&lt;wsp:rsid wsp:val=&quot;00727E66&quot;/&gt;&lt;wsp:rsid wsp:val=&quot;00730572&quot;/&gt;&lt;wsp:rsid wsp:val=&quot;00730768&quot;/&gt;&lt;wsp:rsid wsp:val=&quot;00730974&quot;/&gt;&lt;wsp:rsid wsp:val=&quot;00730F4A&quot;/&gt;&lt;wsp:rsid wsp:val=&quot;007322D7&quot;/&gt;&lt;wsp:rsid wsp:val=&quot;0073238C&quot;/&gt;&lt;wsp:rsid wsp:val=&quot;007328B9&quot;/&gt;&lt;wsp:rsid wsp:val=&quot;00733112&quot;/&gt;&lt;wsp:rsid wsp:val=&quot;00733117&quot;/&gt;&lt;wsp:rsid wsp:val=&quot;0073349A&quot;/&gt;&lt;wsp:rsid wsp:val=&quot;00733D5D&quot;/&gt;&lt;wsp:rsid wsp:val=&quot;0073407E&quot;/&gt;&lt;wsp:rsid wsp:val=&quot;0073416A&quot;/&gt;&lt;wsp:rsid wsp:val=&quot;0073485F&quot;/&gt;&lt;wsp:rsid wsp:val=&quot;00734929&quot;/&gt;&lt;wsp:rsid wsp:val=&quot;007352F1&quot;/&gt;&lt;wsp:rsid wsp:val=&quot;00736558&quot;/&gt;&lt;wsp:rsid wsp:val=&quot;00736875&quot;/&gt;&lt;wsp:rsid wsp:val=&quot;00737146&quot;/&gt;&lt;wsp:rsid wsp:val=&quot;007371D0&quot;/&gt;&lt;wsp:rsid wsp:val=&quot;00737223&quot;/&gt;&lt;wsp:rsid wsp:val=&quot;0073724A&quot;/&gt;&lt;wsp:rsid wsp:val=&quot;00737424&quot;/&gt;&lt;wsp:rsid wsp:val=&quot;007402CA&quot;/&gt;&lt;wsp:rsid wsp:val=&quot;00740530&quot;/&gt;&lt;wsp:rsid wsp:val=&quot;007405D4&quot;/&gt;&lt;wsp:rsid wsp:val=&quot;00740699&quot;/&gt;&lt;wsp:rsid wsp:val=&quot;00740786&quot;/&gt;&lt;wsp:rsid wsp:val=&quot;007409C8&quot;/&gt;&lt;wsp:rsid wsp:val=&quot;00741206&quot;/&gt;&lt;wsp:rsid wsp:val=&quot;00741281&quot;/&gt;&lt;wsp:rsid wsp:val=&quot;007420EA&quot;/&gt;&lt;wsp:rsid wsp:val=&quot;007427FD&quot;/&gt;&lt;wsp:rsid wsp:val=&quot;00742B7E&quot;/&gt;&lt;wsp:rsid wsp:val=&quot;00742CBC&quot;/&gt;&lt;wsp:rsid wsp:val=&quot;00742D39&quot;/&gt;&lt;wsp:rsid wsp:val=&quot;0074331D&quot;/&gt;&lt;wsp:rsid wsp:val=&quot;0074348C&quot;/&gt;&lt;wsp:rsid wsp:val=&quot;0074363D&quot;/&gt;&lt;wsp:rsid wsp:val=&quot;00743987&quot;/&gt;&lt;wsp:rsid wsp:val=&quot;007439DC&quot;/&gt;&lt;wsp:rsid wsp:val=&quot;00743D4F&quot;/&gt;&lt;wsp:rsid wsp:val=&quot;00743EB2&quot;/&gt;&lt;wsp:rsid wsp:val=&quot;0074462E&quot;/&gt;&lt;wsp:rsid wsp:val=&quot;0074558B&quot;/&gt;&lt;wsp:rsid wsp:val=&quot;00745775&quot;/&gt;&lt;wsp:rsid wsp:val=&quot;00745AA5&quot;/&gt;&lt;wsp:rsid wsp:val=&quot;00745CCA&quot;/&gt;&lt;wsp:rsid wsp:val=&quot;00745D2A&quot;/&gt;&lt;wsp:rsid wsp:val=&quot;00746362&quot;/&gt;&lt;wsp:rsid wsp:val=&quot;007464C4&quot;/&gt;&lt;wsp:rsid wsp:val=&quot;00746C01&quot;/&gt;&lt;wsp:rsid wsp:val=&quot;00746D6D&quot;/&gt;&lt;wsp:rsid wsp:val=&quot;00747251&quot;/&gt;&lt;wsp:rsid wsp:val=&quot;007475BF&quot;/&gt;&lt;wsp:rsid wsp:val=&quot;007477F7&quot;/&gt;&lt;wsp:rsid wsp:val=&quot;0075007B&quot;/&gt;&lt;wsp:rsid wsp:val=&quot;00750248&quot;/&gt;&lt;wsp:rsid wsp:val=&quot;0075062D&quot;/&gt;&lt;wsp:rsid wsp:val=&quot;00750959&quot;/&gt;&lt;wsp:rsid wsp:val=&quot;00750A43&quot;/&gt;&lt;wsp:rsid wsp:val=&quot;00750CB2&quot;/&gt;&lt;wsp:rsid wsp:val=&quot;00751FE8&quot;/&gt;&lt;wsp:rsid wsp:val=&quot;00752625&quot;/&gt;&lt;wsp:rsid wsp:val=&quot;0075268C&quot;/&gt;&lt;wsp:rsid wsp:val=&quot;00752910&quot;/&gt;&lt;wsp:rsid wsp:val=&quot;00752DE4&quot;/&gt;&lt;wsp:rsid wsp:val=&quot;0075306C&quot;/&gt;&lt;wsp:rsid wsp:val=&quot;007532D2&quot;/&gt;&lt;wsp:rsid wsp:val=&quot;00753402&quot;/&gt;&lt;wsp:rsid wsp:val=&quot;00753614&quot;/&gt;&lt;wsp:rsid wsp:val=&quot;00753655&quot;/&gt;&lt;wsp:rsid wsp:val=&quot;0075388F&quot;/&gt;&lt;wsp:rsid wsp:val=&quot;00753CEE&quot;/&gt;&lt;wsp:rsid wsp:val=&quot;00753EA4&quot;/&gt;&lt;wsp:rsid wsp:val=&quot;007545E6&quot;/&gt;&lt;wsp:rsid wsp:val=&quot;0075468F&quot;/&gt;&lt;wsp:rsid wsp:val=&quot;00754729&quot;/&gt;&lt;wsp:rsid wsp:val=&quot;00754C1C&quot;/&gt;&lt;wsp:rsid wsp:val=&quot;0075504B&quot;/&gt;&lt;wsp:rsid wsp:val=&quot;0075551B&quot;/&gt;&lt;wsp:rsid wsp:val=&quot;0075580D&quot;/&gt;&lt;wsp:rsid wsp:val=&quot;00756C14&quot;/&gt;&lt;wsp:rsid wsp:val=&quot;00756F68&quot;/&gt;&lt;wsp:rsid wsp:val=&quot;00757199&quot;/&gt;&lt;wsp:rsid wsp:val=&quot;00757547&quot;/&gt;&lt;wsp:rsid wsp:val=&quot;0075778C&quot;/&gt;&lt;wsp:rsid wsp:val=&quot;007578F9&quot;/&gt;&lt;wsp:rsid wsp:val=&quot;0076018F&quot;/&gt;&lt;wsp:rsid wsp:val=&quot;00760351&quot;/&gt;&lt;wsp:rsid wsp:val=&quot;007604A5&quot;/&gt;&lt;wsp:rsid wsp:val=&quot;0076063B&quot;/&gt;&lt;wsp:rsid wsp:val=&quot;007606FA&quot;/&gt;&lt;wsp:rsid wsp:val=&quot;0076098B&quot;/&gt;&lt;wsp:rsid wsp:val=&quot;00760BCB&quot;/&gt;&lt;wsp:rsid wsp:val=&quot;007611D4&quot;/&gt;&lt;wsp:rsid wsp:val=&quot;00761534&quot;/&gt;&lt;wsp:rsid wsp:val=&quot;00761572&quot;/&gt;&lt;wsp:rsid wsp:val=&quot;00761C2D&quot;/&gt;&lt;wsp:rsid wsp:val=&quot;007627FD&quot;/&gt;&lt;wsp:rsid wsp:val=&quot;00762AB0&quot;/&gt;&lt;wsp:rsid wsp:val=&quot;00762D84&quot;/&gt;&lt;wsp:rsid wsp:val=&quot;00762D9D&quot;/&gt;&lt;wsp:rsid wsp:val=&quot;00762E4B&quot;/&gt;&lt;wsp:rsid wsp:val=&quot;00762E8E&quot;/&gt;&lt;wsp:rsid wsp:val=&quot;007631EC&quot;/&gt;&lt;wsp:rsid wsp:val=&quot;0076353D&quot;/&gt;&lt;wsp:rsid wsp:val=&quot;00764536&quot;/&gt;&lt;wsp:rsid wsp:val=&quot;00764751&quot;/&gt;&lt;wsp:rsid wsp:val=&quot;00764BCB&quot;/&gt;&lt;wsp:rsid wsp:val=&quot;00764D18&quot;/&gt;&lt;wsp:rsid wsp:val=&quot;00764DC2&quot;/&gt;&lt;wsp:rsid wsp:val=&quot;00764EF2&quot;/&gt;&lt;wsp:rsid wsp:val=&quot;0076519B&quot;/&gt;&lt;wsp:rsid wsp:val=&quot;007657E2&quot;/&gt;&lt;wsp:rsid wsp:val=&quot;00765A5F&quot;/&gt;&lt;wsp:rsid wsp:val=&quot;0076653B&quot;/&gt;&lt;wsp:rsid wsp:val=&quot;00767D54&quot;/&gt;&lt;wsp:rsid wsp:val=&quot;00770061&quot;/&gt;&lt;wsp:rsid wsp:val=&quot;00770980&quot;/&gt;&lt;wsp:rsid wsp:val=&quot;00770A68&quot;/&gt;&lt;wsp:rsid wsp:val=&quot;00770CDD&quot;/&gt;&lt;wsp:rsid wsp:val=&quot;00771027&quot;/&gt;&lt;wsp:rsid wsp:val=&quot;00771143&quot;/&gt;&lt;wsp:rsid wsp:val=&quot;007711B8&quot;/&gt;&lt;wsp:rsid wsp:val=&quot;00771650&quot;/&gt;&lt;wsp:rsid wsp:val=&quot;00772309&quot;/&gt;&lt;wsp:rsid wsp:val=&quot;007724D1&quot;/&gt;&lt;wsp:rsid wsp:val=&quot;007732EA&quot;/&gt;&lt;wsp:rsid wsp:val=&quot;00773507&quot;/&gt;&lt;wsp:rsid wsp:val=&quot;00773A8D&quot;/&gt;&lt;wsp:rsid wsp:val=&quot;00773DB2&quot;/&gt;&lt;wsp:rsid wsp:val=&quot;00773E3B&quot;/&gt;&lt;wsp:rsid wsp:val=&quot;00774369&quot;/&gt;&lt;wsp:rsid wsp:val=&quot;007747DF&quot;/&gt;&lt;wsp:rsid wsp:val=&quot;0077544F&quot;/&gt;&lt;wsp:rsid wsp:val=&quot;007762EA&quot;/&gt;&lt;wsp:rsid wsp:val=&quot;00776503&quot;/&gt;&lt;wsp:rsid wsp:val=&quot;00776A5F&quot;/&gt;&lt;wsp:rsid wsp:val=&quot;00776AF4&quot;/&gt;&lt;wsp:rsid wsp:val=&quot;00776D36&quot;/&gt;&lt;wsp:rsid wsp:val=&quot;00776DC4&quot;/&gt;&lt;wsp:rsid wsp:val=&quot;00776E16&quot;/&gt;&lt;wsp:rsid wsp:val=&quot;00777113&quot;/&gt;&lt;wsp:rsid wsp:val=&quot;0077735E&quot;/&gt;&lt;wsp:rsid wsp:val=&quot;0077742E&quot;/&gt;&lt;wsp:rsid wsp:val=&quot;00777976&quot;/&gt;&lt;wsp:rsid wsp:val=&quot;00777AB3&quot;/&gt;&lt;wsp:rsid wsp:val=&quot;00780BA9&quot;/&gt;&lt;wsp:rsid wsp:val=&quot;00780DE7&quot;/&gt;&lt;wsp:rsid wsp:val=&quot;00781370&quot;/&gt;&lt;wsp:rsid wsp:val=&quot;00781ACF&quot;/&gt;&lt;wsp:rsid wsp:val=&quot;00781B93&quot;/&gt;&lt;wsp:rsid wsp:val=&quot;00782022&quot;/&gt;&lt;wsp:rsid wsp:val=&quot;00782939&quot;/&gt;&lt;wsp:rsid wsp:val=&quot;00782D9F&quot;/&gt;&lt;wsp:rsid wsp:val=&quot;00782DCE&quot;/&gt;&lt;wsp:rsid wsp:val=&quot;00782ECE&quot;/&gt;&lt;wsp:rsid wsp:val=&quot;00783BBE&quot;/&gt;&lt;wsp:rsid wsp:val=&quot;00783FEC&quot;/&gt;&lt;wsp:rsid wsp:val=&quot;007850A0&quot;/&gt;&lt;wsp:rsid wsp:val=&quot;00785739&quot;/&gt;&lt;wsp:rsid wsp:val=&quot;00785C34&quot;/&gt;&lt;wsp:rsid wsp:val=&quot;00785CCD&quot;/&gt;&lt;wsp:rsid wsp:val=&quot;00785DC6&quot;/&gt;&lt;wsp:rsid wsp:val=&quot;00785F23&quot;/&gt;&lt;wsp:rsid wsp:val=&quot;007864D2&quot;/&gt;&lt;wsp:rsid wsp:val=&quot;00786CE7&quot;/&gt;&lt;wsp:rsid wsp:val=&quot;00786DA6&quot;/&gt;&lt;wsp:rsid wsp:val=&quot;00786EDB&quot;/&gt;&lt;wsp:rsid wsp:val=&quot;007875D7&quot;/&gt;&lt;wsp:rsid wsp:val=&quot;0079015B&quot;/&gt;&lt;wsp:rsid wsp:val=&quot;00790556&quot;/&gt;&lt;wsp:rsid wsp:val=&quot;00790768&quot;/&gt;&lt;wsp:rsid wsp:val=&quot;00790D81&quot;/&gt;&lt;wsp:rsid wsp:val=&quot;0079107E&quot;/&gt;&lt;wsp:rsid wsp:val=&quot;007913D2&quot;/&gt;&lt;wsp:rsid wsp:val=&quot;007914FE&quot;/&gt;&lt;wsp:rsid wsp:val=&quot;00791FE1&quot;/&gt;&lt;wsp:rsid wsp:val=&quot;0079216B&quot;/&gt;&lt;wsp:rsid wsp:val=&quot;0079216D&quot;/&gt;&lt;wsp:rsid wsp:val=&quot;00792A32&quot;/&gt;&lt;wsp:rsid wsp:val=&quot;00792D20&quot;/&gt;&lt;wsp:rsid wsp:val=&quot;00793617&quot;/&gt;&lt;wsp:rsid wsp:val=&quot;00793880&quot;/&gt;&lt;wsp:rsid wsp:val=&quot;00794699&quot;/&gt;&lt;wsp:rsid wsp:val=&quot;00794D71&quot;/&gt;&lt;wsp:rsid wsp:val=&quot;00794DE3&quot;/&gt;&lt;wsp:rsid wsp:val=&quot;00795052&quot;/&gt;&lt;wsp:rsid wsp:val=&quot;00795238&quot;/&gt;&lt;wsp:rsid wsp:val=&quot;007958EE&quot;/&gt;&lt;wsp:rsid wsp:val=&quot;007959F3&quot;/&gt;&lt;wsp:rsid wsp:val=&quot;00795A34&quot;/&gt;&lt;wsp:rsid wsp:val=&quot;00795AD0&quot;/&gt;&lt;wsp:rsid wsp:val=&quot;00795E11&quot;/&gt;&lt;wsp:rsid wsp:val=&quot;00796D53&quot;/&gt;&lt;wsp:rsid wsp:val=&quot;007977ED&quot;/&gt;&lt;wsp:rsid wsp:val=&quot;007A14BD&quot;/&gt;&lt;wsp:rsid wsp:val=&quot;007A1716&quot;/&gt;&lt;wsp:rsid wsp:val=&quot;007A1C8B&quot;/&gt;&lt;wsp:rsid wsp:val=&quot;007A1D6C&quot;/&gt;&lt;wsp:rsid wsp:val=&quot;007A2A17&quot;/&gt;&lt;wsp:rsid wsp:val=&quot;007A2FAF&quot;/&gt;&lt;wsp:rsid wsp:val=&quot;007A38CA&quot;/&gt;&lt;wsp:rsid wsp:val=&quot;007A3D3A&quot;/&gt;&lt;wsp:rsid wsp:val=&quot;007A4742&quot;/&gt;&lt;wsp:rsid wsp:val=&quot;007A5596&quot;/&gt;&lt;wsp:rsid wsp:val=&quot;007A5677&quot;/&gt;&lt;wsp:rsid wsp:val=&quot;007A60E5&quot;/&gt;&lt;wsp:rsid wsp:val=&quot;007A614E&quot;/&gt;&lt;wsp:rsid wsp:val=&quot;007A6482&quot;/&gt;&lt;wsp:rsid wsp:val=&quot;007A6C9F&quot;/&gt;&lt;wsp:rsid wsp:val=&quot;007A70A7&quot;/&gt;&lt;wsp:rsid wsp:val=&quot;007A73B1&quot;/&gt;&lt;wsp:rsid wsp:val=&quot;007A7877&quot;/&gt;&lt;wsp:rsid wsp:val=&quot;007A7DAA&quot;/&gt;&lt;wsp:rsid wsp:val=&quot;007B04C9&quot;/&gt;&lt;wsp:rsid wsp:val=&quot;007B10F2&quot;/&gt;&lt;wsp:rsid wsp:val=&quot;007B1277&quot;/&gt;&lt;wsp:rsid wsp:val=&quot;007B18CE&quot;/&gt;&lt;wsp:rsid wsp:val=&quot;007B1D9C&quot;/&gt;&lt;wsp:rsid wsp:val=&quot;007B2314&quot;/&gt;&lt;wsp:rsid wsp:val=&quot;007B31FB&quot;/&gt;&lt;wsp:rsid wsp:val=&quot;007B3459&quot;/&gt;&lt;wsp:rsid wsp:val=&quot;007B348D&quot;/&gt;&lt;wsp:rsid wsp:val=&quot;007B3D68&quot;/&gt;&lt;wsp:rsid wsp:val=&quot;007B3FA8&quot;/&gt;&lt;wsp:rsid wsp:val=&quot;007B4E3B&quot;/&gt;&lt;wsp:rsid wsp:val=&quot;007B4ED2&quot;/&gt;&lt;wsp:rsid wsp:val=&quot;007B508B&quot;/&gt;&lt;wsp:rsid wsp:val=&quot;007B56B9&quot;/&gt;&lt;wsp:rsid wsp:val=&quot;007B5E99&quot;/&gt;&lt;wsp:rsid wsp:val=&quot;007B64C2&quot;/&gt;&lt;wsp:rsid wsp:val=&quot;007B65F1&quot;/&gt;&lt;wsp:rsid wsp:val=&quot;007B726A&quot;/&gt;&lt;wsp:rsid wsp:val=&quot;007B7712&quot;/&gt;&lt;wsp:rsid wsp:val=&quot;007B7ADD&quot;/&gt;&lt;wsp:rsid wsp:val=&quot;007B7E8B&quot;/&gt;&lt;wsp:rsid wsp:val=&quot;007C03C7&quot;/&gt;&lt;wsp:rsid wsp:val=&quot;007C1BD6&quot;/&gt;&lt;wsp:rsid wsp:val=&quot;007C1BD9&quot;/&gt;&lt;wsp:rsid wsp:val=&quot;007C1EC9&quot;/&gt;&lt;wsp:rsid wsp:val=&quot;007C2226&quot;/&gt;&lt;wsp:rsid wsp:val=&quot;007C2374&quot;/&gt;&lt;wsp:rsid wsp:val=&quot;007C2F48&quot;/&gt;&lt;wsp:rsid wsp:val=&quot;007C3403&quot;/&gt;&lt;wsp:rsid wsp:val=&quot;007C36C6&quot;/&gt;&lt;wsp:rsid wsp:val=&quot;007C3BA4&quot;/&gt;&lt;wsp:rsid wsp:val=&quot;007C3E91&quot;/&gt;&lt;wsp:rsid wsp:val=&quot;007C5333&quot;/&gt;&lt;wsp:rsid wsp:val=&quot;007C53C3&quot;/&gt;&lt;wsp:rsid wsp:val=&quot;007C573F&quot;/&gt;&lt;wsp:rsid wsp:val=&quot;007C5BB3&quot;/&gt;&lt;wsp:rsid wsp:val=&quot;007C5D02&quot;/&gt;&lt;wsp:rsid wsp:val=&quot;007C5F06&quot;/&gt;&lt;wsp:rsid wsp:val=&quot;007C6CD3&quot;/&gt;&lt;wsp:rsid wsp:val=&quot;007C74B5&quot;/&gt;&lt;wsp:rsid wsp:val=&quot;007C75D9&quot;/&gt;&lt;wsp:rsid wsp:val=&quot;007C781A&quot;/&gt;&lt;wsp:rsid wsp:val=&quot;007D03C7&quot;/&gt;&lt;wsp:rsid wsp:val=&quot;007D0568&quot;/&gt;&lt;wsp:rsid wsp:val=&quot;007D07D5&quot;/&gt;&lt;wsp:rsid wsp:val=&quot;007D0895&quot;/&gt;&lt;wsp:rsid wsp:val=&quot;007D1075&quot;/&gt;&lt;wsp:rsid wsp:val=&quot;007D1990&quot;/&gt;&lt;wsp:rsid wsp:val=&quot;007D1CFD&quot;/&gt;&lt;wsp:rsid wsp:val=&quot;007D1F75&quot;/&gt;&lt;wsp:rsid wsp:val=&quot;007D2CAB&quot;/&gt;&lt;wsp:rsid wsp:val=&quot;007D38BA&quot;/&gt;&lt;wsp:rsid wsp:val=&quot;007D3CC2&quot;/&gt;&lt;wsp:rsid wsp:val=&quot;007D4FF9&quot;/&gt;&lt;wsp:rsid wsp:val=&quot;007D512B&quot;/&gt;&lt;wsp:rsid wsp:val=&quot;007D51B6&quot;/&gt;&lt;wsp:rsid wsp:val=&quot;007D52D0&quot;/&gt;&lt;wsp:rsid wsp:val=&quot;007D53B3&quot;/&gt;&lt;wsp:rsid wsp:val=&quot;007D550E&quot;/&gt;&lt;wsp:rsid wsp:val=&quot;007D653B&quot;/&gt;&lt;wsp:rsid wsp:val=&quot;007D731F&quot;/&gt;&lt;wsp:rsid wsp:val=&quot;007D7DF0&quot;/&gt;&lt;wsp:rsid wsp:val=&quot;007E00E3&quot;/&gt;&lt;wsp:rsid wsp:val=&quot;007E048A&quot;/&gt;&lt;wsp:rsid wsp:val=&quot;007E0621&quot;/&gt;&lt;wsp:rsid wsp:val=&quot;007E06BF&quot;/&gt;&lt;wsp:rsid wsp:val=&quot;007E09E5&quot;/&gt;&lt;wsp:rsid wsp:val=&quot;007E0A06&quot;/&gt;&lt;wsp:rsid wsp:val=&quot;007E113B&quot;/&gt;&lt;wsp:rsid wsp:val=&quot;007E116E&quot;/&gt;&lt;wsp:rsid wsp:val=&quot;007E1A18&quot;/&gt;&lt;wsp:rsid wsp:val=&quot;007E1B4D&quot;/&gt;&lt;wsp:rsid wsp:val=&quot;007E1DED&quot;/&gt;&lt;wsp:rsid wsp:val=&quot;007E1F59&quot;/&gt;&lt;wsp:rsid wsp:val=&quot;007E220C&quot;/&gt;&lt;wsp:rsid wsp:val=&quot;007E22C5&quot;/&gt;&lt;wsp:rsid wsp:val=&quot;007E2984&quot;/&gt;&lt;wsp:rsid wsp:val=&quot;007E2BEC&quot;/&gt;&lt;wsp:rsid wsp:val=&quot;007E2CC1&quot;/&gt;&lt;wsp:rsid wsp:val=&quot;007E444F&quot;/&gt;&lt;wsp:rsid wsp:val=&quot;007E6187&quot;/&gt;&lt;wsp:rsid wsp:val=&quot;007E6B0D&quot;/&gt;&lt;wsp:rsid wsp:val=&quot;007E6EBB&quot;/&gt;&lt;wsp:rsid wsp:val=&quot;007E79FE&quot;/&gt;&lt;wsp:rsid wsp:val=&quot;007E7D24&quot;/&gt;&lt;wsp:rsid wsp:val=&quot;007F07A1&quot;/&gt;&lt;wsp:rsid wsp:val=&quot;007F08B7&quot;/&gt;&lt;wsp:rsid wsp:val=&quot;007F0918&quot;/&gt;&lt;wsp:rsid wsp:val=&quot;007F09BD&quot;/&gt;&lt;wsp:rsid wsp:val=&quot;007F1418&quot;/&gt;&lt;wsp:rsid wsp:val=&quot;007F2F14&quot;/&gt;&lt;wsp:rsid wsp:val=&quot;007F3041&quot;/&gt;&lt;wsp:rsid wsp:val=&quot;007F3062&quot;/&gt;&lt;wsp:rsid wsp:val=&quot;007F319D&quot;/&gt;&lt;wsp:rsid wsp:val=&quot;007F3826&quot;/&gt;&lt;wsp:rsid wsp:val=&quot;007F3979&quot;/&gt;&lt;wsp:rsid wsp:val=&quot;007F3C99&quot;/&gt;&lt;wsp:rsid wsp:val=&quot;007F3CCB&quot;/&gt;&lt;wsp:rsid wsp:val=&quot;007F3E7C&quot;/&gt;&lt;wsp:rsid wsp:val=&quot;007F4025&quot;/&gt;&lt;wsp:rsid wsp:val=&quot;007F408C&quot;/&gt;&lt;wsp:rsid wsp:val=&quot;007F483F&quot;/&gt;&lt;wsp:rsid wsp:val=&quot;007F4A71&quot;/&gt;&lt;wsp:rsid wsp:val=&quot;007F4AC4&quot;/&gt;&lt;wsp:rsid wsp:val=&quot;007F509B&quot;/&gt;&lt;wsp:rsid wsp:val=&quot;007F5130&quot;/&gt;&lt;wsp:rsid wsp:val=&quot;007F541C&quot;/&gt;&lt;wsp:rsid wsp:val=&quot;007F5445&quot;/&gt;&lt;wsp:rsid wsp:val=&quot;007F5718&quot;/&gt;&lt;wsp:rsid wsp:val=&quot;007F58B6&quot;/&gt;&lt;wsp:rsid wsp:val=&quot;007F60CF&quot;/&gt;&lt;wsp:rsid wsp:val=&quot;007F6179&quot;/&gt;&lt;wsp:rsid wsp:val=&quot;007F6AB3&quot;/&gt;&lt;wsp:rsid wsp:val=&quot;007F6AEF&quot;/&gt;&lt;wsp:rsid wsp:val=&quot;007F70F9&quot;/&gt;&lt;wsp:rsid wsp:val=&quot;007F7248&quot;/&gt;&lt;wsp:rsid wsp:val=&quot;00800E28&quot;/&gt;&lt;wsp:rsid wsp:val=&quot;00801D8E&quot;/&gt;&lt;wsp:rsid wsp:val=&quot;0080306C&quot;/&gt;&lt;wsp:rsid wsp:val=&quot;0080321F&quot;/&gt;&lt;wsp:rsid wsp:val=&quot;00803C27&quot;/&gt;&lt;wsp:rsid wsp:val=&quot;00803DEF&quot;/&gt;&lt;wsp:rsid wsp:val=&quot;00803EAB&quot;/&gt;&lt;wsp:rsid wsp:val=&quot;00804F26&quot;/&gt;&lt;wsp:rsid wsp:val=&quot;0080516C&quot;/&gt;&lt;wsp:rsid wsp:val=&quot;00805832&quot;/&gt;&lt;wsp:rsid wsp:val=&quot;00805C24&quot;/&gt;&lt;wsp:rsid wsp:val=&quot;00805CF3&quot;/&gt;&lt;wsp:rsid wsp:val=&quot;00805D54&quot;/&gt;&lt;wsp:rsid wsp:val=&quot;008065F8&quot;/&gt;&lt;wsp:rsid wsp:val=&quot;008066FD&quot;/&gt;&lt;wsp:rsid wsp:val=&quot;0080680A&quot;/&gt;&lt;wsp:rsid wsp:val=&quot;00806937&quot;/&gt;&lt;wsp:rsid wsp:val=&quot;00806E17&quot;/&gt;&lt;wsp:rsid wsp:val=&quot;00807128&quot;/&gt;&lt;wsp:rsid wsp:val=&quot;008072AE&quot;/&gt;&lt;wsp:rsid wsp:val=&quot;0080735D&quot;/&gt;&lt;wsp:rsid wsp:val=&quot;00807749&quot;/&gt;&lt;wsp:rsid wsp:val=&quot;008077E7&quot;/&gt;&lt;wsp:rsid wsp:val=&quot;0081012F&quot;/&gt;&lt;wsp:rsid wsp:val=&quot;00810424&quot;/&gt;&lt;wsp:rsid wsp:val=&quot;00810CC9&quot;/&gt;&lt;wsp:rsid wsp:val=&quot;008111BF&quot;/&gt;&lt;wsp:rsid wsp:val=&quot;0081135F&quot;/&gt;&lt;wsp:rsid wsp:val=&quot;00811826&quot;/&gt;&lt;wsp:rsid wsp:val=&quot;00811A4F&quot;/&gt;&lt;wsp:rsid wsp:val=&quot;00812488&quot;/&gt;&lt;wsp:rsid wsp:val=&quot;008127B7&quot;/&gt;&lt;wsp:rsid wsp:val=&quot;00812823&quot;/&gt;&lt;wsp:rsid wsp:val=&quot;00812CFC&quot;/&gt;&lt;wsp:rsid wsp:val=&quot;00813D17&quot;/&gt;&lt;wsp:rsid wsp:val=&quot;008141F4&quot;/&gt;&lt;wsp:rsid wsp:val=&quot;00814442&quot;/&gt;&lt;wsp:rsid wsp:val=&quot;008146D7&quot;/&gt;&lt;wsp:rsid wsp:val=&quot;00814904&quot;/&gt;&lt;wsp:rsid wsp:val=&quot;0081495C&quot;/&gt;&lt;wsp:rsid wsp:val=&quot;00816769&quot;/&gt;&lt;wsp:rsid wsp:val=&quot;00816F12&quot;/&gt;&lt;wsp:rsid wsp:val=&quot;0081754C&quot;/&gt;&lt;wsp:rsid wsp:val=&quot;0081783D&quot;/&gt;&lt;wsp:rsid wsp:val=&quot;00817C9E&quot;/&gt;&lt;wsp:rsid wsp:val=&quot;00820495&quot;/&gt;&lt;wsp:rsid wsp:val=&quot;00820B66&quot;/&gt;&lt;wsp:rsid wsp:val=&quot;00820BAE&quot;/&gt;&lt;wsp:rsid wsp:val=&quot;00820CFD&quot;/&gt;&lt;wsp:rsid wsp:val=&quot;008210F0&quot;/&gt;&lt;wsp:rsid wsp:val=&quot;0082123F&quot;/&gt;&lt;wsp:rsid wsp:val=&quot;0082181E&quot;/&gt;&lt;wsp:rsid wsp:val=&quot;00821F14&quot;/&gt;&lt;wsp:rsid wsp:val=&quot;00821FBA&quot;/&gt;&lt;wsp:rsid wsp:val=&quot;00822033&quot;/&gt;&lt;wsp:rsid wsp:val=&quot;00822B49&quot;/&gt;&lt;wsp:rsid wsp:val=&quot;00823678&quot;/&gt;&lt;wsp:rsid wsp:val=&quot;00823758&quot;/&gt;&lt;wsp:rsid wsp:val=&quot;00823EB3&quot;/&gt;&lt;wsp:rsid wsp:val=&quot;00824302&quot;/&gt;&lt;wsp:rsid wsp:val=&quot;00824963&quot;/&gt;&lt;wsp:rsid wsp:val=&quot;00824A35&quot;/&gt;&lt;wsp:rsid wsp:val=&quot;0082547F&quot;/&gt;&lt;wsp:rsid wsp:val=&quot;0082597A&quot;/&gt;&lt;wsp:rsid wsp:val=&quot;00825E72&quot;/&gt;&lt;wsp:rsid wsp:val=&quot;00826273&quot;/&gt;&lt;wsp:rsid wsp:val=&quot;008263BB&quot;/&gt;&lt;wsp:rsid wsp:val=&quot;00826C7B&quot;/&gt;&lt;wsp:rsid wsp:val=&quot;00827091&quot;/&gt;&lt;wsp:rsid wsp:val=&quot;0082713B&quot;/&gt;&lt;wsp:rsid wsp:val=&quot;00827205&quot;/&gt;&lt;wsp:rsid wsp:val=&quot;0082759B&quot;/&gt;&lt;wsp:rsid wsp:val=&quot;0082778C&quot;/&gt;&lt;wsp:rsid wsp:val=&quot;00827A84&quot;/&gt;&lt;wsp:rsid wsp:val=&quot;00827D12&quot;/&gt;&lt;wsp:rsid wsp:val=&quot;00830A9D&quot;/&gt;&lt;wsp:rsid wsp:val=&quot;00831607&quot;/&gt;&lt;wsp:rsid wsp:val=&quot;008316AE&quot;/&gt;&lt;wsp:rsid wsp:val=&quot;00832740&quot;/&gt;&lt;wsp:rsid wsp:val=&quot;00832901&quot;/&gt;&lt;wsp:rsid wsp:val=&quot;00832B5F&quot;/&gt;&lt;wsp:rsid wsp:val=&quot;00832E50&quot;/&gt;&lt;wsp:rsid wsp:val=&quot;00832E66&quot;/&gt;&lt;wsp:rsid wsp:val=&quot;00832F69&quot;/&gt;&lt;wsp:rsid wsp:val=&quot;008334D8&quot;/&gt;&lt;wsp:rsid wsp:val=&quot;00833529&quot;/&gt;&lt;wsp:rsid wsp:val=&quot;008335D0&quot;/&gt;&lt;wsp:rsid wsp:val=&quot;00834221&quot;/&gt;&lt;wsp:rsid wsp:val=&quot;0083443F&quot;/&gt;&lt;wsp:rsid wsp:val=&quot;00834769&quot;/&gt;&lt;wsp:rsid wsp:val=&quot;00834A94&quot;/&gt;&lt;wsp:rsid wsp:val=&quot;0083594A&quot;/&gt;&lt;wsp:rsid wsp:val=&quot;00835F46&quot;/&gt;&lt;wsp:rsid wsp:val=&quot;00836207&quot;/&gt;&lt;wsp:rsid wsp:val=&quot;008362F7&quot;/&gt;&lt;wsp:rsid wsp:val=&quot;00836410&quot;/&gt;&lt;wsp:rsid wsp:val=&quot;008364C8&quot;/&gt;&lt;wsp:rsid wsp:val=&quot;0083681B&quot;/&gt;&lt;wsp:rsid wsp:val=&quot;00836C39&quot;/&gt;&lt;wsp:rsid wsp:val=&quot;00836D90&quot;/&gt;&lt;wsp:rsid wsp:val=&quot;00837964&quot;/&gt;&lt;wsp:rsid wsp:val=&quot;00837BEB&quot;/&gt;&lt;wsp:rsid wsp:val=&quot;00837C72&quot;/&gt;&lt;wsp:rsid wsp:val=&quot;00840CFB&quot;/&gt;&lt;wsp:rsid wsp:val=&quot;008411D9&quot;/&gt;&lt;wsp:rsid wsp:val=&quot;00841747&quot;/&gt;&lt;wsp:rsid wsp:val=&quot;00842E02&quot;/&gt;&lt;wsp:rsid wsp:val=&quot;00842E1C&quot;/&gt;&lt;wsp:rsid wsp:val=&quot;0084311D&quot;/&gt;&lt;wsp:rsid wsp:val=&quot;00843359&quot;/&gt;&lt;wsp:rsid wsp:val=&quot;00843DF1&quot;/&gt;&lt;wsp:rsid wsp:val=&quot;00844792&quot;/&gt;&lt;wsp:rsid wsp:val=&quot;00844FF9&quot;/&gt;&lt;wsp:rsid wsp:val=&quot;0084518F&quot;/&gt;&lt;wsp:rsid wsp:val=&quot;0084538F&quot;/&gt;&lt;wsp:rsid wsp:val=&quot;00845EAA&quot;/&gt;&lt;wsp:rsid wsp:val=&quot;008462BF&quot;/&gt;&lt;wsp:rsid wsp:val=&quot;008467F6&quot;/&gt;&lt;wsp:rsid wsp:val=&quot;00846F8A&quot;/&gt;&lt;wsp:rsid wsp:val=&quot;008472D7&quot;/&gt;&lt;wsp:rsid wsp:val=&quot;00847D9C&quot;/&gt;&lt;wsp:rsid wsp:val=&quot;00847F43&quot;/&gt;&lt;wsp:rsid wsp:val=&quot;00850059&quot;/&gt;&lt;wsp:rsid wsp:val=&quot;00850B2A&quot;/&gt;&lt;wsp:rsid wsp:val=&quot;00850E0C&quot;/&gt;&lt;wsp:rsid wsp:val=&quot;008513CC&quot;/&gt;&lt;wsp:rsid wsp:val=&quot;0085180A&quot;/&gt;&lt;wsp:rsid wsp:val=&quot;00851AEF&quot;/&gt;&lt;wsp:rsid wsp:val=&quot;00851CB6&quot;/&gt;&lt;wsp:rsid wsp:val=&quot;00851E31&quot;/&gt;&lt;wsp:rsid wsp:val=&quot;008521D0&quot;/&gt;&lt;wsp:rsid wsp:val=&quot;008523B4&quot;/&gt;&lt;wsp:rsid wsp:val=&quot;00852499&quot;/&gt;&lt;wsp:rsid wsp:val=&quot;0085275C&quot;/&gt;&lt;wsp:rsid wsp:val=&quot;00852A49&quot;/&gt;&lt;wsp:rsid wsp:val=&quot;00852B78&quot;/&gt;&lt;wsp:rsid wsp:val=&quot;00853607&quot;/&gt;&lt;wsp:rsid wsp:val=&quot;008536B9&quot;/&gt;&lt;wsp:rsid wsp:val=&quot;008537F4&quot;/&gt;&lt;wsp:rsid wsp:val=&quot;00853890&quot;/&gt;&lt;wsp:rsid wsp:val=&quot;008541F7&quot;/&gt;&lt;wsp:rsid wsp:val=&quot;00854848&quot;/&gt;&lt;wsp:rsid wsp:val=&quot;00854AED&quot;/&gt;&lt;wsp:rsid wsp:val=&quot;00855BE0&quot;/&gt;&lt;wsp:rsid wsp:val=&quot;00856A07&quot;/&gt;&lt;wsp:rsid wsp:val=&quot;00856E24&quot;/&gt;&lt;wsp:rsid wsp:val=&quot;008573AC&quot;/&gt;&lt;wsp:rsid wsp:val=&quot;008577D1&quot;/&gt;&lt;wsp:rsid wsp:val=&quot;00857822&quot;/&gt;&lt;wsp:rsid wsp:val=&quot;008579E5&quot;/&gt;&lt;wsp:rsid wsp:val=&quot;00860366&quot;/&gt;&lt;wsp:rsid wsp:val=&quot;00860B15&quot;/&gt;&lt;wsp:rsid wsp:val=&quot;008615A8&quot;/&gt;&lt;wsp:rsid wsp:val=&quot;00861723&quot;/&gt;&lt;wsp:rsid wsp:val=&quot;00862156&quot;/&gt;&lt;wsp:rsid wsp:val=&quot;008621E7&quot;/&gt;&lt;wsp:rsid wsp:val=&quot;00863000&quot;/&gt;&lt;wsp:rsid wsp:val=&quot;008634AF&quot;/&gt;&lt;wsp:rsid wsp:val=&quot;00864477&quot;/&gt;&lt;wsp:rsid wsp:val=&quot;0086482D&quot;/&gt;&lt;wsp:rsid wsp:val=&quot;00865179&quot;/&gt;&lt;wsp:rsid wsp:val=&quot;008652E2&quot;/&gt;&lt;wsp:rsid wsp:val=&quot;00865671&quot;/&gt;&lt;wsp:rsid wsp:val=&quot;00865BE0&quot;/&gt;&lt;wsp:rsid wsp:val=&quot;00865C69&quot;/&gt;&lt;wsp:rsid wsp:val=&quot;00866095&quot;/&gt;&lt;wsp:rsid wsp:val=&quot;008666B3&quot;/&gt;&lt;wsp:rsid wsp:val=&quot;00866A08&quot;/&gt;&lt;wsp:rsid wsp:val=&quot;008673C3&quot;/&gt;&lt;wsp:rsid wsp:val=&quot;008673EA&quot;/&gt;&lt;wsp:rsid wsp:val=&quot;008675E4&quot;/&gt;&lt;wsp:rsid wsp:val=&quot;00867968&quot;/&gt;&lt;wsp:rsid wsp:val=&quot;00867A7C&quot;/&gt;&lt;wsp:rsid wsp:val=&quot;00870008&quot;/&gt;&lt;wsp:rsid wsp:val=&quot;00870BC4&quot;/&gt;&lt;wsp:rsid wsp:val=&quot;00871C6F&quot;/&gt;&lt;wsp:rsid wsp:val=&quot;00871EEE&quot;/&gt;&lt;wsp:rsid wsp:val=&quot;00872023&quot;/&gt;&lt;wsp:rsid wsp:val=&quot;00872339&quot;/&gt;&lt;wsp:rsid wsp:val=&quot;00872391&quot;/&gt;&lt;wsp:rsid wsp:val=&quot;008725BE&quot;/&gt;&lt;wsp:rsid wsp:val=&quot;00872A3A&quot;/&gt;&lt;wsp:rsid wsp:val=&quot;00873854&quot;/&gt;&lt;wsp:rsid wsp:val=&quot;00873C34&quot;/&gt;&lt;wsp:rsid wsp:val=&quot;008746AC&quot;/&gt;&lt;wsp:rsid wsp:val=&quot;00874A63&quot;/&gt;&lt;wsp:rsid wsp:val=&quot;00875713&quot;/&gt;&lt;wsp:rsid wsp:val=&quot;00876076&quot;/&gt;&lt;wsp:rsid wsp:val=&quot;008760F3&quot;/&gt;&lt;wsp:rsid wsp:val=&quot;0087629B&quot;/&gt;&lt;wsp:rsid wsp:val=&quot;00876318&quot;/&gt;&lt;wsp:rsid wsp:val=&quot;00876776&quot;/&gt;&lt;wsp:rsid wsp:val=&quot;00876AC9&quot;/&gt;&lt;wsp:rsid wsp:val=&quot;008774C3&quot;/&gt;&lt;wsp:rsid wsp:val=&quot;008802DC&quot;/&gt;&lt;wsp:rsid wsp:val=&quot;008803BC&quot;/&gt;&lt;wsp:rsid wsp:val=&quot;00880632&quot;/&gt;&lt;wsp:rsid wsp:val=&quot;008807DD&quot;/&gt;&lt;wsp:rsid wsp:val=&quot;00880D4B&quot;/&gt;&lt;wsp:rsid wsp:val=&quot;008811C8&quot;/&gt;&lt;wsp:rsid wsp:val=&quot;0088135C&quot;/&gt;&lt;wsp:rsid wsp:val=&quot;0088170C&quot;/&gt;&lt;wsp:rsid wsp:val=&quot;00881D0D&quot;/&gt;&lt;wsp:rsid wsp:val=&quot;00881EEF&quot;/&gt;&lt;wsp:rsid wsp:val=&quot;00882406&quot;/&gt;&lt;wsp:rsid wsp:val=&quot;00882A96&quot;/&gt;&lt;wsp:rsid wsp:val=&quot;0088354E&quot;/&gt;&lt;wsp:rsid wsp:val=&quot;0088460A&quot;/&gt;&lt;wsp:rsid wsp:val=&quot;00884C5D&quot;/&gt;&lt;wsp:rsid wsp:val=&quot;00884DF1&quot;/&gt;&lt;wsp:rsid wsp:val=&quot;00885CD7&quot;/&gt;&lt;wsp:rsid wsp:val=&quot;00885EE6&quot;/&gt;&lt;wsp:rsid wsp:val=&quot;008865B3&quot;/&gt;&lt;wsp:rsid wsp:val=&quot;00886747&quot;/&gt;&lt;wsp:rsid wsp:val=&quot;00886BD9&quot;/&gt;&lt;wsp:rsid wsp:val=&quot;008875B5&quot;/&gt;&lt;wsp:rsid wsp:val=&quot;008875C5&quot;/&gt;&lt;wsp:rsid wsp:val=&quot;00887F43&quot;/&gt;&lt;wsp:rsid wsp:val=&quot;00890769&quot;/&gt;&lt;wsp:rsid wsp:val=&quot;00891C43&quot;/&gt;&lt;wsp:rsid wsp:val=&quot;00891DF4&quot;/&gt;&lt;wsp:rsid wsp:val=&quot;0089216F&quot;/&gt;&lt;wsp:rsid wsp:val=&quot;00892B9D&quot;/&gt;&lt;wsp:rsid wsp:val=&quot;00892CEF&quot;/&gt;&lt;wsp:rsid wsp:val=&quot;00892D09&quot;/&gt;&lt;wsp:rsid wsp:val=&quot;0089303A&quot;/&gt;&lt;wsp:rsid wsp:val=&quot;008936D6&quot;/&gt;&lt;wsp:rsid wsp:val=&quot;00893862&quot;/&gt;&lt;wsp:rsid wsp:val=&quot;00893DFD&quot;/&gt;&lt;wsp:rsid wsp:val=&quot;00894212&quot;/&gt;&lt;wsp:rsid wsp:val=&quot;008944A6&quot;/&gt;&lt;wsp:rsid wsp:val=&quot;00894AA7&quot;/&gt;&lt;wsp:rsid wsp:val=&quot;00894B43&quot;/&gt;&lt;wsp:rsid wsp:val=&quot;00894D96&quot;/&gt;&lt;wsp:rsid wsp:val=&quot;00895459&quot;/&gt;&lt;wsp:rsid wsp:val=&quot;008960B8&quot;/&gt;&lt;wsp:rsid wsp:val=&quot;008962EC&quot;/&gt;&lt;wsp:rsid wsp:val=&quot;008964D2&quot;/&gt;&lt;wsp:rsid wsp:val=&quot;008968DA&quot;/&gt;&lt;wsp:rsid wsp:val=&quot;00896C10&quot;/&gt;&lt;wsp:rsid wsp:val=&quot;00897388&quot;/&gt;&lt;wsp:rsid wsp:val=&quot;008979EA&quot;/&gt;&lt;wsp:rsid wsp:val=&quot;008A0389&quot;/&gt;&lt;wsp:rsid wsp:val=&quot;008A0C8D&quot;/&gt;&lt;wsp:rsid wsp:val=&quot;008A153F&quot;/&gt;&lt;wsp:rsid wsp:val=&quot;008A15C6&quot;/&gt;&lt;wsp:rsid wsp:val=&quot;008A17D5&quot;/&gt;&lt;wsp:rsid wsp:val=&quot;008A2159&quot;/&gt;&lt;wsp:rsid wsp:val=&quot;008A252E&quot;/&gt;&lt;wsp:rsid wsp:val=&quot;008A28C4&quot;/&gt;&lt;wsp:rsid wsp:val=&quot;008A2944&quot;/&gt;&lt;wsp:rsid wsp:val=&quot;008A2EA3&quot;/&gt;&lt;wsp:rsid wsp:val=&quot;008A32AB&quot;/&gt;&lt;wsp:rsid wsp:val=&quot;008A33FD&quot;/&gt;&lt;wsp:rsid wsp:val=&quot;008A34F0&quot;/&gt;&lt;wsp:rsid wsp:val=&quot;008A3DAD&quot;/&gt;&lt;wsp:rsid wsp:val=&quot;008A43E5&quot;/&gt;&lt;wsp:rsid wsp:val=&quot;008A51F3&quot;/&gt;&lt;wsp:rsid wsp:val=&quot;008A5283&quot;/&gt;&lt;wsp:rsid wsp:val=&quot;008A5469&quot;/&gt;&lt;wsp:rsid wsp:val=&quot;008A55A5&quot;/&gt;&lt;wsp:rsid wsp:val=&quot;008A56DD&quot;/&gt;&lt;wsp:rsid wsp:val=&quot;008A5894&quot;/&gt;&lt;wsp:rsid wsp:val=&quot;008A5CAD&quot;/&gt;&lt;wsp:rsid wsp:val=&quot;008A646C&quot;/&gt;&lt;wsp:rsid wsp:val=&quot;008A65DB&quot;/&gt;&lt;wsp:rsid wsp:val=&quot;008A689A&quot;/&gt;&lt;wsp:rsid wsp:val=&quot;008A7705&quot;/&gt;&lt;wsp:rsid wsp:val=&quot;008B0635&quot;/&gt;&lt;wsp:rsid wsp:val=&quot;008B0A4D&quot;/&gt;&lt;wsp:rsid wsp:val=&quot;008B182F&quot;/&gt;&lt;wsp:rsid wsp:val=&quot;008B1C96&quot;/&gt;&lt;wsp:rsid wsp:val=&quot;008B233F&quot;/&gt;&lt;wsp:rsid wsp:val=&quot;008B2689&quot;/&gt;&lt;wsp:rsid wsp:val=&quot;008B2911&quot;/&gt;&lt;wsp:rsid wsp:val=&quot;008B2EBE&quot;/&gt;&lt;wsp:rsid wsp:val=&quot;008B3653&quot;/&gt;&lt;wsp:rsid wsp:val=&quot;008B3C9E&quot;/&gt;&lt;wsp:rsid wsp:val=&quot;008B408F&quot;/&gt;&lt;wsp:rsid wsp:val=&quot;008B42FF&quot;/&gt;&lt;wsp:rsid wsp:val=&quot;008B430F&quot;/&gt;&lt;wsp:rsid wsp:val=&quot;008B49E9&quot;/&gt;&lt;wsp:rsid wsp:val=&quot;008B4A2F&quot;/&gt;&lt;wsp:rsid wsp:val=&quot;008B547C&quot;/&gt;&lt;wsp:rsid wsp:val=&quot;008B5605&quot;/&gt;&lt;wsp:rsid wsp:val=&quot;008B610F&quot;/&gt;&lt;wsp:rsid wsp:val=&quot;008B64DE&quot;/&gt;&lt;wsp:rsid wsp:val=&quot;008B650C&quot;/&gt;&lt;wsp:rsid wsp:val=&quot;008B6A7D&quot;/&gt;&lt;wsp:rsid wsp:val=&quot;008B78FD&quot;/&gt;&lt;wsp:rsid wsp:val=&quot;008B7940&quot;/&gt;&lt;wsp:rsid wsp:val=&quot;008B7B36&quot;/&gt;&lt;wsp:rsid wsp:val=&quot;008C0060&quot;/&gt;&lt;wsp:rsid wsp:val=&quot;008C0847&quot;/&gt;&lt;wsp:rsid wsp:val=&quot;008C1494&quot;/&gt;&lt;wsp:rsid wsp:val=&quot;008C1739&quot;/&gt;&lt;wsp:rsid wsp:val=&quot;008C205F&quot;/&gt;&lt;wsp:rsid wsp:val=&quot;008C22A4&quot;/&gt;&lt;wsp:rsid wsp:val=&quot;008C23EE&quot;/&gt;&lt;wsp:rsid wsp:val=&quot;008C2593&quot;/&gt;&lt;wsp:rsid wsp:val=&quot;008C265A&quot;/&gt;&lt;wsp:rsid wsp:val=&quot;008C37BA&quot;/&gt;&lt;wsp:rsid wsp:val=&quot;008C3B9E&quot;/&gt;&lt;wsp:rsid wsp:val=&quot;008C3CC2&quot;/&gt;&lt;wsp:rsid wsp:val=&quot;008C3E8D&quot;/&gt;&lt;wsp:rsid wsp:val=&quot;008C418A&quot;/&gt;&lt;wsp:rsid wsp:val=&quot;008C4D22&quot;/&gt;&lt;wsp:rsid wsp:val=&quot;008C4D83&quot;/&gt;&lt;wsp:rsid wsp:val=&quot;008C631B&quot;/&gt;&lt;wsp:rsid wsp:val=&quot;008C66A9&quot;/&gt;&lt;wsp:rsid wsp:val=&quot;008C6A82&quot;/&gt;&lt;wsp:rsid wsp:val=&quot;008C6BF6&quot;/&gt;&lt;wsp:rsid wsp:val=&quot;008C7B47&quot;/&gt;&lt;wsp:rsid wsp:val=&quot;008C7C9C&quot;/&gt;&lt;wsp:rsid wsp:val=&quot;008D0E02&quot;/&gt;&lt;wsp:rsid wsp:val=&quot;008D13B0&quot;/&gt;&lt;wsp:rsid wsp:val=&quot;008D1555&quot;/&gt;&lt;wsp:rsid wsp:val=&quot;008D232B&quot;/&gt;&lt;wsp:rsid wsp:val=&quot;008D2AEE&quot;/&gt;&lt;wsp:rsid wsp:val=&quot;008D2C87&quot;/&gt;&lt;wsp:rsid wsp:val=&quot;008D4B8F&quot;/&gt;&lt;wsp:rsid wsp:val=&quot;008D5D94&quot;/&gt;&lt;wsp:rsid wsp:val=&quot;008D6077&quot;/&gt;&lt;wsp:rsid wsp:val=&quot;008D67BC&quot;/&gt;&lt;wsp:rsid wsp:val=&quot;008D67FB&quot;/&gt;&lt;wsp:rsid wsp:val=&quot;008D690E&quot;/&gt;&lt;wsp:rsid wsp:val=&quot;008D6C92&quot;/&gt;&lt;wsp:rsid wsp:val=&quot;008D74CE&quot;/&gt;&lt;wsp:rsid wsp:val=&quot;008D7686&quot;/&gt;&lt;wsp:rsid wsp:val=&quot;008D76B1&quot;/&gt;&lt;wsp:rsid wsp:val=&quot;008D7B2D&quot;/&gt;&lt;wsp:rsid wsp:val=&quot;008D7E49&quot;/&gt;&lt;wsp:rsid wsp:val=&quot;008D7FAB&quot;/&gt;&lt;wsp:rsid wsp:val=&quot;008E0051&quot;/&gt;&lt;wsp:rsid wsp:val=&quot;008E036D&quot;/&gt;&lt;wsp:rsid wsp:val=&quot;008E05BA&quot;/&gt;&lt;wsp:rsid wsp:val=&quot;008E0A04&quot;/&gt;&lt;wsp:rsid wsp:val=&quot;008E170B&quot;/&gt;&lt;wsp:rsid wsp:val=&quot;008E1D26&quot;/&gt;&lt;wsp:rsid wsp:val=&quot;008E1E2E&quot;/&gt;&lt;wsp:rsid wsp:val=&quot;008E2BB2&quot;/&gt;&lt;wsp:rsid wsp:val=&quot;008E2E5F&quot;/&gt;&lt;wsp:rsid wsp:val=&quot;008E3141&quot;/&gt;&lt;wsp:rsid wsp:val=&quot;008E43F6&quot;/&gt;&lt;wsp:rsid wsp:val=&quot;008E4F6C&quot;/&gt;&lt;wsp:rsid wsp:val=&quot;008E5349&quot;/&gt;&lt;wsp:rsid wsp:val=&quot;008E53B6&quot;/&gt;&lt;wsp:rsid wsp:val=&quot;008E53FC&quot;/&gt;&lt;wsp:rsid wsp:val=&quot;008E568F&quot;/&gt;&lt;wsp:rsid wsp:val=&quot;008E571B&quot;/&gt;&lt;wsp:rsid wsp:val=&quot;008E66FD&quot;/&gt;&lt;wsp:rsid wsp:val=&quot;008E69DE&quot;/&gt;&lt;wsp:rsid wsp:val=&quot;008E6DF1&quot;/&gt;&lt;wsp:rsid wsp:val=&quot;008E7195&quot;/&gt;&lt;wsp:rsid wsp:val=&quot;008E757C&quot;/&gt;&lt;wsp:rsid wsp:val=&quot;008E7DAA&quot;/&gt;&lt;wsp:rsid wsp:val=&quot;008F04FB&quot;/&gt;&lt;wsp:rsid wsp:val=&quot;008F1F35&quot;/&gt;&lt;wsp:rsid wsp:val=&quot;008F214D&quot;/&gt;&lt;wsp:rsid wsp:val=&quot;008F221C&quot;/&gt;&lt;wsp:rsid wsp:val=&quot;008F25F4&quot;/&gt;&lt;wsp:rsid wsp:val=&quot;008F2960&quot;/&gt;&lt;wsp:rsid wsp:val=&quot;008F35A4&quot;/&gt;&lt;wsp:rsid wsp:val=&quot;008F3832&quot;/&gt;&lt;wsp:rsid wsp:val=&quot;008F3833&quot;/&gt;&lt;wsp:rsid wsp:val=&quot;008F3975&quot;/&gt;&lt;wsp:rsid wsp:val=&quot;008F3D49&quot;/&gt;&lt;wsp:rsid wsp:val=&quot;008F4295&quot;/&gt;&lt;wsp:rsid wsp:val=&quot;008F4374&quot;/&gt;&lt;wsp:rsid wsp:val=&quot;008F4603&quot;/&gt;&lt;wsp:rsid wsp:val=&quot;008F52E6&quot;/&gt;&lt;wsp:rsid wsp:val=&quot;008F541B&quot;/&gt;&lt;wsp:rsid wsp:val=&quot;008F57D0&quot;/&gt;&lt;wsp:rsid wsp:val=&quot;008F6F57&quot;/&gt;&lt;wsp:rsid wsp:val=&quot;008F78DD&quot;/&gt;&lt;wsp:rsid wsp:val=&quot;008F7918&quot;/&gt;&lt;wsp:rsid wsp:val=&quot;008F7CD6&quot;/&gt;&lt;wsp:rsid wsp:val=&quot;00900083&quot;/&gt;&lt;wsp:rsid wsp:val=&quot;0090076C&quot;/&gt;&lt;wsp:rsid wsp:val=&quot;00900D65&quot;/&gt;&lt;wsp:rsid wsp:val=&quot;0090119D&quot;/&gt;&lt;wsp:rsid wsp:val=&quot;009011D1&quot;/&gt;&lt;wsp:rsid wsp:val=&quot;00901A00&quot;/&gt;&lt;wsp:rsid wsp:val=&quot;00902522&quot;/&gt;&lt;wsp:rsid wsp:val=&quot;00902588&quot;/&gt;&lt;wsp:rsid wsp:val=&quot;009032A3&quot;/&gt;&lt;wsp:rsid wsp:val=&quot;00903341&quot;/&gt;&lt;wsp:rsid wsp:val=&quot;00903C48&quot;/&gt;&lt;wsp:rsid wsp:val=&quot;00904670&quot;/&gt;&lt;wsp:rsid wsp:val=&quot;009046E9&quot;/&gt;&lt;wsp:rsid wsp:val=&quot;009049BC&quot;/&gt;&lt;wsp:rsid wsp:val=&quot;009060D5&quot;/&gt;&lt;wsp:rsid wsp:val=&quot;009066D8&quot;/&gt;&lt;wsp:rsid wsp:val=&quot;00906D8D&quot;/&gt;&lt;wsp:rsid wsp:val=&quot;00906FD8&quot;/&gt;&lt;wsp:rsid wsp:val=&quot;009073A0&quot;/&gt;&lt;wsp:rsid wsp:val=&quot;00907E2E&quot;/&gt;&lt;wsp:rsid wsp:val=&quot;00907E53&quot;/&gt;&lt;wsp:rsid wsp:val=&quot;0091054F&quot;/&gt;&lt;wsp:rsid wsp:val=&quot;00910D1F&quot;/&gt;&lt;wsp:rsid wsp:val=&quot;00911433&quot;/&gt;&lt;wsp:rsid wsp:val=&quot;00911452&quot;/&gt;&lt;wsp:rsid wsp:val=&quot;009124A0&quot;/&gt;&lt;wsp:rsid wsp:val=&quot;009125D3&quot;/&gt;&lt;wsp:rsid wsp:val=&quot;00912813&quot;/&gt;&lt;wsp:rsid wsp:val=&quot;00912A13&quot;/&gt;&lt;wsp:rsid wsp:val=&quot;00912A89&quot;/&gt;&lt;wsp:rsid wsp:val=&quot;0091350B&quot;/&gt;&lt;wsp:rsid wsp:val=&quot;009135F4&quot;/&gt;&lt;wsp:rsid wsp:val=&quot;00913747&quot;/&gt;&lt;wsp:rsid wsp:val=&quot;0091377D&quot;/&gt;&lt;wsp:rsid wsp:val=&quot;00913ABD&quot;/&gt;&lt;wsp:rsid wsp:val=&quot;00914080&quot;/&gt;&lt;wsp:rsid wsp:val=&quot;009146FA&quot;/&gt;&lt;wsp:rsid wsp:val=&quot;0091474F&quot;/&gt;&lt;wsp:rsid wsp:val=&quot;00914955&quot;/&gt;&lt;wsp:rsid wsp:val=&quot;00914E7B&quot;/&gt;&lt;wsp:rsid wsp:val=&quot;00914ED0&quot;/&gt;&lt;wsp:rsid wsp:val=&quot;0091515D&quot;/&gt;&lt;wsp:rsid wsp:val=&quot;00915348&quot;/&gt;&lt;wsp:rsid wsp:val=&quot;00915569&quot;/&gt;&lt;wsp:rsid wsp:val=&quot;00916AAB&quot;/&gt;&lt;wsp:rsid wsp:val=&quot;0091703F&quot;/&gt;&lt;wsp:rsid wsp:val=&quot;0091749D&quot;/&gt;&lt;wsp:rsid wsp:val=&quot;00917526&quot;/&gt;&lt;wsp:rsid wsp:val=&quot;0092017A&quot;/&gt;&lt;wsp:rsid wsp:val=&quot;00920880&quot;/&gt;&lt;wsp:rsid wsp:val=&quot;00920C5C&quot;/&gt;&lt;wsp:rsid wsp:val=&quot;00921F48&quot;/&gt;&lt;wsp:rsid wsp:val=&quot;0092201D&quot;/&gt;&lt;wsp:rsid wsp:val=&quot;009222A2&quot;/&gt;&lt;wsp:rsid wsp:val=&quot;009224A8&quot;/&gt;&lt;wsp:rsid wsp:val=&quot;00922C80&quot;/&gt;&lt;wsp:rsid wsp:val=&quot;00922D74&quot;/&gt;&lt;wsp:rsid wsp:val=&quot;00923A47&quot;/&gt;&lt;wsp:rsid wsp:val=&quot;00923BF4&quot;/&gt;&lt;wsp:rsid wsp:val=&quot;00923D09&quot;/&gt;&lt;wsp:rsid wsp:val=&quot;00923E79&quot;/&gt;&lt;wsp:rsid wsp:val=&quot;00923FA1&quot;/&gt;&lt;wsp:rsid wsp:val=&quot;00924C08&quot;/&gt;&lt;wsp:rsid wsp:val=&quot;00924F6E&quot;/&gt;&lt;wsp:rsid wsp:val=&quot;00925090&quot;/&gt;&lt;wsp:rsid wsp:val=&quot;009254A4&quot;/&gt;&lt;wsp:rsid wsp:val=&quot;00926A90&quot;/&gt;&lt;wsp:rsid wsp:val=&quot;00926C76&quot;/&gt;&lt;wsp:rsid wsp:val=&quot;00926DC2&quot;/&gt;&lt;wsp:rsid wsp:val=&quot;00926E78&quot;/&gt;&lt;wsp:rsid wsp:val=&quot;00926F68&quot;/&gt;&lt;wsp:rsid wsp:val=&quot;009279C8&quot;/&gt;&lt;wsp:rsid wsp:val=&quot;00927A5A&quot;/&gt;&lt;wsp:rsid wsp:val=&quot;00927B17&quot;/&gt;&lt;wsp:rsid wsp:val=&quot;00927BD8&quot;/&gt;&lt;wsp:rsid wsp:val=&quot;0093074A&quot;/&gt;&lt;wsp:rsid wsp:val=&quot;00930825&quot;/&gt;&lt;wsp:rsid wsp:val=&quot;0093087E&quot;/&gt;&lt;wsp:rsid wsp:val=&quot;00930D82&quot;/&gt;&lt;wsp:rsid wsp:val=&quot;00931D4E&quot;/&gt;&lt;wsp:rsid wsp:val=&quot;009324CB&quot;/&gt;&lt;wsp:rsid wsp:val=&quot;00932615&quot;/&gt;&lt;wsp:rsid wsp:val=&quot;009327A9&quot;/&gt;&lt;wsp:rsid wsp:val=&quot;00932C77&quot;/&gt;&lt;wsp:rsid wsp:val=&quot;00932E6F&quot;/&gt;&lt;wsp:rsid wsp:val=&quot;009331E6&quot;/&gt;&lt;wsp:rsid wsp:val=&quot;00933590&quot;/&gt;&lt;wsp:rsid wsp:val=&quot;0093416B&quot;/&gt;&lt;wsp:rsid wsp:val=&quot;00934387&quot;/&gt;&lt;wsp:rsid wsp:val=&quot;0093444B&quot;/&gt;&lt;wsp:rsid wsp:val=&quot;0093491F&quot;/&gt;&lt;wsp:rsid wsp:val=&quot;00934AC8&quot;/&gt;&lt;wsp:rsid wsp:val=&quot;00934B83&quot;/&gt;&lt;wsp:rsid wsp:val=&quot;009357D2&quot;/&gt;&lt;wsp:rsid wsp:val=&quot;00936C4D&quot;/&gt;&lt;wsp:rsid wsp:val=&quot;00936D45&quot;/&gt;&lt;wsp:rsid wsp:val=&quot;00936DDC&quot;/&gt;&lt;wsp:rsid wsp:val=&quot;00936E00&quot;/&gt;&lt;wsp:rsid wsp:val=&quot;0093702E&quot;/&gt;&lt;wsp:rsid wsp:val=&quot;009370F3&quot;/&gt;&lt;wsp:rsid wsp:val=&quot;0093719A&quot;/&gt;&lt;wsp:rsid wsp:val=&quot;00937415&quot;/&gt;&lt;wsp:rsid wsp:val=&quot;00937BB8&quot;/&gt;&lt;wsp:rsid wsp:val=&quot;00937D0F&quot;/&gt;&lt;wsp:rsid wsp:val=&quot;009403FB&quot;/&gt;&lt;wsp:rsid wsp:val=&quot;0094095F&quot;/&gt;&lt;wsp:rsid wsp:val=&quot;00940B71&quot;/&gt;&lt;wsp:rsid wsp:val=&quot;00940B84&quot;/&gt;&lt;wsp:rsid wsp:val=&quot;0094146B&quot;/&gt;&lt;wsp:rsid wsp:val=&quot;009417C7&quot;/&gt;&lt;wsp:rsid wsp:val=&quot;0094187F&quot;/&gt;&lt;wsp:rsid wsp:val=&quot;00941BAC&quot;/&gt;&lt;wsp:rsid wsp:val=&quot;00941D1F&quot;/&gt;&lt;wsp:rsid wsp:val=&quot;00942134&quot;/&gt;&lt;wsp:rsid wsp:val=&quot;0094249A&quot;/&gt;&lt;wsp:rsid wsp:val=&quot;0094268E&quot;/&gt;&lt;wsp:rsid wsp:val=&quot;009432A6&quot;/&gt;&lt;wsp:rsid wsp:val=&quot;009439A1&quot;/&gt;&lt;wsp:rsid wsp:val=&quot;00943C4B&quot;/&gt;&lt;wsp:rsid wsp:val=&quot;00945046&quot;/&gt;&lt;wsp:rsid wsp:val=&quot;00945610&quot;/&gt;&lt;wsp:rsid wsp:val=&quot;009458A3&quot;/&gt;&lt;wsp:rsid wsp:val=&quot;00945DC5&quot;/&gt;&lt;wsp:rsid wsp:val=&quot;0094633C&quot;/&gt;&lt;wsp:rsid wsp:val=&quot;00946514&quot;/&gt;&lt;wsp:rsid wsp:val=&quot;00946F3D&quot;/&gt;&lt;wsp:rsid wsp:val=&quot;00947281&quot;/&gt;&lt;wsp:rsid wsp:val=&quot;00947457&quot;/&gt;&lt;wsp:rsid wsp:val=&quot;00947A20&quot;/&gt;&lt;wsp:rsid wsp:val=&quot;00947E31&quot;/&gt;&lt;wsp:rsid wsp:val=&quot;0095005A&quot;/&gt;&lt;wsp:rsid wsp:val=&quot;00950599&quot;/&gt;&lt;wsp:rsid wsp:val=&quot;009506A9&quot;/&gt;&lt;wsp:rsid wsp:val=&quot;00950EAB&quot;/&gt;&lt;wsp:rsid wsp:val=&quot;00950FEF&quot;/&gt;&lt;wsp:rsid wsp:val=&quot;0095132C&quot;/&gt;&lt;wsp:rsid wsp:val=&quot;009518BC&quot;/&gt;&lt;wsp:rsid wsp:val=&quot;00951C4E&quot;/&gt;&lt;wsp:rsid wsp:val=&quot;00952075&quot;/&gt;&lt;wsp:rsid wsp:val=&quot;0095235F&quot;/&gt;&lt;wsp:rsid wsp:val=&quot;009527CD&quot;/&gt;&lt;wsp:rsid wsp:val=&quot;009532BC&quot;/&gt;&lt;wsp:rsid wsp:val=&quot;009537BF&quot;/&gt;&lt;wsp:rsid wsp:val=&quot;009544B2&quot;/&gt;&lt;wsp:rsid wsp:val=&quot;009548CD&quot;/&gt;&lt;wsp:rsid wsp:val=&quot;0095527C&quot;/&gt;&lt;wsp:rsid wsp:val=&quot;009555AD&quot;/&gt;&lt;wsp:rsid wsp:val=&quot;009560D0&quot;/&gt;&lt;wsp:rsid wsp:val=&quot;00956B16&quot;/&gt;&lt;wsp:rsid wsp:val=&quot;00957D5D&quot;/&gt;&lt;wsp:rsid wsp:val=&quot;00960245&quot;/&gt;&lt;wsp:rsid wsp:val=&quot;00960F2F&quot;/&gt;&lt;wsp:rsid wsp:val=&quot;0096142E&quot;/&gt;&lt;wsp:rsid wsp:val=&quot;00962288&quot;/&gt;&lt;wsp:rsid wsp:val=&quot;00962651&quot;/&gt;&lt;wsp:rsid wsp:val=&quot;00962BAB&quot;/&gt;&lt;wsp:rsid wsp:val=&quot;00962E54&quot;/&gt;&lt;wsp:rsid wsp:val=&quot;00963021&quot;/&gt;&lt;wsp:rsid wsp:val=&quot;0096303F&quot;/&gt;&lt;wsp:rsid wsp:val=&quot;00963E42&quot;/&gt;&lt;wsp:rsid wsp:val=&quot;00963F3D&quot;/&gt;&lt;wsp:rsid wsp:val=&quot;009642F0&quot;/&gt;&lt;wsp:rsid wsp:val=&quot;009647F5&quot;/&gt;&lt;wsp:rsid wsp:val=&quot;0096491B&quot;/&gt;&lt;wsp:rsid wsp:val=&quot;009651CB&quot;/&gt;&lt;wsp:rsid wsp:val=&quot;009652AD&quot;/&gt;&lt;wsp:rsid wsp:val=&quot;00965F01&quot;/&gt;&lt;wsp:rsid wsp:val=&quot;00967787&quot;/&gt;&lt;wsp:rsid wsp:val=&quot;00970100&quot;/&gt;&lt;wsp:rsid wsp:val=&quot;0097091C&quot;/&gt;&lt;wsp:rsid wsp:val=&quot;009709D1&quot;/&gt;&lt;wsp:rsid wsp:val=&quot;00972499&quot;/&gt;&lt;wsp:rsid wsp:val=&quot;00972D2C&quot;/&gt;&lt;wsp:rsid wsp:val=&quot;00972D34&quot;/&gt;&lt;wsp:rsid wsp:val=&quot;00972D90&quot;/&gt;&lt;wsp:rsid wsp:val=&quot;009733DA&quot;/&gt;&lt;wsp:rsid wsp:val=&quot;009735B1&quot;/&gt;&lt;wsp:rsid wsp:val=&quot;0097365E&quot;/&gt;&lt;wsp:rsid wsp:val=&quot;00973846&quot;/&gt;&lt;wsp:rsid wsp:val=&quot;00973B1E&quot;/&gt;&lt;wsp:rsid wsp:val=&quot;0097413C&quot;/&gt;&lt;wsp:rsid wsp:val=&quot;0097442D&quot;/&gt;&lt;wsp:rsid wsp:val=&quot;00974932&quot;/&gt;&lt;wsp:rsid wsp:val=&quot;009751ED&quot;/&gt;&lt;wsp:rsid wsp:val=&quot;0097525A&quot;/&gt;&lt;wsp:rsid wsp:val=&quot;00975661&quot;/&gt;&lt;wsp:rsid wsp:val=&quot;00975AA8&quot;/&gt;&lt;wsp:rsid wsp:val=&quot;00976239&quot;/&gt;&lt;wsp:rsid wsp:val=&quot;00976597&quot;/&gt;&lt;wsp:rsid wsp:val=&quot;00976603&quot;/&gt;&lt;wsp:rsid wsp:val=&quot;00976F3B&quot;/&gt;&lt;wsp:rsid wsp:val=&quot;00976FB4&quot;/&gt;&lt;wsp:rsid wsp:val=&quot;00977664&quot;/&gt;&lt;wsp:rsid wsp:val=&quot;00977742&quot;/&gt;&lt;wsp:rsid wsp:val=&quot;00977A5D&quot;/&gt;&lt;wsp:rsid wsp:val=&quot;00977EF5&quot;/&gt;&lt;wsp:rsid wsp:val=&quot;00980A67&quot;/&gt;&lt;wsp:rsid wsp:val=&quot;00980EC4&quot;/&gt;&lt;wsp:rsid wsp:val=&quot;009812CB&quot;/&gt;&lt;wsp:rsid wsp:val=&quot;009816B5&quot;/&gt;&lt;wsp:rsid wsp:val=&quot;00981C11&quot;/&gt;&lt;wsp:rsid wsp:val=&quot;009823B8&quot;/&gt;&lt;wsp:rsid wsp:val=&quot;0098267B&quot;/&gt;&lt;wsp:rsid wsp:val=&quot;00982939&quot;/&gt;&lt;wsp:rsid wsp:val=&quot;00982A36&quot;/&gt;&lt;wsp:rsid wsp:val=&quot;00982AD9&quot;/&gt;&lt;wsp:rsid wsp:val=&quot;009831E9&quot;/&gt;&lt;wsp:rsid wsp:val=&quot;0098377F&quot;/&gt;&lt;wsp:rsid wsp:val=&quot;00983E6A&quot;/&gt;&lt;wsp:rsid wsp:val=&quot;00983EFF&quot;/&gt;&lt;wsp:rsid wsp:val=&quot;009841E7&quot;/&gt;&lt;wsp:rsid wsp:val=&quot;00984982&quot;/&gt;&lt;wsp:rsid wsp:val=&quot;00984988&quot;/&gt;&lt;wsp:rsid wsp:val=&quot;009849E9&quot;/&gt;&lt;wsp:rsid wsp:val=&quot;00985309&quot;/&gt;&lt;wsp:rsid wsp:val=&quot;0098565C&quot;/&gt;&lt;wsp:rsid wsp:val=&quot;00985AA0&quot;/&gt;&lt;wsp:rsid wsp:val=&quot;009861CA&quot;/&gt;&lt;wsp:rsid wsp:val=&quot;00986BDB&quot;/&gt;&lt;wsp:rsid wsp:val=&quot;00986E0C&quot;/&gt;&lt;wsp:rsid wsp:val=&quot;009872F2&quot;/&gt;&lt;wsp:rsid wsp:val=&quot;009873EA&quot;/&gt;&lt;wsp:rsid wsp:val=&quot;00987926&quot;/&gt;&lt;wsp:rsid wsp:val=&quot;009900E4&quot;/&gt;&lt;wsp:rsid wsp:val=&quot;00990137&quot;/&gt;&lt;wsp:rsid wsp:val=&quot;00990178&quot;/&gt;&lt;wsp:rsid wsp:val=&quot;009905DA&quot;/&gt;&lt;wsp:rsid wsp:val=&quot;00990715&quot;/&gt;&lt;wsp:rsid wsp:val=&quot;00990DD8&quot;/&gt;&lt;wsp:rsid wsp:val=&quot;00991528&quot;/&gt;&lt;wsp:rsid wsp:val=&quot;00991B7E&quot;/&gt;&lt;wsp:rsid wsp:val=&quot;00991CBB&quot;/&gt;&lt;wsp:rsid wsp:val=&quot;00991DE3&quot;/&gt;&lt;wsp:rsid wsp:val=&quot;00992096&quot;/&gt;&lt;wsp:rsid wsp:val=&quot;00993370&quot;/&gt;&lt;wsp:rsid wsp:val=&quot;00993CA9&quot;/&gt;&lt;wsp:rsid wsp:val=&quot;00995115&quot;/&gt;&lt;wsp:rsid wsp:val=&quot;00995423&quot;/&gt;&lt;wsp:rsid wsp:val=&quot;0099588C&quot;/&gt;&lt;wsp:rsid wsp:val=&quot;009962D6&quot;/&gt;&lt;wsp:rsid wsp:val=&quot;00996AEF&quot;/&gt;&lt;wsp:rsid wsp:val=&quot;00996D2D&quot;/&gt;&lt;wsp:rsid wsp:val=&quot;00997116&quot;/&gt;&lt;wsp:rsid wsp:val=&quot;009975D6&quot;/&gt;&lt;wsp:rsid wsp:val=&quot;00997800&quot;/&gt;&lt;wsp:rsid wsp:val=&quot;009A0232&quot;/&gt;&lt;wsp:rsid wsp:val=&quot;009A04F9&quot;/&gt;&lt;wsp:rsid wsp:val=&quot;009A095C&quot;/&gt;&lt;wsp:rsid wsp:val=&quot;009A0AA3&quot;/&gt;&lt;wsp:rsid wsp:val=&quot;009A0C64&quot;/&gt;&lt;wsp:rsid wsp:val=&quot;009A1A68&quot;/&gt;&lt;wsp:rsid wsp:val=&quot;009A1C98&quot;/&gt;&lt;wsp:rsid wsp:val=&quot;009A1FD5&quot;/&gt;&lt;wsp:rsid wsp:val=&quot;009A20A4&quot;/&gt;&lt;wsp:rsid wsp:val=&quot;009A25FF&quot;/&gt;&lt;wsp:rsid wsp:val=&quot;009A2836&quot;/&gt;&lt;wsp:rsid wsp:val=&quot;009A31C6&quot;/&gt;&lt;wsp:rsid wsp:val=&quot;009A31E9&quot;/&gt;&lt;wsp:rsid wsp:val=&quot;009A3203&quot;/&gt;&lt;wsp:rsid wsp:val=&quot;009A367C&quot;/&gt;&lt;wsp:rsid wsp:val=&quot;009A3823&quot;/&gt;&lt;wsp:rsid wsp:val=&quot;009A3BCF&quot;/&gt;&lt;wsp:rsid wsp:val=&quot;009A472E&quot;/&gt;&lt;wsp:rsid wsp:val=&quot;009A506C&quot;/&gt;&lt;wsp:rsid wsp:val=&quot;009A5655&quot;/&gt;&lt;wsp:rsid wsp:val=&quot;009A577C&quot;/&gt;&lt;wsp:rsid wsp:val=&quot;009A57DD&quot;/&gt;&lt;wsp:rsid wsp:val=&quot;009A586D&quot;/&gt;&lt;wsp:rsid wsp:val=&quot;009A5C08&quot;/&gt;&lt;wsp:rsid wsp:val=&quot;009A63AE&quot;/&gt;&lt;wsp:rsid wsp:val=&quot;009A711E&quot;/&gt;&lt;wsp:rsid wsp:val=&quot;009A781C&quot;/&gt;&lt;wsp:rsid wsp:val=&quot;009A7BD6&quot;/&gt;&lt;wsp:rsid wsp:val=&quot;009B0409&quot;/&gt;&lt;wsp:rsid wsp:val=&quot;009B06E3&quot;/&gt;&lt;wsp:rsid wsp:val=&quot;009B0A27&quot;/&gt;&lt;wsp:rsid wsp:val=&quot;009B0EE3&quot;/&gt;&lt;wsp:rsid wsp:val=&quot;009B1178&quot;/&gt;&lt;wsp:rsid wsp:val=&quot;009B18E9&quot;/&gt;&lt;wsp:rsid wsp:val=&quot;009B2565&quot;/&gt;&lt;wsp:rsid wsp:val=&quot;009B2C77&quot;/&gt;&lt;wsp:rsid wsp:val=&quot;009B3545&quot;/&gt;&lt;wsp:rsid wsp:val=&quot;009B42A1&quot;/&gt;&lt;wsp:rsid wsp:val=&quot;009B5125&quot;/&gt;&lt;wsp:rsid wsp:val=&quot;009B5132&quot;/&gt;&lt;wsp:rsid wsp:val=&quot;009B5B0F&quot;/&gt;&lt;wsp:rsid wsp:val=&quot;009B5CD0&quot;/&gt;&lt;wsp:rsid wsp:val=&quot;009B74B7&quot;/&gt;&lt;wsp:rsid wsp:val=&quot;009B7CA8&quot;/&gt;&lt;wsp:rsid wsp:val=&quot;009C0053&quot;/&gt;&lt;wsp:rsid wsp:val=&quot;009C0181&quot;/&gt;&lt;wsp:rsid wsp:val=&quot;009C0ECD&quot;/&gt;&lt;wsp:rsid wsp:val=&quot;009C15C2&quot;/&gt;&lt;wsp:rsid wsp:val=&quot;009C2217&quot;/&gt;&lt;wsp:rsid wsp:val=&quot;009C2ECC&quot;/&gt;&lt;wsp:rsid wsp:val=&quot;009C369F&quot;/&gt;&lt;wsp:rsid wsp:val=&quot;009C3F12&quot;/&gt;&lt;wsp:rsid wsp:val=&quot;009C42FA&quot;/&gt;&lt;wsp:rsid wsp:val=&quot;009C4A18&quot;/&gt;&lt;wsp:rsid wsp:val=&quot;009C4C3D&quot;/&gt;&lt;wsp:rsid wsp:val=&quot;009C4E2C&quot;/&gt;&lt;wsp:rsid wsp:val=&quot;009C5BD2&quot;/&gt;&lt;wsp:rsid wsp:val=&quot;009C6618&quot;/&gt;&lt;wsp:rsid wsp:val=&quot;009C661A&quot;/&gt;&lt;wsp:rsid wsp:val=&quot;009C73E0&quot;/&gt;&lt;wsp:rsid wsp:val=&quot;009D02B7&quot;/&gt;&lt;wsp:rsid wsp:val=&quot;009D0508&quot;/&gt;&lt;wsp:rsid wsp:val=&quot;009D0A84&quot;/&gt;&lt;wsp:rsid wsp:val=&quot;009D1163&quot;/&gt;&lt;wsp:rsid wsp:val=&quot;009D2233&quot;/&gt;&lt;wsp:rsid wsp:val=&quot;009D2743&quot;/&gt;&lt;wsp:rsid wsp:val=&quot;009D30F4&quot;/&gt;&lt;wsp:rsid wsp:val=&quot;009D330A&quot;/&gt;&lt;wsp:rsid wsp:val=&quot;009D34F0&quot;/&gt;&lt;wsp:rsid wsp:val=&quot;009D35E3&quot;/&gt;&lt;wsp:rsid wsp:val=&quot;009D419B&quot;/&gt;&lt;wsp:rsid wsp:val=&quot;009D41C4&quot;/&gt;&lt;wsp:rsid wsp:val=&quot;009D4DA2&quot;/&gt;&lt;wsp:rsid wsp:val=&quot;009D582B&quot;/&gt;&lt;wsp:rsid wsp:val=&quot;009D58F2&quot;/&gt;&lt;wsp:rsid wsp:val=&quot;009D5E64&quot;/&gt;&lt;wsp:rsid wsp:val=&quot;009D5E7E&quot;/&gt;&lt;wsp:rsid wsp:val=&quot;009D5F68&quot;/&gt;&lt;wsp:rsid wsp:val=&quot;009D6112&quot;/&gt;&lt;wsp:rsid wsp:val=&quot;009D6223&quot;/&gt;&lt;wsp:rsid wsp:val=&quot;009D653D&quot;/&gt;&lt;wsp:rsid wsp:val=&quot;009D73F3&quot;/&gt;&lt;wsp:rsid wsp:val=&quot;009D7EA6&quot;/&gt;&lt;wsp:rsid wsp:val=&quot;009E08CA&quot;/&gt;&lt;wsp:rsid wsp:val=&quot;009E0B6E&quot;/&gt;&lt;wsp:rsid wsp:val=&quot;009E1431&quot;/&gt;&lt;wsp:rsid wsp:val=&quot;009E197F&quot;/&gt;&lt;wsp:rsid wsp:val=&quot;009E19C3&quot;/&gt;&lt;wsp:rsid wsp:val=&quot;009E2097&quot;/&gt;&lt;wsp:rsid wsp:val=&quot;009E25A5&quot;/&gt;&lt;wsp:rsid wsp:val=&quot;009E2A76&quot;/&gt;&lt;wsp:rsid wsp:val=&quot;009E2B4D&quot;/&gt;&lt;wsp:rsid wsp:val=&quot;009E2BC1&quot;/&gt;&lt;wsp:rsid wsp:val=&quot;009E2C84&quot;/&gt;&lt;wsp:rsid wsp:val=&quot;009E2D05&quot;/&gt;&lt;wsp:rsid wsp:val=&quot;009E3079&quot;/&gt;&lt;wsp:rsid wsp:val=&quot;009E3FB9&quot;/&gt;&lt;wsp:rsid wsp:val=&quot;009E3FEE&quot;/&gt;&lt;wsp:rsid wsp:val=&quot;009E4093&quot;/&gt;&lt;wsp:rsid wsp:val=&quot;009E4131&quot;/&gt;&lt;wsp:rsid wsp:val=&quot;009E4163&quot;/&gt;&lt;wsp:rsid wsp:val=&quot;009E4813&quot;/&gt;&lt;wsp:rsid wsp:val=&quot;009E4827&quot;/&gt;&lt;wsp:rsid wsp:val=&quot;009E5A1F&quot;/&gt;&lt;wsp:rsid wsp:val=&quot;009E62C0&quot;/&gt;&lt;wsp:rsid wsp:val=&quot;009E6E51&quot;/&gt;&lt;wsp:rsid wsp:val=&quot;009E71C6&quot;/&gt;&lt;wsp:rsid wsp:val=&quot;009E764A&quot;/&gt;&lt;wsp:rsid wsp:val=&quot;009F0C00&quot;/&gt;&lt;wsp:rsid wsp:val=&quot;009F0C4A&quot;/&gt;&lt;wsp:rsid wsp:val=&quot;009F0EDC&quot;/&gt;&lt;wsp:rsid wsp:val=&quot;009F0F8E&quot;/&gt;&lt;wsp:rsid wsp:val=&quot;009F1093&quot;/&gt;&lt;wsp:rsid wsp:val=&quot;009F1822&quot;/&gt;&lt;wsp:rsid wsp:val=&quot;009F1CB4&quot;/&gt;&lt;wsp:rsid wsp:val=&quot;009F24DC&quot;/&gt;&lt;wsp:rsid wsp:val=&quot;009F2873&quot;/&gt;&lt;wsp:rsid wsp:val=&quot;009F2944&quot;/&gt;&lt;wsp:rsid wsp:val=&quot;009F2D93&quot;/&gt;&lt;wsp:rsid wsp:val=&quot;009F34EA&quot;/&gt;&lt;wsp:rsid wsp:val=&quot;009F363E&quot;/&gt;&lt;wsp:rsid wsp:val=&quot;009F4063&quot;/&gt;&lt;wsp:rsid wsp:val=&quot;009F4599&quot;/&gt;&lt;wsp:rsid wsp:val=&quot;009F4942&quot;/&gt;&lt;wsp:rsid wsp:val=&quot;009F4ACD&quot;/&gt;&lt;wsp:rsid wsp:val=&quot;009F567C&quot;/&gt;&lt;wsp:rsid wsp:val=&quot;009F62EC&quot;/&gt;&lt;wsp:rsid wsp:val=&quot;009F64AF&quot;/&gt;&lt;wsp:rsid wsp:val=&quot;009F7634&quot;/&gt;&lt;wsp:rsid wsp:val=&quot;009F7C62&quot;/&gt;&lt;wsp:rsid wsp:val=&quot;00A00FDF&quot;/&gt;&lt;wsp:rsid wsp:val=&quot;00A01107&quot;/&gt;&lt;wsp:rsid wsp:val=&quot;00A0161D&quot;/&gt;&lt;wsp:rsid wsp:val=&quot;00A01E7F&quot;/&gt;&lt;wsp:rsid wsp:val=&quot;00A0230C&quot;/&gt;&lt;wsp:rsid wsp:val=&quot;00A04B6A&quot;/&gt;&lt;wsp:rsid wsp:val=&quot;00A04B9D&quot;/&gt;&lt;wsp:rsid wsp:val=&quot;00A05279&quot;/&gt;&lt;wsp:rsid wsp:val=&quot;00A052A7&quot;/&gt;&lt;wsp:rsid wsp:val=&quot;00A0539E&quot;/&gt;&lt;wsp:rsid wsp:val=&quot;00A056A6&quot;/&gt;&lt;wsp:rsid wsp:val=&quot;00A0587D&quot;/&gt;&lt;wsp:rsid wsp:val=&quot;00A05F02&quot;/&gt;&lt;wsp:rsid wsp:val=&quot;00A06840&quot;/&gt;&lt;wsp:rsid wsp:val=&quot;00A074AE&quot;/&gt;&lt;wsp:rsid wsp:val=&quot;00A07915&quot;/&gt;&lt;wsp:rsid wsp:val=&quot;00A0797B&quot;/&gt;&lt;wsp:rsid wsp:val=&quot;00A07D66&quot;/&gt;&lt;wsp:rsid wsp:val=&quot;00A10799&quot;/&gt;&lt;wsp:rsid wsp:val=&quot;00A10937&quot;/&gt;&lt;wsp:rsid wsp:val=&quot;00A10B2A&quot;/&gt;&lt;wsp:rsid wsp:val=&quot;00A11CAE&quot;/&gt;&lt;wsp:rsid wsp:val=&quot;00A12065&quot;/&gt;&lt;wsp:rsid wsp:val=&quot;00A12793&quot;/&gt;&lt;wsp:rsid wsp:val=&quot;00A127C7&quot;/&gt;&lt;wsp:rsid wsp:val=&quot;00A13C94&quot;/&gt;&lt;wsp:rsid wsp:val=&quot;00A14079&quot;/&gt;&lt;wsp:rsid wsp:val=&quot;00A14229&quot;/&gt;&lt;wsp:rsid wsp:val=&quot;00A146E2&quot;/&gt;&lt;wsp:rsid wsp:val=&quot;00A14C9B&quot;/&gt;&lt;wsp:rsid wsp:val=&quot;00A153F0&quot;/&gt;&lt;wsp:rsid wsp:val=&quot;00A15748&quot;/&gt;&lt;wsp:rsid wsp:val=&quot;00A16195&quot;/&gt;&lt;wsp:rsid wsp:val=&quot;00A16206&quot;/&gt;&lt;wsp:rsid wsp:val=&quot;00A16D6B&quot;/&gt;&lt;wsp:rsid wsp:val=&quot;00A17385&quot;/&gt;&lt;wsp:rsid wsp:val=&quot;00A17EAE&quot;/&gt;&lt;wsp:rsid wsp:val=&quot;00A206A3&quot;/&gt;&lt;wsp:rsid wsp:val=&quot;00A206B4&quot;/&gt;&lt;wsp:rsid wsp:val=&quot;00A20A5F&quot;/&gt;&lt;wsp:rsid wsp:val=&quot;00A2103E&quot;/&gt;&lt;wsp:rsid wsp:val=&quot;00A21579&quot;/&gt;&lt;wsp:rsid wsp:val=&quot;00A218E3&quot;/&gt;&lt;wsp:rsid wsp:val=&quot;00A2251B&quot;/&gt;&lt;wsp:rsid wsp:val=&quot;00A2278D&quot;/&gt;&lt;wsp:rsid wsp:val=&quot;00A227EC&quot;/&gt;&lt;wsp:rsid wsp:val=&quot;00A22A9D&quot;/&gt;&lt;wsp:rsid wsp:val=&quot;00A22CAD&quot;/&gt;&lt;wsp:rsid wsp:val=&quot;00A22CFB&quot;/&gt;&lt;wsp:rsid wsp:val=&quot;00A230A6&quot;/&gt;&lt;wsp:rsid wsp:val=&quot;00A24EB5&quot;/&gt;&lt;wsp:rsid wsp:val=&quot;00A250E8&quot;/&gt;&lt;wsp:rsid wsp:val=&quot;00A25506&quot;/&gt;&lt;wsp:rsid wsp:val=&quot;00A2685F&quot;/&gt;&lt;wsp:rsid wsp:val=&quot;00A2686B&quot;/&gt;&lt;wsp:rsid wsp:val=&quot;00A26FA0&quot;/&gt;&lt;wsp:rsid wsp:val=&quot;00A27246&quot;/&gt;&lt;wsp:rsid wsp:val=&quot;00A27C88&quot;/&gt;&lt;wsp:rsid wsp:val=&quot;00A301A0&quot;/&gt;&lt;wsp:rsid wsp:val=&quot;00A30845&quot;/&gt;&lt;wsp:rsid wsp:val=&quot;00A30C41&quot;/&gt;&lt;wsp:rsid wsp:val=&quot;00A30E99&quot;/&gt;&lt;wsp:rsid wsp:val=&quot;00A31689&quot;/&gt;&lt;wsp:rsid wsp:val=&quot;00A3177A&quot;/&gt;&lt;wsp:rsid wsp:val=&quot;00A32233&quot;/&gt;&lt;wsp:rsid wsp:val=&quot;00A3266E&quot;/&gt;&lt;wsp:rsid wsp:val=&quot;00A327C1&quot;/&gt;&lt;wsp:rsid wsp:val=&quot;00A32BDB&quot;/&gt;&lt;wsp:rsid wsp:val=&quot;00A32EDD&quot;/&gt;&lt;wsp:rsid wsp:val=&quot;00A32F29&quot;/&gt;&lt;wsp:rsid wsp:val=&quot;00A32FC8&quot;/&gt;&lt;wsp:rsid wsp:val=&quot;00A33DE9&quot;/&gt;&lt;wsp:rsid wsp:val=&quot;00A33FCA&quot;/&gt;&lt;wsp:rsid wsp:val=&quot;00A34E55&quot;/&gt;&lt;wsp:rsid wsp:val=&quot;00A350E6&quot;/&gt;&lt;wsp:rsid wsp:val=&quot;00A351BE&quot;/&gt;&lt;wsp:rsid wsp:val=&quot;00A3543C&quot;/&gt;&lt;wsp:rsid wsp:val=&quot;00A356FC&quot;/&gt;&lt;wsp:rsid wsp:val=&quot;00A3599E&quot;/&gt;&lt;wsp:rsid wsp:val=&quot;00A35DA0&quot;/&gt;&lt;wsp:rsid wsp:val=&quot;00A36085&quot;/&gt;&lt;wsp:rsid wsp:val=&quot;00A362E8&quot;/&gt;&lt;wsp:rsid wsp:val=&quot;00A370C3&quot;/&gt;&lt;wsp:rsid wsp:val=&quot;00A37625&quot;/&gt;&lt;wsp:rsid wsp:val=&quot;00A378CA&quot;/&gt;&lt;wsp:rsid wsp:val=&quot;00A37FA2&quot;/&gt;&lt;wsp:rsid wsp:val=&quot;00A4088D&quot;/&gt;&lt;wsp:rsid wsp:val=&quot;00A40A37&quot;/&gt;&lt;wsp:rsid wsp:val=&quot;00A40B75&quot;/&gt;&lt;wsp:rsid wsp:val=&quot;00A424AB&quot;/&gt;&lt;wsp:rsid wsp:val=&quot;00A42538&quot;/&gt;&lt;wsp:rsid wsp:val=&quot;00A42CC6&quot;/&gt;&lt;wsp:rsid wsp:val=&quot;00A433AA&quot;/&gt;&lt;wsp:rsid wsp:val=&quot;00A43773&quot;/&gt;&lt;wsp:rsid wsp:val=&quot;00A44050&quot;/&gt;&lt;wsp:rsid wsp:val=&quot;00A4457A&quot;/&gt;&lt;wsp:rsid wsp:val=&quot;00A44584&quot;/&gt;&lt;wsp:rsid wsp:val=&quot;00A447A1&quot;/&gt;&lt;wsp:rsid wsp:val=&quot;00A44AE5&quot;/&gt;&lt;wsp:rsid wsp:val=&quot;00A45E04&quot;/&gt;&lt;wsp:rsid wsp:val=&quot;00A461AC&quot;/&gt;&lt;wsp:rsid wsp:val=&quot;00A4698B&quot;/&gt;&lt;wsp:rsid wsp:val=&quot;00A46C90&quot;/&gt;&lt;wsp:rsid wsp:val=&quot;00A46DDC&quot;/&gt;&lt;wsp:rsid wsp:val=&quot;00A47A52&quot;/&gt;&lt;wsp:rsid wsp:val=&quot;00A47DA8&quot;/&gt;&lt;wsp:rsid wsp:val=&quot;00A5109E&quot;/&gt;&lt;wsp:rsid wsp:val=&quot;00A51AEC&quot;/&gt;&lt;wsp:rsid wsp:val=&quot;00A51C39&quot;/&gt;&lt;wsp:rsid wsp:val=&quot;00A51CDF&quot;/&gt;&lt;wsp:rsid wsp:val=&quot;00A52ACF&quot;/&gt;&lt;wsp:rsid wsp:val=&quot;00A52CA5&quot;/&gt;&lt;wsp:rsid wsp:val=&quot;00A52EF7&quot;/&gt;&lt;wsp:rsid wsp:val=&quot;00A530EE&quot;/&gt;&lt;wsp:rsid wsp:val=&quot;00A53AED&quot;/&gt;&lt;wsp:rsid wsp:val=&quot;00A53B5C&quot;/&gt;&lt;wsp:rsid wsp:val=&quot;00A53C3F&quot;/&gt;&lt;wsp:rsid wsp:val=&quot;00A53C90&quot;/&gt;&lt;wsp:rsid wsp:val=&quot;00A53C91&quot;/&gt;&lt;wsp:rsid wsp:val=&quot;00A543F1&quot;/&gt;&lt;wsp:rsid wsp:val=&quot;00A544D2&quot;/&gt;&lt;wsp:rsid wsp:val=&quot;00A548A9&quot;/&gt;&lt;wsp:rsid wsp:val=&quot;00A54AD6&quot;/&gt;&lt;wsp:rsid wsp:val=&quot;00A54C67&quot;/&gt;&lt;wsp:rsid wsp:val=&quot;00A55096&quot;/&gt;&lt;wsp:rsid wsp:val=&quot;00A551EF&quot;/&gt;&lt;wsp:rsid wsp:val=&quot;00A556A6&quot;/&gt;&lt;wsp:rsid wsp:val=&quot;00A556AD&quot;/&gt;&lt;wsp:rsid wsp:val=&quot;00A55DB8&quot;/&gt;&lt;wsp:rsid wsp:val=&quot;00A5612F&quot;/&gt;&lt;wsp:rsid wsp:val=&quot;00A56A19&quot;/&gt;&lt;wsp:rsid wsp:val=&quot;00A56EC5&quot;/&gt;&lt;wsp:rsid wsp:val=&quot;00A57792&quot;/&gt;&lt;wsp:rsid wsp:val=&quot;00A57A3B&quot;/&gt;&lt;wsp:rsid wsp:val=&quot;00A57E5F&quot;/&gt;&lt;wsp:rsid wsp:val=&quot;00A603DF&quot;/&gt;&lt;wsp:rsid wsp:val=&quot;00A607AA&quot;/&gt;&lt;wsp:rsid wsp:val=&quot;00A60C87&quot;/&gt;&lt;wsp:rsid wsp:val=&quot;00A610BF&quot;/&gt;&lt;wsp:rsid wsp:val=&quot;00A610D2&quot;/&gt;&lt;wsp:rsid wsp:val=&quot;00A611F0&quot;/&gt;&lt;wsp:rsid wsp:val=&quot;00A611F3&quot;/&gt;&lt;wsp:rsid wsp:val=&quot;00A61D2C&quot;/&gt;&lt;wsp:rsid wsp:val=&quot;00A62015&quot;/&gt;&lt;wsp:rsid wsp:val=&quot;00A622F5&quot;/&gt;&lt;wsp:rsid wsp:val=&quot;00A62374&quot;/&gt;&lt;wsp:rsid wsp:val=&quot;00A623FA&quot;/&gt;&lt;wsp:rsid wsp:val=&quot;00A62611&quot;/&gt;&lt;wsp:rsid wsp:val=&quot;00A62652&quot;/&gt;&lt;wsp:rsid wsp:val=&quot;00A62835&quot;/&gt;&lt;wsp:rsid wsp:val=&quot;00A63415&quot;/&gt;&lt;wsp:rsid wsp:val=&quot;00A63503&quot;/&gt;&lt;wsp:rsid wsp:val=&quot;00A635DC&quot;/&gt;&lt;wsp:rsid wsp:val=&quot;00A63AE5&quot;/&gt;&lt;wsp:rsid wsp:val=&quot;00A63C2A&quot;/&gt;&lt;wsp:rsid wsp:val=&quot;00A63CC8&quot;/&gt;&lt;wsp:rsid wsp:val=&quot;00A6537F&quot;/&gt;&lt;wsp:rsid wsp:val=&quot;00A6552A&quot;/&gt;&lt;wsp:rsid wsp:val=&quot;00A655FD&quot;/&gt;&lt;wsp:rsid wsp:val=&quot;00A65722&quot;/&gt;&lt;wsp:rsid wsp:val=&quot;00A66582&quot;/&gt;&lt;wsp:rsid wsp:val=&quot;00A669B3&quot;/&gt;&lt;wsp:rsid wsp:val=&quot;00A66E32&quot;/&gt;&lt;wsp:rsid wsp:val=&quot;00A672FE&quot;/&gt;&lt;wsp:rsid wsp:val=&quot;00A67372&quot;/&gt;&lt;wsp:rsid wsp:val=&quot;00A67759&quot;/&gt;&lt;wsp:rsid wsp:val=&quot;00A677E5&quot;/&gt;&lt;wsp:rsid wsp:val=&quot;00A6784F&quot;/&gt;&lt;wsp:rsid wsp:val=&quot;00A709BF&quot;/&gt;&lt;wsp:rsid wsp:val=&quot;00A71092&quot;/&gt;&lt;wsp:rsid wsp:val=&quot;00A71167&quot;/&gt;&lt;wsp:rsid wsp:val=&quot;00A7131D&quot;/&gt;&lt;wsp:rsid wsp:val=&quot;00A71320&quot;/&gt;&lt;wsp:rsid wsp:val=&quot;00A7178B&quot;/&gt;&lt;wsp:rsid wsp:val=&quot;00A71F04&quot;/&gt;&lt;wsp:rsid wsp:val=&quot;00A72686&quot;/&gt;&lt;wsp:rsid wsp:val=&quot;00A7291A&quot;/&gt;&lt;wsp:rsid wsp:val=&quot;00A72EEC&quot;/&gt;&lt;wsp:rsid wsp:val=&quot;00A735C9&quot;/&gt;&lt;wsp:rsid wsp:val=&quot;00A7517C&quot;/&gt;&lt;wsp:rsid wsp:val=&quot;00A75649&quot;/&gt;&lt;wsp:rsid wsp:val=&quot;00A7575D&quot;/&gt;&lt;wsp:rsid wsp:val=&quot;00A75838&quot;/&gt;&lt;wsp:rsid wsp:val=&quot;00A75D46&quot;/&gt;&lt;wsp:rsid wsp:val=&quot;00A75F3C&quot;/&gt;&lt;wsp:rsid wsp:val=&quot;00A7675C&quot;/&gt;&lt;wsp:rsid wsp:val=&quot;00A77762&quot;/&gt;&lt;wsp:rsid wsp:val=&quot;00A77BB6&quot;/&gt;&lt;wsp:rsid wsp:val=&quot;00A8034A&quot;/&gt;&lt;wsp:rsid wsp:val=&quot;00A80846&quot;/&gt;&lt;wsp:rsid wsp:val=&quot;00A80889&quot;/&gt;&lt;wsp:rsid wsp:val=&quot;00A8145B&quot;/&gt;&lt;wsp:rsid wsp:val=&quot;00A81DE3&quot;/&gt;&lt;wsp:rsid wsp:val=&quot;00A81EB8&quot;/&gt;&lt;wsp:rsid wsp:val=&quot;00A8207D&quot;/&gt;&lt;wsp:rsid wsp:val=&quot;00A82408&quot;/&gt;&lt;wsp:rsid wsp:val=&quot;00A82649&quot;/&gt;&lt;wsp:rsid wsp:val=&quot;00A82E06&quot;/&gt;&lt;wsp:rsid wsp:val=&quot;00A82E87&quot;/&gt;&lt;wsp:rsid wsp:val=&quot;00A83BBD&quot;/&gt;&lt;wsp:rsid wsp:val=&quot;00A84240&quot;/&gt;&lt;wsp:rsid wsp:val=&quot;00A84730&quot;/&gt;&lt;wsp:rsid wsp:val=&quot;00A8566B&quot;/&gt;&lt;wsp:rsid wsp:val=&quot;00A856D6&quot;/&gt;&lt;wsp:rsid wsp:val=&quot;00A860F7&quot;/&gt;&lt;wsp:rsid wsp:val=&quot;00A865C9&quot;/&gt;&lt;wsp:rsid wsp:val=&quot;00A86DB7&quot;/&gt;&lt;wsp:rsid wsp:val=&quot;00A87186&quot;/&gt;&lt;wsp:rsid wsp:val=&quot;00A87FDE&quot;/&gt;&lt;wsp:rsid wsp:val=&quot;00A90286&quot;/&gt;&lt;wsp:rsid wsp:val=&quot;00A906C6&quot;/&gt;&lt;wsp:rsid wsp:val=&quot;00A912C0&quot;/&gt;&lt;wsp:rsid wsp:val=&quot;00A913D0&quot;/&gt;&lt;wsp:rsid wsp:val=&quot;00A91E57&quot;/&gt;&lt;wsp:rsid wsp:val=&quot;00A92023&quot;/&gt;&lt;wsp:rsid wsp:val=&quot;00A92353&quot;/&gt;&lt;wsp:rsid wsp:val=&quot;00A92822&quot;/&gt;&lt;wsp:rsid wsp:val=&quot;00A92C52&quot;/&gt;&lt;wsp:rsid wsp:val=&quot;00A9314A&quot;/&gt;&lt;wsp:rsid wsp:val=&quot;00A9480D&quot;/&gt;&lt;wsp:rsid wsp:val=&quot;00A94B38&quot;/&gt;&lt;wsp:rsid wsp:val=&quot;00A95029&quot;/&gt;&lt;wsp:rsid wsp:val=&quot;00A9535D&quot;/&gt;&lt;wsp:rsid wsp:val=&quot;00A955DF&quot;/&gt;&lt;wsp:rsid wsp:val=&quot;00A957CB&quot;/&gt;&lt;wsp:rsid wsp:val=&quot;00A95EF7&quot;/&gt;&lt;wsp:rsid wsp:val=&quot;00A965F2&quot;/&gt;&lt;wsp:rsid wsp:val=&quot;00A96638&quot;/&gt;&lt;wsp:rsid wsp:val=&quot;00A9689B&quot;/&gt;&lt;wsp:rsid wsp:val=&quot;00A969C9&quot;/&gt;&lt;wsp:rsid wsp:val=&quot;00A96EFF&quot;/&gt;&lt;wsp:rsid wsp:val=&quot;00A97442&quot;/&gt;&lt;wsp:rsid wsp:val=&quot;00A9788C&quot;/&gt;&lt;wsp:rsid wsp:val=&quot;00A97E5E&quot;/&gt;&lt;wsp:rsid wsp:val=&quot;00AA0B5A&quot;/&gt;&lt;wsp:rsid wsp:val=&quot;00AA0C29&quot;/&gt;&lt;wsp:rsid wsp:val=&quot;00AA111C&quot;/&gt;&lt;wsp:rsid wsp:val=&quot;00AA11F3&quot;/&gt;&lt;wsp:rsid wsp:val=&quot;00AA1993&quot;/&gt;&lt;wsp:rsid wsp:val=&quot;00AA2021&quot;/&gt;&lt;wsp:rsid wsp:val=&quot;00AA21BA&quot;/&gt;&lt;wsp:rsid wsp:val=&quot;00AA22B1&quot;/&gt;&lt;wsp:rsid wsp:val=&quot;00AA2300&quot;/&gt;&lt;wsp:rsid wsp:val=&quot;00AA2D16&quot;/&gt;&lt;wsp:rsid wsp:val=&quot;00AA2DBF&quot;/&gt;&lt;wsp:rsid wsp:val=&quot;00AA3060&quot;/&gt;&lt;wsp:rsid wsp:val=&quot;00AA3826&quot;/&gt;&lt;wsp:rsid wsp:val=&quot;00AA383D&quot;/&gt;&lt;wsp:rsid wsp:val=&quot;00AA392C&quot;/&gt;&lt;wsp:rsid wsp:val=&quot;00AA3E54&quot;/&gt;&lt;wsp:rsid wsp:val=&quot;00AA466C&quot;/&gt;&lt;wsp:rsid wsp:val=&quot;00AA471B&quot;/&gt;&lt;wsp:rsid wsp:val=&quot;00AA4788&quot;/&gt;&lt;wsp:rsid wsp:val=&quot;00AA4D8F&quot;/&gt;&lt;wsp:rsid wsp:val=&quot;00AA4E26&quot;/&gt;&lt;wsp:rsid wsp:val=&quot;00AA627B&quot;/&gt;&lt;wsp:rsid wsp:val=&quot;00AA6AE8&quot;/&gt;&lt;wsp:rsid wsp:val=&quot;00AA6B9B&quot;/&gt;&lt;wsp:rsid wsp:val=&quot;00AA7874&quot;/&gt;&lt;wsp:rsid wsp:val=&quot;00AA7CC3&quot;/&gt;&lt;wsp:rsid wsp:val=&quot;00AB03A3&quot;/&gt;&lt;wsp:rsid wsp:val=&quot;00AB04A8&quot;/&gt;&lt;wsp:rsid wsp:val=&quot;00AB0626&quot;/&gt;&lt;wsp:rsid wsp:val=&quot;00AB0AA6&quot;/&gt;&lt;wsp:rsid wsp:val=&quot;00AB0AE1&quot;/&gt;&lt;wsp:rsid wsp:val=&quot;00AB0B08&quot;/&gt;&lt;wsp:rsid wsp:val=&quot;00AB0E89&quot;/&gt;&lt;wsp:rsid wsp:val=&quot;00AB1424&quot;/&gt;&lt;wsp:rsid wsp:val=&quot;00AB189A&quot;/&gt;&lt;wsp:rsid wsp:val=&quot;00AB1BD7&quot;/&gt;&lt;wsp:rsid wsp:val=&quot;00AB1D8F&quot;/&gt;&lt;wsp:rsid wsp:val=&quot;00AB2AF6&quot;/&gt;&lt;wsp:rsid wsp:val=&quot;00AB34D4&quot;/&gt;&lt;wsp:rsid wsp:val=&quot;00AB36FA&quot;/&gt;&lt;wsp:rsid wsp:val=&quot;00AB3A02&quot;/&gt;&lt;wsp:rsid wsp:val=&quot;00AB3DF3&quot;/&gt;&lt;wsp:rsid wsp:val=&quot;00AB3EE0&quot;/&gt;&lt;wsp:rsid wsp:val=&quot;00AB3F14&quot;/&gt;&lt;wsp:rsid wsp:val=&quot;00AB40E4&quot;/&gt;&lt;wsp:rsid wsp:val=&quot;00AB4416&quot;/&gt;&lt;wsp:rsid wsp:val=&quot;00AB4914&quot;/&gt;&lt;wsp:rsid wsp:val=&quot;00AB4A82&quot;/&gt;&lt;wsp:rsid wsp:val=&quot;00AB509D&quot;/&gt;&lt;wsp:rsid wsp:val=&quot;00AB5286&quot;/&gt;&lt;wsp:rsid wsp:val=&quot;00AB541C&quot;/&gt;&lt;wsp:rsid wsp:val=&quot;00AB567E&quot;/&gt;&lt;wsp:rsid wsp:val=&quot;00AB56A3&quot;/&gt;&lt;wsp:rsid wsp:val=&quot;00AB69D1&quot;/&gt;&lt;wsp:rsid wsp:val=&quot;00AB6A1E&quot;/&gt;&lt;wsp:rsid wsp:val=&quot;00AB6D52&quot;/&gt;&lt;wsp:rsid wsp:val=&quot;00AB6E87&quot;/&gt;&lt;wsp:rsid wsp:val=&quot;00AB7A0F&quot;/&gt;&lt;wsp:rsid wsp:val=&quot;00AB7B8A&quot;/&gt;&lt;wsp:rsid wsp:val=&quot;00AB7F12&quot;/&gt;&lt;wsp:rsid wsp:val=&quot;00AB7FD0&quot;/&gt;&lt;wsp:rsid wsp:val=&quot;00AC034E&quot;/&gt;&lt;wsp:rsid wsp:val=&quot;00AC0E84&quot;/&gt;&lt;wsp:rsid wsp:val=&quot;00AC0FB4&quot;/&gt;&lt;wsp:rsid wsp:val=&quot;00AC1098&quot;/&gt;&lt;wsp:rsid wsp:val=&quot;00AC1296&quot;/&gt;&lt;wsp:rsid wsp:val=&quot;00AC16B2&quot;/&gt;&lt;wsp:rsid wsp:val=&quot;00AC175B&quot;/&gt;&lt;wsp:rsid wsp:val=&quot;00AC1928&quot;/&gt;&lt;wsp:rsid wsp:val=&quot;00AC2056&quot;/&gt;&lt;wsp:rsid wsp:val=&quot;00AC21A7&quot;/&gt;&lt;wsp:rsid wsp:val=&quot;00AC21BF&quot;/&gt;&lt;wsp:rsid wsp:val=&quot;00AC230B&quot;/&gt;&lt;wsp:rsid wsp:val=&quot;00AC320A&quot;/&gt;&lt;wsp:rsid wsp:val=&quot;00AC33E1&quot;/&gt;&lt;wsp:rsid wsp:val=&quot;00AC3435&quot;/&gt;&lt;wsp:rsid wsp:val=&quot;00AC3479&quot;/&gt;&lt;wsp:rsid wsp:val=&quot;00AC36AB&quot;/&gt;&lt;wsp:rsid wsp:val=&quot;00AC36EC&quot;/&gt;&lt;wsp:rsid wsp:val=&quot;00AC3911&quot;/&gt;&lt;wsp:rsid wsp:val=&quot;00AC3A7F&quot;/&gt;&lt;wsp:rsid wsp:val=&quot;00AC3E57&quot;/&gt;&lt;wsp:rsid wsp:val=&quot;00AC4001&quot;/&gt;&lt;wsp:rsid wsp:val=&quot;00AC40D0&quot;/&gt;&lt;wsp:rsid wsp:val=&quot;00AC466F&quot;/&gt;&lt;wsp:rsid wsp:val=&quot;00AC4A56&quot;/&gt;&lt;wsp:rsid wsp:val=&quot;00AC4B16&quot;/&gt;&lt;wsp:rsid wsp:val=&quot;00AC5022&quot;/&gt;&lt;wsp:rsid wsp:val=&quot;00AC5143&quot;/&gt;&lt;wsp:rsid wsp:val=&quot;00AC54F6&quot;/&gt;&lt;wsp:rsid wsp:val=&quot;00AC66F2&quot;/&gt;&lt;wsp:rsid wsp:val=&quot;00AC683D&quot;/&gt;&lt;wsp:rsid wsp:val=&quot;00AC6841&quot;/&gt;&lt;wsp:rsid wsp:val=&quot;00AC6B20&quot;/&gt;&lt;wsp:rsid wsp:val=&quot;00AC6BA4&quot;/&gt;&lt;wsp:rsid wsp:val=&quot;00AC6C5B&quot;/&gt;&lt;wsp:rsid wsp:val=&quot;00AC6C5C&quot;/&gt;&lt;wsp:rsid wsp:val=&quot;00AC7324&quot;/&gt;&lt;wsp:rsid wsp:val=&quot;00AC7C2A&quot;/&gt;&lt;wsp:rsid wsp:val=&quot;00AD0509&quot;/&gt;&lt;wsp:rsid wsp:val=&quot;00AD08A3&quot;/&gt;&lt;wsp:rsid wsp:val=&quot;00AD0C6F&quot;/&gt;&lt;wsp:rsid wsp:val=&quot;00AD0E6D&quot;/&gt;&lt;wsp:rsid wsp:val=&quot;00AD1D70&quot;/&gt;&lt;wsp:rsid wsp:val=&quot;00AD1ED6&quot;/&gt;&lt;wsp:rsid wsp:val=&quot;00AD2158&quot;/&gt;&lt;wsp:rsid wsp:val=&quot;00AD2494&quot;/&gt;&lt;wsp:rsid wsp:val=&quot;00AD2C1B&quot;/&gt;&lt;wsp:rsid wsp:val=&quot;00AD2D00&quot;/&gt;&lt;wsp:rsid wsp:val=&quot;00AD2F3C&quot;/&gt;&lt;wsp:rsid wsp:val=&quot;00AD30D9&quot;/&gt;&lt;wsp:rsid wsp:val=&quot;00AD3BDD&quot;/&gt;&lt;wsp:rsid wsp:val=&quot;00AD4987&quot;/&gt;&lt;wsp:rsid wsp:val=&quot;00AD4F18&quot;/&gt;&lt;wsp:rsid wsp:val=&quot;00AD532E&quot;/&gt;&lt;wsp:rsid wsp:val=&quot;00AD5574&quot;/&gt;&lt;wsp:rsid wsp:val=&quot;00AD5F2A&quot;/&gt;&lt;wsp:rsid wsp:val=&quot;00AD60BB&quot;/&gt;&lt;wsp:rsid wsp:val=&quot;00AD6123&quot;/&gt;&lt;wsp:rsid wsp:val=&quot;00AE0557&quot;/&gt;&lt;wsp:rsid wsp:val=&quot;00AE0B29&quot;/&gt;&lt;wsp:rsid wsp:val=&quot;00AE0B9B&quot;/&gt;&lt;wsp:rsid wsp:val=&quot;00AE0E47&quot;/&gt;&lt;wsp:rsid wsp:val=&quot;00AE0EED&quot;/&gt;&lt;wsp:rsid wsp:val=&quot;00AE11CA&quot;/&gt;&lt;wsp:rsid wsp:val=&quot;00AE17FB&quot;/&gt;&lt;wsp:rsid wsp:val=&quot;00AE1BD7&quot;/&gt;&lt;wsp:rsid wsp:val=&quot;00AE1FF4&quot;/&gt;&lt;wsp:rsid wsp:val=&quot;00AE222B&quot;/&gt;&lt;wsp:rsid wsp:val=&quot;00AE26F2&quot;/&gt;&lt;wsp:rsid wsp:val=&quot;00AE2F6A&quot;/&gt;&lt;wsp:rsid wsp:val=&quot;00AE32B0&quot;/&gt;&lt;wsp:rsid wsp:val=&quot;00AE36C1&quot;/&gt;&lt;wsp:rsid wsp:val=&quot;00AE3A8E&quot;/&gt;&lt;wsp:rsid wsp:val=&quot;00AE3C03&quot;/&gt;&lt;wsp:rsid wsp:val=&quot;00AE3CA4&quot;/&gt;&lt;wsp:rsid wsp:val=&quot;00AE4590&quot;/&gt;&lt;wsp:rsid wsp:val=&quot;00AE46E5&quot;/&gt;&lt;wsp:rsid wsp:val=&quot;00AE4E83&quot;/&gt;&lt;wsp:rsid wsp:val=&quot;00AE5175&quot;/&gt;&lt;wsp:rsid wsp:val=&quot;00AE524C&quot;/&gt;&lt;wsp:rsid wsp:val=&quot;00AE5404&quot;/&gt;&lt;wsp:rsid wsp:val=&quot;00AE602B&quot;/&gt;&lt;wsp:rsid wsp:val=&quot;00AE7592&quot;/&gt;&lt;wsp:rsid wsp:val=&quot;00AE7D9A&quot;/&gt;&lt;wsp:rsid wsp:val=&quot;00AE7DAD&quot;/&gt;&lt;wsp:rsid wsp:val=&quot;00AE7DCF&quot;/&gt;&lt;wsp:rsid wsp:val=&quot;00AE7E23&quot;/&gt;&lt;wsp:rsid wsp:val=&quot;00AE7F29&quot;/&gt;&lt;wsp:rsid wsp:val=&quot;00AF04FE&quot;/&gt;&lt;wsp:rsid wsp:val=&quot;00AF080A&quot;/&gt;&lt;wsp:rsid wsp:val=&quot;00AF09FC&quot;/&gt;&lt;wsp:rsid wsp:val=&quot;00AF0A43&quot;/&gt;&lt;wsp:rsid wsp:val=&quot;00AF0E70&quot;/&gt;&lt;wsp:rsid wsp:val=&quot;00AF0F10&quot;/&gt;&lt;wsp:rsid wsp:val=&quot;00AF1249&quot;/&gt;&lt;wsp:rsid wsp:val=&quot;00AF167F&quot;/&gt;&lt;wsp:rsid wsp:val=&quot;00AF16F5&quot;/&gt;&lt;wsp:rsid wsp:val=&quot;00AF18B7&quot;/&gt;&lt;wsp:rsid wsp:val=&quot;00AF1D35&quot;/&gt;&lt;wsp:rsid wsp:val=&quot;00AF1E8F&quot;/&gt;&lt;wsp:rsid wsp:val=&quot;00AF1EE5&quot;/&gt;&lt;wsp:rsid wsp:val=&quot;00AF24A3&quot;/&gt;&lt;wsp:rsid wsp:val=&quot;00AF26D9&quot;/&gt;&lt;wsp:rsid wsp:val=&quot;00AF26F7&quot;/&gt;&lt;wsp:rsid wsp:val=&quot;00AF2FBD&quot;/&gt;&lt;wsp:rsid wsp:val=&quot;00AF330A&quot;/&gt;&lt;wsp:rsid wsp:val=&quot;00AF347F&quot;/&gt;&lt;wsp:rsid wsp:val=&quot;00AF35FB&quot;/&gt;&lt;wsp:rsid wsp:val=&quot;00AF391E&quot;/&gt;&lt;wsp:rsid wsp:val=&quot;00AF3E6B&quot;/&gt;&lt;wsp:rsid wsp:val=&quot;00AF3F63&quot;/&gt;&lt;wsp:rsid wsp:val=&quot;00AF3FFB&quot;/&gt;&lt;wsp:rsid wsp:val=&quot;00AF4507&quot;/&gt;&lt;wsp:rsid wsp:val=&quot;00AF453B&quot;/&gt;&lt;wsp:rsid wsp:val=&quot;00AF5859&quot;/&gt;&lt;wsp:rsid wsp:val=&quot;00AF5B41&quot;/&gt;&lt;wsp:rsid wsp:val=&quot;00AF63C0&quot;/&gt;&lt;wsp:rsid wsp:val=&quot;00AF68EB&quot;/&gt;&lt;wsp:rsid wsp:val=&quot;00AF732B&quot;/&gt;&lt;wsp:rsid wsp:val=&quot;00AF749A&quot;/&gt;&lt;wsp:rsid wsp:val=&quot;00AF7ED5&quot;/&gt;&lt;wsp:rsid wsp:val=&quot;00B000A3&quot;/&gt;&lt;wsp:rsid wsp:val=&quot;00B00341&quot;/&gt;&lt;wsp:rsid wsp:val=&quot;00B00644&quot;/&gt;&lt;wsp:rsid wsp:val=&quot;00B00680&quot;/&gt;&lt;wsp:rsid wsp:val=&quot;00B00E0F&quot;/&gt;&lt;wsp:rsid wsp:val=&quot;00B01791&quot;/&gt;&lt;wsp:rsid wsp:val=&quot;00B01851&quot;/&gt;&lt;wsp:rsid wsp:val=&quot;00B025DB&quot;/&gt;&lt;wsp:rsid wsp:val=&quot;00B02A43&quot;/&gt;&lt;wsp:rsid wsp:val=&quot;00B02C15&quot;/&gt;&lt;wsp:rsid wsp:val=&quot;00B03367&quot;/&gt;&lt;wsp:rsid wsp:val=&quot;00B037AB&quot;/&gt;&lt;wsp:rsid wsp:val=&quot;00B038D6&quot;/&gt;&lt;wsp:rsid wsp:val=&quot;00B0410F&quot;/&gt;&lt;wsp:rsid wsp:val=&quot;00B042E0&quot;/&gt;&lt;wsp:rsid wsp:val=&quot;00B04331&quot;/&gt;&lt;wsp:rsid wsp:val=&quot;00B04826&quot;/&gt;&lt;wsp:rsid wsp:val=&quot;00B0482D&quot;/&gt;&lt;wsp:rsid wsp:val=&quot;00B04E26&quot;/&gt;&lt;wsp:rsid wsp:val=&quot;00B05326&quot;/&gt;&lt;wsp:rsid wsp:val=&quot;00B05C3C&quot;/&gt;&lt;wsp:rsid wsp:val=&quot;00B0632D&quot;/&gt;&lt;wsp:rsid wsp:val=&quot;00B06456&quot;/&gt;&lt;wsp:rsid wsp:val=&quot;00B06ECC&quot;/&gt;&lt;wsp:rsid wsp:val=&quot;00B07562&quot;/&gt;&lt;wsp:rsid wsp:val=&quot;00B07A28&quot;/&gt;&lt;wsp:rsid wsp:val=&quot;00B07C76&quot;/&gt;&lt;wsp:rsid wsp:val=&quot;00B1003F&quot;/&gt;&lt;wsp:rsid wsp:val=&quot;00B1034C&quot;/&gt;&lt;wsp:rsid wsp:val=&quot;00B10350&quot;/&gt;&lt;wsp:rsid wsp:val=&quot;00B105DF&quot;/&gt;&lt;wsp:rsid wsp:val=&quot;00B1087F&quot;/&gt;&lt;wsp:rsid wsp:val=&quot;00B1094B&quot;/&gt;&lt;wsp:rsid wsp:val=&quot;00B10A5E&quot;/&gt;&lt;wsp:rsid wsp:val=&quot;00B10DF9&quot;/&gt;&lt;wsp:rsid wsp:val=&quot;00B11335&quot;/&gt;&lt;wsp:rsid wsp:val=&quot;00B11515&quot;/&gt;&lt;wsp:rsid wsp:val=&quot;00B12640&quot;/&gt;&lt;wsp:rsid wsp:val=&quot;00B128C1&quot;/&gt;&lt;wsp:rsid wsp:val=&quot;00B13361&quot;/&gt;&lt;wsp:rsid wsp:val=&quot;00B1377C&quot;/&gt;&lt;wsp:rsid wsp:val=&quot;00B13AAF&quot;/&gt;&lt;wsp:rsid wsp:val=&quot;00B14157&quot;/&gt;&lt;wsp:rsid wsp:val=&quot;00B141C7&quot;/&gt;&lt;wsp:rsid wsp:val=&quot;00B14577&quot;/&gt;&lt;wsp:rsid wsp:val=&quot;00B145E0&quot;/&gt;&lt;wsp:rsid wsp:val=&quot;00B14B90&quot;/&gt;&lt;wsp:rsid wsp:val=&quot;00B14D6F&quot;/&gt;&lt;wsp:rsid wsp:val=&quot;00B154D1&quot;/&gt;&lt;wsp:rsid wsp:val=&quot;00B15541&quot;/&gt;&lt;wsp:rsid wsp:val=&quot;00B1683F&quot;/&gt;&lt;wsp:rsid wsp:val=&quot;00B16EF0&quot;/&gt;&lt;wsp:rsid wsp:val=&quot;00B177CE&quot;/&gt;&lt;wsp:rsid wsp:val=&quot;00B20331&quot;/&gt;&lt;wsp:rsid wsp:val=&quot;00B206F2&quot;/&gt;&lt;wsp:rsid wsp:val=&quot;00B20C63&quot;/&gt;&lt;wsp:rsid wsp:val=&quot;00B20FBC&quot;/&gt;&lt;wsp:rsid wsp:val=&quot;00B2148D&quot;/&gt;&lt;wsp:rsid wsp:val=&quot;00B21A1D&quot;/&gt;&lt;wsp:rsid wsp:val=&quot;00B21C14&quot;/&gt;&lt;wsp:rsid wsp:val=&quot;00B21F6D&quot;/&gt;&lt;wsp:rsid wsp:val=&quot;00B221A9&quot;/&gt;&lt;wsp:rsid wsp:val=&quot;00B23336&quot;/&gt;&lt;wsp:rsid wsp:val=&quot;00B236AC&quot;/&gt;&lt;wsp:rsid wsp:val=&quot;00B23B96&quot;/&gt;&lt;wsp:rsid wsp:val=&quot;00B23EF4&quot;/&gt;&lt;wsp:rsid wsp:val=&quot;00B24A59&quot;/&gt;&lt;wsp:rsid wsp:val=&quot;00B24BC2&quot;/&gt;&lt;wsp:rsid wsp:val=&quot;00B24CC4&quot;/&gt;&lt;wsp:rsid wsp:val=&quot;00B257A9&quot;/&gt;&lt;wsp:rsid wsp:val=&quot;00B25EF5&quot;/&gt;&lt;wsp:rsid wsp:val=&quot;00B25F8F&quot;/&gt;&lt;wsp:rsid wsp:val=&quot;00B25FA4&quot;/&gt;&lt;wsp:rsid wsp:val=&quot;00B270E8&quot;/&gt;&lt;wsp:rsid wsp:val=&quot;00B27B91&quot;/&gt;&lt;wsp:rsid wsp:val=&quot;00B27D6A&quot;/&gt;&lt;wsp:rsid wsp:val=&quot;00B30472&quot;/&gt;&lt;wsp:rsid wsp:val=&quot;00B3056F&quot;/&gt;&lt;wsp:rsid wsp:val=&quot;00B314E9&quot;/&gt;&lt;wsp:rsid wsp:val=&quot;00B316A1&quot;/&gt;&lt;wsp:rsid wsp:val=&quot;00B31BB6&quot;/&gt;&lt;wsp:rsid wsp:val=&quot;00B31E15&quot;/&gt;&lt;wsp:rsid wsp:val=&quot;00B32938&quot;/&gt;&lt;wsp:rsid wsp:val=&quot;00B32D18&quot;/&gt;&lt;wsp:rsid wsp:val=&quot;00B336F0&quot;/&gt;&lt;wsp:rsid wsp:val=&quot;00B337D6&quot;/&gt;&lt;wsp:rsid wsp:val=&quot;00B3414D&quot;/&gt;&lt;wsp:rsid wsp:val=&quot;00B34A12&quot;/&gt;&lt;wsp:rsid wsp:val=&quot;00B353E8&quot;/&gt;&lt;wsp:rsid wsp:val=&quot;00B360F6&quot;/&gt;&lt;wsp:rsid wsp:val=&quot;00B361B9&quot;/&gt;&lt;wsp:rsid wsp:val=&quot;00B3662E&quot;/&gt;&lt;wsp:rsid wsp:val=&quot;00B37094&quot;/&gt;&lt;wsp:rsid wsp:val=&quot;00B3713C&quot;/&gt;&lt;wsp:rsid wsp:val=&quot;00B37550&quot;/&gt;&lt;wsp:rsid wsp:val=&quot;00B377DA&quot;/&gt;&lt;wsp:rsid wsp:val=&quot;00B37D2B&quot;/&gt;&lt;wsp:rsid wsp:val=&quot;00B40158&quot;/&gt;&lt;wsp:rsid wsp:val=&quot;00B40214&quot;/&gt;&lt;wsp:rsid wsp:val=&quot;00B40EC7&quot;/&gt;&lt;wsp:rsid wsp:val=&quot;00B4100B&quot;/&gt;&lt;wsp:rsid wsp:val=&quot;00B417E8&quot;/&gt;&lt;wsp:rsid wsp:val=&quot;00B4182A&quot;/&gt;&lt;wsp:rsid wsp:val=&quot;00B41BE6&quot;/&gt;&lt;wsp:rsid wsp:val=&quot;00B41EDE&quot;/&gt;&lt;wsp:rsid wsp:val=&quot;00B42386&quot;/&gt;&lt;wsp:rsid wsp:val=&quot;00B4245F&quot;/&gt;&lt;wsp:rsid wsp:val=&quot;00B42A3D&quot;/&gt;&lt;wsp:rsid wsp:val=&quot;00B43367&quot;/&gt;&lt;wsp:rsid wsp:val=&quot;00B4358C&quot;/&gt;&lt;wsp:rsid wsp:val=&quot;00B43B33&quot;/&gt;&lt;wsp:rsid wsp:val=&quot;00B43CE2&quot;/&gt;&lt;wsp:rsid wsp:val=&quot;00B44CA5&quot;/&gt;&lt;wsp:rsid wsp:val=&quot;00B45390&quot;/&gt;&lt;wsp:rsid wsp:val=&quot;00B453A4&quot;/&gt;&lt;wsp:rsid wsp:val=&quot;00B4544B&quot;/&gt;&lt;wsp:rsid wsp:val=&quot;00B45ADF&quot;/&gt;&lt;wsp:rsid wsp:val=&quot;00B45C15&quot;/&gt;&lt;wsp:rsid wsp:val=&quot;00B45F93&quot;/&gt;&lt;wsp:rsid wsp:val=&quot;00B4603D&quot;/&gt;&lt;wsp:rsid wsp:val=&quot;00B462E1&quot;/&gt;&lt;wsp:rsid wsp:val=&quot;00B46497&quot;/&gt;&lt;wsp:rsid wsp:val=&quot;00B46AEF&quot;/&gt;&lt;wsp:rsid wsp:val=&quot;00B4799A&quot;/&gt;&lt;wsp:rsid wsp:val=&quot;00B47E2C&quot;/&gt;&lt;wsp:rsid wsp:val=&quot;00B47FF3&quot;/&gt;&lt;wsp:rsid wsp:val=&quot;00B503C0&quot;/&gt;&lt;wsp:rsid wsp:val=&quot;00B50C28&quot;/&gt;&lt;wsp:rsid wsp:val=&quot;00B50C6C&quot;/&gt;&lt;wsp:rsid wsp:val=&quot;00B51E5D&quot;/&gt;&lt;wsp:rsid wsp:val=&quot;00B529D3&quot;/&gt;&lt;wsp:rsid wsp:val=&quot;00B53580&quot;/&gt;&lt;wsp:rsid wsp:val=&quot;00B535BC&quot;/&gt;&lt;wsp:rsid wsp:val=&quot;00B54423&quot;/&gt;&lt;wsp:rsid wsp:val=&quot;00B54CC4&quot;/&gt;&lt;wsp:rsid wsp:val=&quot;00B54D5F&quot;/&gt;&lt;wsp:rsid wsp:val=&quot;00B550CE&quot;/&gt;&lt;wsp:rsid wsp:val=&quot;00B55402&quot;/&gt;&lt;wsp:rsid wsp:val=&quot;00B55853&quot;/&gt;&lt;wsp:rsid wsp:val=&quot;00B55BC9&quot;/&gt;&lt;wsp:rsid wsp:val=&quot;00B55F75&quot;/&gt;&lt;wsp:rsid wsp:val=&quot;00B56247&quot;/&gt;&lt;wsp:rsid wsp:val=&quot;00B5681D&quot;/&gt;&lt;wsp:rsid wsp:val=&quot;00B56FA7&quot;/&gt;&lt;wsp:rsid wsp:val=&quot;00B5742A&quot;/&gt;&lt;wsp:rsid wsp:val=&quot;00B576D4&quot;/&gt;&lt;wsp:rsid wsp:val=&quot;00B577E5&quot;/&gt;&lt;wsp:rsid wsp:val=&quot;00B57D37&quot;/&gt;&lt;wsp:rsid wsp:val=&quot;00B57FD8&quot;/&gt;&lt;wsp:rsid wsp:val=&quot;00B6010B&quot;/&gt;&lt;wsp:rsid wsp:val=&quot;00B60248&quot;/&gt;&lt;wsp:rsid wsp:val=&quot;00B61459&quot;/&gt;&lt;wsp:rsid wsp:val=&quot;00B615F5&quot;/&gt;&lt;wsp:rsid wsp:val=&quot;00B61668&quot;/&gt;&lt;wsp:rsid wsp:val=&quot;00B622E5&quot;/&gt;&lt;wsp:rsid wsp:val=&quot;00B62AE8&quot;/&gt;&lt;wsp:rsid wsp:val=&quot;00B62D1A&quot;/&gt;&lt;wsp:rsid wsp:val=&quot;00B632A3&quot;/&gt;&lt;wsp:rsid wsp:val=&quot;00B63B45&quot;/&gt;&lt;wsp:rsid wsp:val=&quot;00B642F8&quot;/&gt;&lt;wsp:rsid wsp:val=&quot;00B644E8&quot;/&gt;&lt;wsp:rsid wsp:val=&quot;00B647F7&quot;/&gt;&lt;wsp:rsid wsp:val=&quot;00B6491D&quot;/&gt;&lt;wsp:rsid wsp:val=&quot;00B64F91&quot;/&gt;&lt;wsp:rsid wsp:val=&quot;00B65389&quot;/&gt;&lt;wsp:rsid wsp:val=&quot;00B657AD&quot;/&gt;&lt;wsp:rsid wsp:val=&quot;00B65C1D&quot;/&gt;&lt;wsp:rsid wsp:val=&quot;00B65CE9&quot;/&gt;&lt;wsp:rsid wsp:val=&quot;00B65D8F&quot;/&gt;&lt;wsp:rsid wsp:val=&quot;00B65EA8&quot;/&gt;&lt;wsp:rsid wsp:val=&quot;00B65F62&quot;/&gt;&lt;wsp:rsid wsp:val=&quot;00B66190&quot;/&gt;&lt;wsp:rsid wsp:val=&quot;00B66240&quot;/&gt;&lt;wsp:rsid wsp:val=&quot;00B66372&quot;/&gt;&lt;wsp:rsid wsp:val=&quot;00B6746F&quot;/&gt;&lt;wsp:rsid wsp:val=&quot;00B674A3&quot;/&gt;&lt;wsp:rsid wsp:val=&quot;00B678DD&quot;/&gt;&lt;wsp:rsid wsp:val=&quot;00B67B30&quot;/&gt;&lt;wsp:rsid wsp:val=&quot;00B7012B&quot;/&gt;&lt;wsp:rsid wsp:val=&quot;00B70B23&quot;/&gt;&lt;wsp:rsid wsp:val=&quot;00B70F58&quot;/&gt;&lt;wsp:rsid wsp:val=&quot;00B71419&quot;/&gt;&lt;wsp:rsid wsp:val=&quot;00B7155D&quot;/&gt;&lt;wsp:rsid wsp:val=&quot;00B716D3&quot;/&gt;&lt;wsp:rsid wsp:val=&quot;00B71B53&quot;/&gt;&lt;wsp:rsid wsp:val=&quot;00B73386&quot;/&gt;&lt;wsp:rsid wsp:val=&quot;00B73915&quot;/&gt;&lt;wsp:rsid wsp:val=&quot;00B73994&quot;/&gt;&lt;wsp:rsid wsp:val=&quot;00B741EE&quot;/&gt;&lt;wsp:rsid wsp:val=&quot;00B744EF&quot;/&gt;&lt;wsp:rsid wsp:val=&quot;00B74CB2&quot;/&gt;&lt;wsp:rsid wsp:val=&quot;00B74FD6&quot;/&gt;&lt;wsp:rsid wsp:val=&quot;00B7511A&quot;/&gt;&lt;wsp:rsid wsp:val=&quot;00B75661&quot;/&gt;&lt;wsp:rsid wsp:val=&quot;00B76588&quot;/&gt;&lt;wsp:rsid wsp:val=&quot;00B77617&quot;/&gt;&lt;wsp:rsid wsp:val=&quot;00B776BD&quot;/&gt;&lt;wsp:rsid wsp:val=&quot;00B7775B&quot;/&gt;&lt;wsp:rsid wsp:val=&quot;00B77B17&quot;/&gt;&lt;wsp:rsid wsp:val=&quot;00B77B98&quot;/&gt;&lt;wsp:rsid wsp:val=&quot;00B77E04&quot;/&gt;&lt;wsp:rsid wsp:val=&quot;00B8032E&quot;/&gt;&lt;wsp:rsid wsp:val=&quot;00B80F49&quot;/&gt;&lt;wsp:rsid wsp:val=&quot;00B8101D&quot;/&gt;&lt;wsp:rsid wsp:val=&quot;00B81543&quot;/&gt;&lt;wsp:rsid wsp:val=&quot;00B81E7F&quot;/&gt;&lt;wsp:rsid wsp:val=&quot;00B8284A&quot;/&gt;&lt;wsp:rsid wsp:val=&quot;00B828B0&quot;/&gt;&lt;wsp:rsid wsp:val=&quot;00B83130&quot;/&gt;&lt;wsp:rsid wsp:val=&quot;00B83551&quot;/&gt;&lt;wsp:rsid wsp:val=&quot;00B837BF&quot;/&gt;&lt;wsp:rsid wsp:val=&quot;00B84006&quot;/&gt;&lt;wsp:rsid wsp:val=&quot;00B84172&quot;/&gt;&lt;wsp:rsid wsp:val=&quot;00B84A64&quot;/&gt;&lt;wsp:rsid wsp:val=&quot;00B84DB3&quot;/&gt;&lt;wsp:rsid wsp:val=&quot;00B85AD2&quot;/&gt;&lt;wsp:rsid wsp:val=&quot;00B85BFC&quot;/&gt;&lt;wsp:rsid wsp:val=&quot;00B85CF1&quot;/&gt;&lt;wsp:rsid wsp:val=&quot;00B867B6&quot;/&gt;&lt;wsp:rsid wsp:val=&quot;00B86F6D&quot;/&gt;&lt;wsp:rsid wsp:val=&quot;00B874DB&quot;/&gt;&lt;wsp:rsid wsp:val=&quot;00B876BE&quot;/&gt;&lt;wsp:rsid wsp:val=&quot;00B877B9&quot;/&gt;&lt;wsp:rsid wsp:val=&quot;00B90129&quot;/&gt;&lt;wsp:rsid wsp:val=&quot;00B909DC&quot;/&gt;&lt;wsp:rsid wsp:val=&quot;00B90BF1&quot;/&gt;&lt;wsp:rsid wsp:val=&quot;00B91396&quot;/&gt;&lt;wsp:rsid wsp:val=&quot;00B91627&quot;/&gt;&lt;wsp:rsid wsp:val=&quot;00B91C99&quot;/&gt;&lt;wsp:rsid wsp:val=&quot;00B91E72&quot;/&gt;&lt;wsp:rsid wsp:val=&quot;00B920C6&quot;/&gt;&lt;wsp:rsid wsp:val=&quot;00B92161&quot;/&gt;&lt;wsp:rsid wsp:val=&quot;00B925DE&quot;/&gt;&lt;wsp:rsid wsp:val=&quot;00B926DB&quot;/&gt;&lt;wsp:rsid wsp:val=&quot;00B9280A&quot;/&gt;&lt;wsp:rsid wsp:val=&quot;00B9284D&quot;/&gt;&lt;wsp:rsid wsp:val=&quot;00B9338F&quot;/&gt;&lt;wsp:rsid wsp:val=&quot;00B937E3&quot;/&gt;&lt;wsp:rsid wsp:val=&quot;00B93A94&quot;/&gt;&lt;wsp:rsid wsp:val=&quot;00B94018&quot;/&gt;&lt;wsp:rsid wsp:val=&quot;00B94B59&quot;/&gt;&lt;wsp:rsid wsp:val=&quot;00B952A3&quot;/&gt;&lt;wsp:rsid wsp:val=&quot;00B9568B&quot;/&gt;&lt;wsp:rsid wsp:val=&quot;00B95CBF&quot;/&gt;&lt;wsp:rsid wsp:val=&quot;00B95D07&quot;/&gt;&lt;wsp:rsid wsp:val=&quot;00B95DE1&quot;/&gt;&lt;wsp:rsid wsp:val=&quot;00B95FBA&quot;/&gt;&lt;wsp:rsid wsp:val=&quot;00B96559&quot;/&gt;&lt;wsp:rsid wsp:val=&quot;00B97BE2&quot;/&gt;&lt;wsp:rsid wsp:val=&quot;00B97FEE&quot;/&gt;&lt;wsp:rsid wsp:val=&quot;00BA0187&quot;/&gt;&lt;wsp:rsid wsp:val=&quot;00BA0DE5&quot;/&gt;&lt;wsp:rsid wsp:val=&quot;00BA0EC1&quot;/&gt;&lt;wsp:rsid wsp:val=&quot;00BA10DD&quot;/&gt;&lt;wsp:rsid wsp:val=&quot;00BA1532&quot;/&gt;&lt;wsp:rsid wsp:val=&quot;00BA19A5&quot;/&gt;&lt;wsp:rsid wsp:val=&quot;00BA2F5F&quot;/&gt;&lt;wsp:rsid wsp:val=&quot;00BA3015&quot;/&gt;&lt;wsp:rsid wsp:val=&quot;00BA30A8&quot;/&gt;&lt;wsp:rsid wsp:val=&quot;00BA31A3&quot;/&gt;&lt;wsp:rsid wsp:val=&quot;00BA32E4&quot;/&gt;&lt;wsp:rsid wsp:val=&quot;00BA3A65&quot;/&gt;&lt;wsp:rsid wsp:val=&quot;00BA3C1F&quot;/&gt;&lt;wsp:rsid wsp:val=&quot;00BA3FA4&quot;/&gt;&lt;wsp:rsid wsp:val=&quot;00BA430C&quot;/&gt;&lt;wsp:rsid wsp:val=&quot;00BA4A71&quot;/&gt;&lt;wsp:rsid wsp:val=&quot;00BA4E6E&quot;/&gt;&lt;wsp:rsid wsp:val=&quot;00BA582E&quot;/&gt;&lt;wsp:rsid wsp:val=&quot;00BA5B1D&quot;/&gt;&lt;wsp:rsid wsp:val=&quot;00BA61AC&quot;/&gt;&lt;wsp:rsid wsp:val=&quot;00BA61EA&quot;/&gt;&lt;wsp:rsid wsp:val=&quot;00BA6209&quot;/&gt;&lt;wsp:rsid wsp:val=&quot;00BA6520&quot;/&gt;&lt;wsp:rsid wsp:val=&quot;00BA6FF1&quot;/&gt;&lt;wsp:rsid wsp:val=&quot;00BA7289&quot;/&gt;&lt;wsp:rsid wsp:val=&quot;00BA76C8&quot;/&gt;&lt;wsp:rsid wsp:val=&quot;00BA775A&quot;/&gt;&lt;wsp:rsid wsp:val=&quot;00BA7952&quot;/&gt;&lt;wsp:rsid wsp:val=&quot;00BA7A65&quot;/&gt;&lt;wsp:rsid wsp:val=&quot;00BA7C9B&quot;/&gt;&lt;wsp:rsid wsp:val=&quot;00BB0BFB&quot;/&gt;&lt;wsp:rsid wsp:val=&quot;00BB1645&quot;/&gt;&lt;wsp:rsid wsp:val=&quot;00BB1DCD&quot;/&gt;&lt;wsp:rsid wsp:val=&quot;00BB1E4A&quot;/&gt;&lt;wsp:rsid wsp:val=&quot;00BB1F9C&quot;/&gt;&lt;wsp:rsid wsp:val=&quot;00BB23AD&quot;/&gt;&lt;wsp:rsid wsp:val=&quot;00BB2D92&quot;/&gt;&lt;wsp:rsid wsp:val=&quot;00BB2E89&quot;/&gt;&lt;wsp:rsid wsp:val=&quot;00BB3635&quot;/&gt;&lt;wsp:rsid wsp:val=&quot;00BB408B&quot;/&gt;&lt;wsp:rsid wsp:val=&quot;00BB40D6&quot;/&gt;&lt;wsp:rsid wsp:val=&quot;00BB422B&quot;/&gt;&lt;wsp:rsid wsp:val=&quot;00BB4671&quot;/&gt;&lt;wsp:rsid wsp:val=&quot;00BB46A7&quot;/&gt;&lt;wsp:rsid wsp:val=&quot;00BB4F48&quot;/&gt;&lt;wsp:rsid wsp:val=&quot;00BB5023&quot;/&gt;&lt;wsp:rsid wsp:val=&quot;00BB56CC&quot;/&gt;&lt;wsp:rsid wsp:val=&quot;00BB57A1&quot;/&gt;&lt;wsp:rsid wsp:val=&quot;00BB593B&quot;/&gt;&lt;wsp:rsid wsp:val=&quot;00BB593D&quot;/&gt;&lt;wsp:rsid wsp:val=&quot;00BB5D3F&quot;/&gt;&lt;wsp:rsid wsp:val=&quot;00BB6547&quot;/&gt;&lt;wsp:rsid wsp:val=&quot;00BB711F&quot;/&gt;&lt;wsp:rsid wsp:val=&quot;00BB73A3&quot;/&gt;&lt;wsp:rsid wsp:val=&quot;00BB73EF&quot;/&gt;&lt;wsp:rsid wsp:val=&quot;00BB7B99&quot;/&gt;&lt;wsp:rsid wsp:val=&quot;00BB7C18&quot;/&gt;&lt;wsp:rsid wsp:val=&quot;00BC000B&quot;/&gt;&lt;wsp:rsid wsp:val=&quot;00BC013E&quot;/&gt;&lt;wsp:rsid wsp:val=&quot;00BC0376&quot;/&gt;&lt;wsp:rsid wsp:val=&quot;00BC0399&quot;/&gt;&lt;wsp:rsid wsp:val=&quot;00BC058D&quot;/&gt;&lt;wsp:rsid wsp:val=&quot;00BC1335&quot;/&gt;&lt;wsp:rsid wsp:val=&quot;00BC20F2&quot;/&gt;&lt;wsp:rsid wsp:val=&quot;00BC28F8&quot;/&gt;&lt;wsp:rsid wsp:val=&quot;00BC2F59&quot;/&gt;&lt;wsp:rsid wsp:val=&quot;00BC354B&quot;/&gt;&lt;wsp:rsid wsp:val=&quot;00BC3CFB&quot;/&gt;&lt;wsp:rsid wsp:val=&quot;00BC43C5&quot;/&gt;&lt;wsp:rsid wsp:val=&quot;00BC444F&quot;/&gt;&lt;wsp:rsid wsp:val=&quot;00BC458A&quot;/&gt;&lt;wsp:rsid wsp:val=&quot;00BC4A43&quot;/&gt;&lt;wsp:rsid wsp:val=&quot;00BC4C23&quot;/&gt;&lt;wsp:rsid wsp:val=&quot;00BC4DB5&quot;/&gt;&lt;wsp:rsid wsp:val=&quot;00BC4FDF&quot;/&gt;&lt;wsp:rsid wsp:val=&quot;00BC665F&quot;/&gt;&lt;wsp:rsid wsp:val=&quot;00BC70DE&quot;/&gt;&lt;wsp:rsid wsp:val=&quot;00BC7316&quot;/&gt;&lt;wsp:rsid wsp:val=&quot;00BC7445&quot;/&gt;&lt;wsp:rsid wsp:val=&quot;00BC78CD&quot;/&gt;&lt;wsp:rsid wsp:val=&quot;00BC7909&quot;/&gt;&lt;wsp:rsid wsp:val=&quot;00BD0D07&quot;/&gt;&lt;wsp:rsid wsp:val=&quot;00BD0DF4&quot;/&gt;&lt;wsp:rsid wsp:val=&quot;00BD186B&quot;/&gt;&lt;wsp:rsid wsp:val=&quot;00BD1A7C&quot;/&gt;&lt;wsp:rsid wsp:val=&quot;00BD2560&quot;/&gt;&lt;wsp:rsid wsp:val=&quot;00BD25A3&quot;/&gt;&lt;wsp:rsid wsp:val=&quot;00BD2671&quot;/&gt;&lt;wsp:rsid wsp:val=&quot;00BD2B45&quot;/&gt;&lt;wsp:rsid wsp:val=&quot;00BD2B74&quot;/&gt;&lt;wsp:rsid wsp:val=&quot;00BD36BD&quot;/&gt;&lt;wsp:rsid wsp:val=&quot;00BD44FB&quot;/&gt;&lt;wsp:rsid wsp:val=&quot;00BD4531&quot;/&gt;&lt;wsp:rsid wsp:val=&quot;00BD4676&quot;/&gt;&lt;wsp:rsid wsp:val=&quot;00BD4D93&quot;/&gt;&lt;wsp:rsid wsp:val=&quot;00BD4E74&quot;/&gt;&lt;wsp:rsid wsp:val=&quot;00BD5046&quot;/&gt;&lt;wsp:rsid wsp:val=&quot;00BD5313&quot;/&gt;&lt;wsp:rsid wsp:val=&quot;00BD5437&quot;/&gt;&lt;wsp:rsid wsp:val=&quot;00BD5F90&quot;/&gt;&lt;wsp:rsid wsp:val=&quot;00BD61BB&quot;/&gt;&lt;wsp:rsid wsp:val=&quot;00BD6624&quot;/&gt;&lt;wsp:rsid wsp:val=&quot;00BD6F2F&quot;/&gt;&lt;wsp:rsid wsp:val=&quot;00BD7086&quot;/&gt;&lt;wsp:rsid wsp:val=&quot;00BD7F8F&quot;/&gt;&lt;wsp:rsid wsp:val=&quot;00BE003F&quot;/&gt;&lt;wsp:rsid wsp:val=&quot;00BE020E&quot;/&gt;&lt;wsp:rsid wsp:val=&quot;00BE06D2&quot;/&gt;&lt;wsp:rsid wsp:val=&quot;00BE0E2C&quot;/&gt;&lt;wsp:rsid wsp:val=&quot;00BE1EFA&quot;/&gt;&lt;wsp:rsid wsp:val=&quot;00BE21BC&quot;/&gt;&lt;wsp:rsid wsp:val=&quot;00BE23FF&quot;/&gt;&lt;wsp:rsid wsp:val=&quot;00BE3124&quot;/&gt;&lt;wsp:rsid wsp:val=&quot;00BE371A&quot;/&gt;&lt;wsp:rsid wsp:val=&quot;00BE3921&quot;/&gt;&lt;wsp:rsid wsp:val=&quot;00BE4355&quot;/&gt;&lt;wsp:rsid wsp:val=&quot;00BE5156&quot;/&gt;&lt;wsp:rsid wsp:val=&quot;00BE5165&quot;/&gt;&lt;wsp:rsid wsp:val=&quot;00BE59D7&quot;/&gt;&lt;wsp:rsid wsp:val=&quot;00BE5A94&quot;/&gt;&lt;wsp:rsid wsp:val=&quot;00BE5C24&quot;/&gt;&lt;wsp:rsid wsp:val=&quot;00BE604F&quot;/&gt;&lt;wsp:rsid wsp:val=&quot;00BE63CC&quot;/&gt;&lt;wsp:rsid wsp:val=&quot;00BE6414&quot;/&gt;&lt;wsp:rsid wsp:val=&quot;00BE6840&quot;/&gt;&lt;wsp:rsid wsp:val=&quot;00BE6B3D&quot;/&gt;&lt;wsp:rsid wsp:val=&quot;00BE7026&quot;/&gt;&lt;wsp:rsid wsp:val=&quot;00BE70D6&quot;/&gt;&lt;wsp:rsid wsp:val=&quot;00BE74A9&quot;/&gt;&lt;wsp:rsid wsp:val=&quot;00BE7C5D&quot;/&gt;&lt;wsp:rsid wsp:val=&quot;00BF0D61&quot;/&gt;&lt;wsp:rsid wsp:val=&quot;00BF12EC&quot;/&gt;&lt;wsp:rsid wsp:val=&quot;00BF1572&quot;/&gt;&lt;wsp:rsid wsp:val=&quot;00BF1C5F&quot;/&gt;&lt;wsp:rsid wsp:val=&quot;00BF2102&quot;/&gt;&lt;wsp:rsid wsp:val=&quot;00BF21D2&quot;/&gt;&lt;wsp:rsid wsp:val=&quot;00BF26F8&quot;/&gt;&lt;wsp:rsid wsp:val=&quot;00BF2CD7&quot;/&gt;&lt;wsp:rsid wsp:val=&quot;00BF30BD&quot;/&gt;&lt;wsp:rsid wsp:val=&quot;00BF361C&quot;/&gt;&lt;wsp:rsid wsp:val=&quot;00BF365B&quot;/&gt;&lt;wsp:rsid wsp:val=&quot;00BF3753&quot;/&gt;&lt;wsp:rsid wsp:val=&quot;00BF37A1&quot;/&gt;&lt;wsp:rsid wsp:val=&quot;00BF37D8&quot;/&gt;&lt;wsp:rsid wsp:val=&quot;00BF3888&quot;/&gt;&lt;wsp:rsid wsp:val=&quot;00BF39A4&quot;/&gt;&lt;wsp:rsid wsp:val=&quot;00BF3A3B&quot;/&gt;&lt;wsp:rsid wsp:val=&quot;00BF5394&quot;/&gt;&lt;wsp:rsid wsp:val=&quot;00BF5541&quot;/&gt;&lt;wsp:rsid wsp:val=&quot;00BF60BC&quot;/&gt;&lt;wsp:rsid wsp:val=&quot;00BF6A75&quot;/&gt;&lt;wsp:rsid wsp:val=&quot;00BF6DDA&quot;/&gt;&lt;wsp:rsid wsp:val=&quot;00BF73D9&quot;/&gt;&lt;wsp:rsid wsp:val=&quot;00BF7413&quot;/&gt;&lt;wsp:rsid wsp:val=&quot;00BF7B6A&quot;/&gt;&lt;wsp:rsid wsp:val=&quot;00C00484&quot;/&gt;&lt;wsp:rsid wsp:val=&quot;00C008C3&quot;/&gt;&lt;wsp:rsid wsp:val=&quot;00C00B4C&quot;/&gt;&lt;wsp:rsid wsp:val=&quot;00C00BFF&quot;/&gt;&lt;wsp:rsid wsp:val=&quot;00C02003&quot;/&gt;&lt;wsp:rsid wsp:val=&quot;00C02161&quot;/&gt;&lt;wsp:rsid wsp:val=&quot;00C022B9&quot;/&gt;&lt;wsp:rsid wsp:val=&quot;00C02375&quot;/&gt;&lt;wsp:rsid wsp:val=&quot;00C0265F&quot;/&gt;&lt;wsp:rsid wsp:val=&quot;00C02AE7&quot;/&gt;&lt;wsp:rsid wsp:val=&quot;00C02E71&quot;/&gt;&lt;wsp:rsid wsp:val=&quot;00C0311F&quot;/&gt;&lt;wsp:rsid wsp:val=&quot;00C03BF3&quot;/&gt;&lt;wsp:rsid wsp:val=&quot;00C03FEF&quot;/&gt;&lt;wsp:rsid wsp:val=&quot;00C0426A&quot;/&gt;&lt;wsp:rsid wsp:val=&quot;00C042AC&quot;/&gt;&lt;wsp:rsid wsp:val=&quot;00C0441E&quot;/&gt;&lt;wsp:rsid wsp:val=&quot;00C0474E&quot;/&gt;&lt;wsp:rsid wsp:val=&quot;00C049DE&quot;/&gt;&lt;wsp:rsid wsp:val=&quot;00C04BC7&quot;/&gt;&lt;wsp:rsid wsp:val=&quot;00C053FD&quot;/&gt;&lt;wsp:rsid wsp:val=&quot;00C05A3B&quot;/&gt;&lt;wsp:rsid wsp:val=&quot;00C06230&quot;/&gt;&lt;wsp:rsid wsp:val=&quot;00C065C5&quot;/&gt;&lt;wsp:rsid wsp:val=&quot;00C0695B&quot;/&gt;&lt;wsp:rsid wsp:val=&quot;00C06BC5&quot;/&gt;&lt;wsp:rsid wsp:val=&quot;00C078DF&quot;/&gt;&lt;wsp:rsid wsp:val=&quot;00C100B4&quot;/&gt;&lt;wsp:rsid wsp:val=&quot;00C108B2&quot;/&gt;&lt;wsp:rsid wsp:val=&quot;00C109B6&quot;/&gt;&lt;wsp:rsid wsp:val=&quot;00C10E53&quot;/&gt;&lt;wsp:rsid wsp:val=&quot;00C1141F&quot;/&gt;&lt;wsp:rsid wsp:val=&quot;00C11C4E&quot;/&gt;&lt;wsp:rsid wsp:val=&quot;00C11D4C&quot;/&gt;&lt;wsp:rsid wsp:val=&quot;00C12034&quot;/&gt;&lt;wsp:rsid wsp:val=&quot;00C12624&quot;/&gt;&lt;wsp:rsid wsp:val=&quot;00C130EF&quot;/&gt;&lt;wsp:rsid wsp:val=&quot;00C13FA2&quot;/&gt;&lt;wsp:rsid wsp:val=&quot;00C147EF&quot;/&gt;&lt;wsp:rsid wsp:val=&quot;00C148CA&quot;/&gt;&lt;wsp:rsid wsp:val=&quot;00C14AA6&quot;/&gt;&lt;wsp:rsid wsp:val=&quot;00C1549C&quot;/&gt;&lt;wsp:rsid wsp:val=&quot;00C16C58&quot;/&gt;&lt;wsp:rsid wsp:val=&quot;00C16D80&quot;/&gt;&lt;wsp:rsid wsp:val=&quot;00C16F86&quot;/&gt;&lt;wsp:rsid wsp:val=&quot;00C173EC&quot;/&gt;&lt;wsp:rsid wsp:val=&quot;00C17561&quot;/&gt;&lt;wsp:rsid wsp:val=&quot;00C1789B&quot;/&gt;&lt;wsp:rsid wsp:val=&quot;00C203A0&quot;/&gt;&lt;wsp:rsid wsp:val=&quot;00C2112F&quot;/&gt;&lt;wsp:rsid wsp:val=&quot;00C21EF6&quot;/&gt;&lt;wsp:rsid wsp:val=&quot;00C2208E&quot;/&gt;&lt;wsp:rsid wsp:val=&quot;00C2213E&quot;/&gt;&lt;wsp:rsid wsp:val=&quot;00C221E2&quot;/&gt;&lt;wsp:rsid wsp:val=&quot;00C2222E&quot;/&gt;&lt;wsp:rsid wsp:val=&quot;00C22757&quot;/&gt;&lt;wsp:rsid wsp:val=&quot;00C23478&quot;/&gt;&lt;wsp:rsid wsp:val=&quot;00C23CC8&quot;/&gt;&lt;wsp:rsid wsp:val=&quot;00C241B0&quot;/&gt;&lt;wsp:rsid wsp:val=&quot;00C2470C&quot;/&gt;&lt;wsp:rsid wsp:val=&quot;00C247EE&quot;/&gt;&lt;wsp:rsid wsp:val=&quot;00C25377&quot;/&gt;&lt;wsp:rsid wsp:val=&quot;00C25945&quot;/&gt;&lt;wsp:rsid wsp:val=&quot;00C266B5&quot;/&gt;&lt;wsp:rsid wsp:val=&quot;00C266C5&quot;/&gt;&lt;wsp:rsid wsp:val=&quot;00C26715&quot;/&gt;&lt;wsp:rsid wsp:val=&quot;00C26954&quot;/&gt;&lt;wsp:rsid wsp:val=&quot;00C26BE7&quot;/&gt;&lt;wsp:rsid wsp:val=&quot;00C26F7E&quot;/&gt;&lt;wsp:rsid wsp:val=&quot;00C270ED&quot;/&gt;&lt;wsp:rsid wsp:val=&quot;00C278E3&quot;/&gt;&lt;wsp:rsid wsp:val=&quot;00C3177F&quot;/&gt;&lt;wsp:rsid wsp:val=&quot;00C31781&quot;/&gt;&lt;wsp:rsid wsp:val=&quot;00C317F6&quot;/&gt;&lt;wsp:rsid wsp:val=&quot;00C318BC&quot;/&gt;&lt;wsp:rsid wsp:val=&quot;00C319CB&quot;/&gt;&lt;wsp:rsid wsp:val=&quot;00C31DB9&quot;/&gt;&lt;wsp:rsid wsp:val=&quot;00C31DC4&quot;/&gt;&lt;wsp:rsid wsp:val=&quot;00C31E52&quot;/&gt;&lt;wsp:rsid wsp:val=&quot;00C32B45&quot;/&gt;&lt;wsp:rsid wsp:val=&quot;00C335FB&quot;/&gt;&lt;wsp:rsid wsp:val=&quot;00C33EE4&quot;/&gt;&lt;wsp:rsid wsp:val=&quot;00C346F8&quot;/&gt;&lt;wsp:rsid wsp:val=&quot;00C35066&quot;/&gt;&lt;wsp:rsid wsp:val=&quot;00C350CA&quot;/&gt;&lt;wsp:rsid wsp:val=&quot;00C354E3&quot;/&gt;&lt;wsp:rsid wsp:val=&quot;00C35631&quot;/&gt;&lt;wsp:rsid wsp:val=&quot;00C35AFA&quot;/&gt;&lt;wsp:rsid wsp:val=&quot;00C35C0D&quot;/&gt;&lt;wsp:rsid wsp:val=&quot;00C35E9C&quot;/&gt;&lt;wsp:rsid wsp:val=&quot;00C362E1&quot;/&gt;&lt;wsp:rsid wsp:val=&quot;00C3682A&quot;/&gt;&lt;wsp:rsid wsp:val=&quot;00C36DC1&quot;/&gt;&lt;wsp:rsid wsp:val=&quot;00C37A89&quot;/&gt;&lt;wsp:rsid wsp:val=&quot;00C37BF5&quot;/&gt;&lt;wsp:rsid wsp:val=&quot;00C37CEB&quot;/&gt;&lt;wsp:rsid wsp:val=&quot;00C37E52&quot;/&gt;&lt;wsp:rsid wsp:val=&quot;00C37FEE&quot;/&gt;&lt;wsp:rsid wsp:val=&quot;00C403D6&quot;/&gt;&lt;wsp:rsid wsp:val=&quot;00C40479&quot;/&gt;&lt;wsp:rsid wsp:val=&quot;00C4091F&quot;/&gt;&lt;wsp:rsid wsp:val=&quot;00C412CF&quot;/&gt;&lt;wsp:rsid wsp:val=&quot;00C427A0&quot;/&gt;&lt;wsp:rsid wsp:val=&quot;00C427D7&quot;/&gt;&lt;wsp:rsid wsp:val=&quot;00C42B67&quot;/&gt;&lt;wsp:rsid wsp:val=&quot;00C42F34&quot;/&gt;&lt;wsp:rsid wsp:val=&quot;00C42F4B&quot;/&gt;&lt;wsp:rsid wsp:val=&quot;00C43755&quot;/&gt;&lt;wsp:rsid wsp:val=&quot;00C440D4&quot;/&gt;&lt;wsp:rsid wsp:val=&quot;00C4459F&quot;/&gt;&lt;wsp:rsid wsp:val=&quot;00C44E92&quot;/&gt;&lt;wsp:rsid wsp:val=&quot;00C452E8&quot;/&gt;&lt;wsp:rsid wsp:val=&quot;00C45379&quot;/&gt;&lt;wsp:rsid wsp:val=&quot;00C45646&quot;/&gt;&lt;wsp:rsid wsp:val=&quot;00C45BD0&quot;/&gt;&lt;wsp:rsid wsp:val=&quot;00C45BD4&quot;/&gt;&lt;wsp:rsid wsp:val=&quot;00C45C8F&quot;/&gt;&lt;wsp:rsid wsp:val=&quot;00C45E52&quot;/&gt;&lt;wsp:rsid wsp:val=&quot;00C4629D&quot;/&gt;&lt;wsp:rsid wsp:val=&quot;00C46442&quot;/&gt;&lt;wsp:rsid wsp:val=&quot;00C46D02&quot;/&gt;&lt;wsp:rsid wsp:val=&quot;00C50005&quot;/&gt;&lt;wsp:rsid wsp:val=&quot;00C50331&quot;/&gt;&lt;wsp:rsid wsp:val=&quot;00C50E5F&quot;/&gt;&lt;wsp:rsid wsp:val=&quot;00C50F8D&quot;/&gt;&lt;wsp:rsid wsp:val=&quot;00C51ABA&quot;/&gt;&lt;wsp:rsid wsp:val=&quot;00C51EDF&quot;/&gt;&lt;wsp:rsid wsp:val=&quot;00C528EA&quot;/&gt;&lt;wsp:rsid wsp:val=&quot;00C52D39&quot;/&gt;&lt;wsp:rsid wsp:val=&quot;00C54194&quot;/&gt;&lt;wsp:rsid wsp:val=&quot;00C55066&quot;/&gt;&lt;wsp:rsid wsp:val=&quot;00C5618C&quot;/&gt;&lt;wsp:rsid wsp:val=&quot;00C568DD&quot;/&gt;&lt;wsp:rsid wsp:val=&quot;00C56B84&quot;/&gt;&lt;wsp:rsid wsp:val=&quot;00C57541&quot;/&gt;&lt;wsp:rsid wsp:val=&quot;00C57A64&quot;/&gt;&lt;wsp:rsid wsp:val=&quot;00C57D53&quot;/&gt;&lt;wsp:rsid wsp:val=&quot;00C57F28&quot;/&gt;&lt;wsp:rsid wsp:val=&quot;00C60740&quot;/&gt;&lt;wsp:rsid wsp:val=&quot;00C60A71&quot;/&gt;&lt;wsp:rsid wsp:val=&quot;00C60B3A&quot;/&gt;&lt;wsp:rsid wsp:val=&quot;00C62055&quot;/&gt;&lt;wsp:rsid wsp:val=&quot;00C6224C&quot;/&gt;&lt;wsp:rsid wsp:val=&quot;00C62734&quot;/&gt;&lt;wsp:rsid wsp:val=&quot;00C62846&quot;/&gt;&lt;wsp:rsid wsp:val=&quot;00C62F47&quot;/&gt;&lt;wsp:rsid wsp:val=&quot;00C63021&quot;/&gt;&lt;wsp:rsid wsp:val=&quot;00C638E5&quot;/&gt;&lt;wsp:rsid wsp:val=&quot;00C63B14&quot;/&gt;&lt;wsp:rsid wsp:val=&quot;00C64768&quot;/&gt;&lt;wsp:rsid wsp:val=&quot;00C64A76&quot;/&gt;&lt;wsp:rsid wsp:val=&quot;00C64BFD&quot;/&gt;&lt;wsp:rsid wsp:val=&quot;00C65BEF&quot;/&gt;&lt;wsp:rsid wsp:val=&quot;00C66281&quot;/&gt;&lt;wsp:rsid wsp:val=&quot;00C670A4&quot;/&gt;&lt;wsp:rsid wsp:val=&quot;00C675B8&quot;/&gt;&lt;wsp:rsid wsp:val=&quot;00C703BB&quot;/&gt;&lt;wsp:rsid wsp:val=&quot;00C70DBF&quot;/&gt;&lt;wsp:rsid wsp:val=&quot;00C70E15&quot;/&gt;&lt;wsp:rsid wsp:val=&quot;00C70F56&quot;/&gt;&lt;wsp:rsid wsp:val=&quot;00C70FFA&quot;/&gt;&lt;wsp:rsid wsp:val=&quot;00C713CD&quot;/&gt;&lt;wsp:rsid wsp:val=&quot;00C71440&quot;/&gt;&lt;wsp:rsid wsp:val=&quot;00C71935&quot;/&gt;&lt;wsp:rsid wsp:val=&quot;00C71BA5&quot;/&gt;&lt;wsp:rsid wsp:val=&quot;00C71CDB&quot;/&gt;&lt;wsp:rsid wsp:val=&quot;00C71EBE&quot;/&gt;&lt;wsp:rsid wsp:val=&quot;00C73BAB&quot;/&gt;&lt;wsp:rsid wsp:val=&quot;00C748B0&quot;/&gt;&lt;wsp:rsid wsp:val=&quot;00C75170&quot;/&gt;&lt;wsp:rsid wsp:val=&quot;00C752ED&quot;/&gt;&lt;wsp:rsid wsp:val=&quot;00C75502&quot;/&gt;&lt;wsp:rsid wsp:val=&quot;00C75742&quot;/&gt;&lt;wsp:rsid wsp:val=&quot;00C75D72&quot;/&gt;&lt;wsp:rsid wsp:val=&quot;00C76366&quot;/&gt;&lt;wsp:rsid wsp:val=&quot;00C7773C&quot;/&gt;&lt;wsp:rsid wsp:val=&quot;00C778BF&quot;/&gt;&lt;wsp:rsid wsp:val=&quot;00C779F6&quot;/&gt;&lt;wsp:rsid wsp:val=&quot;00C77C87&quot;/&gt;&lt;wsp:rsid wsp:val=&quot;00C80421&quot;/&gt;&lt;wsp:rsid wsp:val=&quot;00C8073C&quot;/&gt;&lt;wsp:rsid wsp:val=&quot;00C80CD9&quot;/&gt;&lt;wsp:rsid wsp:val=&quot;00C81B60&quot;/&gt;&lt;wsp:rsid wsp:val=&quot;00C82117&quot;/&gt;&lt;wsp:rsid wsp:val=&quot;00C82465&quot;/&gt;&lt;wsp:rsid wsp:val=&quot;00C83328&quot;/&gt;&lt;wsp:rsid wsp:val=&quot;00C836F7&quot;/&gt;&lt;wsp:rsid wsp:val=&quot;00C84624&quot;/&gt;&lt;wsp:rsid wsp:val=&quot;00C849B6&quot;/&gt;&lt;wsp:rsid wsp:val=&quot;00C853D1&quot;/&gt;&lt;wsp:rsid wsp:val=&quot;00C8599B&quot;/&gt;&lt;wsp:rsid wsp:val=&quot;00C859E1&quot;/&gt;&lt;wsp:rsid wsp:val=&quot;00C85F5E&quot;/&gt;&lt;wsp:rsid wsp:val=&quot;00C86033&quot;/&gt;&lt;wsp:rsid wsp:val=&quot;00C862C9&quot;/&gt;&lt;wsp:rsid wsp:val=&quot;00C86773&quot;/&gt;&lt;wsp:rsid wsp:val=&quot;00C86BA9&quot;/&gt;&lt;wsp:rsid wsp:val=&quot;00C86FEE&quot;/&gt;&lt;wsp:rsid wsp:val=&quot;00C87282&quot;/&gt;&lt;wsp:rsid wsp:val=&quot;00C87364&quot;/&gt;&lt;wsp:rsid wsp:val=&quot;00C874B2&quot;/&gt;&lt;wsp:rsid wsp:val=&quot;00C87C59&quot;/&gt;&lt;wsp:rsid wsp:val=&quot;00C87F36&quot;/&gt;&lt;wsp:rsid wsp:val=&quot;00C90651&quot;/&gt;&lt;wsp:rsid wsp:val=&quot;00C90BFE&quot;/&gt;&lt;wsp:rsid wsp:val=&quot;00C90CD5&quot;/&gt;&lt;wsp:rsid wsp:val=&quot;00C92252&quot;/&gt;&lt;wsp:rsid wsp:val=&quot;00C926DB&quot;/&gt;&lt;wsp:rsid wsp:val=&quot;00C933C3&quot;/&gt;&lt;wsp:rsid wsp:val=&quot;00C93799&quot;/&gt;&lt;wsp:rsid wsp:val=&quot;00C93EA8&quot;/&gt;&lt;wsp:rsid wsp:val=&quot;00C943DA&quot;/&gt;&lt;wsp:rsid wsp:val=&quot;00C94934&quot;/&gt;&lt;wsp:rsid wsp:val=&quot;00C94B0F&quot;/&gt;&lt;wsp:rsid wsp:val=&quot;00C94BE7&quot;/&gt;&lt;wsp:rsid wsp:val=&quot;00C94DD4&quot;/&gt;&lt;wsp:rsid wsp:val=&quot;00C9550B&quot;/&gt;&lt;wsp:rsid wsp:val=&quot;00C9632B&quot;/&gt;&lt;wsp:rsid wsp:val=&quot;00C9685B&quot;/&gt;&lt;wsp:rsid wsp:val=&quot;00C96CED&quot;/&gt;&lt;wsp:rsid wsp:val=&quot;00C9783D&quot;/&gt;&lt;wsp:rsid wsp:val=&quot;00CA05DF&quot;/&gt;&lt;wsp:rsid wsp:val=&quot;00CA0F68&quot;/&gt;&lt;wsp:rsid wsp:val=&quot;00CA1F83&quot;/&gt;&lt;wsp:rsid wsp:val=&quot;00CA2993&quot;/&gt;&lt;wsp:rsid wsp:val=&quot;00CA2D15&quot;/&gt;&lt;wsp:rsid wsp:val=&quot;00CA2F69&quot;/&gt;&lt;wsp:rsid wsp:val=&quot;00CA3291&quot;/&gt;&lt;wsp:rsid wsp:val=&quot;00CA332A&quot;/&gt;&lt;wsp:rsid wsp:val=&quot;00CA3BC0&quot;/&gt;&lt;wsp:rsid wsp:val=&quot;00CA3BD8&quot;/&gt;&lt;wsp:rsid wsp:val=&quot;00CA3CD1&quot;/&gt;&lt;wsp:rsid wsp:val=&quot;00CA5425&quot;/&gt;&lt;wsp:rsid wsp:val=&quot;00CA5489&quot;/&gt;&lt;wsp:rsid wsp:val=&quot;00CA5978&quot;/&gt;&lt;wsp:rsid wsp:val=&quot;00CA6036&quot;/&gt;&lt;wsp:rsid wsp:val=&quot;00CA6141&quot;/&gt;&lt;wsp:rsid wsp:val=&quot;00CA634D&quot;/&gt;&lt;wsp:rsid wsp:val=&quot;00CA65E8&quot;/&gt;&lt;wsp:rsid wsp:val=&quot;00CA6BCF&quot;/&gt;&lt;wsp:rsid wsp:val=&quot;00CA6F82&quot;/&gt;&lt;wsp:rsid wsp:val=&quot;00CA712E&quot;/&gt;&lt;wsp:rsid wsp:val=&quot;00CA749A&quot;/&gt;&lt;wsp:rsid wsp:val=&quot;00CA7985&quot;/&gt;&lt;wsp:rsid wsp:val=&quot;00CB0B0A&quot;/&gt;&lt;wsp:rsid wsp:val=&quot;00CB0B4B&quot;/&gt;&lt;wsp:rsid wsp:val=&quot;00CB0DA8&quot;/&gt;&lt;wsp:rsid wsp:val=&quot;00CB1FC3&quot;/&gt;&lt;wsp:rsid wsp:val=&quot;00CB274D&quot;/&gt;&lt;wsp:rsid wsp:val=&quot;00CB31BA&quot;/&gt;&lt;wsp:rsid wsp:val=&quot;00CB32BE&quot;/&gt;&lt;wsp:rsid wsp:val=&quot;00CB3D5A&quot;/&gt;&lt;wsp:rsid wsp:val=&quot;00CB401B&quot;/&gt;&lt;wsp:rsid wsp:val=&quot;00CB42B6&quot;/&gt;&lt;wsp:rsid wsp:val=&quot;00CB491B&quot;/&gt;&lt;wsp:rsid wsp:val=&quot;00CB55FC&quot;/&gt;&lt;wsp:rsid wsp:val=&quot;00CB5816&quot;/&gt;&lt;wsp:rsid wsp:val=&quot;00CB6917&quot;/&gt;&lt;wsp:rsid wsp:val=&quot;00CB6A3E&quot;/&gt;&lt;wsp:rsid wsp:val=&quot;00CB7170&quot;/&gt;&lt;wsp:rsid wsp:val=&quot;00CB73FF&quot;/&gt;&lt;wsp:rsid wsp:val=&quot;00CB77ED&quot;/&gt;&lt;wsp:rsid wsp:val=&quot;00CC0244&quot;/&gt;&lt;wsp:rsid wsp:val=&quot;00CC0403&quot;/&gt;&lt;wsp:rsid wsp:val=&quot;00CC0FFF&quot;/&gt;&lt;wsp:rsid wsp:val=&quot;00CC1610&quot;/&gt;&lt;wsp:rsid wsp:val=&quot;00CC22D3&quot;/&gt;&lt;wsp:rsid wsp:val=&quot;00CC2652&quot;/&gt;&lt;wsp:rsid wsp:val=&quot;00CC2C41&quot;/&gt;&lt;wsp:rsid wsp:val=&quot;00CC2C7B&quot;/&gt;&lt;wsp:rsid wsp:val=&quot;00CC2E66&quot;/&gt;&lt;wsp:rsid wsp:val=&quot;00CC3896&quot;/&gt;&lt;wsp:rsid wsp:val=&quot;00CC3F9E&quot;/&gt;&lt;wsp:rsid wsp:val=&quot;00CC4E98&quot;/&gt;&lt;wsp:rsid wsp:val=&quot;00CC512B&quot;/&gt;&lt;wsp:rsid wsp:val=&quot;00CC53E6&quot;/&gt;&lt;wsp:rsid wsp:val=&quot;00CC54D7&quot;/&gt;&lt;wsp:rsid wsp:val=&quot;00CC55B5&quot;/&gt;&lt;wsp:rsid wsp:val=&quot;00CC5E40&quot;/&gt;&lt;wsp:rsid wsp:val=&quot;00CC5E62&quot;/&gt;&lt;wsp:rsid wsp:val=&quot;00CC5EE5&quot;/&gt;&lt;wsp:rsid wsp:val=&quot;00CC6576&quot;/&gt;&lt;wsp:rsid wsp:val=&quot;00CC696E&quot;/&gt;&lt;wsp:rsid wsp:val=&quot;00CC6A69&quot;/&gt;&lt;wsp:rsid wsp:val=&quot;00CC6C54&quot;/&gt;&lt;wsp:rsid wsp:val=&quot;00CC7030&quot;/&gt;&lt;wsp:rsid wsp:val=&quot;00CC741B&quot;/&gt;&lt;wsp:rsid wsp:val=&quot;00CC7926&quot;/&gt;&lt;wsp:rsid wsp:val=&quot;00CD0A29&quot;/&gt;&lt;wsp:rsid wsp:val=&quot;00CD1281&quot;/&gt;&lt;wsp:rsid wsp:val=&quot;00CD19ED&quot;/&gt;&lt;wsp:rsid wsp:val=&quot;00CD1CE3&quot;/&gt;&lt;wsp:rsid wsp:val=&quot;00CD2074&quot;/&gt;&lt;wsp:rsid wsp:val=&quot;00CD213E&quot;/&gt;&lt;wsp:rsid wsp:val=&quot;00CD218F&quot;/&gt;&lt;wsp:rsid wsp:val=&quot;00CD2288&quot;/&gt;&lt;wsp:rsid wsp:val=&quot;00CD2DF9&quot;/&gt;&lt;wsp:rsid wsp:val=&quot;00CD3084&quot;/&gt;&lt;wsp:rsid wsp:val=&quot;00CD30FE&quot;/&gt;&lt;wsp:rsid wsp:val=&quot;00CD3692&quot;/&gt;&lt;wsp:rsid wsp:val=&quot;00CD3774&quot;/&gt;&lt;wsp:rsid wsp:val=&quot;00CD37CD&quot;/&gt;&lt;wsp:rsid wsp:val=&quot;00CD3B71&quot;/&gt;&lt;wsp:rsid wsp:val=&quot;00CD51CA&quot;/&gt;&lt;wsp:rsid wsp:val=&quot;00CD52E8&quot;/&gt;&lt;wsp:rsid wsp:val=&quot;00CD5CCE&quot;/&gt;&lt;wsp:rsid wsp:val=&quot;00CD5EED&quot;/&gt;&lt;wsp:rsid wsp:val=&quot;00CD6514&quot;/&gt;&lt;wsp:rsid wsp:val=&quot;00CD65A2&quot;/&gt;&lt;wsp:rsid wsp:val=&quot;00CD6637&quot;/&gt;&lt;wsp:rsid wsp:val=&quot;00CD66A4&quot;/&gt;&lt;wsp:rsid wsp:val=&quot;00CD694B&quot;/&gt;&lt;wsp:rsid wsp:val=&quot;00CD69E7&quot;/&gt;&lt;wsp:rsid wsp:val=&quot;00CD69E9&quot;/&gt;&lt;wsp:rsid wsp:val=&quot;00CD6A70&quot;/&gt;&lt;wsp:rsid wsp:val=&quot;00CD74D8&quot;/&gt;&lt;wsp:rsid wsp:val=&quot;00CD7999&quot;/&gt;&lt;wsp:rsid wsp:val=&quot;00CD7BF1&quot;/&gt;&lt;wsp:rsid wsp:val=&quot;00CE0AB2&quot;/&gt;&lt;wsp:rsid wsp:val=&quot;00CE0C16&quot;/&gt;&lt;wsp:rsid wsp:val=&quot;00CE0CA0&quot;/&gt;&lt;wsp:rsid wsp:val=&quot;00CE1CCE&quot;/&gt;&lt;wsp:rsid wsp:val=&quot;00CE21FB&quot;/&gt;&lt;wsp:rsid wsp:val=&quot;00CE376E&quot;/&gt;&lt;wsp:rsid wsp:val=&quot;00CE3866&quot;/&gt;&lt;wsp:rsid wsp:val=&quot;00CE399C&quot;/&gt;&lt;wsp:rsid wsp:val=&quot;00CE4C8A&quot;/&gt;&lt;wsp:rsid wsp:val=&quot;00CE4FD3&quot;/&gt;&lt;wsp:rsid wsp:val=&quot;00CE576A&quot;/&gt;&lt;wsp:rsid wsp:val=&quot;00CE5853&quot;/&gt;&lt;wsp:rsid wsp:val=&quot;00CE5BD9&quot;/&gt;&lt;wsp:rsid wsp:val=&quot;00CE5D8F&quot;/&gt;&lt;wsp:rsid wsp:val=&quot;00CE6025&quot;/&gt;&lt;wsp:rsid wsp:val=&quot;00CE6071&quot;/&gt;&lt;wsp:rsid wsp:val=&quot;00CE611F&quot;/&gt;&lt;wsp:rsid wsp:val=&quot;00CE61F5&quot;/&gt;&lt;wsp:rsid wsp:val=&quot;00CE6ABF&quot;/&gt;&lt;wsp:rsid wsp:val=&quot;00CE6BA9&quot;/&gt;&lt;wsp:rsid wsp:val=&quot;00CE6F0E&quot;/&gt;&lt;wsp:rsid wsp:val=&quot;00CE7151&quot;/&gt;&lt;wsp:rsid wsp:val=&quot;00CF09BF&quot;/&gt;&lt;wsp:rsid wsp:val=&quot;00CF1B2A&quot;/&gt;&lt;wsp:rsid wsp:val=&quot;00CF1CFA&quot;/&gt;&lt;wsp:rsid wsp:val=&quot;00CF22DE&quot;/&gt;&lt;wsp:rsid wsp:val=&quot;00CF2B49&quot;/&gt;&lt;wsp:rsid wsp:val=&quot;00CF2EA1&quot;/&gt;&lt;wsp:rsid wsp:val=&quot;00CF2FB9&quot;/&gt;&lt;wsp:rsid wsp:val=&quot;00CF31DC&quot;/&gt;&lt;wsp:rsid wsp:val=&quot;00CF3F30&quot;/&gt;&lt;wsp:rsid wsp:val=&quot;00CF3FEF&quot;/&gt;&lt;wsp:rsid wsp:val=&quot;00CF4B77&quot;/&gt;&lt;wsp:rsid wsp:val=&quot;00CF51DB&quot;/&gt;&lt;wsp:rsid wsp:val=&quot;00CF5B2E&quot;/&gt;&lt;wsp:rsid wsp:val=&quot;00CF5BDF&quot;/&gt;&lt;wsp:rsid wsp:val=&quot;00CF5D64&quot;/&gt;&lt;wsp:rsid wsp:val=&quot;00CF6B2C&quot;/&gt;&lt;wsp:rsid wsp:val=&quot;00CF7115&quot;/&gt;&lt;wsp:rsid wsp:val=&quot;00CF7996&quot;/&gt;&lt;wsp:rsid wsp:val=&quot;00D00238&quot;/&gt;&lt;wsp:rsid wsp:val=&quot;00D00DC6&quot;/&gt;&lt;wsp:rsid wsp:val=&quot;00D00EF3&quot;/&gt;&lt;wsp:rsid wsp:val=&quot;00D01224&quot;/&gt;&lt;wsp:rsid wsp:val=&quot;00D01783&quot;/&gt;&lt;wsp:rsid wsp:val=&quot;00D01B32&quot;/&gt;&lt;wsp:rsid wsp:val=&quot;00D01C6C&quot;/&gt;&lt;wsp:rsid wsp:val=&quot;00D01F24&quot;/&gt;&lt;wsp:rsid wsp:val=&quot;00D02011&quot;/&gt;&lt;wsp:rsid wsp:val=&quot;00D02109&quot;/&gt;&lt;wsp:rsid wsp:val=&quot;00D029A1&quot;/&gt;&lt;wsp:rsid wsp:val=&quot;00D02EE9&quot;/&gt;&lt;wsp:rsid wsp:val=&quot;00D0360E&quot;/&gt;&lt;wsp:rsid wsp:val=&quot;00D03C5C&quot;/&gt;&lt;wsp:rsid wsp:val=&quot;00D0458F&quot;/&gt;&lt;wsp:rsid wsp:val=&quot;00D0461D&quot;/&gt;&lt;wsp:rsid wsp:val=&quot;00D04749&quot;/&gt;&lt;wsp:rsid wsp:val=&quot;00D04A59&quot;/&gt;&lt;wsp:rsid wsp:val=&quot;00D0500A&quot;/&gt;&lt;wsp:rsid wsp:val=&quot;00D05301&quot;/&gt;&lt;wsp:rsid wsp:val=&quot;00D06BB5&quot;/&gt;&lt;wsp:rsid wsp:val=&quot;00D06C66&quot;/&gt;&lt;wsp:rsid wsp:val=&quot;00D0705E&quot;/&gt;&lt;wsp:rsid wsp:val=&quot;00D072B4&quot;/&gt;&lt;wsp:rsid wsp:val=&quot;00D07CA7&quot;/&gt;&lt;wsp:rsid wsp:val=&quot;00D1001E&quot;/&gt;&lt;wsp:rsid wsp:val=&quot;00D10129&quot;/&gt;&lt;wsp:rsid wsp:val=&quot;00D103C2&quot;/&gt;&lt;wsp:rsid wsp:val=&quot;00D1040B&quot;/&gt;&lt;wsp:rsid wsp:val=&quot;00D10740&quot;/&gt;&lt;wsp:rsid wsp:val=&quot;00D109E2&quot;/&gt;&lt;wsp:rsid wsp:val=&quot;00D10DD5&quot;/&gt;&lt;wsp:rsid wsp:val=&quot;00D10EA0&quot;/&gt;&lt;wsp:rsid wsp:val=&quot;00D10F30&quot;/&gt;&lt;wsp:rsid wsp:val=&quot;00D10F73&quot;/&gt;&lt;wsp:rsid wsp:val=&quot;00D12115&quot;/&gt;&lt;wsp:rsid wsp:val=&quot;00D1261E&quot;/&gt;&lt;wsp:rsid wsp:val=&quot;00D12AE5&quot;/&gt;&lt;wsp:rsid wsp:val=&quot;00D13184&quot;/&gt;&lt;wsp:rsid wsp:val=&quot;00D13CF7&quot;/&gt;&lt;wsp:rsid wsp:val=&quot;00D14195&quot;/&gt;&lt;wsp:rsid wsp:val=&quot;00D14A38&quot;/&gt;&lt;wsp:rsid wsp:val=&quot;00D14FDD&quot;/&gt;&lt;wsp:rsid wsp:val=&quot;00D1586E&quot;/&gt;&lt;wsp:rsid wsp:val=&quot;00D158B9&quot;/&gt;&lt;wsp:rsid wsp:val=&quot;00D15EFE&quot;/&gt;&lt;wsp:rsid wsp:val=&quot;00D1676A&quot;/&gt;&lt;wsp:rsid wsp:val=&quot;00D168FF&quot;/&gt;&lt;wsp:rsid wsp:val=&quot;00D16E18&quot;/&gt;&lt;wsp:rsid wsp:val=&quot;00D17550&quot;/&gt;&lt;wsp:rsid wsp:val=&quot;00D17560&quot;/&gt;&lt;wsp:rsid wsp:val=&quot;00D20CCA&quot;/&gt;&lt;wsp:rsid wsp:val=&quot;00D2117D&quot;/&gt;&lt;wsp:rsid wsp:val=&quot;00D21199&quot;/&gt;&lt;wsp:rsid wsp:val=&quot;00D215AC&quot;/&gt;&lt;wsp:rsid wsp:val=&quot;00D2209F&quot;/&gt;&lt;wsp:rsid wsp:val=&quot;00D222AA&quot;/&gt;&lt;wsp:rsid wsp:val=&quot;00D223CB&quot;/&gt;&lt;wsp:rsid wsp:val=&quot;00D228B5&quot;/&gt;&lt;wsp:rsid wsp:val=&quot;00D22C6A&quot;/&gt;&lt;wsp:rsid wsp:val=&quot;00D230DE&quot;/&gt;&lt;wsp:rsid wsp:val=&quot;00D23301&quot;/&gt;&lt;wsp:rsid wsp:val=&quot;00D238BE&quot;/&gt;&lt;wsp:rsid wsp:val=&quot;00D23DD5&quot;/&gt;&lt;wsp:rsid wsp:val=&quot;00D2415B&quot;/&gt;&lt;wsp:rsid wsp:val=&quot;00D249B8&quot;/&gt;&lt;wsp:rsid wsp:val=&quot;00D258A2&quot;/&gt;&lt;wsp:rsid wsp:val=&quot;00D262DE&quot;/&gt;&lt;wsp:rsid wsp:val=&quot;00D2643A&quot;/&gt;&lt;wsp:rsid wsp:val=&quot;00D268A0&quot;/&gt;&lt;wsp:rsid wsp:val=&quot;00D26C6B&quot;/&gt;&lt;wsp:rsid wsp:val=&quot;00D26E1A&quot;/&gt;&lt;wsp:rsid wsp:val=&quot;00D271FF&quot;/&gt;&lt;wsp:rsid wsp:val=&quot;00D27EA4&quot;/&gt;&lt;wsp:rsid wsp:val=&quot;00D30019&quot;/&gt;&lt;wsp:rsid wsp:val=&quot;00D306A9&quot;/&gt;&lt;wsp:rsid wsp:val=&quot;00D30D67&quot;/&gt;&lt;wsp:rsid wsp:val=&quot;00D31279&quot;/&gt;&lt;wsp:rsid wsp:val=&quot;00D31676&quot;/&gt;&lt;wsp:rsid wsp:val=&quot;00D321F1&quot;/&gt;&lt;wsp:rsid wsp:val=&quot;00D333CA&quot;/&gt;&lt;wsp:rsid wsp:val=&quot;00D33F76&quot;/&gt;&lt;wsp:rsid wsp:val=&quot;00D342D5&quot;/&gt;&lt;wsp:rsid wsp:val=&quot;00D3449C&quot;/&gt;&lt;wsp:rsid wsp:val=&quot;00D34AE0&quot;/&gt;&lt;wsp:rsid wsp:val=&quot;00D34C28&quot;/&gt;&lt;wsp:rsid wsp:val=&quot;00D34F95&quot;/&gt;&lt;wsp:rsid wsp:val=&quot;00D35492&quot;/&gt;&lt;wsp:rsid wsp:val=&quot;00D35C79&quot;/&gt;&lt;wsp:rsid wsp:val=&quot;00D3664E&quot;/&gt;&lt;wsp:rsid wsp:val=&quot;00D366C3&quot;/&gt;&lt;wsp:rsid wsp:val=&quot;00D36E16&quot;/&gt;&lt;wsp:rsid wsp:val=&quot;00D3707F&quot;/&gt;&lt;wsp:rsid wsp:val=&quot;00D371F3&quot;/&gt;&lt;wsp:rsid wsp:val=&quot;00D3739A&quot;/&gt;&lt;wsp:rsid wsp:val=&quot;00D375D0&quot;/&gt;&lt;wsp:rsid wsp:val=&quot;00D37749&quot;/&gt;&lt;wsp:rsid wsp:val=&quot;00D378EA&quot;/&gt;&lt;wsp:rsid wsp:val=&quot;00D405DB&quot;/&gt;&lt;wsp:rsid wsp:val=&quot;00D41606&quot;/&gt;&lt;wsp:rsid wsp:val=&quot;00D416BF&quot;/&gt;&lt;wsp:rsid wsp:val=&quot;00D4238F&quot;/&gt;&lt;wsp:rsid wsp:val=&quot;00D42C6A&quot;/&gt;&lt;wsp:rsid wsp:val=&quot;00D43761&quot;/&gt;&lt;wsp:rsid wsp:val=&quot;00D43F01&quot;/&gt;&lt;wsp:rsid wsp:val=&quot;00D440D6&quot;/&gt;&lt;wsp:rsid wsp:val=&quot;00D44A24&quot;/&gt;&lt;wsp:rsid wsp:val=&quot;00D44D03&quot;/&gt;&lt;wsp:rsid wsp:val=&quot;00D46A5A&quot;/&gt;&lt;wsp:rsid wsp:val=&quot;00D46C33&quot;/&gt;&lt;wsp:rsid wsp:val=&quot;00D46E0D&quot;/&gt;&lt;wsp:rsid wsp:val=&quot;00D47036&quot;/&gt;&lt;wsp:rsid wsp:val=&quot;00D476FA&quot;/&gt;&lt;wsp:rsid wsp:val=&quot;00D503B9&quot;/&gt;&lt;wsp:rsid wsp:val=&quot;00D503EA&quot;/&gt;&lt;wsp:rsid wsp:val=&quot;00D50EED&quot;/&gt;&lt;wsp:rsid wsp:val=&quot;00D51033&quot;/&gt;&lt;wsp:rsid wsp:val=&quot;00D51EDF&quot;/&gt;&lt;wsp:rsid wsp:val=&quot;00D520D5&quot;/&gt;&lt;wsp:rsid wsp:val=&quot;00D522B4&quot;/&gt;&lt;wsp:rsid wsp:val=&quot;00D523B6&quot;/&gt;&lt;wsp:rsid wsp:val=&quot;00D52513&quot;/&gt;&lt;wsp:rsid wsp:val=&quot;00D526CB&quot;/&gt;&lt;wsp:rsid wsp:val=&quot;00D528CE&quot;/&gt;&lt;wsp:rsid wsp:val=&quot;00D52A90&quot;/&gt;&lt;wsp:rsid wsp:val=&quot;00D52A94&quot;/&gt;&lt;wsp:rsid wsp:val=&quot;00D53085&quot;/&gt;&lt;wsp:rsid wsp:val=&quot;00D543FB&quot;/&gt;&lt;wsp:rsid wsp:val=&quot;00D5527B&quot;/&gt;&lt;wsp:rsid wsp:val=&quot;00D55EA7&quot;/&gt;&lt;wsp:rsid wsp:val=&quot;00D56130&quot;/&gt;&lt;wsp:rsid wsp:val=&quot;00D56EFA&quot;/&gt;&lt;wsp:rsid wsp:val=&quot;00D572BE&quot;/&gt;&lt;wsp:rsid wsp:val=&quot;00D5764C&quot;/&gt;&lt;wsp:rsid wsp:val=&quot;00D57B52&quot;/&gt;&lt;wsp:rsid wsp:val=&quot;00D60B33&quot;/&gt;&lt;wsp:rsid wsp:val=&quot;00D60B71&quot;/&gt;&lt;wsp:rsid wsp:val=&quot;00D60B7E&quot;/&gt;&lt;wsp:rsid wsp:val=&quot;00D611AF&quot;/&gt;&lt;wsp:rsid wsp:val=&quot;00D6135B&quot;/&gt;&lt;wsp:rsid wsp:val=&quot;00D617A8&quot;/&gt;&lt;wsp:rsid wsp:val=&quot;00D61E44&quot;/&gt;&lt;wsp:rsid wsp:val=&quot;00D62A06&quot;/&gt;&lt;wsp:rsid wsp:val=&quot;00D62C1A&quot;/&gt;&lt;wsp:rsid wsp:val=&quot;00D62F5E&quot;/&gt;&lt;wsp:rsid wsp:val=&quot;00D6377F&quot;/&gt;&lt;wsp:rsid wsp:val=&quot;00D64AED&quot;/&gt;&lt;wsp:rsid wsp:val=&quot;00D64CA7&quot;/&gt;&lt;wsp:rsid wsp:val=&quot;00D64DB1&quot;/&gt;&lt;wsp:rsid wsp:val=&quot;00D64E8D&quot;/&gt;&lt;wsp:rsid wsp:val=&quot;00D6501D&quot;/&gt;&lt;wsp:rsid wsp:val=&quot;00D65ADA&quot;/&gt;&lt;wsp:rsid wsp:val=&quot;00D66990&quot;/&gt;&lt;wsp:rsid wsp:val=&quot;00D66AA9&quot;/&gt;&lt;wsp:rsid wsp:val=&quot;00D66DC7&quot;/&gt;&lt;wsp:rsid wsp:val=&quot;00D67EB1&quot;/&gt;&lt;wsp:rsid wsp:val=&quot;00D67F1D&quot;/&gt;&lt;wsp:rsid wsp:val=&quot;00D70231&quot;/&gt;&lt;wsp:rsid wsp:val=&quot;00D70B1B&quot;/&gt;&lt;wsp:rsid wsp:val=&quot;00D70B59&quot;/&gt;&lt;wsp:rsid wsp:val=&quot;00D71152&quot;/&gt;&lt;wsp:rsid wsp:val=&quot;00D71913&quot;/&gt;&lt;wsp:rsid wsp:val=&quot;00D7193C&quot;/&gt;&lt;wsp:rsid wsp:val=&quot;00D71B3E&quot;/&gt;&lt;wsp:rsid wsp:val=&quot;00D7265F&quot;/&gt;&lt;wsp:rsid wsp:val=&quot;00D729F6&quot;/&gt;&lt;wsp:rsid wsp:val=&quot;00D729FA&quot;/&gt;&lt;wsp:rsid wsp:val=&quot;00D72BDA&quot;/&gt;&lt;wsp:rsid wsp:val=&quot;00D73677&quot;/&gt;&lt;wsp:rsid wsp:val=&quot;00D7389C&quot;/&gt;&lt;wsp:rsid wsp:val=&quot;00D74D59&quot;/&gt;&lt;wsp:rsid wsp:val=&quot;00D74DBC&quot;/&gt;&lt;wsp:rsid wsp:val=&quot;00D74DDD&quot;/&gt;&lt;wsp:rsid wsp:val=&quot;00D74E1A&quot;/&gt;&lt;wsp:rsid wsp:val=&quot;00D74E94&quot;/&gt;&lt;wsp:rsid wsp:val=&quot;00D75835&quot;/&gt;&lt;wsp:rsid wsp:val=&quot;00D75D47&quot;/&gt;&lt;wsp:rsid wsp:val=&quot;00D76048&quot;/&gt;&lt;wsp:rsid wsp:val=&quot;00D760E7&quot;/&gt;&lt;wsp:rsid wsp:val=&quot;00D762E8&quot;/&gt;&lt;wsp:rsid wsp:val=&quot;00D762EF&quot;/&gt;&lt;wsp:rsid wsp:val=&quot;00D76517&quot;/&gt;&lt;wsp:rsid wsp:val=&quot;00D76689&quot;/&gt;&lt;wsp:rsid wsp:val=&quot;00D766D2&quot;/&gt;&lt;wsp:rsid wsp:val=&quot;00D76919&quot;/&gt;&lt;wsp:rsid wsp:val=&quot;00D77E41&quot;/&gt;&lt;wsp:rsid wsp:val=&quot;00D77EE5&quot;/&gt;&lt;wsp:rsid wsp:val=&quot;00D8039A&quot;/&gt;&lt;wsp:rsid wsp:val=&quot;00D80913&quot;/&gt;&lt;wsp:rsid wsp:val=&quot;00D8099C&quot;/&gt;&lt;wsp:rsid wsp:val=&quot;00D81B99&quot;/&gt;&lt;wsp:rsid wsp:val=&quot;00D81FEC&quot;/&gt;&lt;wsp:rsid wsp:val=&quot;00D823EE&quot;/&gt;&lt;wsp:rsid wsp:val=&quot;00D82815&quot;/&gt;&lt;wsp:rsid wsp:val=&quot;00D82C31&quot;/&gt;&lt;wsp:rsid wsp:val=&quot;00D832A4&quot;/&gt;&lt;wsp:rsid wsp:val=&quot;00D8349C&quot;/&gt;&lt;wsp:rsid wsp:val=&quot;00D838AF&quot;/&gt;&lt;wsp:rsid wsp:val=&quot;00D84113&quot;/&gt;&lt;wsp:rsid wsp:val=&quot;00D84285&quot;/&gt;&lt;wsp:rsid wsp:val=&quot;00D84349&quot;/&gt;&lt;wsp:rsid wsp:val=&quot;00D84901&quot;/&gt;&lt;wsp:rsid wsp:val=&quot;00D8560C&quot;/&gt;&lt;wsp:rsid wsp:val=&quot;00D861CD&quot;/&gt;&lt;wsp:rsid wsp:val=&quot;00D8659C&quot;/&gt;&lt;wsp:rsid wsp:val=&quot;00D870F2&quot;/&gt;&lt;wsp:rsid wsp:val=&quot;00D87463&quot;/&gt;&lt;wsp:rsid wsp:val=&quot;00D87753&quot;/&gt;&lt;wsp:rsid wsp:val=&quot;00D87A65&quot;/&gt;&lt;wsp:rsid wsp:val=&quot;00D87E2C&quot;/&gt;&lt;wsp:rsid wsp:val=&quot;00D90202&quot;/&gt;&lt;wsp:rsid wsp:val=&quot;00D902F2&quot;/&gt;&lt;wsp:rsid wsp:val=&quot;00D90B88&quot;/&gt;&lt;wsp:rsid wsp:val=&quot;00D91448&quot;/&gt;&lt;wsp:rsid wsp:val=&quot;00D92263&quot;/&gt;&lt;wsp:rsid wsp:val=&quot;00D92855&quot;/&gt;&lt;wsp:rsid wsp:val=&quot;00D92C6B&quot;/&gt;&lt;wsp:rsid wsp:val=&quot;00D93D26&quot;/&gt;&lt;wsp:rsid wsp:val=&quot;00D94199&quot;/&gt;&lt;wsp:rsid wsp:val=&quot;00D956DD&quot;/&gt;&lt;wsp:rsid wsp:val=&quot;00D96206&quot;/&gt;&lt;wsp:rsid wsp:val=&quot;00D964F2&quot;/&gt;&lt;wsp:rsid wsp:val=&quot;00D96C27&quot;/&gt;&lt;wsp:rsid wsp:val=&quot;00D96EEC&quot;/&gt;&lt;wsp:rsid wsp:val=&quot;00D97034&quot;/&gt;&lt;wsp:rsid wsp:val=&quot;00D97574&quot;/&gt;&lt;wsp:rsid wsp:val=&quot;00D97F4E&quot;/&gt;&lt;wsp:rsid wsp:val=&quot;00DA0AFC&quot;/&gt;&lt;wsp:rsid wsp:val=&quot;00DA0B47&quot;/&gt;&lt;wsp:rsid wsp:val=&quot;00DA0BC9&quot;/&gt;&lt;wsp:rsid wsp:val=&quot;00DA0CD5&quot;/&gt;&lt;wsp:rsid wsp:val=&quot;00DA11A5&quot;/&gt;&lt;wsp:rsid wsp:val=&quot;00DA1871&quot;/&gt;&lt;wsp:rsid wsp:val=&quot;00DA1A41&quot;/&gt;&lt;wsp:rsid wsp:val=&quot;00DA20CD&quot;/&gt;&lt;wsp:rsid wsp:val=&quot;00DA21DD&quot;/&gt;&lt;wsp:rsid wsp:val=&quot;00DA2471&quot;/&gt;&lt;wsp:rsid wsp:val=&quot;00DA280C&quot;/&gt;&lt;wsp:rsid wsp:val=&quot;00DA2C4F&quot;/&gt;&lt;wsp:rsid wsp:val=&quot;00DA2E49&quot;/&gt;&lt;wsp:rsid wsp:val=&quot;00DA2E96&quot;/&gt;&lt;wsp:rsid wsp:val=&quot;00DA2EA7&quot;/&gt;&lt;wsp:rsid wsp:val=&quot;00DA2FE0&quot;/&gt;&lt;wsp:rsid wsp:val=&quot;00DA3027&quot;/&gt;&lt;wsp:rsid wsp:val=&quot;00DA32EB&quot;/&gt;&lt;wsp:rsid wsp:val=&quot;00DA337D&quot;/&gt;&lt;wsp:rsid wsp:val=&quot;00DA486E&quot;/&gt;&lt;wsp:rsid wsp:val=&quot;00DA512F&quot;/&gt;&lt;wsp:rsid wsp:val=&quot;00DA5201&quot;/&gt;&lt;wsp:rsid wsp:val=&quot;00DA54D4&quot;/&gt;&lt;wsp:rsid wsp:val=&quot;00DA5D21&quot;/&gt;&lt;wsp:rsid wsp:val=&quot;00DA617F&quot;/&gt;&lt;wsp:rsid wsp:val=&quot;00DA66B8&quot;/&gt;&lt;wsp:rsid wsp:val=&quot;00DA706A&quot;/&gt;&lt;wsp:rsid wsp:val=&quot;00DA72CF&quot;/&gt;&lt;wsp:rsid wsp:val=&quot;00DA734D&quot;/&gt;&lt;wsp:rsid wsp:val=&quot;00DA7727&quot;/&gt;&lt;wsp:rsid wsp:val=&quot;00DA78D0&quot;/&gt;&lt;wsp:rsid wsp:val=&quot;00DA7B02&quot;/&gt;&lt;wsp:rsid wsp:val=&quot;00DA7D0F&quot;/&gt;&lt;wsp:rsid wsp:val=&quot;00DB0281&quot;/&gt;&lt;wsp:rsid wsp:val=&quot;00DB03D0&quot;/&gt;&lt;wsp:rsid wsp:val=&quot;00DB0A6E&quot;/&gt;&lt;wsp:rsid wsp:val=&quot;00DB0D6F&quot;/&gt;&lt;wsp:rsid wsp:val=&quot;00DB1E42&quot;/&gt;&lt;wsp:rsid wsp:val=&quot;00DB1FB2&quot;/&gt;&lt;wsp:rsid wsp:val=&quot;00DB2616&quot;/&gt;&lt;wsp:rsid wsp:val=&quot;00DB2AD8&quot;/&gt;&lt;wsp:rsid wsp:val=&quot;00DB303C&quot;/&gt;&lt;wsp:rsid wsp:val=&quot;00DB31D4&quot;/&gt;&lt;wsp:rsid wsp:val=&quot;00DB34E0&quot;/&gt;&lt;wsp:rsid wsp:val=&quot;00DB4138&quot;/&gt;&lt;wsp:rsid wsp:val=&quot;00DB4491&quot;/&gt;&lt;wsp:rsid wsp:val=&quot;00DB4872&quot;/&gt;&lt;wsp:rsid wsp:val=&quot;00DB49C5&quot;/&gt;&lt;wsp:rsid wsp:val=&quot;00DB5001&quot;/&gt;&lt;wsp:rsid wsp:val=&quot;00DB589E&quot;/&gt;&lt;wsp:rsid wsp:val=&quot;00DB62A5&quot;/&gt;&lt;wsp:rsid wsp:val=&quot;00DB62A6&quot;/&gt;&lt;wsp:rsid wsp:val=&quot;00DB6606&quot;/&gt;&lt;wsp:rsid wsp:val=&quot;00DB6D36&quot;/&gt;&lt;wsp:rsid wsp:val=&quot;00DB7756&quot;/&gt;&lt;wsp:rsid wsp:val=&quot;00DB7784&quot;/&gt;&lt;wsp:rsid wsp:val=&quot;00DB7905&quot;/&gt;&lt;wsp:rsid wsp:val=&quot;00DB7A2A&quot;/&gt;&lt;wsp:rsid wsp:val=&quot;00DB7B75&quot;/&gt;&lt;wsp:rsid wsp:val=&quot;00DC0325&quot;/&gt;&lt;wsp:rsid wsp:val=&quot;00DC0A1C&quot;/&gt;&lt;wsp:rsid wsp:val=&quot;00DC169C&quot;/&gt;&lt;wsp:rsid wsp:val=&quot;00DC1922&quot;/&gt;&lt;wsp:rsid wsp:val=&quot;00DC2AED&quot;/&gt;&lt;wsp:rsid wsp:val=&quot;00DC3209&quot;/&gt;&lt;wsp:rsid wsp:val=&quot;00DC3548&quot;/&gt;&lt;wsp:rsid wsp:val=&quot;00DC3654&quot;/&gt;&lt;wsp:rsid wsp:val=&quot;00DC3CEF&quot;/&gt;&lt;wsp:rsid wsp:val=&quot;00DC40B0&quot;/&gt;&lt;wsp:rsid wsp:val=&quot;00DC4A31&quot;/&gt;&lt;wsp:rsid wsp:val=&quot;00DC4DEE&quot;/&gt;&lt;wsp:rsid wsp:val=&quot;00DC4F31&quot;/&gt;&lt;wsp:rsid wsp:val=&quot;00DC528E&quot;/&gt;&lt;wsp:rsid wsp:val=&quot;00DC54AC&quot;/&gt;&lt;wsp:rsid wsp:val=&quot;00DC5621&quot;/&gt;&lt;wsp:rsid wsp:val=&quot;00DC5AF4&quot;/&gt;&lt;wsp:rsid wsp:val=&quot;00DC6079&quot;/&gt;&lt;wsp:rsid wsp:val=&quot;00DC6567&quot;/&gt;&lt;wsp:rsid wsp:val=&quot;00DC692B&quot;/&gt;&lt;wsp:rsid wsp:val=&quot;00DC6977&quot;/&gt;&lt;wsp:rsid wsp:val=&quot;00DC6CD6&quot;/&gt;&lt;wsp:rsid wsp:val=&quot;00DC6DAF&quot;/&gt;&lt;wsp:rsid wsp:val=&quot;00DC6FFC&quot;/&gt;&lt;wsp:rsid wsp:val=&quot;00DC715F&quot;/&gt;&lt;wsp:rsid wsp:val=&quot;00DC7C84&quot;/&gt;&lt;wsp:rsid wsp:val=&quot;00DD00E1&quot;/&gt;&lt;wsp:rsid wsp:val=&quot;00DD0308&quot;/&gt;&lt;wsp:rsid wsp:val=&quot;00DD05E0&quot;/&gt;&lt;wsp:rsid wsp:val=&quot;00DD0BB7&quot;/&gt;&lt;wsp:rsid wsp:val=&quot;00DD0E63&quot;/&gt;&lt;wsp:rsid wsp:val=&quot;00DD1075&quot;/&gt;&lt;wsp:rsid wsp:val=&quot;00DD1586&quot;/&gt;&lt;wsp:rsid wsp:val=&quot;00DD1F25&quot;/&gt;&lt;wsp:rsid wsp:val=&quot;00DD258A&quot;/&gt;&lt;wsp:rsid wsp:val=&quot;00DD25DF&quot;/&gt;&lt;wsp:rsid wsp:val=&quot;00DD2ADC&quot;/&gt;&lt;wsp:rsid wsp:val=&quot;00DD2C56&quot;/&gt;&lt;wsp:rsid wsp:val=&quot;00DD2F38&quot;/&gt;&lt;wsp:rsid wsp:val=&quot;00DD39C8&quot;/&gt;&lt;wsp:rsid wsp:val=&quot;00DD4759&quot;/&gt;&lt;wsp:rsid wsp:val=&quot;00DD4A3C&quot;/&gt;&lt;wsp:rsid wsp:val=&quot;00DD4F3D&quot;/&gt;&lt;wsp:rsid wsp:val=&quot;00DD521B&quot;/&gt;&lt;wsp:rsid wsp:val=&quot;00DD5432&quot;/&gt;&lt;wsp:rsid wsp:val=&quot;00DD5BBC&quot;/&gt;&lt;wsp:rsid wsp:val=&quot;00DD60D4&quot;/&gt;&lt;wsp:rsid wsp:val=&quot;00DD736C&quot;/&gt;&lt;wsp:rsid wsp:val=&quot;00DD76FC&quot;/&gt;&lt;wsp:rsid wsp:val=&quot;00DD7B4A&quot;/&gt;&lt;wsp:rsid wsp:val=&quot;00DE0182&quot;/&gt;&lt;wsp:rsid wsp:val=&quot;00DE1999&quot;/&gt;&lt;wsp:rsid wsp:val=&quot;00DE1C00&quot;/&gt;&lt;wsp:rsid wsp:val=&quot;00DE2353&quot;/&gt;&lt;wsp:rsid wsp:val=&quot;00DE2665&quot;/&gt;&lt;wsp:rsid wsp:val=&quot;00DE278C&quot;/&gt;&lt;wsp:rsid wsp:val=&quot;00DE2CEC&quot;/&gt;&lt;wsp:rsid wsp:val=&quot;00DE2D9A&quot;/&gt;&lt;wsp:rsid wsp:val=&quot;00DE32DF&quot;/&gt;&lt;wsp:rsid wsp:val=&quot;00DE3400&quot;/&gt;&lt;wsp:rsid wsp:val=&quot;00DE3546&quot;/&gt;&lt;wsp:rsid wsp:val=&quot;00DE3CE4&quot;/&gt;&lt;wsp:rsid wsp:val=&quot;00DE3F26&quot;/&gt;&lt;wsp:rsid wsp:val=&quot;00DE429F&quot;/&gt;&lt;wsp:rsid wsp:val=&quot;00DE4733&quot;/&gt;&lt;wsp:rsid wsp:val=&quot;00DE5249&quot;/&gt;&lt;wsp:rsid wsp:val=&quot;00DE5A9C&quot;/&gt;&lt;wsp:rsid wsp:val=&quot;00DE5F92&quot;/&gt;&lt;wsp:rsid wsp:val=&quot;00DE620B&quot;/&gt;&lt;wsp:rsid wsp:val=&quot;00DE6CF2&quot;/&gt;&lt;wsp:rsid wsp:val=&quot;00DE7276&quot;/&gt;&lt;wsp:rsid wsp:val=&quot;00DF0C04&quot;/&gt;&lt;wsp:rsid wsp:val=&quot;00DF0F6D&quot;/&gt;&lt;wsp:rsid wsp:val=&quot;00DF13FD&quot;/&gt;&lt;wsp:rsid wsp:val=&quot;00DF1D30&quot;/&gt;&lt;wsp:rsid wsp:val=&quot;00DF1D9F&quot;/&gt;&lt;wsp:rsid wsp:val=&quot;00DF20DE&quot;/&gt;&lt;wsp:rsid wsp:val=&quot;00DF213A&quot;/&gt;&lt;wsp:rsid wsp:val=&quot;00DF2ED7&quot;/&gt;&lt;wsp:rsid wsp:val=&quot;00DF3311&quot;/&gt;&lt;wsp:rsid wsp:val=&quot;00DF337F&quot;/&gt;&lt;wsp:rsid wsp:val=&quot;00DF354A&quot;/&gt;&lt;wsp:rsid wsp:val=&quot;00DF45BC&quot;/&gt;&lt;wsp:rsid wsp:val=&quot;00DF4636&quot;/&gt;&lt;wsp:rsid wsp:val=&quot;00DF4698&quot;/&gt;&lt;wsp:rsid wsp:val=&quot;00DF478E&quot;/&gt;&lt;wsp:rsid wsp:val=&quot;00DF4BB2&quot;/&gt;&lt;wsp:rsid wsp:val=&quot;00DF4D7E&quot;/&gt;&lt;wsp:rsid wsp:val=&quot;00DF4EE2&quot;/&gt;&lt;wsp:rsid wsp:val=&quot;00DF5CB5&quot;/&gt;&lt;wsp:rsid wsp:val=&quot;00DF5FFE&quot;/&gt;&lt;wsp:rsid wsp:val=&quot;00DF6303&quot;/&gt;&lt;wsp:rsid wsp:val=&quot;00DF65F7&quot;/&gt;&lt;wsp:rsid wsp:val=&quot;00DF66AB&quot;/&gt;&lt;wsp:rsid wsp:val=&quot;00DF6820&quot;/&gt;&lt;wsp:rsid wsp:val=&quot;00DF6CDB&quot;/&gt;&lt;wsp:rsid wsp:val=&quot;00DF6D56&quot;/&gt;&lt;wsp:rsid wsp:val=&quot;00DF70D7&quot;/&gt;&lt;wsp:rsid wsp:val=&quot;00DF7A17&quot;/&gt;&lt;wsp:rsid wsp:val=&quot;00DF7AF3&quot;/&gt;&lt;wsp:rsid wsp:val=&quot;00DF7E57&quot;/&gt;&lt;wsp:rsid wsp:val=&quot;00DF7EDA&quot;/&gt;&lt;wsp:rsid wsp:val=&quot;00E00515&quot;/&gt;&lt;wsp:rsid wsp:val=&quot;00E011A8&quot;/&gt;&lt;wsp:rsid wsp:val=&quot;00E01436&quot;/&gt;&lt;wsp:rsid wsp:val=&quot;00E01975&quot;/&gt;&lt;wsp:rsid wsp:val=&quot;00E01A8C&quot;/&gt;&lt;wsp:rsid wsp:val=&quot;00E01B70&quot;/&gt;&lt;wsp:rsid wsp:val=&quot;00E01BFC&quot;/&gt;&lt;wsp:rsid wsp:val=&quot;00E01C05&quot;/&gt;&lt;wsp:rsid wsp:val=&quot;00E02292&quot;/&gt;&lt;wsp:rsid wsp:val=&quot;00E02581&quot;/&gt;&lt;wsp:rsid wsp:val=&quot;00E028D3&quot;/&gt;&lt;wsp:rsid wsp:val=&quot;00E02C39&quot;/&gt;&lt;wsp:rsid wsp:val=&quot;00E02DA9&quot;/&gt;&lt;wsp:rsid wsp:val=&quot;00E02FEA&quot;/&gt;&lt;wsp:rsid wsp:val=&quot;00E036E9&quot;/&gt;&lt;wsp:rsid wsp:val=&quot;00E03E72&quot;/&gt;&lt;wsp:rsid wsp:val=&quot;00E03FD4&quot;/&gt;&lt;wsp:rsid wsp:val=&quot;00E045BD&quot;/&gt;&lt;wsp:rsid wsp:val=&quot;00E04F65&quot;/&gt;&lt;wsp:rsid wsp:val=&quot;00E050A8&quot;/&gt;&lt;wsp:rsid wsp:val=&quot;00E057FE&quot;/&gt;&lt;wsp:rsid wsp:val=&quot;00E05A7B&quot;/&gt;&lt;wsp:rsid wsp:val=&quot;00E05C1C&quot;/&gt;&lt;wsp:rsid wsp:val=&quot;00E05C54&quot;/&gt;&lt;wsp:rsid wsp:val=&quot;00E05DBB&quot;/&gt;&lt;wsp:rsid wsp:val=&quot;00E060B7&quot;/&gt;&lt;wsp:rsid wsp:val=&quot;00E06579&quot;/&gt;&lt;wsp:rsid wsp:val=&quot;00E06777&quot;/&gt;&lt;wsp:rsid wsp:val=&quot;00E071DD&quot;/&gt;&lt;wsp:rsid wsp:val=&quot;00E07269&quot;/&gt;&lt;wsp:rsid wsp:val=&quot;00E0794A&quot;/&gt;&lt;wsp:rsid wsp:val=&quot;00E100F4&quot;/&gt;&lt;wsp:rsid wsp:val=&quot;00E10B0C&quot;/&gt;&lt;wsp:rsid wsp:val=&quot;00E10F47&quot;/&gt;&lt;wsp:rsid wsp:val=&quot;00E10F6C&quot;/&gt;&lt;wsp:rsid wsp:val=&quot;00E11274&quot;/&gt;&lt;wsp:rsid wsp:val=&quot;00E11398&quot;/&gt;&lt;wsp:rsid wsp:val=&quot;00E11AE8&quot;/&gt;&lt;wsp:rsid wsp:val=&quot;00E11EA2&quot;/&gt;&lt;wsp:rsid wsp:val=&quot;00E1218B&quot;/&gt;&lt;wsp:rsid wsp:val=&quot;00E121DA&quot;/&gt;&lt;wsp:rsid wsp:val=&quot;00E1277D&quot;/&gt;&lt;wsp:rsid wsp:val=&quot;00E13113&quot;/&gt;&lt;wsp:rsid wsp:val=&quot;00E13334&quot;/&gt;&lt;wsp:rsid wsp:val=&quot;00E13ADC&quot;/&gt;&lt;wsp:rsid wsp:val=&quot;00E13EE1&quot;/&gt;&lt;wsp:rsid wsp:val=&quot;00E140D1&quot;/&gt;&lt;wsp:rsid wsp:val=&quot;00E15621&quot;/&gt;&lt;wsp:rsid wsp:val=&quot;00E15877&quot;/&gt;&lt;wsp:rsid wsp:val=&quot;00E15C2D&quot;/&gt;&lt;wsp:rsid wsp:val=&quot;00E16461&quot;/&gt;&lt;wsp:rsid wsp:val=&quot;00E165BA&quot;/&gt;&lt;wsp:rsid wsp:val=&quot;00E165EE&quot;/&gt;&lt;wsp:rsid wsp:val=&quot;00E166BB&quot;/&gt;&lt;wsp:rsid wsp:val=&quot;00E16E0D&quot;/&gt;&lt;wsp:rsid wsp:val=&quot;00E16ED0&quot;/&gt;&lt;wsp:rsid wsp:val=&quot;00E178EE&quot;/&gt;&lt;wsp:rsid wsp:val=&quot;00E17958&quot;/&gt;&lt;wsp:rsid wsp:val=&quot;00E20191&quot;/&gt;&lt;wsp:rsid wsp:val=&quot;00E20806&quot;/&gt;&lt;wsp:rsid wsp:val=&quot;00E20956&quot;/&gt;&lt;wsp:rsid wsp:val=&quot;00E2097B&quot;/&gt;&lt;wsp:rsid wsp:val=&quot;00E20ED0&quot;/&gt;&lt;wsp:rsid wsp:val=&quot;00E2123B&quot;/&gt;&lt;wsp:rsid wsp:val=&quot;00E213AA&quot;/&gt;&lt;wsp:rsid wsp:val=&quot;00E2156A&quot;/&gt;&lt;wsp:rsid wsp:val=&quot;00E21795&quot;/&gt;&lt;wsp:rsid wsp:val=&quot;00E22191&quot;/&gt;&lt;wsp:rsid wsp:val=&quot;00E22241&quot;/&gt;&lt;wsp:rsid wsp:val=&quot;00E227F3&quot;/&gt;&lt;wsp:rsid wsp:val=&quot;00E228D3&quot;/&gt;&lt;wsp:rsid wsp:val=&quot;00E22B18&quot;/&gt;&lt;wsp:rsid wsp:val=&quot;00E22D2E&quot;/&gt;&lt;wsp:rsid wsp:val=&quot;00E22E47&quot;/&gt;&lt;wsp:rsid wsp:val=&quot;00E22F48&quot;/&gt;&lt;wsp:rsid wsp:val=&quot;00E22FB4&quot;/&gt;&lt;wsp:rsid wsp:val=&quot;00E235E7&quot;/&gt;&lt;wsp:rsid wsp:val=&quot;00E237F6&quot;/&gt;&lt;wsp:rsid wsp:val=&quot;00E24428&quot;/&gt;&lt;wsp:rsid wsp:val=&quot;00E24C65&quot;/&gt;&lt;wsp:rsid wsp:val=&quot;00E24E03&quot;/&gt;&lt;wsp:rsid wsp:val=&quot;00E24E3A&quot;/&gt;&lt;wsp:rsid wsp:val=&quot;00E250E8&quot;/&gt;&lt;wsp:rsid wsp:val=&quot;00E25218&quot;/&gt;&lt;wsp:rsid wsp:val=&quot;00E255E5&quot;/&gt;&lt;wsp:rsid wsp:val=&quot;00E256B9&quot;/&gt;&lt;wsp:rsid wsp:val=&quot;00E2585B&quot;/&gt;&lt;wsp:rsid wsp:val=&quot;00E25F1C&quot;/&gt;&lt;wsp:rsid wsp:val=&quot;00E25FD7&quot;/&gt;&lt;wsp:rsid wsp:val=&quot;00E260EA&quot;/&gt;&lt;wsp:rsid wsp:val=&quot;00E260FA&quot;/&gt;&lt;wsp:rsid wsp:val=&quot;00E26148&quot;/&gt;&lt;wsp:rsid wsp:val=&quot;00E2640D&quot;/&gt;&lt;wsp:rsid wsp:val=&quot;00E266CD&quot;/&gt;&lt;wsp:rsid wsp:val=&quot;00E26A5E&quot;/&gt;&lt;wsp:rsid wsp:val=&quot;00E26F84&quot;/&gt;&lt;wsp:rsid wsp:val=&quot;00E2721F&quot;/&gt;&lt;wsp:rsid wsp:val=&quot;00E27BB7&quot;/&gt;&lt;wsp:rsid wsp:val=&quot;00E30150&quot;/&gt;&lt;wsp:rsid wsp:val=&quot;00E304FB&quot;/&gt;&lt;wsp:rsid wsp:val=&quot;00E305DF&quot;/&gt;&lt;wsp:rsid wsp:val=&quot;00E3064C&quot;/&gt;&lt;wsp:rsid wsp:val=&quot;00E30936&quot;/&gt;&lt;wsp:rsid wsp:val=&quot;00E30AE1&quot;/&gt;&lt;wsp:rsid wsp:val=&quot;00E30DD1&quot;/&gt;&lt;wsp:rsid wsp:val=&quot;00E312D3&quot;/&gt;&lt;wsp:rsid wsp:val=&quot;00E31B59&quot;/&gt;&lt;wsp:rsid wsp:val=&quot;00E32A0A&quot;/&gt;&lt;wsp:rsid wsp:val=&quot;00E32A4E&quot;/&gt;&lt;wsp:rsid wsp:val=&quot;00E33904&quot;/&gt;&lt;wsp:rsid wsp:val=&quot;00E33DBB&quot;/&gt;&lt;wsp:rsid wsp:val=&quot;00E33EAE&quot;/&gt;&lt;wsp:rsid wsp:val=&quot;00E33EDA&quot;/&gt;&lt;wsp:rsid wsp:val=&quot;00E35513&quot;/&gt;&lt;wsp:rsid wsp:val=&quot;00E35FF9&quot;/&gt;&lt;wsp:rsid wsp:val=&quot;00E36334&quot;/&gt;&lt;wsp:rsid wsp:val=&quot;00E36C08&quot;/&gt;&lt;wsp:rsid wsp:val=&quot;00E370CD&quot;/&gt;&lt;wsp:rsid wsp:val=&quot;00E37150&quot;/&gt;&lt;wsp:rsid wsp:val=&quot;00E37BAB&quot;/&gt;&lt;wsp:rsid wsp:val=&quot;00E40E27&quot;/&gt;&lt;wsp:rsid wsp:val=&quot;00E40E7C&quot;/&gt;&lt;wsp:rsid wsp:val=&quot;00E4128D&quot;/&gt;&lt;wsp:rsid wsp:val=&quot;00E4136D&quot;/&gt;&lt;wsp:rsid wsp:val=&quot;00E413B5&quot;/&gt;&lt;wsp:rsid wsp:val=&quot;00E4142B&quot;/&gt;&lt;wsp:rsid wsp:val=&quot;00E4153E&quot;/&gt;&lt;wsp:rsid wsp:val=&quot;00E4376C&quot;/&gt;&lt;wsp:rsid wsp:val=&quot;00E44071&quot;/&gt;&lt;wsp:rsid wsp:val=&quot;00E44CBE&quot;/&gt;&lt;wsp:rsid wsp:val=&quot;00E44E97&quot;/&gt;&lt;wsp:rsid wsp:val=&quot;00E453A7&quot;/&gt;&lt;wsp:rsid wsp:val=&quot;00E453B1&quot;/&gt;&lt;wsp:rsid wsp:val=&quot;00E457C1&quot;/&gt;&lt;wsp:rsid wsp:val=&quot;00E4595B&quot;/&gt;&lt;wsp:rsid wsp:val=&quot;00E471B3&quot;/&gt;&lt;wsp:rsid wsp:val=&quot;00E4754D&quot;/&gt;&lt;wsp:rsid wsp:val=&quot;00E4784C&quot;/&gt;&lt;wsp:rsid wsp:val=&quot;00E47A8A&quot;/&gt;&lt;wsp:rsid wsp:val=&quot;00E50A99&quot;/&gt;&lt;wsp:rsid wsp:val=&quot;00E51B44&quot;/&gt;&lt;wsp:rsid wsp:val=&quot;00E51C8A&quot;/&gt;&lt;wsp:rsid wsp:val=&quot;00E51E98&quot;/&gt;&lt;wsp:rsid wsp:val=&quot;00E51F84&quot;/&gt;&lt;wsp:rsid wsp:val=&quot;00E530EF&quot;/&gt;&lt;wsp:rsid wsp:val=&quot;00E53AB6&quot;/&gt;&lt;wsp:rsid wsp:val=&quot;00E5464C&quot;/&gt;&lt;wsp:rsid wsp:val=&quot;00E54B97&quot;/&gt;&lt;wsp:rsid wsp:val=&quot;00E54C65&quot;/&gt;&lt;wsp:rsid wsp:val=&quot;00E550DF&quot;/&gt;&lt;wsp:rsid wsp:val=&quot;00E55200&quot;/&gt;&lt;wsp:rsid wsp:val=&quot;00E552F6&quot;/&gt;&lt;wsp:rsid wsp:val=&quot;00E5535D&quot;/&gt;&lt;wsp:rsid wsp:val=&quot;00E5539D&quot;/&gt;&lt;wsp:rsid wsp:val=&quot;00E556B0&quot;/&gt;&lt;wsp:rsid wsp:val=&quot;00E557B2&quot;/&gt;&lt;wsp:rsid wsp:val=&quot;00E55AF2&quot;/&gt;&lt;wsp:rsid wsp:val=&quot;00E55CAA&quot;/&gt;&lt;wsp:rsid wsp:val=&quot;00E55EA3&quot;/&gt;&lt;wsp:rsid wsp:val=&quot;00E56614&quot;/&gt;&lt;wsp:rsid wsp:val=&quot;00E57202&quot;/&gt;&lt;wsp:rsid wsp:val=&quot;00E5751F&quot;/&gt;&lt;wsp:rsid wsp:val=&quot;00E5753A&quot;/&gt;&lt;wsp:rsid wsp:val=&quot;00E602DD&quot;/&gt;&lt;wsp:rsid wsp:val=&quot;00E609F9&quot;/&gt;&lt;wsp:rsid wsp:val=&quot;00E61222&quot;/&gt;&lt;wsp:rsid wsp:val=&quot;00E61788&quot;/&gt;&lt;wsp:rsid wsp:val=&quot;00E6181C&quot;/&gt;&lt;wsp:rsid wsp:val=&quot;00E61C7F&quot;/&gt;&lt;wsp:rsid wsp:val=&quot;00E629A8&quot;/&gt;&lt;wsp:rsid wsp:val=&quot;00E62F4C&quot;/&gt;&lt;wsp:rsid wsp:val=&quot;00E6361F&quot;/&gt;&lt;wsp:rsid wsp:val=&quot;00E63889&quot;/&gt;&lt;wsp:rsid wsp:val=&quot;00E65295&quot;/&gt;&lt;wsp:rsid wsp:val=&quot;00E654CD&quot;/&gt;&lt;wsp:rsid wsp:val=&quot;00E65642&quot;/&gt;&lt;wsp:rsid wsp:val=&quot;00E65A60&quot;/&gt;&lt;wsp:rsid wsp:val=&quot;00E65BFC&quot;/&gt;&lt;wsp:rsid wsp:val=&quot;00E65DE0&quot;/&gt;&lt;wsp:rsid wsp:val=&quot;00E661F4&quot;/&gt;&lt;wsp:rsid wsp:val=&quot;00E67921&quot;/&gt;&lt;wsp:rsid wsp:val=&quot;00E67A81&quot;/&gt;&lt;wsp:rsid wsp:val=&quot;00E67E88&quot;/&gt;&lt;wsp:rsid wsp:val=&quot;00E705F2&quot;/&gt;&lt;wsp:rsid wsp:val=&quot;00E71329&quot;/&gt;&lt;wsp:rsid wsp:val=&quot;00E71370&quot;/&gt;&lt;wsp:rsid wsp:val=&quot;00E71989&quot;/&gt;&lt;wsp:rsid wsp:val=&quot;00E71E64&quot;/&gt;&lt;wsp:rsid wsp:val=&quot;00E7293E&quot;/&gt;&lt;wsp:rsid wsp:val=&quot;00E72B30&quot;/&gt;&lt;wsp:rsid wsp:val=&quot;00E730E8&quot;/&gt;&lt;wsp:rsid wsp:val=&quot;00E7331A&quot;/&gt;&lt;wsp:rsid wsp:val=&quot;00E73BC3&quot;/&gt;&lt;wsp:rsid wsp:val=&quot;00E74541&quot;/&gt;&lt;wsp:rsid wsp:val=&quot;00E74E9C&quot;/&gt;&lt;wsp:rsid wsp:val=&quot;00E76534&quot;/&gt;&lt;wsp:rsid wsp:val=&quot;00E76A71&quot;/&gt;&lt;wsp:rsid wsp:val=&quot;00E76F07&quot;/&gt;&lt;wsp:rsid wsp:val=&quot;00E77367&quot;/&gt;&lt;wsp:rsid wsp:val=&quot;00E7736B&quot;/&gt;&lt;wsp:rsid wsp:val=&quot;00E77491&quot;/&gt;&lt;wsp:rsid wsp:val=&quot;00E7783E&quot;/&gt;&lt;wsp:rsid wsp:val=&quot;00E80742&quot;/&gt;&lt;wsp:rsid wsp:val=&quot;00E8076A&quot;/&gt;&lt;wsp:rsid wsp:val=&quot;00E80E38&quot;/&gt;&lt;wsp:rsid wsp:val=&quot;00E81065&quot;/&gt;&lt;wsp:rsid wsp:val=&quot;00E81080&quot;/&gt;&lt;wsp:rsid wsp:val=&quot;00E8151B&quot;/&gt;&lt;wsp:rsid wsp:val=&quot;00E81D41&quot;/&gt;&lt;wsp:rsid wsp:val=&quot;00E81DE7&quot;/&gt;&lt;wsp:rsid wsp:val=&quot;00E8306E&quot;/&gt;&lt;wsp:rsid wsp:val=&quot;00E83392&quot;/&gt;&lt;wsp:rsid wsp:val=&quot;00E8358C&quot;/&gt;&lt;wsp:rsid wsp:val=&quot;00E83AB2&quot;/&gt;&lt;wsp:rsid wsp:val=&quot;00E83AD9&quot;/&gt;&lt;wsp:rsid wsp:val=&quot;00E842F3&quot;/&gt;&lt;wsp:rsid wsp:val=&quot;00E84594&quot;/&gt;&lt;wsp:rsid wsp:val=&quot;00E84708&quot;/&gt;&lt;wsp:rsid wsp:val=&quot;00E84D3F&quot;/&gt;&lt;wsp:rsid wsp:val=&quot;00E851E6&quot;/&gt;&lt;wsp:rsid wsp:val=&quot;00E8579F&quot;/&gt;&lt;wsp:rsid wsp:val=&quot;00E85A3C&quot;/&gt;&lt;wsp:rsid wsp:val=&quot;00E85DF9&quot;/&gt;&lt;wsp:rsid wsp:val=&quot;00E86904&quot;/&gt;&lt;wsp:rsid wsp:val=&quot;00E86CCA&quot;/&gt;&lt;wsp:rsid wsp:val=&quot;00E879D3&quot;/&gt;&lt;wsp:rsid wsp:val=&quot;00E87FB4&quot;/&gt;&lt;wsp:rsid wsp:val=&quot;00E901D0&quot;/&gt;&lt;wsp:rsid wsp:val=&quot;00E90708&quot;/&gt;&lt;wsp:rsid wsp:val=&quot;00E9070C&quot;/&gt;&lt;wsp:rsid wsp:val=&quot;00E9085E&quot;/&gt;&lt;wsp:rsid wsp:val=&quot;00E90D6E&quot;/&gt;&lt;wsp:rsid wsp:val=&quot;00E912EE&quot;/&gt;&lt;wsp:rsid wsp:val=&quot;00E914CD&quot;/&gt;&lt;wsp:rsid wsp:val=&quot;00E915CC&quot;/&gt;&lt;wsp:rsid wsp:val=&quot;00E91F68&quot;/&gt;&lt;wsp:rsid wsp:val=&quot;00E91F7C&quot;/&gt;&lt;wsp:rsid wsp:val=&quot;00E92949&quot;/&gt;&lt;wsp:rsid wsp:val=&quot;00E92BAF&quot;/&gt;&lt;wsp:rsid wsp:val=&quot;00E93270&quot;/&gt;&lt;wsp:rsid wsp:val=&quot;00E94296&quot;/&gt;&lt;wsp:rsid wsp:val=&quot;00E94607&quot;/&gt;&lt;wsp:rsid wsp:val=&quot;00E9471D&quot;/&gt;&lt;wsp:rsid wsp:val=&quot;00E94937&quot;/&gt;&lt;wsp:rsid wsp:val=&quot;00E94C77&quot;/&gt;&lt;wsp:rsid wsp:val=&quot;00E94DC9&quot;/&gt;&lt;wsp:rsid wsp:val=&quot;00E94F57&quot;/&gt;&lt;wsp:rsid wsp:val=&quot;00E94FDF&quot;/&gt;&lt;wsp:rsid wsp:val=&quot;00E9500A&quot;/&gt;&lt;wsp:rsid wsp:val=&quot;00E95855&quot;/&gt;&lt;wsp:rsid wsp:val=&quot;00E95A0B&quot;/&gt;&lt;wsp:rsid wsp:val=&quot;00E960CE&quot;/&gt;&lt;wsp:rsid wsp:val=&quot;00E960FF&quot;/&gt;&lt;wsp:rsid wsp:val=&quot;00E961CF&quot;/&gt;&lt;wsp:rsid wsp:val=&quot;00E96CED&quot;/&gt;&lt;wsp:rsid wsp:val=&quot;00E976F6&quot;/&gt;&lt;wsp:rsid wsp:val=&quot;00E9774A&quot;/&gt;&lt;wsp:rsid wsp:val=&quot;00E97C94&quot;/&gt;&lt;wsp:rsid wsp:val=&quot;00E97E5A&quot;/&gt;&lt;wsp:rsid wsp:val=&quot;00EA026C&quot;/&gt;&lt;wsp:rsid wsp:val=&quot;00EA1D2F&quot;/&gt;&lt;wsp:rsid wsp:val=&quot;00EA1F19&quot;/&gt;&lt;wsp:rsid wsp:val=&quot;00EA2C5B&quot;/&gt;&lt;wsp:rsid wsp:val=&quot;00EA32D8&quot;/&gt;&lt;wsp:rsid wsp:val=&quot;00EA33C2&quot;/&gt;&lt;wsp:rsid wsp:val=&quot;00EA351D&quot;/&gt;&lt;wsp:rsid wsp:val=&quot;00EA3EBC&quot;/&gt;&lt;wsp:rsid wsp:val=&quot;00EA4258&quot;/&gt;&lt;wsp:rsid wsp:val=&quot;00EA5058&quot;/&gt;&lt;wsp:rsid wsp:val=&quot;00EA5338&quot;/&gt;&lt;wsp:rsid wsp:val=&quot;00EA5509&quot;/&gt;&lt;wsp:rsid wsp:val=&quot;00EA567F&quot;/&gt;&lt;wsp:rsid wsp:val=&quot;00EA67CA&quot;/&gt;&lt;wsp:rsid wsp:val=&quot;00EB01A5&quot;/&gt;&lt;wsp:rsid wsp:val=&quot;00EB01EE&quot;/&gt;&lt;wsp:rsid wsp:val=&quot;00EB0AA1&quot;/&gt;&lt;wsp:rsid wsp:val=&quot;00EB0B79&quot;/&gt;&lt;wsp:rsid wsp:val=&quot;00EB16FA&quot;/&gt;&lt;wsp:rsid wsp:val=&quot;00EB1B40&quot;/&gt;&lt;wsp:rsid wsp:val=&quot;00EB1E5B&quot;/&gt;&lt;wsp:rsid wsp:val=&quot;00EB2223&quot;/&gt;&lt;wsp:rsid wsp:val=&quot;00EB22EF&quot;/&gt;&lt;wsp:rsid wsp:val=&quot;00EB234D&quot;/&gt;&lt;wsp:rsid wsp:val=&quot;00EB2676&quot;/&gt;&lt;wsp:rsid wsp:val=&quot;00EB2C53&quot;/&gt;&lt;wsp:rsid wsp:val=&quot;00EB2F62&quot;/&gt;&lt;wsp:rsid wsp:val=&quot;00EB3835&quot;/&gt;&lt;wsp:rsid wsp:val=&quot;00EB4476&quot;/&gt;&lt;wsp:rsid wsp:val=&quot;00EB4C66&quot;/&gt;&lt;wsp:rsid wsp:val=&quot;00EB52C2&quot;/&gt;&lt;wsp:rsid wsp:val=&quot;00EB54AC&quot;/&gt;&lt;wsp:rsid wsp:val=&quot;00EB5A3F&quot;/&gt;&lt;wsp:rsid wsp:val=&quot;00EB637D&quot;/&gt;&lt;wsp:rsid wsp:val=&quot;00EB6AEA&quot;/&gt;&lt;wsp:rsid wsp:val=&quot;00EB6B22&quot;/&gt;&lt;wsp:rsid wsp:val=&quot;00EB7452&quot;/&gt;&lt;wsp:rsid wsp:val=&quot;00EB74F7&quot;/&gt;&lt;wsp:rsid wsp:val=&quot;00EB7501&quot;/&gt;&lt;wsp:rsid wsp:val=&quot;00EB7B7A&quot;/&gt;&lt;wsp:rsid wsp:val=&quot;00EC015C&quot;/&gt;&lt;wsp:rsid wsp:val=&quot;00EC0796&quot;/&gt;&lt;wsp:rsid wsp:val=&quot;00EC0D2B&quot;/&gt;&lt;wsp:rsid wsp:val=&quot;00EC0FB3&quot;/&gt;&lt;wsp:rsid wsp:val=&quot;00EC102D&quot;/&gt;&lt;wsp:rsid wsp:val=&quot;00EC1C5B&quot;/&gt;&lt;wsp:rsid wsp:val=&quot;00EC1E78&quot;/&gt;&lt;wsp:rsid wsp:val=&quot;00EC2279&quot;/&gt;&lt;wsp:rsid wsp:val=&quot;00EC27C5&quot;/&gt;&lt;wsp:rsid wsp:val=&quot;00EC3C9E&quot;/&gt;&lt;wsp:rsid wsp:val=&quot;00EC3E18&quot;/&gt;&lt;wsp:rsid wsp:val=&quot;00EC3E1E&quot;/&gt;&lt;wsp:rsid wsp:val=&quot;00EC3E2C&quot;/&gt;&lt;wsp:rsid wsp:val=&quot;00EC43D3&quot;/&gt;&lt;wsp:rsid wsp:val=&quot;00EC4891&quot;/&gt;&lt;wsp:rsid wsp:val=&quot;00EC4B44&quot;/&gt;&lt;wsp:rsid wsp:val=&quot;00EC4D1F&quot;/&gt;&lt;wsp:rsid wsp:val=&quot;00EC6673&quot;/&gt;&lt;wsp:rsid wsp:val=&quot;00EC74D4&quot;/&gt;&lt;wsp:rsid wsp:val=&quot;00EC7AE9&quot;/&gt;&lt;wsp:rsid wsp:val=&quot;00EC7E81&quot;/&gt;&lt;wsp:rsid wsp:val=&quot;00ED0702&quot;/&gt;&lt;wsp:rsid wsp:val=&quot;00ED0904&quot;/&gt;&lt;wsp:rsid wsp:val=&quot;00ED0E0F&quot;/&gt;&lt;wsp:rsid wsp:val=&quot;00ED129E&quot;/&gt;&lt;wsp:rsid wsp:val=&quot;00ED13EF&quot;/&gt;&lt;wsp:rsid wsp:val=&quot;00ED1B04&quot;/&gt;&lt;wsp:rsid wsp:val=&quot;00ED27C3&quot;/&gt;&lt;wsp:rsid wsp:val=&quot;00ED28FF&quot;/&gt;&lt;wsp:rsid wsp:val=&quot;00ED2E1B&quot;/&gt;&lt;wsp:rsid wsp:val=&quot;00ED3496&quot;/&gt;&lt;wsp:rsid wsp:val=&quot;00ED3D22&quot;/&gt;&lt;wsp:rsid wsp:val=&quot;00ED417D&quot;/&gt;&lt;wsp:rsid wsp:val=&quot;00ED4790&quot;/&gt;&lt;wsp:rsid wsp:val=&quot;00ED5087&quot;/&gt;&lt;wsp:rsid wsp:val=&quot;00ED522B&quot;/&gt;&lt;wsp:rsid wsp:val=&quot;00ED544C&quot;/&gt;&lt;wsp:rsid wsp:val=&quot;00ED59B1&quot;/&gt;&lt;wsp:rsid wsp:val=&quot;00ED63FE&quot;/&gt;&lt;wsp:rsid wsp:val=&quot;00ED66B3&quot;/&gt;&lt;wsp:rsid wsp:val=&quot;00ED68FC&quot;/&gt;&lt;wsp:rsid wsp:val=&quot;00ED6BC5&quot;/&gt;&lt;wsp:rsid wsp:val=&quot;00ED6DA3&quot;/&gt;&lt;wsp:rsid wsp:val=&quot;00ED73B9&quot;/&gt;&lt;wsp:rsid wsp:val=&quot;00ED7595&quot;/&gt;&lt;wsp:rsid wsp:val=&quot;00ED7620&quot;/&gt;&lt;wsp:rsid wsp:val=&quot;00ED77C7&quot;/&gt;&lt;wsp:rsid wsp:val=&quot;00ED784D&quot;/&gt;&lt;wsp:rsid wsp:val=&quot;00ED7E7C&quot;/&gt;&lt;wsp:rsid wsp:val=&quot;00ED7EBC&quot;/&gt;&lt;wsp:rsid wsp:val=&quot;00EE00E1&quot;/&gt;&lt;wsp:rsid wsp:val=&quot;00EE0B2F&quot;/&gt;&lt;wsp:rsid wsp:val=&quot;00EE0F8D&quot;/&gt;&lt;wsp:rsid wsp:val=&quot;00EE136C&quot;/&gt;&lt;wsp:rsid wsp:val=&quot;00EE1886&quot;/&gt;&lt;wsp:rsid wsp:val=&quot;00EE1907&quot;/&gt;&lt;wsp:rsid wsp:val=&quot;00EE1D05&quot;/&gt;&lt;wsp:rsid wsp:val=&quot;00EE20E9&quot;/&gt;&lt;wsp:rsid wsp:val=&quot;00EE2CBE&quot;/&gt;&lt;wsp:rsid wsp:val=&quot;00EE2CDA&quot;/&gt;&lt;wsp:rsid wsp:val=&quot;00EE37A6&quot;/&gt;&lt;wsp:rsid wsp:val=&quot;00EE3F5B&quot;/&gt;&lt;wsp:rsid wsp:val=&quot;00EE509E&quot;/&gt;&lt;wsp:rsid wsp:val=&quot;00EE5C92&quot;/&gt;&lt;wsp:rsid wsp:val=&quot;00EE5E3D&quot;/&gt;&lt;wsp:rsid wsp:val=&quot;00EE6309&quot;/&gt;&lt;wsp:rsid wsp:val=&quot;00EE6D1B&quot;/&gt;&lt;wsp:rsid wsp:val=&quot;00EE6DE6&quot;/&gt;&lt;wsp:rsid wsp:val=&quot;00EE72DA&quot;/&gt;&lt;wsp:rsid wsp:val=&quot;00EE76F6&quot;/&gt;&lt;wsp:rsid wsp:val=&quot;00EE78F9&quot;/&gt;&lt;wsp:rsid wsp:val=&quot;00EE7DCA&quot;/&gt;&lt;wsp:rsid wsp:val=&quot;00EE7E16&quot;/&gt;&lt;wsp:rsid wsp:val=&quot;00EF1170&quot;/&gt;&lt;wsp:rsid wsp:val=&quot;00EF1741&quot;/&gt;&lt;wsp:rsid wsp:val=&quot;00EF19FC&quot;/&gt;&lt;wsp:rsid wsp:val=&quot;00EF1ED2&quot;/&gt;&lt;wsp:rsid wsp:val=&quot;00EF322D&quot;/&gt;&lt;wsp:rsid wsp:val=&quot;00EF3A83&quot;/&gt;&lt;wsp:rsid wsp:val=&quot;00EF3AAD&quot;/&gt;&lt;wsp:rsid wsp:val=&quot;00EF3C53&quot;/&gt;&lt;wsp:rsid wsp:val=&quot;00EF456F&quot;/&gt;&lt;wsp:rsid wsp:val=&quot;00EF4608&quot;/&gt;&lt;wsp:rsid wsp:val=&quot;00EF5FBE&quot;/&gt;&lt;wsp:rsid wsp:val=&quot;00EF70F4&quot;/&gt;&lt;wsp:rsid wsp:val=&quot;00EF7615&quot;/&gt;&lt;wsp:rsid wsp:val=&quot;00EF7924&quot;/&gt;&lt;wsp:rsid wsp:val=&quot;00EF7EEB&quot;/&gt;&lt;wsp:rsid wsp:val=&quot;00F00139&quot;/&gt;&lt;wsp:rsid wsp:val=&quot;00F0025F&quot;/&gt;&lt;wsp:rsid wsp:val=&quot;00F003C5&quot;/&gt;&lt;wsp:rsid wsp:val=&quot;00F012F4&quot;/&gt;&lt;wsp:rsid wsp:val=&quot;00F0170D&quot;/&gt;&lt;wsp:rsid wsp:val=&quot;00F02A0C&quot;/&gt;&lt;wsp:rsid wsp:val=&quot;00F02BC1&quot;/&gt;&lt;wsp:rsid wsp:val=&quot;00F03119&quot;/&gt;&lt;wsp:rsid wsp:val=&quot;00F0348C&quot;/&gt;&lt;wsp:rsid wsp:val=&quot;00F03DCF&quot;/&gt;&lt;wsp:rsid wsp:val=&quot;00F03FEC&quot;/&gt;&lt;wsp:rsid wsp:val=&quot;00F047DD&quot;/&gt;&lt;wsp:rsid wsp:val=&quot;00F04A7C&quot;/&gt;&lt;wsp:rsid wsp:val=&quot;00F04D10&quot;/&gt;&lt;wsp:rsid wsp:val=&quot;00F04F1F&quot;/&gt;&lt;wsp:rsid wsp:val=&quot;00F05C4A&quot;/&gt;&lt;wsp:rsid wsp:val=&quot;00F06AE0&quot;/&gt;&lt;wsp:rsid wsp:val=&quot;00F07021&quot;/&gt;&lt;wsp:rsid wsp:val=&quot;00F07036&quot;/&gt;&lt;wsp:rsid wsp:val=&quot;00F079D2&quot;/&gt;&lt;wsp:rsid wsp:val=&quot;00F07C4F&quot;/&gt;&lt;wsp:rsid wsp:val=&quot;00F10144&quot;/&gt;&lt;wsp:rsid wsp:val=&quot;00F1017B&quot;/&gt;&lt;wsp:rsid wsp:val=&quot;00F10A43&quot;/&gt;&lt;wsp:rsid wsp:val=&quot;00F10BB0&quot;/&gt;&lt;wsp:rsid wsp:val=&quot;00F111E6&quot;/&gt;&lt;wsp:rsid wsp:val=&quot;00F11A05&quot;/&gt;&lt;wsp:rsid wsp:val=&quot;00F11F2D&quot;/&gt;&lt;wsp:rsid wsp:val=&quot;00F120A8&quot;/&gt;&lt;wsp:rsid wsp:val=&quot;00F12607&quot;/&gt;&lt;wsp:rsid wsp:val=&quot;00F1275A&quot;/&gt;&lt;wsp:rsid wsp:val=&quot;00F127C8&quot;/&gt;&lt;wsp:rsid wsp:val=&quot;00F129F3&quot;/&gt;&lt;wsp:rsid wsp:val=&quot;00F12AED&quot;/&gt;&lt;wsp:rsid wsp:val=&quot;00F13705&quot;/&gt;&lt;wsp:rsid wsp:val=&quot;00F138F2&quot;/&gt;&lt;wsp:rsid wsp:val=&quot;00F13A51&quot;/&gt;&lt;wsp:rsid wsp:val=&quot;00F144D6&quot;/&gt;&lt;wsp:rsid wsp:val=&quot;00F14DF2&quot;/&gt;&lt;wsp:rsid wsp:val=&quot;00F14E9B&quot;/&gt;&lt;wsp:rsid wsp:val=&quot;00F151F5&quot;/&gt;&lt;wsp:rsid wsp:val=&quot;00F1532F&quot;/&gt;&lt;wsp:rsid wsp:val=&quot;00F16167&quot;/&gt;&lt;wsp:rsid wsp:val=&quot;00F161C4&quot;/&gt;&lt;wsp:rsid wsp:val=&quot;00F1631A&quot;/&gt;&lt;wsp:rsid wsp:val=&quot;00F1644F&quot;/&gt;&lt;wsp:rsid wsp:val=&quot;00F168A7&quot;/&gt;&lt;wsp:rsid wsp:val=&quot;00F1694B&quot;/&gt;&lt;wsp:rsid wsp:val=&quot;00F16DB6&quot;/&gt;&lt;wsp:rsid wsp:val=&quot;00F17122&quot;/&gt;&lt;wsp:rsid wsp:val=&quot;00F17274&quot;/&gt;&lt;wsp:rsid wsp:val=&quot;00F17410&quot;/&gt;&lt;wsp:rsid wsp:val=&quot;00F179D0&quot;/&gt;&lt;wsp:rsid wsp:val=&quot;00F179E1&quot;/&gt;&lt;wsp:rsid wsp:val=&quot;00F17D12&quot;/&gt;&lt;wsp:rsid wsp:val=&quot;00F203B8&quot;/&gt;&lt;wsp:rsid wsp:val=&quot;00F209A8&quot;/&gt;&lt;wsp:rsid wsp:val=&quot;00F20AE8&quot;/&gt;&lt;wsp:rsid wsp:val=&quot;00F210F3&quot;/&gt;&lt;wsp:rsid wsp:val=&quot;00F212E0&quot;/&gt;&lt;wsp:rsid wsp:val=&quot;00F213A0&quot;/&gt;&lt;wsp:rsid wsp:val=&quot;00F21434&quot;/&gt;&lt;wsp:rsid wsp:val=&quot;00F21ACB&quot;/&gt;&lt;wsp:rsid wsp:val=&quot;00F22B0A&quot;/&gt;&lt;wsp:rsid wsp:val=&quot;00F2318E&quot;/&gt;&lt;wsp:rsid wsp:val=&quot;00F23FAD&quot;/&gt;&lt;wsp:rsid wsp:val=&quot;00F25BCA&quot;/&gt;&lt;wsp:rsid wsp:val=&quot;00F25D19&quot;/&gt;&lt;wsp:rsid wsp:val=&quot;00F25D3E&quot;/&gt;&lt;wsp:rsid wsp:val=&quot;00F26151&quot;/&gt;&lt;wsp:rsid wsp:val=&quot;00F261FF&quot;/&gt;&lt;wsp:rsid wsp:val=&quot;00F26C12&quot;/&gt;&lt;wsp:rsid wsp:val=&quot;00F26D40&quot;/&gt;&lt;wsp:rsid wsp:val=&quot;00F26DE5&quot;/&gt;&lt;wsp:rsid wsp:val=&quot;00F26E9B&quot;/&gt;&lt;wsp:rsid wsp:val=&quot;00F26FC5&quot;/&gt;&lt;wsp:rsid wsp:val=&quot;00F27428&quot;/&gt;&lt;wsp:rsid wsp:val=&quot;00F276CF&quot;/&gt;&lt;wsp:rsid wsp:val=&quot;00F27F5B&quot;/&gt;&lt;wsp:rsid wsp:val=&quot;00F30057&quot;/&gt;&lt;wsp:rsid wsp:val=&quot;00F30113&quot;/&gt;&lt;wsp:rsid wsp:val=&quot;00F303FC&quot;/&gt;&lt;wsp:rsid wsp:val=&quot;00F305D4&quot;/&gt;&lt;wsp:rsid wsp:val=&quot;00F318EA&quot;/&gt;&lt;wsp:rsid wsp:val=&quot;00F31B64&quot;/&gt;&lt;wsp:rsid wsp:val=&quot;00F321DB&quot;/&gt;&lt;wsp:rsid wsp:val=&quot;00F32B74&quot;/&gt;&lt;wsp:rsid wsp:val=&quot;00F32C1A&quot;/&gt;&lt;wsp:rsid wsp:val=&quot;00F33119&quot;/&gt;&lt;wsp:rsid wsp:val=&quot;00F3323B&quot;/&gt;&lt;wsp:rsid wsp:val=&quot;00F3365C&quot;/&gt;&lt;wsp:rsid wsp:val=&quot;00F33C62&quot;/&gt;&lt;wsp:rsid wsp:val=&quot;00F34491&quot;/&gt;&lt;wsp:rsid wsp:val=&quot;00F3458D&quot;/&gt;&lt;wsp:rsid wsp:val=&quot;00F34A79&quot;/&gt;&lt;wsp:rsid wsp:val=&quot;00F34C74&quot;/&gt;&lt;wsp:rsid wsp:val=&quot;00F35253&quot;/&gt;&lt;wsp:rsid wsp:val=&quot;00F35303&quot;/&gt;&lt;wsp:rsid wsp:val=&quot;00F35627&quot;/&gt;&lt;wsp:rsid wsp:val=&quot;00F35659&quot;/&gt;&lt;wsp:rsid wsp:val=&quot;00F35AAA&quot;/&gt;&lt;wsp:rsid wsp:val=&quot;00F35F9D&quot;/&gt;&lt;wsp:rsid wsp:val=&quot;00F3615E&quot;/&gt;&lt;wsp:rsid wsp:val=&quot;00F361C5&quot;/&gt;&lt;wsp:rsid wsp:val=&quot;00F3669D&quot;/&gt;&lt;wsp:rsid wsp:val=&quot;00F3767A&quot;/&gt;&lt;wsp:rsid wsp:val=&quot;00F3779C&quot;/&gt;&lt;wsp:rsid wsp:val=&quot;00F414C8&quot;/&gt;&lt;wsp:rsid wsp:val=&quot;00F41ACC&quot;/&gt;&lt;wsp:rsid wsp:val=&quot;00F41AFB&quot;/&gt;&lt;wsp:rsid wsp:val=&quot;00F428C8&quot;/&gt;&lt;wsp:rsid wsp:val=&quot;00F431B3&quot;/&gt;&lt;wsp:rsid wsp:val=&quot;00F433B8&quot;/&gt;&lt;wsp:rsid wsp:val=&quot;00F4391C&quot;/&gt;&lt;wsp:rsid wsp:val=&quot;00F43F55&quot;/&gt;&lt;wsp:rsid wsp:val=&quot;00F445E2&quot;/&gt;&lt;wsp:rsid wsp:val=&quot;00F4550F&quot;/&gt;&lt;wsp:rsid wsp:val=&quot;00F45E60&quot;/&gt;&lt;wsp:rsid wsp:val=&quot;00F46106&quot;/&gt;&lt;wsp:rsid wsp:val=&quot;00F4625A&quot;/&gt;&lt;wsp:rsid wsp:val=&quot;00F469C2&quot;/&gt;&lt;wsp:rsid wsp:val=&quot;00F46FBB&quot;/&gt;&lt;wsp:rsid wsp:val=&quot;00F4710B&quot;/&gt;&lt;wsp:rsid wsp:val=&quot;00F477C9&quot;/&gt;&lt;wsp:rsid wsp:val=&quot;00F47958&quot;/&gt;&lt;wsp:rsid wsp:val=&quot;00F47A7F&quot;/&gt;&lt;wsp:rsid wsp:val=&quot;00F47CE9&quot;/&gt;&lt;wsp:rsid wsp:val=&quot;00F502FD&quot;/&gt;&lt;wsp:rsid wsp:val=&quot;00F503A7&quot;/&gt;&lt;wsp:rsid wsp:val=&quot;00F50673&quot;/&gt;&lt;wsp:rsid wsp:val=&quot;00F508D8&quot;/&gt;&lt;wsp:rsid wsp:val=&quot;00F50B1C&quot;/&gt;&lt;wsp:rsid wsp:val=&quot;00F51164&quot;/&gt;&lt;wsp:rsid wsp:val=&quot;00F51A53&quot;/&gt;&lt;wsp:rsid wsp:val=&quot;00F51EB3&quot;/&gt;&lt;wsp:rsid wsp:val=&quot;00F51F90&quot;/&gt;&lt;wsp:rsid wsp:val=&quot;00F52141&quot;/&gt;&lt;wsp:rsid wsp:val=&quot;00F52185&quot;/&gt;&lt;wsp:rsid wsp:val=&quot;00F52A6D&quot;/&gt;&lt;wsp:rsid wsp:val=&quot;00F5327D&quot;/&gt;&lt;wsp:rsid wsp:val=&quot;00F53CA9&quot;/&gt;&lt;wsp:rsid wsp:val=&quot;00F53E30&quot;/&gt;&lt;wsp:rsid wsp:val=&quot;00F5481D&quot;/&gt;&lt;wsp:rsid wsp:val=&quot;00F55101&quot;/&gt;&lt;wsp:rsid wsp:val=&quot;00F553A0&quot;/&gt;&lt;wsp:rsid wsp:val=&quot;00F55AA1&quot;/&gt;&lt;wsp:rsid wsp:val=&quot;00F55BFE&quot;/&gt;&lt;wsp:rsid wsp:val=&quot;00F56762&quot;/&gt;&lt;wsp:rsid wsp:val=&quot;00F567D8&quot;/&gt;&lt;wsp:rsid wsp:val=&quot;00F56CA6&quot;/&gt;&lt;wsp:rsid wsp:val=&quot;00F571DE&quot;/&gt;&lt;wsp:rsid wsp:val=&quot;00F57629&quot;/&gt;&lt;wsp:rsid wsp:val=&quot;00F57C0E&quot;/&gt;&lt;wsp:rsid wsp:val=&quot;00F603B8&quot;/&gt;&lt;wsp:rsid wsp:val=&quot;00F6054C&quot;/&gt;&lt;wsp:rsid wsp:val=&quot;00F6089D&quot;/&gt;&lt;wsp:rsid wsp:val=&quot;00F60977&quot;/&gt;&lt;wsp:rsid wsp:val=&quot;00F6124D&quot;/&gt;&lt;wsp:rsid wsp:val=&quot;00F6168E&quot;/&gt;&lt;wsp:rsid wsp:val=&quot;00F617DE&quot;/&gt;&lt;wsp:rsid wsp:val=&quot;00F618E5&quot;/&gt;&lt;wsp:rsid wsp:val=&quot;00F61919&quot;/&gt;&lt;wsp:rsid wsp:val=&quot;00F619D8&quot;/&gt;&lt;wsp:rsid wsp:val=&quot;00F6211D&quot;/&gt;&lt;wsp:rsid wsp:val=&quot;00F62A9A&quot;/&gt;&lt;wsp:rsid wsp:val=&quot;00F62B9B&quot;/&gt;&lt;wsp:rsid wsp:val=&quot;00F62EE2&quot;/&gt;&lt;wsp:rsid wsp:val=&quot;00F630B7&quot;/&gt;&lt;wsp:rsid wsp:val=&quot;00F63489&quot;/&gt;&lt;wsp:rsid wsp:val=&quot;00F634CF&quot;/&gt;&lt;wsp:rsid wsp:val=&quot;00F642BC&quot;/&gt;&lt;wsp:rsid wsp:val=&quot;00F64DD1&quot;/&gt;&lt;wsp:rsid wsp:val=&quot;00F65225&quot;/&gt;&lt;wsp:rsid wsp:val=&quot;00F657DB&quot;/&gt;&lt;wsp:rsid wsp:val=&quot;00F6628C&quot;/&gt;&lt;wsp:rsid wsp:val=&quot;00F6655F&quot;/&gt;&lt;wsp:rsid wsp:val=&quot;00F6669B&quot;/&gt;&lt;wsp:rsid wsp:val=&quot;00F67000&quot;/&gt;&lt;wsp:rsid wsp:val=&quot;00F67B51&quot;/&gt;&lt;wsp:rsid wsp:val=&quot;00F67E92&quot;/&gt;&lt;wsp:rsid wsp:val=&quot;00F70BE3&quot;/&gt;&lt;wsp:rsid wsp:val=&quot;00F70E87&quot;/&gt;&lt;wsp:rsid wsp:val=&quot;00F70E9B&quot;/&gt;&lt;wsp:rsid wsp:val=&quot;00F71204&quot;/&gt;&lt;wsp:rsid wsp:val=&quot;00F71894&quot;/&gt;&lt;wsp:rsid wsp:val=&quot;00F71D0E&quot;/&gt;&lt;wsp:rsid wsp:val=&quot;00F72FF5&quot;/&gt;&lt;wsp:rsid wsp:val=&quot;00F7309C&quot;/&gt;&lt;wsp:rsid wsp:val=&quot;00F73759&quot;/&gt;&lt;wsp:rsid wsp:val=&quot;00F73B87&quot;/&gt;&lt;wsp:rsid wsp:val=&quot;00F74599&quot;/&gt;&lt;wsp:rsid wsp:val=&quot;00F74B29&quot;/&gt;&lt;wsp:rsid wsp:val=&quot;00F74F0B&quot;/&gt;&lt;wsp:rsid wsp:val=&quot;00F74F68&quot;/&gt;&lt;wsp:rsid wsp:val=&quot;00F75032&quot;/&gt;&lt;wsp:rsid wsp:val=&quot;00F75744&quot;/&gt;&lt;wsp:rsid wsp:val=&quot;00F757E7&quot;/&gt;&lt;wsp:rsid wsp:val=&quot;00F758FB&quot;/&gt;&lt;wsp:rsid wsp:val=&quot;00F75D53&quot;/&gt;&lt;wsp:rsid wsp:val=&quot;00F761EF&quot;/&gt;&lt;wsp:rsid wsp:val=&quot;00F76330&quot;/&gt;&lt;wsp:rsid wsp:val=&quot;00F766E0&quot;/&gt;&lt;wsp:rsid wsp:val=&quot;00F76C27&quot;/&gt;&lt;wsp:rsid wsp:val=&quot;00F77564&quot;/&gt;&lt;wsp:rsid wsp:val=&quot;00F80109&quot;/&gt;&lt;wsp:rsid wsp:val=&quot;00F80D60&quot;/&gt;&lt;wsp:rsid wsp:val=&quot;00F811F8&quot;/&gt;&lt;wsp:rsid wsp:val=&quot;00F81CA2&quot;/&gt;&lt;wsp:rsid wsp:val=&quot;00F81DE4&quot;/&gt;&lt;wsp:rsid wsp:val=&quot;00F81E1F&quot;/&gt;&lt;wsp:rsid wsp:val=&quot;00F82813&quot;/&gt;&lt;wsp:rsid wsp:val=&quot;00F82A61&quot;/&gt;&lt;wsp:rsid wsp:val=&quot;00F82ABB&quot;/&gt;&lt;wsp:rsid wsp:val=&quot;00F84930&quot;/&gt;&lt;wsp:rsid wsp:val=&quot;00F84B1F&quot;/&gt;&lt;wsp:rsid wsp:val=&quot;00F84BC5&quot;/&gt;&lt;wsp:rsid wsp:val=&quot;00F8534E&quot;/&gt;&lt;wsp:rsid wsp:val=&quot;00F85445&quot;/&gt;&lt;wsp:rsid wsp:val=&quot;00F85DC9&quot;/&gt;&lt;wsp:rsid wsp:val=&quot;00F86368&quot;/&gt;&lt;wsp:rsid wsp:val=&quot;00F86B2D&quot;/&gt;&lt;wsp:rsid wsp:val=&quot;00F8734F&quot;/&gt;&lt;wsp:rsid wsp:val=&quot;00F87875&quot;/&gt;&lt;wsp:rsid wsp:val=&quot;00F87B63&quot;/&gt;&lt;wsp:rsid wsp:val=&quot;00F9065E&quot;/&gt;&lt;wsp:rsid wsp:val=&quot;00F9094E&quot;/&gt;&lt;wsp:rsid wsp:val=&quot;00F90EC1&quot;/&gt;&lt;wsp:rsid wsp:val=&quot;00F90FCB&quot;/&gt;&lt;wsp:rsid wsp:val=&quot;00F910BB&quot;/&gt;&lt;wsp:rsid wsp:val=&quot;00F914BD&quot;/&gt;&lt;wsp:rsid wsp:val=&quot;00F91529&quot;/&gt;&lt;wsp:rsid wsp:val=&quot;00F9172C&quot;/&gt;&lt;wsp:rsid wsp:val=&quot;00F91A35&quot;/&gt;&lt;wsp:rsid wsp:val=&quot;00F91F04&quot;/&gt;&lt;wsp:rsid wsp:val=&quot;00F92504&quot;/&gt;&lt;wsp:rsid wsp:val=&quot;00F928F4&quot;/&gt;&lt;wsp:rsid wsp:val=&quot;00F92B78&quot;/&gt;&lt;wsp:rsid wsp:val=&quot;00F92DBE&quot;/&gt;&lt;wsp:rsid wsp:val=&quot;00F93A6D&quot;/&gt;&lt;wsp:rsid wsp:val=&quot;00F93B1B&quot;/&gt;&lt;wsp:rsid wsp:val=&quot;00F93E01&quot;/&gt;&lt;wsp:rsid wsp:val=&quot;00F9415F&quot;/&gt;&lt;wsp:rsid wsp:val=&quot;00F946B7&quot;/&gt;&lt;wsp:rsid wsp:val=&quot;00F94A12&quot;/&gt;&lt;wsp:rsid wsp:val=&quot;00F94AAB&quot;/&gt;&lt;wsp:rsid wsp:val=&quot;00F94E5B&quot;/&gt;&lt;wsp:rsid wsp:val=&quot;00F94ED5&quot;/&gt;&lt;wsp:rsid wsp:val=&quot;00F953DC&quot;/&gt;&lt;wsp:rsid wsp:val=&quot;00F95705&quot;/&gt;&lt;wsp:rsid wsp:val=&quot;00F96148&quot;/&gt;&lt;wsp:rsid wsp:val=&quot;00F964B6&quot;/&gt;&lt;wsp:rsid wsp:val=&quot;00F96591&quot;/&gt;&lt;wsp:rsid wsp:val=&quot;00F96663&quot;/&gt;&lt;wsp:rsid wsp:val=&quot;00F96A55&quot;/&gt;&lt;wsp:rsid wsp:val=&quot;00F96E6C&quot;/&gt;&lt;wsp:rsid wsp:val=&quot;00F96F01&quot;/&gt;&lt;wsp:rsid wsp:val=&quot;00F97185&quot;/&gt;&lt;wsp:rsid wsp:val=&quot;00FA020E&quot;/&gt;&lt;wsp:rsid wsp:val=&quot;00FA0331&quot;/&gt;&lt;wsp:rsid wsp:val=&quot;00FA042A&quot;/&gt;&lt;wsp:rsid wsp:val=&quot;00FA0999&quot;/&gt;&lt;wsp:rsid wsp:val=&quot;00FA09FE&quot;/&gt;&lt;wsp:rsid wsp:val=&quot;00FA1BD0&quot;/&gt;&lt;wsp:rsid wsp:val=&quot;00FA1E8A&quot;/&gt;&lt;wsp:rsid wsp:val=&quot;00FA244A&quot;/&gt;&lt;wsp:rsid wsp:val=&quot;00FA2DFD&quot;/&gt;&lt;wsp:rsid wsp:val=&quot;00FA2EE2&quot;/&gt;&lt;wsp:rsid wsp:val=&quot;00FA3033&quot;/&gt;&lt;wsp:rsid wsp:val=&quot;00FA3261&quot;/&gt;&lt;wsp:rsid wsp:val=&quot;00FA35A4&quot;/&gt;&lt;wsp:rsid wsp:val=&quot;00FA40DA&quot;/&gt;&lt;wsp:rsid wsp:val=&quot;00FA4223&quot;/&gt;&lt;wsp:rsid wsp:val=&quot;00FA485C&quot;/&gt;&lt;wsp:rsid wsp:val=&quot;00FA48B4&quot;/&gt;&lt;wsp:rsid wsp:val=&quot;00FA7892&quot;/&gt;&lt;wsp:rsid wsp:val=&quot;00FA7FEB&quot;/&gt;&lt;wsp:rsid wsp:val=&quot;00FB0CE7&quot;/&gt;&lt;wsp:rsid wsp:val=&quot;00FB0F4D&quot;/&gt;&lt;wsp:rsid wsp:val=&quot;00FB1034&quot;/&gt;&lt;wsp:rsid wsp:val=&quot;00FB14E5&quot;/&gt;&lt;wsp:rsid wsp:val=&quot;00FB1647&quot;/&gt;&lt;wsp:rsid wsp:val=&quot;00FB1C16&quot;/&gt;&lt;wsp:rsid wsp:val=&quot;00FB246E&quot;/&gt;&lt;wsp:rsid wsp:val=&quot;00FB415E&quot;/&gt;&lt;wsp:rsid wsp:val=&quot;00FB4719&quot;/&gt;&lt;wsp:rsid wsp:val=&quot;00FB49B4&quot;/&gt;&lt;wsp:rsid wsp:val=&quot;00FB517E&quot;/&gt;&lt;wsp:rsid wsp:val=&quot;00FB5704&quot;/&gt;&lt;wsp:rsid wsp:val=&quot;00FB581F&quot;/&gt;&lt;wsp:rsid wsp:val=&quot;00FB60E4&quot;/&gt;&lt;wsp:rsid wsp:val=&quot;00FB6580&quot;/&gt;&lt;wsp:rsid wsp:val=&quot;00FB6749&quot;/&gt;&lt;wsp:rsid wsp:val=&quot;00FB6A72&quot;/&gt;&lt;wsp:rsid wsp:val=&quot;00FB6BA8&quot;/&gt;&lt;wsp:rsid wsp:val=&quot;00FB6E04&quot;/&gt;&lt;wsp:rsid wsp:val=&quot;00FB71AB&quot;/&gt;&lt;wsp:rsid wsp:val=&quot;00FB71C1&quot;/&gt;&lt;wsp:rsid wsp:val=&quot;00FB7348&quot;/&gt;&lt;wsp:rsid wsp:val=&quot;00FB739F&quot;/&gt;&lt;wsp:rsid wsp:val=&quot;00FC033D&quot;/&gt;&lt;wsp:rsid wsp:val=&quot;00FC07B8&quot;/&gt;&lt;wsp:rsid wsp:val=&quot;00FC08F0&quot;/&gt;&lt;wsp:rsid wsp:val=&quot;00FC0CBE&quot;/&gt;&lt;wsp:rsid wsp:val=&quot;00FC0CF6&quot;/&gt;&lt;wsp:rsid wsp:val=&quot;00FC0FAD&quot;/&gt;&lt;wsp:rsid wsp:val=&quot;00FC1AE0&quot;/&gt;&lt;wsp:rsid wsp:val=&quot;00FC1D98&quot;/&gt;&lt;wsp:rsid wsp:val=&quot;00FC1E72&quot;/&gt;&lt;wsp:rsid wsp:val=&quot;00FC1FAC&quot;/&gt;&lt;wsp:rsid wsp:val=&quot;00FC3FE0&quot;/&gt;&lt;wsp:rsid wsp:val=&quot;00FC4251&quot;/&gt;&lt;wsp:rsid wsp:val=&quot;00FC4557&quot;/&gt;&lt;wsp:rsid wsp:val=&quot;00FC46F1&quot;/&gt;&lt;wsp:rsid wsp:val=&quot;00FC5328&quot;/&gt;&lt;wsp:rsid wsp:val=&quot;00FC5583&quot;/&gt;&lt;wsp:rsid wsp:val=&quot;00FC5A6F&quot;/&gt;&lt;wsp:rsid wsp:val=&quot;00FC5AA1&quot;/&gt;&lt;wsp:rsid wsp:val=&quot;00FC5B85&quot;/&gt;&lt;wsp:rsid wsp:val=&quot;00FC6C16&quot;/&gt;&lt;wsp:rsid wsp:val=&quot;00FC6C1E&quot;/&gt;&lt;wsp:rsid wsp:val=&quot;00FC6CD3&quot;/&gt;&lt;wsp:rsid wsp:val=&quot;00FC6D57&quot;/&gt;&lt;wsp:rsid wsp:val=&quot;00FC7EC4&quot;/&gt;&lt;wsp:rsid wsp:val=&quot;00FD0982&quot;/&gt;&lt;wsp:rsid wsp:val=&quot;00FD0A94&quot;/&gt;&lt;wsp:rsid wsp:val=&quot;00FD0F4E&quot;/&gt;&lt;wsp:rsid wsp:val=&quot;00FD1450&quot;/&gt;&lt;wsp:rsid wsp:val=&quot;00FD147F&quot;/&gt;&lt;wsp:rsid wsp:val=&quot;00FD1912&quot;/&gt;&lt;wsp:rsid wsp:val=&quot;00FD20F7&quot;/&gt;&lt;wsp:rsid wsp:val=&quot;00FD28F9&quot;/&gt;&lt;wsp:rsid wsp:val=&quot;00FD30FB&quot;/&gt;&lt;wsp:rsid wsp:val=&quot;00FD33A4&quot;/&gt;&lt;wsp:rsid wsp:val=&quot;00FD36C7&quot;/&gt;&lt;wsp:rsid wsp:val=&quot;00FD3A38&quot;/&gt;&lt;wsp:rsid wsp:val=&quot;00FD3B99&quot;/&gt;&lt;wsp:rsid wsp:val=&quot;00FD3C42&quot;/&gt;&lt;wsp:rsid wsp:val=&quot;00FD4E2B&quot;/&gt;&lt;wsp:rsid wsp:val=&quot;00FD5974&quot;/&gt;&lt;wsp:rsid wsp:val=&quot;00FD60FD&quot;/&gt;&lt;wsp:rsid wsp:val=&quot;00FD6213&quot;/&gt;&lt;wsp:rsid wsp:val=&quot;00FD6403&quot;/&gt;&lt;wsp:rsid wsp:val=&quot;00FD6435&quot;/&gt;&lt;wsp:rsid wsp:val=&quot;00FD6548&quot;/&gt;&lt;wsp:rsid wsp:val=&quot;00FD69AE&quot;/&gt;&lt;wsp:rsid wsp:val=&quot;00FD6D0C&quot;/&gt;&lt;wsp:rsid wsp:val=&quot;00FD797E&quot;/&gt;&lt;wsp:rsid wsp:val=&quot;00FD7AB3&quot;/&gt;&lt;wsp:rsid wsp:val=&quot;00FD7CB8&quot;/&gt;&lt;wsp:rsid wsp:val=&quot;00FD7E27&quot;/&gt;&lt;wsp:rsid wsp:val=&quot;00FE02DB&quot;/&gt;&lt;wsp:rsid wsp:val=&quot;00FE02F8&quot;/&gt;&lt;wsp:rsid wsp:val=&quot;00FE04D6&quot;/&gt;&lt;wsp:rsid wsp:val=&quot;00FE0BAC&quot;/&gt;&lt;wsp:rsid wsp:val=&quot;00FE135A&quot;/&gt;&lt;wsp:rsid wsp:val=&quot;00FE1443&quot;/&gt;&lt;wsp:rsid wsp:val=&quot;00FE15A0&quot;/&gt;&lt;wsp:rsid wsp:val=&quot;00FE1A02&quot;/&gt;&lt;wsp:rsid wsp:val=&quot;00FE224A&quot;/&gt;&lt;wsp:rsid wsp:val=&quot;00FE22F8&quot;/&gt;&lt;wsp:rsid wsp:val=&quot;00FE2580&quot;/&gt;&lt;wsp:rsid wsp:val=&quot;00FE2D89&quot;/&gt;&lt;wsp:rsid wsp:val=&quot;00FE31F6&quot;/&gt;&lt;wsp:rsid wsp:val=&quot;00FE380C&quot;/&gt;&lt;wsp:rsid wsp:val=&quot;00FE3D97&quot;/&gt;&lt;wsp:rsid wsp:val=&quot;00FE4A8B&quot;/&gt;&lt;wsp:rsid wsp:val=&quot;00FE4CF0&quot;/&gt;&lt;wsp:rsid wsp:val=&quot;00FE59BB&quot;/&gt;&lt;wsp:rsid wsp:val=&quot;00FE5D59&quot;/&gt;&lt;wsp:rsid wsp:val=&quot;00FE5F42&quot;/&gt;&lt;wsp:rsid wsp:val=&quot;00FE631F&quot;/&gt;&lt;wsp:rsid wsp:val=&quot;00FE695E&quot;/&gt;&lt;wsp:rsid wsp:val=&quot;00FE6A8F&quot;/&gt;&lt;wsp:rsid wsp:val=&quot;00FE6A9F&quot;/&gt;&lt;wsp:rsid wsp:val=&quot;00FE6BB5&quot;/&gt;&lt;wsp:rsid wsp:val=&quot;00FF1644&quot;/&gt;&lt;wsp:rsid wsp:val=&quot;00FF25A7&quot;/&gt;&lt;wsp:rsid wsp:val=&quot;00FF2888&quot;/&gt;&lt;wsp:rsid wsp:val=&quot;00FF2953&quot;/&gt;&lt;wsp:rsid wsp:val=&quot;00FF2EA3&quot;/&gt;&lt;wsp:rsid wsp:val=&quot;00FF414C&quot;/&gt;&lt;wsp:rsid wsp:val=&quot;00FF4764&quot;/&gt;&lt;wsp:rsid wsp:val=&quot;00FF4CCA&quot;/&gt;&lt;wsp:rsid wsp:val=&quot;00FF50FD&quot;/&gt;&lt;wsp:rsid wsp:val=&quot;00FF5E00&quot;/&gt;&lt;wsp:rsid wsp:val=&quot;00FF5E10&quot;/&gt;&lt;wsp:rsid wsp:val=&quot;00FF6DB6&quot;/&gt;&lt;wsp:rsid wsp:val=&quot;00FF73A1&quot;/&gt;&lt;wsp:rsid wsp:val=&quot;02B26B56&quot;/&gt;&lt;wsp:rsid wsp:val=&quot;03D66BA6&quot;/&gt;&lt;wsp:rsid wsp:val=&quot;051A0D14&quot;/&gt;&lt;wsp:rsid wsp:val=&quot;08373D17&quot;/&gt;&lt;wsp:rsid wsp:val=&quot;08D31906&quot;/&gt;&lt;wsp:rsid wsp:val=&quot;099B57EC&quot;/&gt;&lt;wsp:rsid wsp:val=&quot;09C35E1E&quot;/&gt;&lt;wsp:rsid wsp:val=&quot;0A7B2255&quot;/&gt;&lt;wsp:rsid wsp:val=&quot;0AA30366&quot;/&gt;&lt;wsp:rsid wsp:val=&quot;0CC7731D&quot;/&gt;&lt;wsp:rsid wsp:val=&quot;0FCD6BA8&quot;/&gt;&lt;wsp:rsid wsp:val=&quot;0FF419B0&quot;/&gt;&lt;wsp:rsid wsp:val=&quot;11A14B86&quot;/&gt;&lt;wsp:rsid wsp:val=&quot;12E11476&quot;/&gt;&lt;wsp:rsid wsp:val=&quot;13CA5776&quot;/&gt;&lt;wsp:rsid wsp:val=&quot;1451781E&quot;/&gt;&lt;wsp:rsid wsp:val=&quot;15151F29&quot;/&gt;&lt;wsp:rsid wsp:val=&quot;1BC22817&quot;/&gt;&lt;wsp:rsid wsp:val=&quot;1F14103B&quot;/&gt;&lt;wsp:rsid wsp:val=&quot;1F83778A&quot;/&gt;&lt;wsp:rsid wsp:val=&quot;224631C9&quot;/&gt;&lt;wsp:rsid wsp:val=&quot;240F2DC9&quot;/&gt;&lt;wsp:rsid wsp:val=&quot;24C30629&quot;/&gt;&lt;wsp:rsid wsp:val=&quot;25763D25&quot;/&gt;&lt;wsp:rsid wsp:val=&quot;26A5092E&quot;/&gt;&lt;wsp:rsid wsp:val=&quot;29BC0105&quot;/&gt;&lt;wsp:rsid wsp:val=&quot;2B6770FF&quot;/&gt;&lt;wsp:rsid wsp:val=&quot;2D123049&quot;/&gt;&lt;wsp:rsid wsp:val=&quot;2D947006&quot;/&gt;&lt;wsp:rsid wsp:val=&quot;2E3276DD&quot;/&gt;&lt;wsp:rsid wsp:val=&quot;314A0E14&quot;/&gt;&lt;wsp:rsid wsp:val=&quot;32037751&quot;/&gt;&lt;wsp:rsid wsp:val=&quot;330D18BF&quot;/&gt;&lt;wsp:rsid wsp:val=&quot;33CE629A&quot;/&gt;&lt;wsp:rsid wsp:val=&quot;342521FB&quot;/&gt;&lt;wsp:rsid wsp:val=&quot;350308E2&quot;/&gt;&lt;wsp:rsid wsp:val=&quot;38042FDA&quot;/&gt;&lt;wsp:rsid wsp:val=&quot;3A184B1B&quot;/&gt;&lt;wsp:rsid wsp:val=&quot;3AA1137B&quot;/&gt;&lt;wsp:rsid wsp:val=&quot;3BC67B86&quot;/&gt;&lt;wsp:rsid wsp:val=&quot;3CB74F79&quot;/&gt;&lt;wsp:rsid wsp:val=&quot;3CC80A7A&quot;/&gt;&lt;wsp:rsid wsp:val=&quot;3E63644F&quot;/&gt;&lt;wsp:rsid wsp:val=&quot;42211EC1&quot;/&gt;&lt;wsp:rsid wsp:val=&quot;42C06726&quot;/&gt;&lt;wsp:rsid wsp:val=&quot;430E56F4&quot;/&gt;&lt;wsp:rsid wsp:val=&quot;48CC13D9&quot;/&gt;&lt;wsp:rsid wsp:val=&quot;4CD34ADE&quot;/&gt;&lt;wsp:rsid wsp:val=&quot;4CDB2302&quot;/&gt;&lt;wsp:rsid wsp:val=&quot;500F7705&quot;/&gt;&lt;wsp:rsid wsp:val=&quot;50223AD5&quot;/&gt;&lt;wsp:rsid wsp:val=&quot;52231D58&quot;/&gt;&lt;wsp:rsid wsp:val=&quot;57A606AC&quot;/&gt;&lt;wsp:rsid wsp:val=&quot;58C45316&quot;/&gt;&lt;wsp:rsid wsp:val=&quot;59F7468F&quot;/&gt;&lt;wsp:rsid wsp:val=&quot;5B3C50B8&quot;/&gt;&lt;wsp:rsid wsp:val=&quot;5FF37537&quot;/&gt;&lt;wsp:rsid wsp:val=&quot;60BB0848&quot;/&gt;&lt;wsp:rsid wsp:val=&quot;60CF1B28&quot;/&gt;&lt;wsp:rsid wsp:val=&quot;61A22D98&quot;/&gt;&lt;wsp:rsid wsp:val=&quot;648C3B2E&quot;/&gt;&lt;wsp:rsid wsp:val=&quot;67702502&quot;/&gt;&lt;wsp:rsid wsp:val=&quot;68B106FE&quot;/&gt;&lt;wsp:rsid wsp:val=&quot;69845BA5&quot;/&gt;&lt;wsp:rsid wsp:val=&quot;699340F5&quot;/&gt;&lt;wsp:rsid wsp:val=&quot;6ABB51FD&quot;/&gt;&lt;wsp:rsid wsp:val=&quot;6BA51E03&quot;/&gt;&lt;wsp:rsid wsp:val=&quot;6D0F48A1&quot;/&gt;&lt;wsp:rsid wsp:val=&quot;6E5E1E17&quot;/&gt;&lt;wsp:rsid wsp:val=&quot;6ECF755A&quot;/&gt;&lt;wsp:rsid wsp:val=&quot;6F060991&quot;/&gt;&lt;wsp:rsid wsp:val=&quot;6FD1670D&quot;/&gt;&lt;wsp:rsid wsp:val=&quot;73EA2AA9&quot;/&gt;&lt;wsp:rsid wsp:val=&quot;76117BAB&quot;/&gt;&lt;wsp:rsid wsp:val=&quot;76244F59&quot;/&gt;&lt;wsp:rsid wsp:val=&quot;76854E63&quot;/&gt;&lt;wsp:rsid wsp:val=&quot;777E3C5F&quot;/&gt;&lt;wsp:rsid wsp:val=&quot;7A0F70A9&quot;/&gt;&lt;wsp:rsid wsp:val=&quot;7BD70A60&quot;/&gt;&lt;wsp:rsid wsp:val=&quot;7E21356B&quot;/&gt;&lt;wsp:rsid wsp:val=&quot;7EFE0D38&quot;/&gt;&lt;/wsp:rsids&gt;&lt;/w:docPr&gt;&lt;w:body&gt;&lt;wx:sect&gt;&lt;w:p wsp:rsidR=&quot;00000000&quot; wsp:rsidRPr=&quot;000E3638&quot; wsp:rsidRDefault=&quot;000E3638&quot; wsp:rsidP=&quot;000E3638&quot;&gt;&lt;m:oMathPara&gt;&lt;m:oMath&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L&lt;/m:t&gt;&lt;/m:r&gt;&lt;/m:e&gt;&lt;m:sub&gt;&lt;m:r&gt;&lt;m:rPr&gt;&lt;m:nor/&gt;&lt;/m:rPr&gt;&lt;w:rPr&gt;&lt;w:b-cs/&gt;&lt;w:i/&gt;&lt;w:color w:val=&quot;000000&quot;/&gt;&lt;w:sz w:val=&quot;24&quot;/&gt;&lt;w:sz-cs w:val=&quot;24&quot;/&gt;&lt;/w:rPr&gt;&lt;m:t&gt;A&lt;/m:t&gt;&lt;/m:r&gt;&lt;/m:sub&gt;&lt;/m:sSub&gt;&lt;m:d&gt;&lt;m:dPr&gt;&lt;m:begChr m:val=&quot;锛?/&gt;&lt;m:endChrz-------------------------- m:val=&quot;锛?/&gt;&lt;m:ctrlPr&gt;&lt;w:rPr&gt;&lt;w:rFonts w:ascii=&quot;Cambria Math&quot; w:h-ansi=&quot;Cambria Math&quot;/&gt;&lt;wx:font wx:val=&quot;Cambria Math&quot;/&gt;&lt;w:b-cs/&gt;&lt;w:i/&gt;&lt;w:color w:val=&quot;000000&quot;/&gt;&lt;w:sz w:val=&quot;24&quot;/&gt;&lt;w:sz-cs w:val=&quot;24&quot;/&gt;&lt;/w:rPr&gt;&lt;/m:ctrlPr&gt;&lt;/m:dPr&gt;&lt;m:e-&gt;-&lt;-m-:-r-&gt;-&lt;-m-:-r-P-r-&gt;-&lt;-m-:-n-o-r-/-&gt;-&lt;-/-m-z-:rPr&gt;&lt;w:rPr&gt;&lt;w:b-cs/&gt;&lt;w:i/&gt;&lt;w:color w:val=&quot;000000&quot;/&gt;&lt;w:sz w:val=&quot;24&quot;/&gt;&lt;w:sz-cs w:val=&quot;24&quot;/&gt;&lt;/w:rPr&gt;&lt;m:t&gt;r&lt;/m:t&gt;&lt;/m:r&gt;&lt;/m:e&gt;&lt;/m:d&gt;&lt;m:r&gt;&lt;m:rPr&gt;&lt;m:nor/&gt;&lt;/m:rPr&gt;&lt;w:rPr&gt;&lt;w:b-cs/&gt;&lt;w:i/&gt;&lt;w:color w:val=&quot;000000&quot;/&gt;&lt;w:sz w:val=&quot;24&quot;/&gt;&lt;w:sz-cs w:val=&quot;24&quot;/&gt;&lt;/w:rPr&gt;&lt;m:t&gt;=&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L&lt;/m:t&gt;&lt;/m:r&gt;&lt;/m:e&gt;&lt;m:sub&gt;&lt;m:r&gt;&lt;m:rPr&gt;&lt;m:nor/&gt;&lt;/m:rPr&gt;&lt;w:rPr&gt;&lt;w:b-cs/&gt;&lt;w:i/&gt;&lt;w:color w:val=&quot;000000&quot;/&gt;&lt;w:sz w:val=&quot;24&quot;/&gt;&lt;w:sz-cs w:val=&quot;24&quot;/&gt;&lt;/w:rPr&gt;&lt;m:t&gt;A&lt;/m:t&gt;&lt;/m:r&gt;&lt;/m:sub&gt;&lt;/m:sSub&gt;&lt;m:d&gt;&lt;m:dPr&gt;&lt;m:begChr m:val=&quot;锛?/&gt;&lt;m:endChr m:val=&quot;锛?/&gt;&lt;m:ctrlPr&gt;&lt;w:rPr&gt;&lt;w:rFonts w:ascii=&quot;Cambria Math&quot; w:h-ansi=&quot;Cambria Math&quot;/&gt;&lt;wx:font wx:val=&quot;Camb:criola orMa wth:v&quot;/al&gt;&lt;=&quot;w:00b-00cs00/&gt;&quot;/&lt;w&gt;&lt;:iw:/&gt;sz&lt;w w:c:volalor=&quot; w24:v&quot;/al&gt;&lt;=&quot;w:00sz00-c00s s w:&quot;/&gt;&lt;w:sz w:val=&quot;24&quot;/&gt;&lt;w:sz-cs w:val=&quot;24&quot;/&gt;&lt;/w:rPr&gt;&lt;/m:ctrlPr&gt;&lt;/m:dPr&gt;&lt;m:e&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r&lt;/m:t&gt;&lt;/m:r&gt;&lt;/m:e&gt;&lt;m:sub&gt;&lt;m:r&gt;&lt;m:rPr&gt;&lt;m:nor/&gt;&lt;/m:rPr&gt;&lt;w:rPr&gt;&lt;w:b-cs/&gt;&lt;w:i/&gt;&lt;w:color w:val=&quot;000000&quot;/&gt;&lt;w:sz w:val=&quot;24&quot;/&gt;&lt;w:sz-cs w:val=&quot;24&quot;/&gt;&lt;/w:rPr&gt;&lt;m:t&gt;0&lt;/m:t&gt;&lt;/m:r&gt;&lt;/m:sub&gt;&lt;/m:sSub&gt;&lt;/m:e&gt;&lt;/m:d&gt;&lt;m:r&gt;&lt;m:rPr&gt;&lt;m:nor/&gt;&lt;/m:rPr&gt;&lt;w:rPr&gt;&lt;w:b-cs/&gt;&lt;w:i/&gt;&lt;w:color w:val=&quot;000000&quot;/&gt;&lt;w:sz w:val=&quot;24&quot;/&gt;&lt;w:sz-cs w:val=&quot;24&quot;/&gt;&lt;/w:rPr&gt;&lt;m:t&gt;-20lg&lt;/m:t&gt;&lt;/m:r&gt;&lt;m:r&gt;&lt;m:rPr&gt;&lt;m:nor/&gt;&lt;/m:rPr&gt;&lt;w:rPr&gt;&lt;wx:font wx:val=&quot;瀹嬩綋&quot;/&gt;&lt;w:b-cs/&gt;&lt;w:i/&gt;&lt;w:color w:val=&quot;000000&quot;/&gt;&lt;w:sz w:val=&quot;24&quot;/&gt;&lt;w:sz-cs w:val=&quot;24&quot;/&gt;&lt;&gt;&lt;w/w:rrPrPr&gt;&lt;&lt;w:m:t&gt;-cs锛?//&gt;&lt;wm:t&gt;:i/&gt;&lt;/m:&lt;w:cr&gt;&lt;molor:f&gt;&lt; w:vm:fPal=&quot;r&gt;&lt;m0000:ctr00&quot;/lPr&gt;&gt;&lt;w:&lt;w:rsz wPr&gt;&lt;:valw:rF=&quot;24onts&quot;/&gt;&lt; w:aw:szscii-cs =&quot;Caw:vambril=&quot;2a Ma4&quot;/&gt;th&quot; &lt;/w:w:h-rPr&gt;ansi&lt;m:t=&quot;Ct&gt;-20ambria Math&quot;/&gt;&lt;wx:font wx:val=&quot;Cambria Math&quot;/&gt;&lt;w:b-cs/&gt;&lt;w:wi/&gt;&lt;w:crolor w::val=&quot;00s0000&quot;/&gt;&lt;w:sz w:val=&quot;24&quot;/&gt;&lt;w:sz-cs w:val=&quot;24&quot;/&gt;&lt;/w:rPr&gt;&lt;/m:ctrlPr&gt;&lt;/m:fPr&gt;&lt;m:num&gt;&lt;m:r&gt;&lt;m:rPr&gt;&lt;m:nor/&gt;&lt;/m:rPr&gt;&lt;w:rPr&gt;&lt;w:b-cs/&gt;&lt;w:i/&gt;&lt;w:color w:val=&quot;000000&quot;/&gt;&lt;w:sz w:val=&quot;24&quot;/&gt;&lt;w:sz-cs w:val=&quot;24&quot;/&gt;&lt;/w:rPr&gt;&lt;m:t&gt;r&lt;/m:t&gt;&lt;/m:r&gt;&lt;/m:num&gt;&lt;m:den&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r&lt;/m:t&gt;&lt;/m:r&gt;&lt;/m:e&gt;&lt;m:sub&gt;&lt;m:r&gt;&lt;m:rPr&gt;&lt;m:nor/&gt;&lt;/m:rPr&gt;&lt;w:rPr&gt;&lt;w:b-cs/&gt;&lt;w:i/&gt;&lt;w:color w:val=&quot;000000&quot;/&gt;&lt;w:sz w:val=&quot;24&quot;/&gt;&lt;w:sz-cs w:val=&quot;24&quot;/&gt;&lt;/w:rPr&gt;&lt;m:t&gt;0&lt;/m:t&gt;&lt;/m:r&gt;&lt;/m:sub&gt;&lt;/m:sSub&gt;&lt;/m:den&gt;&lt;/m:f&gt;&lt;m:r&gt;&lt;m:rPr&gt;&lt;m:nor/&gt;&lt;/m:rPr&gt;&lt;w:rPr&gt;&lt;wx:font wx:val=&quot;瀹?m浣?/&gt;&lt;w/m::b-cs/&gt;&lt;:r&gt;w:i/&gt;&lt;w:&gt;&lt;mcolor w:&lt;m:val=&quot;000rPr000&quot;/&gt;&lt;wor/:sz w:varPrl=&quot;24&quot;/&gt;Pr&gt;&lt;w:sz-cscs/ w:val=&quot;/&gt;&lt;24&quot;/&gt;&lt;/wor :rPr&gt;&lt;m:t&gt;锛?/m:t&gt;&lt;/m:&quot;/&gt;r&gt;&lt;/m:oMPr&gt;ath&gt;&lt;/m:0&lt;/oMathPar/m:a&gt;&lt;/w:p&gt;:su&lt;w:sectP:sSr wsp:rsm:didR=&quot;000m:f00000&quot; w&gt;&lt;msp:rsidR&lt;m:Pr=&quot;000E&lt;/m3638&quot;&gt;&lt;w&lt;w::pgSz w:wx:w=&quot;12240wx:&quot; w:h=&quot;1瀹?m5840&quot;/&gt;&lt;w:p:gMar w:top=&gt;&quot;1440&quot; w:rimght=&quot;1800&quot; :w:bottom=&quot;1r440&quot; w:left/=&quot;1800&quot; w:hreader=&quot;720&quot;&gt; w:f&gt;ooter=&quot;/720&gt;&quot; w:gutt&lt;er/=&quot;0&quot;/&gt;&lt;wr ::cols w:spacue=&quot;720&quot;/&gt;&lt;/Sw:sectPr&gt;&lt;/dwx:sect&gt;&lt;/wf:body&gt;&lt;/w:wmordDocument:&gt;wrR&quot;">
                  <v:path/>
                  <v:fill on="f" focussize="0,0"/>
                  <v:stroke on="f" joinstyle="miter"/>
                  <v:imagedata r:id="rId20" chromakey="#FFFFFF" o:title=""/>
                  <o:lock v:ext="edit" aspectratio="t"/>
                  <w10:wrap type="none"/>
                  <w10:anchorlock/>
                </v:shape>
              </w:pict>
            </w:r>
          </w:p>
          <w:p w14:paraId="44914FB4">
            <w:pPr>
              <w:adjustRightInd w:val="0"/>
              <w:snapToGrid w:val="0"/>
              <w:spacing w:line="360" w:lineRule="auto"/>
              <w:ind w:firstLine="480" w:firstLineChars="200"/>
              <w:rPr>
                <w:bCs/>
                <w:color w:val="000000"/>
                <w:sz w:val="24"/>
                <w:szCs w:val="24"/>
              </w:rPr>
            </w:pPr>
            <w:r>
              <w:rPr>
                <w:bCs/>
                <w:color w:val="000000"/>
                <w:sz w:val="24"/>
                <w:szCs w:val="24"/>
              </w:rPr>
              <w:fldChar w:fldCharType="begin"/>
            </w:r>
            <w:r>
              <w:rPr>
                <w:bCs/>
                <w:color w:val="000000"/>
                <w:sz w:val="24"/>
                <w:szCs w:val="24"/>
              </w:rPr>
              <w:instrText xml:space="preserve"> = 4 \* GB3 \* MERGEFORMAT </w:instrText>
            </w:r>
            <w:r>
              <w:rPr>
                <w:bCs/>
                <w:color w:val="000000"/>
                <w:sz w:val="24"/>
                <w:szCs w:val="24"/>
              </w:rPr>
              <w:fldChar w:fldCharType="separate"/>
            </w:r>
            <w:r>
              <w:rPr>
                <w:rFonts w:hint="eastAsia" w:ascii="宋体" w:hAnsi="宋体" w:cs="宋体"/>
                <w:bCs/>
                <w:color w:val="000000"/>
                <w:sz w:val="24"/>
                <w:szCs w:val="24"/>
              </w:rPr>
              <w:t>④</w:t>
            </w:r>
            <w:r>
              <w:rPr>
                <w:bCs/>
                <w:color w:val="000000"/>
                <w:sz w:val="24"/>
                <w:szCs w:val="24"/>
              </w:rPr>
              <w:fldChar w:fldCharType="end"/>
            </w:r>
            <w:r>
              <w:rPr>
                <w:bCs/>
                <w:color w:val="000000"/>
                <w:sz w:val="24"/>
                <w:szCs w:val="24"/>
              </w:rPr>
              <w:t>噪声贡献值计算</w:t>
            </w:r>
          </w:p>
          <w:p w14:paraId="15AB8363">
            <w:pPr>
              <w:adjustRightInd w:val="0"/>
              <w:snapToGrid w:val="0"/>
              <w:spacing w:line="360" w:lineRule="auto"/>
              <w:ind w:firstLine="480" w:firstLineChars="200"/>
              <w:rPr>
                <w:bCs/>
                <w:color w:val="000000"/>
                <w:sz w:val="24"/>
                <w:szCs w:val="24"/>
              </w:rPr>
            </w:pPr>
            <w:r>
              <w:rPr>
                <w:bCs/>
                <w:color w:val="000000"/>
                <w:sz w:val="24"/>
                <w:szCs w:val="24"/>
              </w:rPr>
              <w:t>由建设项目自身声源在预测点产生的声级。</w:t>
            </w:r>
          </w:p>
          <w:p w14:paraId="6FDC1C04">
            <w:pPr>
              <w:adjustRightInd w:val="0"/>
              <w:snapToGrid w:val="0"/>
              <w:spacing w:line="360" w:lineRule="auto"/>
              <w:ind w:firstLine="480" w:firstLineChars="200"/>
              <w:rPr>
                <w:bCs/>
                <w:color w:val="000000"/>
                <w:sz w:val="24"/>
                <w:szCs w:val="24"/>
              </w:rPr>
            </w:pPr>
            <w:r>
              <w:rPr>
                <w:bCs/>
                <w:color w:val="000000"/>
                <w:sz w:val="24"/>
                <w:szCs w:val="24"/>
              </w:rPr>
              <w:t>噪声贡献值（L</w:t>
            </w:r>
            <w:r>
              <w:rPr>
                <w:bCs/>
                <w:color w:val="000000"/>
                <w:sz w:val="24"/>
                <w:szCs w:val="24"/>
                <w:vertAlign w:val="subscript"/>
              </w:rPr>
              <w:t>eqg</w:t>
            </w:r>
            <w:r>
              <w:rPr>
                <w:bCs/>
                <w:color w:val="000000"/>
                <w:sz w:val="24"/>
                <w:szCs w:val="24"/>
              </w:rPr>
              <w:t>）计算公式为：</w:t>
            </w:r>
          </w:p>
          <w:p w14:paraId="6A2BC85A">
            <w:pPr>
              <w:adjustRightInd w:val="0"/>
              <w:snapToGrid w:val="0"/>
              <w:spacing w:line="360" w:lineRule="auto"/>
              <w:ind w:firstLine="420" w:firstLineChars="200"/>
              <w:rPr>
                <w:bCs/>
                <w:i/>
                <w:color w:val="000000"/>
                <w:sz w:val="24"/>
                <w:szCs w:val="24"/>
              </w:rPr>
            </w:pPr>
            <w:r>
              <w:pict>
                <v:shape id="_x0000_i1031" o:spt="75" type="#_x0000_t75" style="height:46.2pt;width:148.1pt;" filled="f" o:preferrelative="t" stroked="f" coordsize="21600,21600"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80&quot;/&gt;&lt;w:displayBackgroundShape/&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docVars&gt;&lt;w:docVar w:name=&quot;commondata&quot; w:val=&quot;eyJoZGlkIjoiYzYxMTk3NTc1NzI3NTBmNjE3NTg5YTVhYmVmNzdhOWQifQ==&quot;/&gt;&lt;/w:docVars&gt;&lt;wsp:rsids&gt;&lt;wsp:rsidRoot wsp:val=&quot;00172A27&quot;/&gt;&lt;wsp:rsid wsp:val=&quot;000000E1&quot;/&gt;&lt;wsp:rsid wsp:val=&quot;00000384&quot;/&gt;&lt;wsp:rsid wsp:val=&quot;000006AB&quot;/&gt;&lt;wsp:rsid wsp:val=&quot;000009D1&quot;/&gt;&lt;wsp:rsid wsp:val=&quot;00001235&quot;/&gt;&lt;wsp:rsid wsp:val=&quot;000014A9&quot;/&gt;&lt;wsp:rsid wsp:val=&quot;000022C8&quot;/&gt;&lt;wsp:rsid wsp:val=&quot;00002B6D&quot;/&gt;&lt;wsp:rsid wsp:val=&quot;00002DC4&quot;/&gt;&lt;wsp:rsid wsp:val=&quot;000032CD&quot;/&gt;&lt;wsp:rsid wsp:val=&quot;000034AA&quot;/&gt;&lt;wsp:rsid wsp:val=&quot;0000355C&quot;/&gt;&lt;wsp:rsid wsp:val=&quot;00003718&quot;/&gt;&lt;wsp:rsid wsp:val=&quot;000038BB&quot;/&gt;&lt;wsp:rsid wsp:val=&quot;00003FCC&quot;/&gt;&lt;wsp:rsid wsp:val=&quot;00004021&quot;/&gt;&lt;wsp:rsid wsp:val=&quot;00004A8A&quot;/&gt;&lt;wsp:rsid wsp:val=&quot;00005F47&quot;/&gt;&lt;wsp:rsid wsp:val=&quot;00006EB1&quot;/&gt;&lt;wsp:rsid wsp:val=&quot;0000713A&quot;/&gt;&lt;wsp:rsid wsp:val=&quot;000072D5&quot;/&gt;&lt;wsp:rsid wsp:val=&quot;00007BE5&quot;/&gt;&lt;wsp:rsid wsp:val=&quot;0001075F&quot;/&gt;&lt;wsp:rsid wsp:val=&quot;000114A3&quot;/&gt;&lt;wsp:rsid wsp:val=&quot;000122D0&quot;/&gt;&lt;wsp:rsid wsp:val=&quot;00012356&quot;/&gt;&lt;wsp:rsid wsp:val=&quot;000123CF&quot;/&gt;&lt;wsp:rsid wsp:val=&quot;000130F0&quot;/&gt;&lt;wsp:rsid wsp:val=&quot;0001348A&quot;/&gt;&lt;wsp:rsid wsp:val=&quot;00013BF5&quot;/&gt;&lt;wsp:rsid wsp:val=&quot;00013CBF&quot;/&gt;&lt;wsp:rsid wsp:val=&quot;00014340&quot;/&gt;&lt;wsp:rsid wsp:val=&quot;00014DB6&quot;/&gt;&lt;wsp:rsid wsp:val=&quot;0001517C&quot;/&gt;&lt;wsp:rsid wsp:val=&quot;000154A5&quot;/&gt;&lt;wsp:rsid wsp:val=&quot;00015A1F&quot;/&gt;&lt;wsp:rsid wsp:val=&quot;00015BB0&quot;/&gt;&lt;wsp:rsid wsp:val=&quot;00016A81&quot;/&gt;&lt;wsp:rsid wsp:val=&quot;00016EC0&quot;/&gt;&lt;wsp:rsid wsp:val=&quot;0001730A&quot;/&gt;&lt;wsp:rsid wsp:val=&quot;00017469&quot;/&gt;&lt;wsp:rsid wsp:val=&quot;0001755D&quot;/&gt;&lt;wsp:rsid wsp:val=&quot;00017CEA&quot;/&gt;&lt;wsp:rsid wsp:val=&quot;00017F89&quot;/&gt;&lt;wsp:rsid wsp:val=&quot;00020D89&quot;/&gt;&lt;wsp:rsid wsp:val=&quot;00021E12&quot;/&gt;&lt;wsp:rsid wsp:val=&quot;00021E6B&quot;/&gt;&lt;wsp:rsid wsp:val=&quot;000224B7&quot;/&gt;&lt;wsp:rsid wsp:val=&quot;0002338D&quot;/&gt;&lt;wsp:rsid wsp:val=&quot;00023A95&quot;/&gt;&lt;wsp:rsid wsp:val=&quot;000240ED&quot;/&gt;&lt;wsp:rsid wsp:val=&quot;00024481&quot;/&gt;&lt;wsp:rsid wsp:val=&quot;000245B2&quot;/&gt;&lt;wsp:rsid wsp:val=&quot;00024E4C&quot;/&gt;&lt;wsp:rsid wsp:val=&quot;00025204&quot;/&gt;&lt;wsp:rsid wsp:val=&quot;00025A1D&quot;/&gt;&lt;wsp:rsid wsp:val=&quot;00025FDA&quot;/&gt;&lt;wsp:rsid wsp:val=&quot;000261E7&quot;/&gt;&lt;wsp:rsid wsp:val=&quot;00026A7E&quot;/&gt;&lt;wsp:rsid wsp:val=&quot;00026E58&quot;/&gt;&lt;wsp:rsid wsp:val=&quot;000275E4&quot;/&gt;&lt;wsp:rsid wsp:val=&quot;00027BBB&quot;/&gt;&lt;wsp:rsid wsp:val=&quot;00027E5A&quot;/&gt;&lt;wsp:rsid wsp:val=&quot;00027F18&quot;/&gt;&lt;wsp:rsid wsp:val=&quot;0003029B&quot;/&gt;&lt;wsp:rsid wsp:val=&quot;000303DC&quot;/&gt;&lt;wsp:rsid wsp:val=&quot;0003057F&quot;/&gt;&lt;wsp:rsid wsp:val=&quot;00030993&quot;/&gt;&lt;wsp:rsid wsp:val=&quot;00030CCD&quot;/&gt;&lt;wsp:rsid wsp:val=&quot;00032665&quot;/&gt;&lt;wsp:rsid wsp:val=&quot;000327B7&quot;/&gt;&lt;wsp:rsid wsp:val=&quot;00032A9F&quot;/&gt;&lt;wsp:rsid wsp:val=&quot;00032BFA&quot;/&gt;&lt;wsp:rsid wsp:val=&quot;00032D02&quot;/&gt;&lt;wsp:rsid wsp:val=&quot;00032FB9&quot;/&gt;&lt;wsp:rsid wsp:val=&quot;0003314E&quot;/&gt;&lt;wsp:rsid wsp:val=&quot;000332B9&quot;/&gt;&lt;wsp:rsid wsp:val=&quot;00033402&quot;/&gt;&lt;wsp:rsid wsp:val=&quot;00033925&quot;/&gt;&lt;wsp:rsid wsp:val=&quot;000339F8&quot;/&gt;&lt;wsp:rsid wsp:val=&quot;00033EEB&quot;/&gt;&lt;wsp:rsid wsp:val=&quot;000343C9&quot;/&gt;&lt;wsp:rsid wsp:val=&quot;00034E5F&quot;/&gt;&lt;wsp:rsid wsp:val=&quot;00035946&quot;/&gt;&lt;wsp:rsid wsp:val=&quot;00035DBC&quot;/&gt;&lt;wsp:rsid wsp:val=&quot;0003607A&quot;/&gt;&lt;wsp:rsid wsp:val=&quot;000368CA&quot;/&gt;&lt;wsp:rsid wsp:val=&quot;000369B8&quot;/&gt;&lt;wsp:rsid wsp:val=&quot;00036D60&quot;/&gt;&lt;wsp:rsid wsp:val=&quot;00036F18&quot;/&gt;&lt;wsp:rsid wsp:val=&quot;000379E1&quot;/&gt;&lt;wsp:rsid wsp:val=&quot;00037B71&quot;/&gt;&lt;wsp:rsid wsp:val=&quot;00037C97&quot;/&gt;&lt;wsp:rsid wsp:val=&quot;000403A0&quot;/&gt;&lt;wsp:rsid wsp:val=&quot;00040E2F&quot;/&gt;&lt;wsp:rsid wsp:val=&quot;00040FAB&quot;/&gt;&lt;wsp:rsid wsp:val=&quot;0004133E&quot;/&gt;&lt;wsp:rsid wsp:val=&quot;000419F0&quot;/&gt;&lt;wsp:rsid wsp:val=&quot;00041DDD&quot;/&gt;&lt;wsp:rsid wsp:val=&quot;00041DF7&quot;/&gt;&lt;wsp:rsid wsp:val=&quot;0004231E&quot;/&gt;&lt;wsp:rsid wsp:val=&quot;000428F9&quot;/&gt;&lt;wsp:rsid wsp:val=&quot;0004324C&quot;/&gt;&lt;wsp:rsid wsp:val=&quot;00043302&quot;/&gt;&lt;wsp:rsid wsp:val=&quot;00043460&quot;/&gt;&lt;wsp:rsid wsp:val=&quot;0004381A&quot;/&gt;&lt;wsp:rsid wsp:val=&quot;00043A61&quot;/&gt;&lt;wsp:rsid wsp:val=&quot;00044079&quot;/&gt;&lt;wsp:rsid wsp:val=&quot;00044735&quot;/&gt;&lt;wsp:rsid wsp:val=&quot;00044945&quot;/&gt;&lt;wsp:rsid wsp:val=&quot;000451D9&quot;/&gt;&lt;wsp:rsid wsp:val=&quot;00046136&quot;/&gt;&lt;wsp:rsid wsp:val=&quot;00046842&quot;/&gt;&lt;wsp:rsid wsp:val=&quot;00047117&quot;/&gt;&lt;wsp:rsid wsp:val=&quot;00047226&quot;/&gt;&lt;wsp:rsid wsp:val=&quot;0004742D&quot;/&gt;&lt;wsp:rsid wsp:val=&quot;000478BE&quot;/&gt;&lt;wsp:rsid wsp:val=&quot;00047D6E&quot;/&gt;&lt;wsp:rsid wsp:val=&quot;00047DA1&quot;/&gt;&lt;wsp:rsid wsp:val=&quot;0005042F&quot;/&gt;&lt;wsp:rsid wsp:val=&quot;00050A8E&quot;/&gt;&lt;wsp:rsid wsp:val=&quot;00050AF8&quot;/&gt;&lt;wsp:rsid wsp:val=&quot;00050BBA&quot;/&gt;&lt;wsp:rsid wsp:val=&quot;00050E97&quot;/&gt;&lt;wsp:rsid wsp:val=&quot;00050EF2&quot;/&gt;&lt;wsp:rsid wsp:val=&quot;000510FC&quot;/&gt;&lt;wsp:rsid wsp:val=&quot;000513EB&quot;/&gt;&lt;wsp:rsid wsp:val=&quot;0005152E&quot;/&gt;&lt;wsp:rsid wsp:val=&quot;00051CE8&quot;/&gt;&lt;wsp:rsid wsp:val=&quot;00051EC6&quot;/&gt;&lt;wsp:rsid wsp:val=&quot;0005203D&quot;/&gt;&lt;wsp:rsid wsp:val=&quot;000525A1&quot;/&gt;&lt;wsp:rsid wsp:val=&quot;00052790&quot;/&gt;&lt;wsp:rsid wsp:val=&quot;00053ABF&quot;/&gt;&lt;wsp:rsid wsp:val=&quot;00053CC4&quot;/&gt;&lt;wsp:rsid wsp:val=&quot;00053FC8&quot;/&gt;&lt;wsp:rsid wsp:val=&quot;0005435D&quot;/&gt;&lt;wsp:rsid wsp:val=&quot;00054CBF&quot;/&gt;&lt;wsp:rsid wsp:val=&quot;00054CF1&quot;/&gt;&lt;wsp:rsid wsp:val=&quot;00054E06&quot;/&gt;&lt;wsp:rsid wsp:val=&quot;00054E67&quot;/&gt;&lt;wsp:rsid wsp:val=&quot;00056697&quot;/&gt;&lt;wsp:rsid wsp:val=&quot;0005719D&quot;/&gt;&lt;wsp:rsid wsp:val=&quot;00057445&quot;/&gt;&lt;wsp:rsid wsp:val=&quot;000575FC&quot;/&gt;&lt;wsp:rsid wsp:val=&quot;00057AC4&quot;/&gt;&lt;wsp:rsid wsp:val=&quot;00057D9D&quot;/&gt;&lt;wsp:rsid wsp:val=&quot;00060708&quot;/&gt;&lt;wsp:rsid wsp:val=&quot;00060AC3&quot;/&gt;&lt;wsp:rsid wsp:val=&quot;00060BF1&quot;/&gt;&lt;wsp:rsid wsp:val=&quot;00061A2B&quot;/&gt;&lt;wsp:rsid wsp:val=&quot;00062344&quot;/&gt;&lt;wsp:rsid wsp:val=&quot;00062606&quot;/&gt;&lt;wsp:rsid wsp:val=&quot;00062675&quot;/&gt;&lt;wsp:rsid wsp:val=&quot;00062692&quot;/&gt;&lt;wsp:rsid wsp:val=&quot;00062AC1&quot;/&gt;&lt;wsp:rsid wsp:val=&quot;00062FD6&quot;/&gt;&lt;wsp:rsid wsp:val=&quot;00063457&quot;/&gt;&lt;wsp:rsid wsp:val=&quot;000639DD&quot;/&gt;&lt;wsp:rsid wsp:val=&quot;00063BB0&quot;/&gt;&lt;wsp:rsid wsp:val=&quot;00063CDE&quot;/&gt;&lt;wsp:rsid wsp:val=&quot;00063E4C&quot;/&gt;&lt;wsp:rsid wsp:val=&quot;00063F85&quot;/&gt;&lt;wsp:rsid wsp:val=&quot;0006454E&quot;/&gt;&lt;wsp:rsid wsp:val=&quot;00065025&quot;/&gt;&lt;wsp:rsid wsp:val=&quot;0006572B&quot;/&gt;&lt;wsp:rsid wsp:val=&quot;000665A5&quot;/&gt;&lt;wsp:rsid wsp:val=&quot;000672FE&quot;/&gt;&lt;wsp:rsid wsp:val=&quot;00070280&quot;/&gt;&lt;wsp:rsid wsp:val=&quot;00070A32&quot;/&gt;&lt;wsp:rsid wsp:val=&quot;00070F4C&quot;/&gt;&lt;wsp:rsid wsp:val=&quot;000713B5&quot;/&gt;&lt;wsp:rsid wsp:val=&quot;00071AD0&quot;/&gt;&lt;wsp:rsid wsp:val=&quot;00071E2D&quot;/&gt;&lt;wsp:rsid wsp:val=&quot;0007206C&quot;/&gt;&lt;wsp:rsid wsp:val=&quot;00072397&quot;/&gt;&lt;wsp:rsid wsp:val=&quot;00072D6D&quot;/&gt;&lt;wsp:rsid wsp:val=&quot;000731EF&quot;/&gt;&lt;wsp:rsid wsp:val=&quot;00073780&quot;/&gt;&lt;wsp:rsid wsp:val=&quot;00073A88&quot;/&gt;&lt;wsp:rsid wsp:val=&quot;00073B30&quot;/&gt;&lt;wsp:rsid wsp:val=&quot;00074EF3&quot;/&gt;&lt;wsp:rsid wsp:val=&quot;000750CA&quot;/&gt;&lt;wsp:rsid wsp:val=&quot;0007642D&quot;/&gt;&lt;wsp:rsid wsp:val=&quot;00076989&quot;/&gt;&lt;wsp:rsid wsp:val=&quot;00076B05&quot;/&gt;&lt;wsp:rsid wsp:val=&quot;0008046A&quot;/&gt;&lt;wsp:rsid wsp:val=&quot;000820A1&quot;/&gt;&lt;wsp:rsid wsp:val=&quot;00082718&quot;/&gt;&lt;wsp:rsid wsp:val=&quot;00082780&quot;/&gt;&lt;wsp:rsid wsp:val=&quot;00082836&quot;/&gt;&lt;wsp:rsid wsp:val=&quot;00082A7E&quot;/&gt;&lt;wsp:rsid wsp:val=&quot;00082B73&quot;/&gt;&lt;wsp:rsid wsp:val=&quot;00082BB1&quot;/&gt;&lt;wsp:rsid wsp:val=&quot;00082C63&quot;/&gt;&lt;wsp:rsid wsp:val=&quot;00083256&quot;/&gt;&lt;wsp:rsid wsp:val=&quot;00083A9D&quot;/&gt;&lt;wsp:rsid wsp:val=&quot;000847DE&quot;/&gt;&lt;wsp:rsid wsp:val=&quot;00084C61&quot;/&gt;&lt;wsp:rsid wsp:val=&quot;00084E5B&quot;/&gt;&lt;wsp:rsid wsp:val=&quot;0008524B&quot;/&gt;&lt;wsp:rsid wsp:val=&quot;0008557C&quot;/&gt;&lt;wsp:rsid wsp:val=&quot;00085970&quot;/&gt;&lt;wsp:rsid wsp:val=&quot;00085F0E&quot;/&gt;&lt;wsp:rsid wsp:val=&quot;00086DA3&quot;/&gt;&lt;wsp:rsid wsp:val=&quot;00087183&quot;/&gt;&lt;wsp:rsid wsp:val=&quot;00087EB8&quot;/&gt;&lt;wsp:rsid wsp:val=&quot;0009007B&quot;/&gt;&lt;wsp:rsid wsp:val=&quot;00090B2E&quot;/&gt;&lt;wsp:rsid wsp:val=&quot;00090B96&quot;/&gt;&lt;wsp:rsid wsp:val=&quot;00090BE8&quot;/&gt;&lt;wsp:rsid wsp:val=&quot;00090CAD&quot;/&gt;&lt;wsp:rsid wsp:val=&quot;00091336&quot;/&gt;&lt;wsp:rsid wsp:val=&quot;00091435&quot;/&gt;&lt;wsp:rsid wsp:val=&quot;00091EAE&quot;/&gt;&lt;wsp:rsid wsp:val=&quot;00092501&quot;/&gt;&lt;wsp:rsid wsp:val=&quot;00093107&quot;/&gt;&lt;wsp:rsid wsp:val=&quot;000937A1&quot;/&gt;&lt;wsp:rsid wsp:val=&quot;0009433D&quot;/&gt;&lt;wsp:rsid wsp:val=&quot;00095509&quot;/&gt;&lt;wsp:rsid wsp:val=&quot;00095519&quot;/&gt;&lt;wsp:rsid wsp:val=&quot;000957BC&quot;/&gt;&lt;wsp:rsid wsp:val=&quot;00095A1A&quot;/&gt;&lt;wsp:rsid wsp:val=&quot;00095BDC&quot;/&gt;&lt;wsp:rsid wsp:val=&quot;0009632C&quot;/&gt;&lt;wsp:rsid wsp:val=&quot;0009675A&quot;/&gt;&lt;wsp:rsid wsp:val=&quot;00096A33&quot;/&gt;&lt;wsp:rsid wsp:val=&quot;00096C0E&quot;/&gt;&lt;wsp:rsid wsp:val=&quot;00097294&quot;/&gt;&lt;wsp:rsid wsp:val=&quot;00097BBF&quot;/&gt;&lt;wsp:rsid wsp:val=&quot;00097E40&quot;/&gt;&lt;wsp:rsid wsp:val=&quot;000A0A75&quot;/&gt;&lt;wsp:rsid wsp:val=&quot;000A0B0C&quot;/&gt;&lt;wsp:rsid wsp:val=&quot;000A0F15&quot;/&gt;&lt;wsp:rsid wsp:val=&quot;000A1578&quot;/&gt;&lt;wsp:rsid wsp:val=&quot;000A19B5&quot;/&gt;&lt;wsp:rsid wsp:val=&quot;000A19B7&quot;/&gt;&lt;wsp:rsid wsp:val=&quot;000A1DD4&quot;/&gt;&lt;wsp:rsid wsp:val=&quot;000A1EAF&quot;/&gt;&lt;wsp:rsid wsp:val=&quot;000A1EFA&quot;/&gt;&lt;wsp:rsid wsp:val=&quot;000A2DEC&quot;/&gt;&lt;wsp:rsid wsp:val=&quot;000A3147&quot;/&gt;&lt;wsp:rsid wsp:val=&quot;000A3333&quot;/&gt;&lt;wsp:rsid wsp:val=&quot;000A3931&quot;/&gt;&lt;wsp:rsid wsp:val=&quot;000A44C6&quot;/&gt;&lt;wsp:rsid wsp:val=&quot;000A46B2&quot;/&gt;&lt;wsp:rsid wsp:val=&quot;000A4D6D&quot;/&gt;&lt;wsp:rsid wsp:val=&quot;000A61DB&quot;/&gt;&lt;wsp:rsid wsp:val=&quot;000A675B&quot;/&gt;&lt;wsp:rsid wsp:val=&quot;000A7337&quot;/&gt;&lt;wsp:rsid wsp:val=&quot;000A741E&quot;/&gt;&lt;wsp:rsid wsp:val=&quot;000A7CE7&quot;/&gt;&lt;wsp:rsid wsp:val=&quot;000B0216&quot;/&gt;&lt;wsp:rsid wsp:val=&quot;000B03F5&quot;/&gt;&lt;wsp:rsid wsp:val=&quot;000B064B&quot;/&gt;&lt;wsp:rsid wsp:val=&quot;000B0F8E&quot;/&gt;&lt;wsp:rsid wsp:val=&quot;000B0FCB&quot;/&gt;&lt;wsp:rsid wsp:val=&quot;000B1EC8&quot;/&gt;&lt;wsp:rsid wsp:val=&quot;000B264B&quot;/&gt;&lt;wsp:rsid wsp:val=&quot;000B2DAA&quot;/&gt;&lt;wsp:rsid wsp:val=&quot;000B2E4A&quot;/&gt;&lt;wsp:rsid wsp:val=&quot;000B31CA&quot;/&gt;&lt;wsp:rsid wsp:val=&quot;000B31F7&quot;/&gt;&lt;wsp:rsid wsp:val=&quot;000B4062&quot;/&gt;&lt;wsp:rsid wsp:val=&quot;000B45A4&quot;/&gt;&lt;wsp:rsid wsp:val=&quot;000B4AD7&quot;/&gt;&lt;wsp:rsid wsp:val=&quot;000B5458&quot;/&gt;&lt;wsp:rsid wsp:val=&quot;000B55AF&quot;/&gt;&lt;wsp:rsid wsp:val=&quot;000B5B93&quot;/&gt;&lt;wsp:rsid wsp:val=&quot;000B5E06&quot;/&gt;&lt;wsp:rsid wsp:val=&quot;000B6106&quot;/&gt;&lt;wsp:rsid wsp:val=&quot;000B6678&quot;/&gt;&lt;wsp:rsid wsp:val=&quot;000B671F&quot;/&gt;&lt;wsp:rsid wsp:val=&quot;000B70F1&quot;/&gt;&lt;wsp:rsid wsp:val=&quot;000B744B&quot;/&gt;&lt;wsp:rsid wsp:val=&quot;000B7B79&quot;/&gt;&lt;wsp:rsid wsp:val=&quot;000C0B5E&quot;/&gt;&lt;wsp:rsid wsp:val=&quot;000C0C18&quot;/&gt;&lt;wsp:rsid wsp:val=&quot;000C0D66&quot;/&gt;&lt;wsp:rsid wsp:val=&quot;000C1120&quot;/&gt;&lt;wsp:rsid wsp:val=&quot;000C1252&quot;/&gt;&lt;wsp:rsid wsp:val=&quot;000C1AF2&quot;/&gt;&lt;wsp:rsid wsp:val=&quot;000C1EF9&quot;/&gt;&lt;wsp:rsid wsp:val=&quot;000C2262&quot;/&gt;&lt;wsp:rsid wsp:val=&quot;000C235E&quot;/&gt;&lt;wsp:rsid wsp:val=&quot;000C2459&quot;/&gt;&lt;wsp:rsid wsp:val=&quot;000C2967&quot;/&gt;&lt;wsp:rsid wsp:val=&quot;000C2C75&quot;/&gt;&lt;wsp:rsid wsp:val=&quot;000C2F5D&quot;/&gt;&lt;wsp:rsid wsp:val=&quot;000C3017&quot;/&gt;&lt;wsp:rsid wsp:val=&quot;000C316A&quot;/&gt;&lt;wsp:rsid wsp:val=&quot;000C369E&quot;/&gt;&lt;wsp:rsid wsp:val=&quot;000C436C&quot;/&gt;&lt;wsp:rsid wsp:val=&quot;000C47D6&quot;/&gt;&lt;wsp:rsid wsp:val=&quot;000C4E3B&quot;/&gt;&lt;wsp:rsid wsp:val=&quot;000C5CE0&quot;/&gt;&lt;wsp:rsid wsp:val=&quot;000C5E17&quot;/&gt;&lt;wsp:rsid wsp:val=&quot;000C5E29&quot;/&gt;&lt;wsp:rsid wsp:val=&quot;000C5F29&quot;/&gt;&lt;wsp:rsid wsp:val=&quot;000C61E6&quot;/&gt;&lt;wsp:rsid wsp:val=&quot;000C7137&quot;/&gt;&lt;wsp:rsid wsp:val=&quot;000C75A5&quot;/&gt;&lt;wsp:rsid wsp:val=&quot;000C79B7&quot;/&gt;&lt;wsp:rsid wsp:val=&quot;000C7C56&quot;/&gt;&lt;wsp:rsid wsp:val=&quot;000C7C5F&quot;/&gt;&lt;wsp:rsid wsp:val=&quot;000C7DBB&quot;/&gt;&lt;wsp:rsid wsp:val=&quot;000C7E0F&quot;/&gt;&lt;wsp:rsid wsp:val=&quot;000D06E9&quot;/&gt;&lt;wsp:rsid wsp:val=&quot;000D09C4&quot;/&gt;&lt;wsp:rsid wsp:val=&quot;000D0ECA&quot;/&gt;&lt;wsp:rsid wsp:val=&quot;000D22EE&quot;/&gt;&lt;wsp:rsid wsp:val=&quot;000D243F&quot;/&gt;&lt;wsp:rsid wsp:val=&quot;000D24E0&quot;/&gt;&lt;wsp:rsid wsp:val=&quot;000D385C&quot;/&gt;&lt;wsp:rsid wsp:val=&quot;000D4110&quot;/&gt;&lt;wsp:rsid wsp:val=&quot;000D4E93&quot;/&gt;&lt;wsp:rsid wsp:val=&quot;000D51E7&quot;/&gt;&lt;wsp:rsid wsp:val=&quot;000D573D&quot;/&gt;&lt;wsp:rsid wsp:val=&quot;000D5F41&quot;/&gt;&lt;wsp:rsid wsp:val=&quot;000D5F7F&quot;/&gt;&lt;wsp:rsid wsp:val=&quot;000D6463&quot;/&gt;&lt;wsp:rsid wsp:val=&quot;000D6FC9&quot;/&gt;&lt;wsp:rsid wsp:val=&quot;000D78F8&quot;/&gt;&lt;wsp:rsid wsp:val=&quot;000E0B11&quot;/&gt;&lt;wsp:rsid wsp:val=&quot;000E0B9B&quot;/&gt;&lt;wsp:rsid wsp:val=&quot;000E0D49&quot;/&gt;&lt;wsp:rsid wsp:val=&quot;000E0D4F&quot;/&gt;&lt;wsp:rsid wsp:val=&quot;000E1CB4&quot;/&gt;&lt;wsp:rsid wsp:val=&quot;000E1D2A&quot;/&gt;&lt;wsp:rsid wsp:val=&quot;000E24C3&quot;/&gt;&lt;wsp:rsid wsp:val=&quot;000E27B5&quot;/&gt;&lt;wsp:rsid wsp:val=&quot;000E2925&quot;/&gt;&lt;wsp:rsid wsp:val=&quot;000E2E1C&quot;/&gt;&lt;wsp:rsid wsp:val=&quot;000E3485&quot;/&gt;&lt;wsp:rsid wsp:val=&quot;000E34CD&quot;/&gt;&lt;wsp:rsid wsp:val=&quot;000E37E4&quot;/&gt;&lt;wsp:rsid wsp:val=&quot;000E492D&quot;/&gt;&lt;wsp:rsid wsp:val=&quot;000E4957&quot;/&gt;&lt;wsp:rsid wsp:val=&quot;000E4C70&quot;/&gt;&lt;wsp:rsid wsp:val=&quot;000E4D7D&quot;/&gt;&lt;wsp:rsid wsp:val=&quot;000E51C4&quot;/&gt;&lt;wsp:rsid wsp:val=&quot;000E55E2&quot;/&gt;&lt;wsp:rsid wsp:val=&quot;000E5CC4&quot;/&gt;&lt;wsp:rsid wsp:val=&quot;000E5E2A&quot;/&gt;&lt;wsp:rsid wsp:val=&quot;000E6CE0&quot;/&gt;&lt;wsp:rsid wsp:val=&quot;000E71DC&quot;/&gt;&lt;wsp:rsid wsp:val=&quot;000E7850&quot;/&gt;&lt;wsp:rsid wsp:val=&quot;000E7882&quot;/&gt;&lt;wsp:rsid wsp:val=&quot;000F06FB&quot;/&gt;&lt;wsp:rsid wsp:val=&quot;000F15F1&quot;/&gt;&lt;wsp:rsid wsp:val=&quot;000F1A26&quot;/&gt;&lt;wsp:rsid wsp:val=&quot;000F1C34&quot;/&gt;&lt;wsp:rsid wsp:val=&quot;000F1CE3&quot;/&gt;&lt;wsp:rsid wsp:val=&quot;000F2080&quot;/&gt;&lt;wsp:rsid wsp:val=&quot;000F2E83&quot;/&gt;&lt;wsp:rsid wsp:val=&quot;000F3DC7&quot;/&gt;&lt;wsp:rsid wsp:val=&quot;000F3EA9&quot;/&gt;&lt;wsp:rsid wsp:val=&quot;000F3FF0&quot;/&gt;&lt;wsp:rsid wsp:val=&quot;000F401A&quot;/&gt;&lt;wsp:rsid wsp:val=&quot;000F4380&quot;/&gt;&lt;wsp:rsid wsp:val=&quot;000F6629&quot;/&gt;&lt;wsp:rsid wsp:val=&quot;000F66BD&quot;/&gt;&lt;wsp:rsid wsp:val=&quot;000F7BC2&quot;/&gt;&lt;wsp:rsid wsp:val=&quot;001001EC&quot;/&gt;&lt;wsp:rsid wsp:val=&quot;001001ED&quot;/&gt;&lt;wsp:rsid wsp:val=&quot;001003BB&quot;/&gt;&lt;wsp:rsid wsp:val=&quot;00100D34&quot;/&gt;&lt;wsp:rsid wsp:val=&quot;001012DC&quot;/&gt;&lt;wsp:rsid wsp:val=&quot;001016E3&quot;/&gt;&lt;wsp:rsid wsp:val=&quot;0010206A&quot;/&gt;&lt;wsp:rsid wsp:val=&quot;001020EC&quot;/&gt;&lt;wsp:rsid wsp:val=&quot;0010273F&quot;/&gt;&lt;wsp:rsid wsp:val=&quot;00102EDF&quot;/&gt;&lt;wsp:rsid wsp:val=&quot;001034DB&quot;/&gt;&lt;wsp:rsid wsp:val=&quot;00103774&quot;/&gt;&lt;wsp:rsid wsp:val=&quot;0010390E&quot;/&gt;&lt;wsp:rsid wsp:val=&quot;001039C1&quot;/&gt;&lt;wsp:rsid wsp:val=&quot;00103C31&quot;/&gt;&lt;wsp:rsid wsp:val=&quot;0010503D&quot;/&gt;&lt;wsp:rsid wsp:val=&quot;001055E3&quot;/&gt;&lt;wsp:rsid wsp:val=&quot;00105C3A&quot;/&gt;&lt;wsp:rsid wsp:val=&quot;001071B2&quot;/&gt;&lt;wsp:rsid wsp:val=&quot;001073D3&quot;/&gt;&lt;wsp:rsid wsp:val=&quot;001075EA&quot;/&gt;&lt;wsp:rsid wsp:val=&quot;0010772D&quot;/&gt;&lt;wsp:rsid wsp:val=&quot;00107808&quot;/&gt;&lt;wsp:rsid wsp:val=&quot;00107CF3&quot;/&gt;&lt;wsp:rsid wsp:val=&quot;00107D8D&quot;/&gt;&lt;wsp:rsid wsp:val=&quot;00110191&quot;/&gt;&lt;wsp:rsid wsp:val=&quot;001106D8&quot;/&gt;&lt;wsp:rsid wsp:val=&quot;00110D9F&quot;/&gt;&lt;wsp:rsid wsp:val=&quot;00111EF3&quot;/&gt;&lt;wsp:rsid wsp:val=&quot;0011207F&quot;/&gt;&lt;wsp:rsid wsp:val=&quot;001121DC&quot;/&gt;&lt;wsp:rsid wsp:val=&quot;00113030&quot;/&gt;&lt;wsp:rsid wsp:val=&quot;00113291&quot;/&gt;&lt;wsp:rsid wsp:val=&quot;00113E68&quot;/&gt;&lt;wsp:rsid wsp:val=&quot;001147D7&quot;/&gt;&lt;wsp:rsid wsp:val=&quot;001150A9&quot;/&gt;&lt;wsp:rsid wsp:val=&quot;001165B3&quot;/&gt;&lt;wsp:rsid wsp:val=&quot;00117786&quot;/&gt;&lt;wsp:rsid wsp:val=&quot;00117AB9&quot;/&gt;&lt;wsp:rsid wsp:val=&quot;00117AE8&quot;/&gt;&lt;wsp:rsid wsp:val=&quot;001200DF&quot;/&gt;&lt;wsp:rsid wsp:val=&quot;001204F1&quot;/&gt;&lt;wsp:rsid wsp:val=&quot;00120677&quot;/&gt;&lt;wsp:rsid wsp:val=&quot;00120E1C&quot;/&gt;&lt;wsp:rsid wsp:val=&quot;00120EAD&quot;/&gt;&lt;wsp:rsid wsp:val=&quot;001211FD&quot;/&gt;&lt;wsp:rsid wsp:val=&quot;00121875&quot;/&gt;&lt;wsp:rsid wsp:val=&quot;001218B4&quot;/&gt;&lt;wsp:rsid wsp:val=&quot;00121B39&quot;/&gt;&lt;wsp:rsid wsp:val=&quot;00121DA9&quot;/&gt;&lt;wsp:rsid wsp:val=&quot;00122016&quot;/&gt;&lt;wsp:rsid wsp:val=&quot;00122099&quot;/&gt;&lt;wsp:rsid wsp:val=&quot;00122293&quot;/&gt;&lt;wsp:rsid wsp:val=&quot;00122C29&quot;/&gt;&lt;wsp:rsid wsp:val=&quot;00122E6C&quot;/&gt;&lt;wsp:rsid wsp:val=&quot;00123150&quot;/&gt;&lt;wsp:rsid wsp:val=&quot;001239C7&quot;/&gt;&lt;wsp:rsid wsp:val=&quot;00123B28&quot;/&gt;&lt;wsp:rsid wsp:val=&quot;00123B74&quot;/&gt;&lt;wsp:rsid wsp:val=&quot;001240F1&quot;/&gt;&lt;wsp:rsid wsp:val=&quot;00124460&quot;/&gt;&lt;wsp:rsid wsp:val=&quot;00124CF3&quot;/&gt;&lt;wsp:rsid wsp:val=&quot;00124D34&quot;/&gt;&lt;wsp:rsid wsp:val=&quot;00125145&quot;/&gt;&lt;wsp:rsid wsp:val=&quot;00126167&quot;/&gt;&lt;wsp:rsid wsp:val=&quot;00126AD4&quot;/&gt;&lt;wsp:rsid wsp:val=&quot;00127245&quot;/&gt;&lt;wsp:rsid wsp:val=&quot;0012729C&quot;/&gt;&lt;wsp:rsid wsp:val=&quot;001276BE&quot;/&gt;&lt;wsp:rsid wsp:val=&quot;00130AE8&quot;/&gt;&lt;wsp:rsid wsp:val=&quot;00131B56&quot;/&gt;&lt;wsp:rsid wsp:val=&quot;001329E5&quot;/&gt;&lt;wsp:rsid wsp:val=&quot;001330B9&quot;/&gt;&lt;wsp:rsid wsp:val=&quot;00133676&quot;/&gt;&lt;wsp:rsid wsp:val=&quot;00133A41&quot;/&gt;&lt;wsp:rsid wsp:val=&quot;00133C5F&quot;/&gt;&lt;wsp:rsid wsp:val=&quot;00133D0E&quot;/&gt;&lt;wsp:rsid wsp:val=&quot;00134204&quot;/&gt;&lt;wsp:rsid wsp:val=&quot;001345C5&quot;/&gt;&lt;wsp:rsid wsp:val=&quot;00134ED3&quot;/&gt;&lt;wsp:rsid wsp:val=&quot;001351E5&quot;/&gt;&lt;wsp:rsid wsp:val=&quot;00135303&quot;/&gt;&lt;wsp:rsid wsp:val=&quot;00135674&quot;/&gt;&lt;wsp:rsid wsp:val=&quot;001356A6&quot;/&gt;&lt;wsp:rsid wsp:val=&quot;00135733&quot;/&gt;&lt;wsp:rsid wsp:val=&quot;00135791&quot;/&gt;&lt;wsp:rsid wsp:val=&quot;0013585D&quot;/&gt;&lt;wsp:rsid wsp:val=&quot;001359A0&quot;/&gt;&lt;wsp:rsid wsp:val=&quot;0013611F&quot;/&gt;&lt;wsp:rsid wsp:val=&quot;0013619C&quot;/&gt;&lt;wsp:rsid wsp:val=&quot;00136DF3&quot;/&gt;&lt;wsp:rsid wsp:val=&quot;001372FF&quot;/&gt;&lt;wsp:rsid wsp:val=&quot;001378EF&quot;/&gt;&lt;wsp:rsid wsp:val=&quot;00137988&quot;/&gt;&lt;wsp:rsid wsp:val=&quot;00140863&quot;/&gt;&lt;wsp:rsid wsp:val=&quot;001412A7&quot;/&gt;&lt;wsp:rsid wsp:val=&quot;0014131F&quot;/&gt;&lt;wsp:rsid wsp:val=&quot;001420AB&quot;/&gt;&lt;wsp:rsid wsp:val=&quot;001420B8&quot;/&gt;&lt;wsp:rsid wsp:val=&quot;001428CC&quot;/&gt;&lt;wsp:rsid wsp:val=&quot;00142AC5&quot;/&gt;&lt;wsp:rsid wsp:val=&quot;00142E23&quot;/&gt;&lt;wsp:rsid wsp:val=&quot;00143B23&quot;/&gt;&lt;wsp:rsid wsp:val=&quot;001444D2&quot;/&gt;&lt;wsp:rsid wsp:val=&quot;0014466A&quot;/&gt;&lt;wsp:rsid wsp:val=&quot;00144FBB&quot;/&gt;&lt;wsp:rsid wsp:val=&quot;00145316&quot;/&gt;&lt;wsp:rsid wsp:val=&quot;00145633&quot;/&gt;&lt;wsp:rsid wsp:val=&quot;00145DFF&quot;/&gt;&lt;wsp:rsid wsp:val=&quot;00145E35&quot;/&gt;&lt;wsp:rsid wsp:val=&quot;0014641F&quot;/&gt;&lt;wsp:rsid wsp:val=&quot;00146DC1&quot;/&gt;&lt;wsp:rsid wsp:val=&quot;001470EC&quot;/&gt;&lt;wsp:rsid wsp:val=&quot;0014788C&quot;/&gt;&lt;wsp:rsid wsp:val=&quot;001478F2&quot;/&gt;&lt;wsp:rsid wsp:val=&quot;00147EE2&quot;/&gt;&lt;wsp:rsid wsp:val=&quot;00147F6A&quot;/&gt;&lt;wsp:rsid wsp:val=&quot;00150275&quot;/&gt;&lt;wsp:rsid wsp:val=&quot;0015077B&quot;/&gt;&lt;wsp:rsid wsp:val=&quot;001517C2&quot;/&gt;&lt;wsp:rsid wsp:val=&quot;0015180A&quot;/&gt;&lt;wsp:rsid wsp:val=&quot;001519EF&quot;/&gt;&lt;wsp:rsid wsp:val=&quot;00151FF5&quot;/&gt;&lt;wsp:rsid wsp:val=&quot;0015215A&quot;/&gt;&lt;wsp:rsid wsp:val=&quot;001523DF&quot;/&gt;&lt;wsp:rsid wsp:val=&quot;00152B94&quot;/&gt;&lt;wsp:rsid wsp:val=&quot;00152F03&quot;/&gt;&lt;wsp:rsid wsp:val=&quot;00152F47&quot;/&gt;&lt;wsp:rsid wsp:val=&quot;00153BB4&quot;/&gt;&lt;wsp:rsid wsp:val=&quot;00153C79&quot;/&gt;&lt;wsp:rsid wsp:val=&quot;00154095&quot;/&gt;&lt;wsp:rsid wsp:val=&quot;00155276&quot;/&gt;&lt;wsp:rsid wsp:val=&quot;001554AD&quot;/&gt;&lt;wsp:rsid wsp:val=&quot;001555DC&quot;/&gt;&lt;wsp:rsid wsp:val=&quot;001557DB&quot;/&gt;&lt;wsp:rsid wsp:val=&quot;00155B27&quot;/&gt;&lt;wsp:rsid wsp:val=&quot;00155D6E&quot;/&gt;&lt;wsp:rsid wsp:val=&quot;0015638E&quot;/&gt;&lt;wsp:rsid wsp:val=&quot;00156DA3&quot;/&gt;&lt;wsp:rsid wsp:val=&quot;00156EBD&quot;/&gt;&lt;wsp:rsid wsp:val=&quot;001572D2&quot;/&gt;&lt;wsp:rsid wsp:val=&quot;0015752E&quot;/&gt;&lt;wsp:rsid wsp:val=&quot;00160B9A&quot;/&gt;&lt;wsp:rsid wsp:val=&quot;00160EF9&quot;/&gt;&lt;wsp:rsid wsp:val=&quot;00161081&quot;/&gt;&lt;wsp:rsid wsp:val=&quot;00161266&quot;/&gt;&lt;wsp:rsid wsp:val=&quot;001613D9&quot;/&gt;&lt;wsp:rsid wsp:val=&quot;0016151A&quot;/&gt;&lt;wsp:rsid wsp:val=&quot;001619F2&quot;/&gt;&lt;wsp:rsid wsp:val=&quot;00161A19&quot;/&gt;&lt;wsp:rsid wsp:val=&quot;00161A8F&quot;/&gt;&lt;wsp:rsid wsp:val=&quot;00161A90&quot;/&gt;&lt;wsp:rsid wsp:val=&quot;00161FB8&quot;/&gt;&lt;wsp:rsid wsp:val=&quot;00162064&quot;/&gt;&lt;wsp:rsid wsp:val=&quot;00163235&quot;/&gt;&lt;wsp:rsid wsp:val=&quot;00163325&quot;/&gt;&lt;wsp:rsid wsp:val=&quot;00163ED9&quot;/&gt;&lt;wsp:rsid wsp:val=&quot;00164141&quot;/&gt;&lt;wsp:rsid wsp:val=&quot;001642AF&quot;/&gt;&lt;wsp:rsid wsp:val=&quot;00164885&quot;/&gt;&lt;wsp:rsid wsp:val=&quot;00165016&quot;/&gt;&lt;wsp:rsid wsp:val=&quot;001650CD&quot;/&gt;&lt;wsp:rsid wsp:val=&quot;00165397&quot;/&gt;&lt;wsp:rsid wsp:val=&quot;001654CE&quot;/&gt;&lt;wsp:rsid wsp:val=&quot;00165581&quot;/&gt;&lt;wsp:rsid wsp:val=&quot;00165EBF&quot;/&gt;&lt;wsp:rsid wsp:val=&quot;00165F81&quot;/&gt;&lt;wsp:rsid wsp:val=&quot;00166374&quot;/&gt;&lt;wsp:rsid wsp:val=&quot;00166F00&quot;/&gt;&lt;wsp:rsid wsp:val=&quot;001678B3&quot;/&gt;&lt;wsp:rsid wsp:val=&quot;00167D65&quot;/&gt;&lt;wsp:rsid wsp:val=&quot;001700D0&quot;/&gt;&lt;wsp:rsid wsp:val=&quot;001708B9&quot;/&gt;&lt;wsp:rsid wsp:val=&quot;0017099E&quot;/&gt;&lt;wsp:rsid wsp:val=&quot;00170D02&quot;/&gt;&lt;wsp:rsid wsp:val=&quot;00172045&quot;/&gt;&lt;wsp:rsid wsp:val=&quot;0017209E&quot;/&gt;&lt;wsp:rsid wsp:val=&quot;00172DC8&quot;/&gt;&lt;wsp:rsid wsp:val=&quot;00173E3D&quot;/&gt;&lt;wsp:rsid wsp:val=&quot;00173E8F&quot;/&gt;&lt;wsp:rsid wsp:val=&quot;001741D6&quot;/&gt;&lt;wsp:rsid wsp:val=&quot;0017420E&quot;/&gt;&lt;wsp:rsid wsp:val=&quot;0017442B&quot;/&gt;&lt;wsp:rsid wsp:val=&quot;00174C68&quot;/&gt;&lt;wsp:rsid wsp:val=&quot;00174DB9&quot;/&gt;&lt;wsp:rsid wsp:val=&quot;001754BB&quot;/&gt;&lt;wsp:rsid wsp:val=&quot;00175917&quot;/&gt;&lt;wsp:rsid wsp:val=&quot;00175CE5&quot;/&gt;&lt;wsp:rsid wsp:val=&quot;00176593&quot;/&gt;&lt;wsp:rsid wsp:val=&quot;00176D19&quot;/&gt;&lt;wsp:rsid wsp:val=&quot;0017779C&quot;/&gt;&lt;wsp:rsid wsp:val=&quot;00177AAE&quot;/&gt;&lt;wsp:rsid wsp:val=&quot;00177BE0&quot;/&gt;&lt;wsp:rsid wsp:val=&quot;00177EE7&quot;/&gt;&lt;wsp:rsid wsp:val=&quot;00177F06&quot;/&gt;&lt;wsp:rsid wsp:val=&quot;00180278&quot;/&gt;&lt;wsp:rsid wsp:val=&quot;00180B93&quot;/&gt;&lt;wsp:rsid wsp:val=&quot;0018107E&quot;/&gt;&lt;wsp:rsid wsp:val=&quot;001812E7&quot;/&gt;&lt;wsp:rsid wsp:val=&quot;001814EB&quot;/&gt;&lt;wsp:rsid wsp:val=&quot;001828D0&quot;/&gt;&lt;wsp:rsid wsp:val=&quot;00182990&quot;/&gt;&lt;wsp:rsid wsp:val=&quot;00182F4A&quot;/&gt;&lt;wsp:rsid wsp:val=&quot;0018316A&quot;/&gt;&lt;wsp:rsid wsp:val=&quot;001832A3&quot;/&gt;&lt;wsp:rsid wsp:val=&quot;00183651&quot;/&gt;&lt;wsp:rsid wsp:val=&quot;00183FD1&quot;/&gt;&lt;wsp:rsid wsp:val=&quot;001841B4&quot;/&gt;&lt;wsp:rsid wsp:val=&quot;001859F3&quot;/&gt;&lt;wsp:rsid wsp:val=&quot;00185BAB&quot;/&gt;&lt;wsp:rsid wsp:val=&quot;001860DE&quot;/&gt;&lt;wsp:rsid wsp:val=&quot;001860E7&quot;/&gt;&lt;wsp:rsid wsp:val=&quot;00186DFB&quot;/&gt;&lt;wsp:rsid wsp:val=&quot;001871A4&quot;/&gt;&lt;wsp:rsid wsp:val=&quot;00187BE3&quot;/&gt;&lt;wsp:rsid wsp:val=&quot;00190459&quot;/&gt;&lt;wsp:rsid wsp:val=&quot;0019068E&quot;/&gt;&lt;wsp:rsid wsp:val=&quot;00190BF9&quot;/&gt;&lt;wsp:rsid wsp:val=&quot;0019118D&quot;/&gt;&lt;wsp:rsid wsp:val=&quot;001913DC&quot;/&gt;&lt;wsp:rsid wsp:val=&quot;00191BA2&quot;/&gt;&lt;wsp:rsid wsp:val=&quot;00192216&quot;/&gt;&lt;wsp:rsid wsp:val=&quot;00192413&quot;/&gt;&lt;wsp:rsid wsp:val=&quot;00192F23&quot;/&gt;&lt;wsp:rsid wsp:val=&quot;00192F25&quot;/&gt;&lt;wsp:rsid wsp:val=&quot;00193163&quot;/&gt;&lt;wsp:rsid wsp:val=&quot;00193A03&quot;/&gt;&lt;wsp:rsid wsp:val=&quot;00193EA6&quot;/&gt;&lt;wsp:rsid wsp:val=&quot;0019440C&quot;/&gt;&lt;wsp:rsid wsp:val=&quot;00194428&quot;/&gt;&lt;wsp:rsid wsp:val=&quot;0019479F&quot;/&gt;&lt;wsp:rsid wsp:val=&quot;00194B3B&quot;/&gt;&lt;wsp:rsid wsp:val=&quot;0019521E&quot;/&gt;&lt;wsp:rsid wsp:val=&quot;00195362&quot;/&gt;&lt;wsp:rsid wsp:val=&quot;001955CA&quot;/&gt;&lt;wsp:rsid wsp:val=&quot;00195866&quot;/&gt;&lt;wsp:rsid wsp:val=&quot;00195E8E&quot;/&gt;&lt;wsp:rsid wsp:val=&quot;0019613A&quot;/&gt;&lt;wsp:rsid wsp:val=&quot;0019622D&quot;/&gt;&lt;wsp:rsid wsp:val=&quot;00196C46&quot;/&gt;&lt;wsp:rsid wsp:val=&quot;00196FFE&quot;/&gt;&lt;wsp:rsid wsp:val=&quot;0019719C&quot;/&gt;&lt;wsp:rsid wsp:val=&quot;0019731C&quot;/&gt;&lt;wsp:rsid wsp:val=&quot;00197334&quot;/&gt;&lt;wsp:rsid wsp:val=&quot;00197C0E&quot;/&gt;&lt;wsp:rsid wsp:val=&quot;001A02A7&quot;/&gt;&lt;wsp:rsid wsp:val=&quot;001A040F&quot;/&gt;&lt;wsp:rsid wsp:val=&quot;001A05EC&quot;/&gt;&lt;wsp:rsid wsp:val=&quot;001A1261&quot;/&gt;&lt;wsp:rsid wsp:val=&quot;001A1DD3&quot;/&gt;&lt;wsp:rsid wsp:val=&quot;001A26A9&quot;/&gt;&lt;wsp:rsid wsp:val=&quot;001A3997&quot;/&gt;&lt;wsp:rsid wsp:val=&quot;001A3B2C&quot;/&gt;&lt;wsp:rsid wsp:val=&quot;001A4034&quot;/&gt;&lt;wsp:rsid wsp:val=&quot;001A443C&quot;/&gt;&lt;wsp:rsid wsp:val=&quot;001A4BEE&quot;/&gt;&lt;wsp:rsid wsp:val=&quot;001A54C7&quot;/&gt;&lt;wsp:rsid wsp:val=&quot;001A5F6C&quot;/&gt;&lt;wsp:rsid wsp:val=&quot;001A64AD&quot;/&gt;&lt;wsp:rsid wsp:val=&quot;001A68D7&quot;/&gt;&lt;wsp:rsid wsp:val=&quot;001A6E4C&quot;/&gt;&lt;wsp:rsid wsp:val=&quot;001A6FF5&quot;/&gt;&lt;wsp:rsid wsp:val=&quot;001A78BE&quot;/&gt;&lt;wsp:rsid wsp:val=&quot;001A78C4&quot;/&gt;&lt;wsp:rsid wsp:val=&quot;001A790A&quot;/&gt;&lt;wsp:rsid wsp:val=&quot;001A7F5B&quot;/&gt;&lt;wsp:rsid wsp:val=&quot;001B052B&quot;/&gt;&lt;wsp:rsid wsp:val=&quot;001B0909&quot;/&gt;&lt;wsp:rsid wsp:val=&quot;001B1211&quot;/&gt;&lt;wsp:rsid wsp:val=&quot;001B1270&quot;/&gt;&lt;wsp:rsid wsp:val=&quot;001B1EC0&quot;/&gt;&lt;wsp:rsid wsp:val=&quot;001B2290&quot;/&gt;&lt;wsp:rsid wsp:val=&quot;001B27B0&quot;/&gt;&lt;wsp:rsid wsp:val=&quot;001B28D1&quot;/&gt;&lt;wsp:rsid wsp:val=&quot;001B3242&quot;/&gt;&lt;wsp:rsid wsp:val=&quot;001B37D4&quot;/&gt;&lt;wsp:rsid wsp:val=&quot;001B46D0&quot;/&gt;&lt;wsp:rsid wsp:val=&quot;001B4909&quot;/&gt;&lt;wsp:rsid wsp:val=&quot;001B5072&quot;/&gt;&lt;wsp:rsid wsp:val=&quot;001B549A&quot;/&gt;&lt;wsp:rsid wsp:val=&quot;001B5D25&quot;/&gt;&lt;wsp:rsid wsp:val=&quot;001B5F7C&quot;/&gt;&lt;wsp:rsid wsp:val=&quot;001B5F93&quot;/&gt;&lt;wsp:rsid wsp:val=&quot;001B6E22&quot;/&gt;&lt;wsp:rsid wsp:val=&quot;001B71BE&quot;/&gt;&lt;wsp:rsid wsp:val=&quot;001B7310&quot;/&gt;&lt;wsp:rsid wsp:val=&quot;001B78E9&quot;/&gt;&lt;wsp:rsid wsp:val=&quot;001B7DEE&quot;/&gt;&lt;wsp:rsid wsp:val=&quot;001B7FCF&quot;/&gt;&lt;wsp:rsid wsp:val=&quot;001C0540&quot;/&gt;&lt;wsp:rsid wsp:val=&quot;001C0739&quot;/&gt;&lt;wsp:rsid wsp:val=&quot;001C0985&quot;/&gt;&lt;wsp:rsid wsp:val=&quot;001C0A70&quot;/&gt;&lt;wsp:rsid wsp:val=&quot;001C0D50&quot;/&gt;&lt;wsp:rsid wsp:val=&quot;001C19FA&quot;/&gt;&lt;wsp:rsid wsp:val=&quot;001C1A49&quot;/&gt;&lt;wsp:rsid wsp:val=&quot;001C1D4E&quot;/&gt;&lt;wsp:rsid wsp:val=&quot;001C2355&quot;/&gt;&lt;wsp:rsid wsp:val=&quot;001C2781&quot;/&gt;&lt;wsp:rsid wsp:val=&quot;001C2D97&quot;/&gt;&lt;wsp:rsid wsp:val=&quot;001C2F84&quot;/&gt;&lt;wsp:rsid wsp:val=&quot;001C345A&quot;/&gt;&lt;wsp:rsid wsp:val=&quot;001C376E&quot;/&gt;&lt;wsp:rsid wsp:val=&quot;001C3C03&quot;/&gt;&lt;wsp:rsid wsp:val=&quot;001C3D43&quot;/&gt;&lt;wsp:rsid wsp:val=&quot;001C43E7&quot;/&gt;&lt;wsp:rsid wsp:val=&quot;001C4745&quot;/&gt;&lt;wsp:rsid wsp:val=&quot;001C48FB&quot;/&gt;&lt;wsp:rsid wsp:val=&quot;001C49AE&quot;/&gt;&lt;wsp:rsid wsp:val=&quot;001C5049&quot;/&gt;&lt;wsp:rsid wsp:val=&quot;001C50B1&quot;/&gt;&lt;wsp:rsid wsp:val=&quot;001C5F03&quot;/&gt;&lt;wsp:rsid wsp:val=&quot;001C5FE9&quot;/&gt;&lt;wsp:rsid wsp:val=&quot;001C63FE&quot;/&gt;&lt;wsp:rsid wsp:val=&quot;001C66CD&quot;/&gt;&lt;wsp:rsid wsp:val=&quot;001C6A96&quot;/&gt;&lt;wsp:rsid wsp:val=&quot;001C77A1&quot;/&gt;&lt;wsp:rsid wsp:val=&quot;001C7F81&quot;/&gt;&lt;wsp:rsid wsp:val=&quot;001D0B01&quot;/&gt;&lt;wsp:rsid wsp:val=&quot;001D10DA&quot;/&gt;&lt;wsp:rsid wsp:val=&quot;001D1737&quot;/&gt;&lt;wsp:rsid wsp:val=&quot;001D1CCD&quot;/&gt;&lt;wsp:rsid wsp:val=&quot;001D1FBD&quot;/&gt;&lt;wsp:rsid wsp:val=&quot;001D2028&quot;/&gt;&lt;wsp:rsid wsp:val=&quot;001D2652&quot;/&gt;&lt;wsp:rsid wsp:val=&quot;001D2BD8&quot;/&gt;&lt;wsp:rsid wsp:val=&quot;001D3181&quot;/&gt;&lt;wsp:rsid wsp:val=&quot;001D36A8&quot;/&gt;&lt;wsp:rsid wsp:val=&quot;001D36BA&quot;/&gt;&lt;wsp:rsid wsp:val=&quot;001D37A6&quot;/&gt;&lt;wsp:rsid wsp:val=&quot;001D404E&quot;/&gt;&lt;wsp:rsid wsp:val=&quot;001D4BDD&quot;/&gt;&lt;wsp:rsid wsp:val=&quot;001D4FB3&quot;/&gt;&lt;wsp:rsid wsp:val=&quot;001D6332&quot;/&gt;&lt;wsp:rsid wsp:val=&quot;001D78C8&quot;/&gt;&lt;wsp:rsid wsp:val=&quot;001D792C&quot;/&gt;&lt;wsp:rsid wsp:val=&quot;001D7A4C&quot;/&gt;&lt;wsp:rsid wsp:val=&quot;001D7A61&quot;/&gt;&lt;wsp:rsid wsp:val=&quot;001D7E0B&quot;/&gt;&lt;wsp:rsid wsp:val=&quot;001D7F98&quot;/&gt;&lt;wsp:rsid wsp:val=&quot;001E01E7&quot;/&gt;&lt;wsp:rsid wsp:val=&quot;001E05AA&quot;/&gt;&lt;wsp:rsid wsp:val=&quot;001E0AF2&quot;/&gt;&lt;wsp:rsid wsp:val=&quot;001E10F5&quot;/&gt;&lt;wsp:rsid wsp:val=&quot;001E113C&quot;/&gt;&lt;wsp:rsid wsp:val=&quot;001E156A&quot;/&gt;&lt;wsp:rsid wsp:val=&quot;001E1605&quot;/&gt;&lt;wsp:rsid wsp:val=&quot;001E2C32&quot;/&gt;&lt;wsp:rsid wsp:val=&quot;001E3385&quot;/&gt;&lt;wsp:rsid wsp:val=&quot;001E3583&quot;/&gt;&lt;wsp:rsid wsp:val=&quot;001E42B7&quot;/&gt;&lt;wsp:rsid wsp:val=&quot;001E4752&quot;/&gt;&lt;wsp:rsid wsp:val=&quot;001E483C&quot;/&gt;&lt;wsp:rsid wsp:val=&quot;001E4861&quot;/&gt;&lt;wsp:rsid wsp:val=&quot;001E4983&quot;/&gt;&lt;wsp:rsid wsp:val=&quot;001E4B90&quot;/&gt;&lt;wsp:rsid wsp:val=&quot;001E50E3&quot;/&gt;&lt;wsp:rsid wsp:val=&quot;001E523B&quot;/&gt;&lt;wsp:rsid wsp:val=&quot;001E54FA&quot;/&gt;&lt;wsp:rsid wsp:val=&quot;001E5BC7&quot;/&gt;&lt;wsp:rsid wsp:val=&quot;001E664D&quot;/&gt;&lt;wsp:rsid wsp:val=&quot;001E73A7&quot;/&gt;&lt;wsp:rsid wsp:val=&quot;001E74C8&quot;/&gt;&lt;wsp:rsid wsp:val=&quot;001E7E38&quot;/&gt;&lt;wsp:rsid wsp:val=&quot;001F0080&quot;/&gt;&lt;wsp:rsid wsp:val=&quot;001F076E&quot;/&gt;&lt;wsp:rsid wsp:val=&quot;001F19F5&quot;/&gt;&lt;wsp:rsid wsp:val=&quot;001F1DA9&quot;/&gt;&lt;wsp:rsid wsp:val=&quot;001F2588&quot;/&gt;&lt;wsp:rsid wsp:val=&quot;001F31CA&quot;/&gt;&lt;wsp:rsid wsp:val=&quot;001F382C&quot;/&gt;&lt;wsp:rsid wsp:val=&quot;001F38B9&quot;/&gt;&lt;wsp:rsid wsp:val=&quot;001F3AF4&quot;/&gt;&lt;wsp:rsid wsp:val=&quot;001F3B6B&quot;/&gt;&lt;wsp:rsid wsp:val=&quot;001F3F65&quot;/&gt;&lt;wsp:rsid wsp:val=&quot;001F4E7C&quot;/&gt;&lt;wsp:rsid wsp:val=&quot;001F51FB&quot;/&gt;&lt;wsp:rsid wsp:val=&quot;001F5B86&quot;/&gt;&lt;wsp:rsid wsp:val=&quot;001F6C73&quot;/&gt;&lt;wsp:rsid wsp:val=&quot;001F740C&quot;/&gt;&lt;wsp:rsid wsp:val=&quot;001F7BE7&quot;/&gt;&lt;wsp:rsid wsp:val=&quot;002000B6&quot;/&gt;&lt;wsp:rsid wsp:val=&quot;00200526&quot;/&gt;&lt;wsp:rsid wsp:val=&quot;002006AD&quot;/&gt;&lt;wsp:rsid wsp:val=&quot;002013BF&quot;/&gt;&lt;wsp:rsid wsp:val=&quot;002015F9&quot;/&gt;&lt;wsp:rsid wsp:val=&quot;0020218C&quot;/&gt;&lt;wsp:rsid wsp:val=&quot;00202AB5&quot;/&gt;&lt;wsp:rsid wsp:val=&quot;002039D4&quot;/&gt;&lt;wsp:rsid wsp:val=&quot;00203CC6&quot;/&gt;&lt;wsp:rsid wsp:val=&quot;0020466E&quot;/&gt;&lt;wsp:rsid wsp:val=&quot;0020491B&quot;/&gt;&lt;wsp:rsid wsp:val=&quot;00204C9C&quot;/&gt;&lt;wsp:rsid wsp:val=&quot;00204E02&quot;/&gt;&lt;wsp:rsid wsp:val=&quot;00205158&quot;/&gt;&lt;wsp:rsid wsp:val=&quot;00205639&quot;/&gt;&lt;wsp:rsid wsp:val=&quot;00205910&quot;/&gt;&lt;wsp:rsid wsp:val=&quot;00205B6C&quot;/&gt;&lt;wsp:rsid wsp:val=&quot;00205BC4&quot;/&gt;&lt;wsp:rsid wsp:val=&quot;00205D7B&quot;/&gt;&lt;wsp:rsid wsp:val=&quot;00205D82&quot;/&gt;&lt;wsp:rsid wsp:val=&quot;002062DE&quot;/&gt;&lt;wsp:rsid wsp:val=&quot;00206487&quot;/&gt;&lt;wsp:rsid wsp:val=&quot;00206866&quot;/&gt;&lt;wsp:rsid wsp:val=&quot;00206BA0&quot;/&gt;&lt;wsp:rsid wsp:val=&quot;00207A48&quot;/&gt;&lt;wsp:rsid wsp:val=&quot;00210679&quot;/&gt;&lt;wsp:rsid wsp:val=&quot;00210851&quot;/&gt;&lt;wsp:rsid wsp:val=&quot;0021127A&quot;/&gt;&lt;wsp:rsid wsp:val=&quot;0021239D&quot;/&gt;&lt;wsp:rsid wsp:val=&quot;00212513&quot;/&gt;&lt;wsp:rsid wsp:val=&quot;00212659&quot;/&gt;&lt;wsp:rsid wsp:val=&quot;0021275D&quot;/&gt;&lt;wsp:rsid wsp:val=&quot;002128EC&quot;/&gt;&lt;wsp:rsid wsp:val=&quot;0021311B&quot;/&gt;&lt;wsp:rsid wsp:val=&quot;00213745&quot;/&gt;&lt;wsp:rsid wsp:val=&quot;00214702&quot;/&gt;&lt;wsp:rsid wsp:val=&quot;00214AB4&quot;/&gt;&lt;wsp:rsid wsp:val=&quot;002150CC&quot;/&gt;&lt;wsp:rsid wsp:val=&quot;00215361&quot;/&gt;&lt;wsp:rsid wsp:val=&quot;0021553B&quot;/&gt;&lt;wsp:rsid wsp:val=&quot;0021595F&quot;/&gt;&lt;wsp:rsid wsp:val=&quot;0021635E&quot;/&gt;&lt;wsp:rsid wsp:val=&quot;00216563&quot;/&gt;&lt;wsp:rsid wsp:val=&quot;00216C94&quot;/&gt;&lt;wsp:rsid wsp:val=&quot;00216F38&quot;/&gt;&lt;wsp:rsid wsp:val=&quot;00217273&quot;/&gt;&lt;wsp:rsid wsp:val=&quot;00217BF8&quot;/&gt;&lt;wsp:rsid wsp:val=&quot;00217C29&quot;/&gt;&lt;wsp:rsid wsp:val=&quot;00221154&quot;/&gt;&lt;wsp:rsid wsp:val=&quot;00221AFB&quot;/&gt;&lt;wsp:rsid wsp:val=&quot;00221D17&quot;/&gt;&lt;wsp:rsid wsp:val=&quot;00222395&quot;/&gt;&lt;wsp:rsid wsp:val=&quot;002228F0&quot;/&gt;&lt;wsp:rsid wsp:val=&quot;00222950&quot;/&gt;&lt;wsp:rsid wsp:val=&quot;00222C50&quot;/&gt;&lt;wsp:rsid wsp:val=&quot;00222C6E&quot;/&gt;&lt;wsp:rsid wsp:val=&quot;00222FCB&quot;/&gt;&lt;wsp:rsid wsp:val=&quot;00223028&quot;/&gt;&lt;wsp:rsid wsp:val=&quot;00223E06&quot;/&gt;&lt;wsp:rsid wsp:val=&quot;00223EAF&quot;/&gt;&lt;wsp:rsid wsp:val=&quot;00224119&quot;/&gt;&lt;wsp:rsid wsp:val=&quot;00224493&quot;/&gt;&lt;wsp:rsid wsp:val=&quot;002247B1&quot;/&gt;&lt;wsp:rsid wsp:val=&quot;00225162&quot;/&gt;&lt;wsp:rsid wsp:val=&quot;002257A3&quot;/&gt;&lt;wsp:rsid wsp:val=&quot;002267FD&quot;/&gt;&lt;wsp:rsid wsp:val=&quot;00226D86&quot;/&gt;&lt;wsp:rsid wsp:val=&quot;00227EE9&quot;/&gt;&lt;wsp:rsid wsp:val=&quot;00230340&quot;/&gt;&lt;wsp:rsid wsp:val=&quot;002309EE&quot;/&gt;&lt;wsp:rsid wsp:val=&quot;00230BCF&quot;/&gt;&lt;wsp:rsid wsp:val=&quot;00230FD2&quot;/&gt;&lt;wsp:rsid wsp:val=&quot;00231351&quot;/&gt;&lt;wsp:rsid wsp:val=&quot;00231630&quot;/&gt;&lt;wsp:rsid wsp:val=&quot;002339DB&quot;/&gt;&lt;wsp:rsid wsp:val=&quot;00233BA5&quot;/&gt;&lt;wsp:rsid wsp:val=&quot;00233D21&quot;/&gt;&lt;wsp:rsid wsp:val=&quot;002341D5&quot;/&gt;&lt;wsp:rsid wsp:val=&quot;00234C44&quot;/&gt;&lt;wsp:rsid wsp:val=&quot;00234DFB&quot;/&gt;&lt;wsp:rsid wsp:val=&quot;002353DC&quot;/&gt;&lt;wsp:rsid wsp:val=&quot;00235782&quot;/&gt;&lt;wsp:rsid wsp:val=&quot;00235866&quot;/&gt;&lt;wsp:rsid wsp:val=&quot;00235AB4&quot;/&gt;&lt;wsp:rsid wsp:val=&quot;00235F2A&quot;/&gt;&lt;wsp:rsid wsp:val=&quot;00236228&quot;/&gt;&lt;wsp:rsid wsp:val=&quot;00236A1D&quot;/&gt;&lt;wsp:rsid wsp:val=&quot;00237449&quot;/&gt;&lt;wsp:rsid wsp:val=&quot;002377CE&quot;/&gt;&lt;wsp:rsid wsp:val=&quot;002379D2&quot;/&gt;&lt;wsp:rsid wsp:val=&quot;0024042A&quot;/&gt;&lt;wsp:rsid wsp:val=&quot;00240DE0&quot;/&gt;&lt;wsp:rsid wsp:val=&quot;00242432&quot;/&gt;&lt;wsp:rsid wsp:val=&quot;00243004&quot;/&gt;&lt;wsp:rsid wsp:val=&quot;0024302F&quot;/&gt;&lt;wsp:rsid wsp:val=&quot;00243292&quot;/&gt;&lt;wsp:rsid wsp:val=&quot;002433DB&quot;/&gt;&lt;wsp:rsid wsp:val=&quot;00243720&quot;/&gt;&lt;wsp:rsid wsp:val=&quot;00243CDD&quot;/&gt;&lt;wsp:rsid wsp:val=&quot;00243D4F&quot;/&gt;&lt;wsp:rsid wsp:val=&quot;00243FCD&quot;/&gt;&lt;wsp:rsid wsp:val=&quot;002446E6&quot;/&gt;&lt;wsp:rsid wsp:val=&quot;002449E0&quot;/&gt;&lt;wsp:rsid wsp:val=&quot;00244C0C&quot;/&gt;&lt;wsp:rsid wsp:val=&quot;002456AF&quot;/&gt;&lt;wsp:rsid wsp:val=&quot;00245E86&quot;/&gt;&lt;wsp:rsid wsp:val=&quot;002462E6&quot;/&gt;&lt;wsp:rsid wsp:val=&quot;00246627&quot;/&gt;&lt;wsp:rsid wsp:val=&quot;00246C89&quot;/&gt;&lt;wsp:rsid wsp:val=&quot;00250E7A&quot;/&gt;&lt;wsp:rsid wsp:val=&quot;0025166D&quot;/&gt;&lt;wsp:rsid wsp:val=&quot;002517E7&quot;/&gt;&lt;wsp:rsid wsp:val=&quot;0025302B&quot;/&gt;&lt;wsp:rsid wsp:val=&quot;0025388A&quot;/&gt;&lt;wsp:rsid wsp:val=&quot;00253AEC&quot;/&gt;&lt;wsp:rsid wsp:val=&quot;00253C12&quot;/&gt;&lt;wsp:rsid wsp:val=&quot;00253D4F&quot;/&gt;&lt;wsp:rsid wsp:val=&quot;002544FE&quot;/&gt;&lt;wsp:rsid wsp:val=&quot;00254661&quot;/&gt;&lt;wsp:rsid wsp:val=&quot;0025485D&quot;/&gt;&lt;wsp:rsid wsp:val=&quot;00254C9A&quot;/&gt;&lt;wsp:rsid wsp:val=&quot;002572CD&quot;/&gt;&lt;wsp:rsid wsp:val=&quot;002575F1&quot;/&gt;&lt;wsp:rsid wsp:val=&quot;00257E2E&quot;/&gt;&lt;wsp:rsid wsp:val=&quot;00260AFC&quot;/&gt;&lt;wsp:rsid wsp:val=&quot;00260F41&quot;/&gt;&lt;wsp:rsid wsp:val=&quot;002613A9&quot;/&gt;&lt;wsp:rsid wsp:val=&quot;002619BE&quot;/&gt;&lt;wsp:rsid wsp:val=&quot;00261E78&quot;/&gt;&lt;wsp:rsid wsp:val=&quot;00261E93&quot;/&gt;&lt;wsp:rsid wsp:val=&quot;0026212F&quot;/&gt;&lt;wsp:rsid wsp:val=&quot;0026345B&quot;/&gt;&lt;wsp:rsid wsp:val=&quot;0026348E&quot;/&gt;&lt;wsp:rsid wsp:val=&quot;00263A11&quot;/&gt;&lt;wsp:rsid wsp:val=&quot;00263CF2&quot;/&gt;&lt;wsp:rsid wsp:val=&quot;00263D24&quot;/&gt;&lt;wsp:rsid wsp:val=&quot;00264032&quot;/&gt;&lt;wsp:rsid wsp:val=&quot;002644CA&quot;/&gt;&lt;wsp:rsid wsp:val=&quot;0026473B&quot;/&gt;&lt;wsp:rsid wsp:val=&quot;00264EC5&quot;/&gt;&lt;wsp:rsid wsp:val=&quot;002658CC&quot;/&gt;&lt;wsp:rsid wsp:val=&quot;00265A1D&quot;/&gt;&lt;wsp:rsid wsp:val=&quot;00265BC4&quot;/&gt;&lt;wsp:rsid wsp:val=&quot;002660BC&quot;/&gt;&lt;wsp:rsid wsp:val=&quot;00266192&quot;/&gt;&lt;wsp:rsid wsp:val=&quot;002662C8&quot;/&gt;&lt;wsp:rsid wsp:val=&quot;002665FC&quot;/&gt;&lt;wsp:rsid wsp:val=&quot;002669E3&quot;/&gt;&lt;wsp:rsid wsp:val=&quot;002669EA&quot;/&gt;&lt;wsp:rsid wsp:val=&quot;00266B49&quot;/&gt;&lt;wsp:rsid wsp:val=&quot;0026753C&quot;/&gt;&lt;wsp:rsid wsp:val=&quot;00267744&quot;/&gt;&lt;wsp:rsid wsp:val=&quot;00267E2B&quot;/&gt;&lt;wsp:rsid wsp:val=&quot;00270D5B&quot;/&gt;&lt;wsp:rsid wsp:val=&quot;00270F6B&quot;/&gt;&lt;wsp:rsid wsp:val=&quot;0027139C&quot;/&gt;&lt;wsp:rsid wsp:val=&quot;00271CBA&quot;/&gt;&lt;wsp:rsid wsp:val=&quot;002723C7&quot;/&gt;&lt;wsp:rsid wsp:val=&quot;002723C8&quot;/&gt;&lt;wsp:rsid wsp:val=&quot;002725F4&quot;/&gt;&lt;wsp:rsid wsp:val=&quot;00272DF2&quot;/&gt;&lt;wsp:rsid wsp:val=&quot;00273542&quot;/&gt;&lt;wsp:rsid wsp:val=&quot;00273559&quot;/&gt;&lt;wsp:rsid wsp:val=&quot;002738EB&quot;/&gt;&lt;wsp:rsid wsp:val=&quot;00273E72&quot;/&gt;&lt;wsp:rsid wsp:val=&quot;00274817&quot;/&gt;&lt;wsp:rsid wsp:val=&quot;002748BD&quot;/&gt;&lt;wsp:rsid wsp:val=&quot;00275111&quot;/&gt;&lt;wsp:rsid wsp:val=&quot;002753BD&quot;/&gt;&lt;wsp:rsid wsp:val=&quot;002765D3&quot;/&gt;&lt;wsp:rsid wsp:val=&quot;0027667E&quot;/&gt;&lt;wsp:rsid wsp:val=&quot;002769A3&quot;/&gt;&lt;wsp:rsid wsp:val=&quot;00276C8A&quot;/&gt;&lt;wsp:rsid wsp:val=&quot;00276D44&quot;/&gt;&lt;wsp:rsid wsp:val=&quot;00277816&quot;/&gt;&lt;wsp:rsid wsp:val=&quot;0028050E&quot;/&gt;&lt;wsp:rsid wsp:val=&quot;002805AC&quot;/&gt;&lt;wsp:rsid wsp:val=&quot;00280D14&quot;/&gt;&lt;wsp:rsid wsp:val=&quot;00281208&quot;/&gt;&lt;wsp:rsid wsp:val=&quot;002816E1&quot;/&gt;&lt;wsp:rsid wsp:val=&quot;00281B4E&quot;/&gt;&lt;wsp:rsid wsp:val=&quot;00281DCB&quot;/&gt;&lt;wsp:rsid wsp:val=&quot;00282366&quot;/&gt;&lt;wsp:rsid wsp:val=&quot;002836BD&quot;/&gt;&lt;wsp:rsid wsp:val=&quot;00283939&quot;/&gt;&lt;wsp:rsid wsp:val=&quot;00284250&quot;/&gt;&lt;wsp:rsid wsp:val=&quot;002843E1&quot;/&gt;&lt;wsp:rsid wsp:val=&quot;00284D5B&quot;/&gt;&lt;wsp:rsid wsp:val=&quot;00284F7B&quot;/&gt;&lt;wsp:rsid wsp:val=&quot;00285078&quot;/&gt;&lt;wsp:rsid wsp:val=&quot;002851F6&quot;/&gt;&lt;wsp:rsid wsp:val=&quot;00285323&quot;/&gt;&lt;wsp:rsid wsp:val=&quot;002854F3&quot;/&gt;&lt;wsp:rsid wsp:val=&quot;002857D1&quot;/&gt;&lt;wsp:rsid wsp:val=&quot;00285D12&quot;/&gt;&lt;wsp:rsid wsp:val=&quot;002864D5&quot;/&gt;&lt;wsp:rsid wsp:val=&quot;00286967&quot;/&gt;&lt;wsp:rsid wsp:val=&quot;00287612&quot;/&gt;&lt;wsp:rsid wsp:val=&quot;002878C7&quot;/&gt;&lt;wsp:rsid wsp:val=&quot;00287CAD&quot;/&gt;&lt;wsp:rsid wsp:val=&quot;0029021D&quot;/&gt;&lt;wsp:rsid wsp:val=&quot;00290391&quot;/&gt;&lt;wsp:rsid wsp:val=&quot;00290470&quot;/&gt;&lt;wsp:rsid wsp:val=&quot;00290BDC&quot;/&gt;&lt;wsp:rsid wsp:val=&quot;0029181F&quot;/&gt;&lt;wsp:rsid wsp:val=&quot;002918E2&quot;/&gt;&lt;wsp:rsid wsp:val=&quot;00291955&quot;/&gt;&lt;wsp:rsid wsp:val=&quot;00292212&quot;/&gt;&lt;wsp:rsid wsp:val=&quot;002929CC&quot;/&gt;&lt;wsp:rsid wsp:val=&quot;00292CDB&quot;/&gt;&lt;wsp:rsid wsp:val=&quot;00293DD5&quot;/&gt;&lt;wsp:rsid wsp:val=&quot;00293EEF&quot;/&gt;&lt;wsp:rsid wsp:val=&quot;00293F84&quot;/&gt;&lt;wsp:rsid wsp:val=&quot;00293FD5&quot;/&gt;&lt;wsp:rsid wsp:val=&quot;0029445A&quot;/&gt;&lt;wsp:rsid wsp:val=&quot;0029460E&quot;/&gt;&lt;wsp:rsid wsp:val=&quot;0029478B&quot;/&gt;&lt;wsp:rsid wsp:val=&quot;0029543F&quot;/&gt;&lt;wsp:rsid wsp:val=&quot;002959BC&quot;/&gt;&lt;wsp:rsid wsp:val=&quot;00295ABF&quot;/&gt;&lt;wsp:rsid wsp:val=&quot;00295D19&quot;/&gt;&lt;wsp:rsid wsp:val=&quot;00296A75&quot;/&gt;&lt;wsp:rsid wsp:val=&quot;00296A82&quot;/&gt;&lt;wsp:rsid wsp:val=&quot;00296F8E&quot;/&gt;&lt;wsp:rsid wsp:val=&quot;00297267&quot;/&gt;&lt;wsp:rsid wsp:val=&quot;002978D9&quot;/&gt;&lt;wsp:rsid wsp:val=&quot;00297CE4&quot;/&gt;&lt;wsp:rsid wsp:val=&quot;00297F94&quot;/&gt;&lt;wsp:rsid wsp:val=&quot;002A05DB&quot;/&gt;&lt;wsp:rsid wsp:val=&quot;002A0838&quot;/&gt;&lt;wsp:rsid wsp:val=&quot;002A0A67&quot;/&gt;&lt;wsp:rsid wsp:val=&quot;002A0DC1&quot;/&gt;&lt;wsp:rsid wsp:val=&quot;002A15D1&quot;/&gt;&lt;wsp:rsid wsp:val=&quot;002A1F25&quot;/&gt;&lt;wsp:rsid wsp:val=&quot;002A2407&quot;/&gt;&lt;wsp:rsid wsp:val=&quot;002A279A&quot;/&gt;&lt;wsp:rsid wsp:val=&quot;002A37A1&quot;/&gt;&lt;wsp:rsid wsp:val=&quot;002A3F0F&quot;/&gt;&lt;wsp:rsid wsp:val=&quot;002A48DD&quot;/&gt;&lt;wsp:rsid wsp:val=&quot;002A514E&quot;/&gt;&lt;wsp:rsid wsp:val=&quot;002A65CE&quot;/&gt;&lt;wsp:rsid wsp:val=&quot;002A6BE7&quot;/&gt;&lt;wsp:rsid wsp:val=&quot;002A7D1F&quot;/&gt;&lt;wsp:rsid wsp:val=&quot;002A7F68&quot;/&gt;&lt;wsp:rsid wsp:val=&quot;002B0A8F&quot;/&gt;&lt;wsp:rsid wsp:val=&quot;002B0C31&quot;/&gt;&lt;wsp:rsid wsp:val=&quot;002B0D32&quot;/&gt;&lt;wsp:rsid wsp:val=&quot;002B0D51&quot;/&gt;&lt;wsp:rsid wsp:val=&quot;002B1EF8&quot;/&gt;&lt;wsp:rsid wsp:val=&quot;002B2D71&quot;/&gt;&lt;wsp:rsid wsp:val=&quot;002B352F&quot;/&gt;&lt;wsp:rsid wsp:val=&quot;002B37BA&quot;/&gt;&lt;wsp:rsid wsp:val=&quot;002B4B79&quot;/&gt;&lt;wsp:rsid wsp:val=&quot;002B4F66&quot;/&gt;&lt;wsp:rsid wsp:val=&quot;002B5119&quot;/&gt;&lt;wsp:rsid wsp:val=&quot;002B5146&quot;/&gt;&lt;wsp:rsid wsp:val=&quot;002B51B6&quot;/&gt;&lt;wsp:rsid wsp:val=&quot;002B60EF&quot;/&gt;&lt;wsp:rsid wsp:val=&quot;002B749F&quot;/&gt;&lt;wsp:rsid wsp:val=&quot;002B79D1&quot;/&gt;&lt;wsp:rsid wsp:val=&quot;002B7DFF&quot;/&gt;&lt;wsp:rsid wsp:val=&quot;002C00D4&quot;/&gt;&lt;wsp:rsid wsp:val=&quot;002C0824&quot;/&gt;&lt;wsp:rsid wsp:val=&quot;002C09FC&quot;/&gt;&lt;wsp:rsid wsp:val=&quot;002C1FBE&quot;/&gt;&lt;wsp:rsid wsp:val=&quot;002C283B&quot;/&gt;&lt;wsp:rsid wsp:val=&quot;002C33EB&quot;/&gt;&lt;wsp:rsid wsp:val=&quot;002C3771&quot;/&gt;&lt;wsp:rsid wsp:val=&quot;002C3BEA&quot;/&gt;&lt;wsp:rsid wsp:val=&quot;002C4CA6&quot;/&gt;&lt;wsp:rsid wsp:val=&quot;002C526F&quot;/&gt;&lt;wsp:rsid wsp:val=&quot;002C536D&quot;/&gt;&lt;wsp:rsid wsp:val=&quot;002C56F6&quot;/&gt;&lt;wsp:rsid wsp:val=&quot;002C6986&quot;/&gt;&lt;wsp:rsid wsp:val=&quot;002C6A81&quot;/&gt;&lt;wsp:rsid wsp:val=&quot;002C7A4C&quot;/&gt;&lt;wsp:rsid wsp:val=&quot;002C7E90&quot;/&gt;&lt;wsp:rsid wsp:val=&quot;002C7F8F&quot;/&gt;&lt;wsp:rsid wsp:val=&quot;002D10FD&quot;/&gt;&lt;wsp:rsid wsp:val=&quot;002D1407&quot;/&gt;&lt;wsp:rsid wsp:val=&quot;002D1731&quot;/&gt;&lt;wsp:rsid wsp:val=&quot;002D19FB&quot;/&gt;&lt;wsp:rsid wsp:val=&quot;002D1C70&quot;/&gt;&lt;wsp:rsid wsp:val=&quot;002D23CF&quot;/&gt;&lt;wsp:rsid wsp:val=&quot;002D36F2&quot;/&gt;&lt;wsp:rsid wsp:val=&quot;002D3CFE&quot;/&gt;&lt;wsp:rsid wsp:val=&quot;002D444C&quot;/&gt;&lt;wsp:rsid wsp:val=&quot;002D4868&quot;/&gt;&lt;wsp:rsid wsp:val=&quot;002D4DE8&quot;/&gt;&lt;wsp:rsid wsp:val=&quot;002D4E6C&quot;/&gt;&lt;wsp:rsid wsp:val=&quot;002D51C3&quot;/&gt;&lt;wsp:rsid wsp:val=&quot;002D5564&quot;/&gt;&lt;wsp:rsid wsp:val=&quot;002D71DF&quot;/&gt;&lt;wsp:rsid wsp:val=&quot;002D7283&quot;/&gt;&lt;wsp:rsid wsp:val=&quot;002D7641&quot;/&gt;&lt;wsp:rsid wsp:val=&quot;002D7C37&quot;/&gt;&lt;wsp:rsid wsp:val=&quot;002E012D&quot;/&gt;&lt;wsp:rsid wsp:val=&quot;002E0376&quot;/&gt;&lt;wsp:rsid wsp:val=&quot;002E047B&quot;/&gt;&lt;wsp:rsid wsp:val=&quot;002E0A74&quot;/&gt;&lt;wsp:rsid wsp:val=&quot;002E0B7C&quot;/&gt;&lt;wsp:rsid wsp:val=&quot;002E1599&quot;/&gt;&lt;wsp:rsid wsp:val=&quot;002E17EF&quot;/&gt;&lt;wsp:rsid wsp:val=&quot;002E1BA3&quot;/&gt;&lt;wsp:rsid wsp:val=&quot;002E2074&quot;/&gt;&lt;wsp:rsid wsp:val=&quot;002E2610&quot;/&gt;&lt;wsp:rsid wsp:val=&quot;002E2882&quot;/&gt;&lt;wsp:rsid wsp:val=&quot;002E2969&quot;/&gt;&lt;wsp:rsid wsp:val=&quot;002E37B6&quot;/&gt;&lt;wsp:rsid wsp:val=&quot;002E3E87&quot;/&gt;&lt;wsp:rsid wsp:val=&quot;002E41D0&quot;/&gt;&lt;wsp:rsid wsp:val=&quot;002E450F&quot;/&gt;&lt;wsp:rsid wsp:val=&quot;002E46EA&quot;/&gt;&lt;wsp:rsid wsp:val=&quot;002E5927&quot;/&gt;&lt;wsp:rsid wsp:val=&quot;002E593F&quot;/&gt;&lt;wsp:rsid wsp:val=&quot;002E5D1A&quot;/&gt;&lt;wsp:rsid wsp:val=&quot;002E5DEA&quot;/&gt;&lt;wsp:rsid wsp:val=&quot;002E5E90&quot;/&gt;&lt;wsp:rsid wsp:val=&quot;002E6430&quot;/&gt;&lt;wsp:rsid wsp:val=&quot;002E686B&quot;/&gt;&lt;wsp:rsid wsp:val=&quot;002E6D4F&quot;/&gt;&lt;wsp:rsid wsp:val=&quot;002E7AB9&quot;/&gt;&lt;wsp:rsid wsp:val=&quot;002E7CBA&quot;/&gt;&lt;wsp:rsid wsp:val=&quot;002F0AFE&quot;/&gt;&lt;wsp:rsid wsp:val=&quot;002F0C3A&quot;/&gt;&lt;wsp:rsid wsp:val=&quot;002F158D&quot;/&gt;&lt;wsp:rsid wsp:val=&quot;002F1AA6&quot;/&gt;&lt;wsp:rsid wsp:val=&quot;002F27EC&quot;/&gt;&lt;wsp:rsid wsp:val=&quot;002F28A7&quot;/&gt;&lt;wsp:rsid wsp:val=&quot;002F2BEA&quot;/&gt;&lt;wsp:rsid wsp:val=&quot;002F35BA&quot;/&gt;&lt;wsp:rsid wsp:val=&quot;002F35BE&quot;/&gt;&lt;wsp:rsid wsp:val=&quot;002F4A0F&quot;/&gt;&lt;wsp:rsid wsp:val=&quot;002F4F82&quot;/&gt;&lt;wsp:rsid wsp:val=&quot;002F51F7&quot;/&gt;&lt;wsp:rsid wsp:val=&quot;002F54E6&quot;/&gt;&lt;wsp:rsid wsp:val=&quot;002F58EB&quot;/&gt;&lt;wsp:rsid wsp:val=&quot;002F59FB&quot;/&gt;&lt;wsp:rsid wsp:val=&quot;002F5DDF&quot;/&gt;&lt;wsp:rsid wsp:val=&quot;002F5FE1&quot;/&gt;&lt;wsp:rsid wsp:val=&quot;002F672C&quot;/&gt;&lt;wsp:rsid wsp:val=&quot;002F6AB7&quot;/&gt;&lt;wsp:rsid wsp:val=&quot;002F6F33&quot;/&gt;&lt;wsp:rsid wsp:val=&quot;002F7283&quot;/&gt;&lt;wsp:rsid wsp:val=&quot;002F72D0&quot;/&gt;&lt;wsp:rsid wsp:val=&quot;002F775E&quot;/&gt;&lt;wsp:rsid wsp:val=&quot;003006B4&quot;/&gt;&lt;wsp:rsid wsp:val=&quot;00300911&quot;/&gt;&lt;wsp:rsid wsp:val=&quot;00300A0B&quot;/&gt;&lt;wsp:rsid wsp:val=&quot;00300BE9&quot;/&gt;&lt;wsp:rsid wsp:val=&quot;00301DD3&quot;/&gt;&lt;wsp:rsid wsp:val=&quot;003020A5&quot;/&gt;&lt;wsp:rsid wsp:val=&quot;00302F27&quot;/&gt;&lt;wsp:rsid wsp:val=&quot;0030387B&quot;/&gt;&lt;wsp:rsid wsp:val=&quot;00303CD4&quot;/&gt;&lt;wsp:rsid wsp:val=&quot;00303E7E&quot;/&gt;&lt;wsp:rsid wsp:val=&quot;00304903&quot;/&gt;&lt;wsp:rsid wsp:val=&quot;00304B93&quot;/&gt;&lt;wsp:rsid wsp:val=&quot;00304E76&quot;/&gt;&lt;wsp:rsid wsp:val=&quot;00305381&quot;/&gt;&lt;wsp:rsid wsp:val=&quot;003058BB&quot;/&gt;&lt;wsp:rsid wsp:val=&quot;00306096&quot;/&gt;&lt;wsp:rsid wsp:val=&quot;003061F1&quot;/&gt;&lt;wsp:rsid wsp:val=&quot;003064B8&quot;/&gt;&lt;wsp:rsid wsp:val=&quot;003066C9&quot;/&gt;&lt;wsp:rsid wsp:val=&quot;003069ED&quot;/&gt;&lt;wsp:rsid wsp:val=&quot;003070C2&quot;/&gt;&lt;wsp:rsid wsp:val=&quot;00307A1D&quot;/&gt;&lt;wsp:rsid wsp:val=&quot;00307B2A&quot;/&gt;&lt;wsp:rsid wsp:val=&quot;00307E14&quot;/&gt;&lt;wsp:rsid wsp:val=&quot;00311451&quot;/&gt;&lt;wsp:rsid wsp:val=&quot;00311E22&quot;/&gt;&lt;wsp:rsid wsp:val=&quot;00312064&quot;/&gt;&lt;wsp:rsid wsp:val=&quot;0031225F&quot;/&gt;&lt;wsp:rsid wsp:val=&quot;003127A4&quot;/&gt;&lt;wsp:rsid wsp:val=&quot;003129AF&quot;/&gt;&lt;wsp:rsid wsp:val=&quot;00313B90&quot;/&gt;&lt;wsp:rsid wsp:val=&quot;00313D97&quot;/&gt;&lt;wsp:rsid wsp:val=&quot;0031408A&quot;/&gt;&lt;wsp:rsid wsp:val=&quot;00314373&quot;/&gt;&lt;wsp:rsid wsp:val=&quot;00314D50&quot;/&gt;&lt;wsp:rsid wsp:val=&quot;0031534E&quot;/&gt;&lt;wsp:rsid wsp:val=&quot;003153AA&quot;/&gt;&lt;wsp:rsid wsp:val=&quot;00315558&quot;/&gt;&lt;wsp:rsid wsp:val=&quot;0031582E&quot;/&gt;&lt;wsp:rsid wsp:val=&quot;00315C11&quot;/&gt;&lt;wsp:rsid wsp:val=&quot;00316175&quot;/&gt;&lt;wsp:rsid wsp:val=&quot;00316672&quot;/&gt;&lt;wsp:rsid wsp:val=&quot;00316881&quot;/&gt;&lt;wsp:rsid wsp:val=&quot;00316ED2&quot;/&gt;&lt;wsp:rsid wsp:val=&quot;00316F51&quot;/&gt;&lt;wsp:rsid wsp:val=&quot;00317048&quot;/&gt;&lt;wsp:rsid wsp:val=&quot;003170E1&quot;/&gt;&lt;wsp:rsid wsp:val=&quot;00317678&quot;/&gt;&lt;wsp:rsid wsp:val=&quot;0031787C&quot;/&gt;&lt;wsp:rsid wsp:val=&quot;00317A8C&quot;/&gt;&lt;wsp:rsid wsp:val=&quot;00317B4E&quot;/&gt;&lt;wsp:rsid wsp:val=&quot;00317BBD&quot;/&gt;&lt;wsp:rsid wsp:val=&quot;00317C0F&quot;/&gt;&lt;wsp:rsid wsp:val=&quot;00317F2E&quot;/&gt;&lt;wsp:rsid wsp:val=&quot;00320517&quot;/&gt;&lt;wsp:rsid wsp:val=&quot;00320667&quot;/&gt;&lt;wsp:rsid wsp:val=&quot;003206EE&quot;/&gt;&lt;wsp:rsid wsp:val=&quot;003208AB&quot;/&gt;&lt;wsp:rsid wsp:val=&quot;00320E7E&quot;/&gt;&lt;wsp:rsid wsp:val=&quot;00321278&quot;/&gt;&lt;wsp:rsid wsp:val=&quot;00321A74&quot;/&gt;&lt;wsp:rsid wsp:val=&quot;0032297F&quot;/&gt;&lt;wsp:rsid wsp:val=&quot;00322D0E&quot;/&gt;&lt;wsp:rsid wsp:val=&quot;00322E5A&quot;/&gt;&lt;wsp:rsid wsp:val=&quot;0032348E&quot;/&gt;&lt;wsp:rsid wsp:val=&quot;00323875&quot;/&gt;&lt;wsp:rsid wsp:val=&quot;00323EFC&quot;/&gt;&lt;wsp:rsid wsp:val=&quot;00323F72&quot;/&gt;&lt;wsp:rsid wsp:val=&quot;003241A2&quot;/&gt;&lt;wsp:rsid wsp:val=&quot;003245A2&quot;/&gt;&lt;wsp:rsid wsp:val=&quot;00326107&quot;/&gt;&lt;wsp:rsid wsp:val=&quot;00326496&quot;/&gt;&lt;wsp:rsid wsp:val=&quot;00326868&quot;/&gt;&lt;wsp:rsid wsp:val=&quot;00326C51&quot;/&gt;&lt;wsp:rsid wsp:val=&quot;003272C2&quot;/&gt;&lt;wsp:rsid wsp:val=&quot;00327705&quot;/&gt;&lt;wsp:rsid wsp:val=&quot;00327D26&quot;/&gt;&lt;wsp:rsid wsp:val=&quot;00330064&quot;/&gt;&lt;wsp:rsid wsp:val=&quot;003300EF&quot;/&gt;&lt;wsp:rsid wsp:val=&quot;00331760&quot;/&gt;&lt;wsp:rsid wsp:val=&quot;00331956&quot;/&gt;&lt;wsp:rsid wsp:val=&quot;00331F61&quot;/&gt;&lt;wsp:rsid wsp:val=&quot;003324CD&quot;/&gt;&lt;wsp:rsid wsp:val=&quot;0033252B&quot;/&gt;&lt;wsp:rsid wsp:val=&quot;003339D2&quot;/&gt;&lt;wsp:rsid wsp:val=&quot;00333BE7&quot;/&gt;&lt;wsp:rsid wsp:val=&quot;00333D92&quot;/&gt;&lt;wsp:rsid wsp:val=&quot;0033499D&quot;/&gt;&lt;wsp:rsid wsp:val=&quot;00334D17&quot;/&gt;&lt;wsp:rsid wsp:val=&quot;00335407&quot;/&gt;&lt;wsp:rsid wsp:val=&quot;00335AED&quot;/&gt;&lt;wsp:rsid wsp:val=&quot;00336F24&quot;/&gt;&lt;wsp:rsid wsp:val=&quot;00336F60&quot;/&gt;&lt;wsp:rsid wsp:val=&quot;003370CA&quot;/&gt;&lt;wsp:rsid wsp:val=&quot;0033710F&quot;/&gt;&lt;wsp:rsid wsp:val=&quot;003379A2&quot;/&gt;&lt;wsp:rsid wsp:val=&quot;00340DEA&quot;/&gt;&lt;wsp:rsid wsp:val=&quot;003410CC&quot;/&gt;&lt;wsp:rsid wsp:val=&quot;00341338&quot;/&gt;&lt;wsp:rsid wsp:val=&quot;0034169C&quot;/&gt;&lt;wsp:rsid wsp:val=&quot;00342A0B&quot;/&gt;&lt;wsp:rsid wsp:val=&quot;00342B14&quot;/&gt;&lt;wsp:rsid wsp:val=&quot;00343344&quot;/&gt;&lt;wsp:rsid wsp:val=&quot;003436B7&quot;/&gt;&lt;wsp:rsid wsp:val=&quot;00343B2F&quot;/&gt;&lt;wsp:rsid wsp:val=&quot;00343CD2&quot;/&gt;&lt;wsp:rsid wsp:val=&quot;00343F0B&quot;/&gt;&lt;wsp:rsid wsp:val=&quot;003444BC&quot;/&gt;&lt;wsp:rsid wsp:val=&quot;0034468A&quot;/&gt;&lt;wsp:rsid wsp:val=&quot;00344B81&quot;/&gt;&lt;wsp:rsid wsp:val=&quot;0034501A&quot;/&gt;&lt;wsp:rsid wsp:val=&quot;0034503E&quot;/&gt;&lt;wsp:rsid wsp:val=&quot;00345049&quot;/&gt;&lt;wsp:rsid wsp:val=&quot;0034582E&quot;/&gt;&lt;wsp:rsid wsp:val=&quot;003463C4&quot;/&gt;&lt;wsp:rsid wsp:val=&quot;00346C07&quot;/&gt;&lt;wsp:rsid wsp:val=&quot;00346CFA&quot;/&gt;&lt;wsp:rsid wsp:val=&quot;00346DE1&quot;/&gt;&lt;wsp:rsid wsp:val=&quot;00346F8F&quot;/&gt;&lt;wsp:rsid wsp:val=&quot;003472ED&quot;/&gt;&lt;wsp:rsid wsp:val=&quot;00347B4E&quot;/&gt;&lt;wsp:rsid wsp:val=&quot;00347D12&quot;/&gt;&lt;wsp:rsid wsp:val=&quot;00347DD4&quot;/&gt;&lt;wsp:rsid wsp:val=&quot;00347FE0&quot;/&gt;&lt;wsp:rsid wsp:val=&quot;003504FA&quot;/&gt;&lt;wsp:rsid wsp:val=&quot;00350E89&quot;/&gt;&lt;wsp:rsid wsp:val=&quot;00351514&quot;/&gt;&lt;wsp:rsid wsp:val=&quot;00351693&quot;/&gt;&lt;wsp:rsid wsp:val=&quot;0035177A&quot;/&gt;&lt;wsp:rsid wsp:val=&quot;00351797&quot;/&gt;&lt;wsp:rsid wsp:val=&quot;003519DE&quot;/&gt;&lt;wsp:rsid wsp:val=&quot;00351C31&quot;/&gt;&lt;wsp:rsid wsp:val=&quot;003522B5&quot;/&gt;&lt;wsp:rsid wsp:val=&quot;00352472&quot;/&gt;&lt;wsp:rsid wsp:val=&quot;00352A20&quot;/&gt;&lt;wsp:rsid wsp:val=&quot;00352B14&quot;/&gt;&lt;wsp:rsid wsp:val=&quot;00352E27&quot;/&gt;&lt;wsp:rsid wsp:val=&quot;0035415C&quot;/&gt;&lt;wsp:rsid wsp:val=&quot;0035420A&quot;/&gt;&lt;wsp:rsid wsp:val=&quot;00354239&quot;/&gt;&lt;wsp:rsid wsp:val=&quot;00354343&quot;/&gt;&lt;wsp:rsid wsp:val=&quot;003551D7&quot;/&gt;&lt;wsp:rsid wsp:val=&quot;00355B00&quot;/&gt;&lt;wsp:rsid wsp:val=&quot;003561AE&quot;/&gt;&lt;wsp:rsid wsp:val=&quot;0035633E&quot;/&gt;&lt;wsp:rsid wsp:val=&quot;00356DDF&quot;/&gt;&lt;wsp:rsid wsp:val=&quot;00356E78&quot;/&gt;&lt;wsp:rsid wsp:val=&quot;00357020&quot;/&gt;&lt;wsp:rsid wsp:val=&quot;0035728C&quot;/&gt;&lt;wsp:rsid wsp:val=&quot;003576FA&quot;/&gt;&lt;wsp:rsid wsp:val=&quot;00357E2F&quot;/&gt;&lt;wsp:rsid wsp:val=&quot;0036032C&quot;/&gt;&lt;wsp:rsid wsp:val=&quot;003605B7&quot;/&gt;&lt;wsp:rsid wsp:val=&quot;0036062F&quot;/&gt;&lt;wsp:rsid wsp:val=&quot;003611C0&quot;/&gt;&lt;wsp:rsid wsp:val=&quot;0036249D&quot;/&gt;&lt;wsp:rsid wsp:val=&quot;00362758&quot;/&gt;&lt;wsp:rsid wsp:val=&quot;003628FC&quot;/&gt;&lt;wsp:rsid wsp:val=&quot;00362969&quot;/&gt;&lt;wsp:rsid wsp:val=&quot;00362F3B&quot;/&gt;&lt;wsp:rsid wsp:val=&quot;003631AE&quot;/&gt;&lt;wsp:rsid wsp:val=&quot;00363456&quot;/&gt;&lt;wsp:rsid wsp:val=&quot;00363FC6&quot;/&gt;&lt;wsp:rsid wsp:val=&quot;0036456B&quot;/&gt;&lt;wsp:rsid wsp:val=&quot;0036473B&quot;/&gt;&lt;wsp:rsid wsp:val=&quot;00365258&quot;/&gt;&lt;wsp:rsid wsp:val=&quot;003656FE&quot;/&gt;&lt;wsp:rsid wsp:val=&quot;00365884&quot;/&gt;&lt;wsp:rsid wsp:val=&quot;003659BD&quot;/&gt;&lt;wsp:rsid wsp:val=&quot;003659D0&quot;/&gt;&lt;wsp:rsid wsp:val=&quot;00366197&quot;/&gt;&lt;wsp:rsid wsp:val=&quot;00366634&quot;/&gt;&lt;wsp:rsid wsp:val=&quot;00366705&quot;/&gt;&lt;wsp:rsid wsp:val=&quot;003676DA&quot;/&gt;&lt;wsp:rsid wsp:val=&quot;00367787&quot;/&gt;&lt;wsp:rsid wsp:val=&quot;00367AA4&quot;/&gt;&lt;wsp:rsid wsp:val=&quot;00367D8C&quot;/&gt;&lt;wsp:rsid wsp:val=&quot;00367F0D&quot;/&gt;&lt;wsp:rsid wsp:val=&quot;00370A6D&quot;/&gt;&lt;wsp:rsid wsp:val=&quot;003710C6&quot;/&gt;&lt;wsp:rsid wsp:val=&quot;003713C8&quot;/&gt;&lt;wsp:rsid wsp:val=&quot;00371A86&quot;/&gt;&lt;wsp:rsid wsp:val=&quot;003725C6&quot;/&gt;&lt;wsp:rsid wsp:val=&quot;00372944&quot;/&gt;&lt;wsp:rsid wsp:val=&quot;0037295C&quot;/&gt;&lt;wsp:rsid wsp:val=&quot;0037320C&quot;/&gt;&lt;wsp:rsid wsp:val=&quot;0037332E&quot;/&gt;&lt;wsp:rsid wsp:val=&quot;003736A1&quot;/&gt;&lt;wsp:rsid wsp:val=&quot;0037384D&quot;/&gt;&lt;wsp:rsid wsp:val=&quot;0037389B&quot;/&gt;&lt;wsp:rsid wsp:val=&quot;003739E1&quot;/&gt;&lt;wsp:rsid wsp:val=&quot;00374983&quot;/&gt;&lt;wsp:rsid wsp:val=&quot;00374EBA&quot;/&gt;&lt;wsp:rsid wsp:val=&quot;00375523&quot;/&gt;&lt;wsp:rsid wsp:val=&quot;00375E75&quot;/&gt;&lt;wsp:rsid wsp:val=&quot;003762A1&quot;/&gt;&lt;wsp:rsid wsp:val=&quot;00377079&quot;/&gt;&lt;wsp:rsid wsp:val=&quot;003772D7&quot;/&gt;&lt;wsp:rsid wsp:val=&quot;003774A5&quot;/&gt;&lt;wsp:rsid wsp:val=&quot;003775BF&quot;/&gt;&lt;wsp:rsid wsp:val=&quot;003776F6&quot;/&gt;&lt;wsp:rsid wsp:val=&quot;0037774F&quot;/&gt;&lt;wsp:rsid wsp:val=&quot;003777BC&quot;/&gt;&lt;wsp:rsid wsp:val=&quot;00377B7C&quot;/&gt;&lt;wsp:rsid wsp:val=&quot;00377CD1&quot;/&gt;&lt;wsp:rsid wsp:val=&quot;00380B06&quot;/&gt;&lt;wsp:rsid wsp:val=&quot;00380D26&quot;/&gt;&lt;wsp:rsid wsp:val=&quot;00381612&quot;/&gt;&lt;wsp:rsid wsp:val=&quot;003817C1&quot;/&gt;&lt;wsp:rsid wsp:val=&quot;00381B76&quot;/&gt;&lt;wsp:rsid wsp:val=&quot;00381E18&quot;/&gt;&lt;wsp:rsid wsp:val=&quot;003820F1&quot;/&gt;&lt;wsp:rsid wsp:val=&quot;00382F07&quot;/&gt;&lt;wsp:rsid wsp:val=&quot;00383007&quot;/&gt;&lt;wsp:rsid wsp:val=&quot;0038339D&quot;/&gt;&lt;wsp:rsid wsp:val=&quot;0038343F&quot;/&gt;&lt;wsp:rsid wsp:val=&quot;00383A5A&quot;/&gt;&lt;wsp:rsid wsp:val=&quot;00384442&quot;/&gt;&lt;wsp:rsid wsp:val=&quot;003849D9&quot;/&gt;&lt;wsp:rsid wsp:val=&quot;00385364&quot;/&gt;&lt;wsp:rsid wsp:val=&quot;0038682B&quot;/&gt;&lt;wsp:rsid wsp:val=&quot;00386992&quot;/&gt;&lt;wsp:rsid wsp:val=&quot;00386AE5&quot;/&gt;&lt;wsp:rsid wsp:val=&quot;00387BF3&quot;/&gt;&lt;wsp:rsid wsp:val=&quot;00387DCC&quot;/&gt;&lt;wsp:rsid wsp:val=&quot;0039001B&quot;/&gt;&lt;wsp:rsid wsp:val=&quot;0039059B&quot;/&gt;&lt;wsp:rsid wsp:val=&quot;00390F40&quot;/&gt;&lt;wsp:rsid wsp:val=&quot;00390F79&quot;/&gt;&lt;wsp:rsid wsp:val=&quot;00391288&quot;/&gt;&lt;wsp:rsid wsp:val=&quot;0039183A&quot;/&gt;&lt;wsp:rsid wsp:val=&quot;00391A9A&quot;/&gt;&lt;wsp:rsid wsp:val=&quot;0039282C&quot;/&gt;&lt;wsp:rsid wsp:val=&quot;00392980&quot;/&gt;&lt;wsp:rsid wsp:val=&quot;0039326A&quot;/&gt;&lt;wsp:rsid wsp:val=&quot;003933E7&quot;/&gt;&lt;wsp:rsid wsp:val=&quot;00393DD1&quot;/&gt;&lt;wsp:rsid wsp:val=&quot;0039447A&quot;/&gt;&lt;wsp:rsid wsp:val=&quot;0039494A&quot;/&gt;&lt;wsp:rsid wsp:val=&quot;00395164&quot;/&gt;&lt;wsp:rsid wsp:val=&quot;00395536&quot;/&gt;&lt;wsp:rsid wsp:val=&quot;0039585B&quot;/&gt;&lt;wsp:rsid wsp:val=&quot;00396085&quot;/&gt;&lt;wsp:rsid wsp:val=&quot;00396284&quot;/&gt;&lt;wsp:rsid wsp:val=&quot;0039687B&quot;/&gt;&lt;wsp:rsid wsp:val=&quot;0039715F&quot;/&gt;&lt;wsp:rsid wsp:val=&quot;00397161&quot;/&gt;&lt;wsp:rsid wsp:val=&quot;0039727C&quot;/&gt;&lt;wsp:rsid wsp:val=&quot;003A0192&quot;/&gt;&lt;wsp:rsid wsp:val=&quot;003A036B&quot;/&gt;&lt;wsp:rsid wsp:val=&quot;003A03E9&quot;/&gt;&lt;wsp:rsid wsp:val=&quot;003A0410&quot;/&gt;&lt;wsp:rsid wsp:val=&quot;003A0F30&quot;/&gt;&lt;wsp:rsid wsp:val=&quot;003A174D&quot;/&gt;&lt;wsp:rsid wsp:val=&quot;003A2CD6&quot;/&gt;&lt;wsp:rsid wsp:val=&quot;003A2D7A&quot;/&gt;&lt;wsp:rsid wsp:val=&quot;003A2FE4&quot;/&gt;&lt;wsp:rsid wsp:val=&quot;003A3009&quot;/&gt;&lt;wsp:rsid wsp:val=&quot;003A304E&quot;/&gt;&lt;wsp:rsid wsp:val=&quot;003A323F&quot;/&gt;&lt;wsp:rsid wsp:val=&quot;003A34C1&quot;/&gt;&lt;wsp:rsid wsp:val=&quot;003A35A1&quot;/&gt;&lt;wsp:rsid wsp:val=&quot;003A3967&quot;/&gt;&lt;wsp:rsid wsp:val=&quot;003A3FF6&quot;/&gt;&lt;wsp:rsid wsp:val=&quot;003A417D&quot;/&gt;&lt;wsp:rsid wsp:val=&quot;003A5896&quot;/&gt;&lt;wsp:rsid wsp:val=&quot;003A66C7&quot;/&gt;&lt;wsp:rsid wsp:val=&quot;003A6D58&quot;/&gt;&lt;wsp:rsid wsp:val=&quot;003A77AB&quot;/&gt;&lt;wsp:rsid wsp:val=&quot;003A7DC1&quot;/&gt;&lt;wsp:rsid wsp:val=&quot;003A7E7F&quot;/&gt;&lt;wsp:rsid wsp:val=&quot;003B05A7&quot;/&gt;&lt;wsp:rsid wsp:val=&quot;003B05C7&quot;/&gt;&lt;wsp:rsid wsp:val=&quot;003B05DD&quot;/&gt;&lt;wsp:rsid wsp:val=&quot;003B05FF&quot;/&gt;&lt;wsp:rsid wsp:val=&quot;003B07BB&quot;/&gt;&lt;wsp:rsid wsp:val=&quot;003B13D0&quot;/&gt;&lt;wsp:rsid wsp:val=&quot;003B1734&quot;/&gt;&lt;wsp:rsid wsp:val=&quot;003B1E97&quot;/&gt;&lt;wsp:rsid wsp:val=&quot;003B2B22&quot;/&gt;&lt;wsp:rsid wsp:val=&quot;003B2E8E&quot;/&gt;&lt;wsp:rsid wsp:val=&quot;003B3127&quot;/&gt;&lt;wsp:rsid wsp:val=&quot;003B32BA&quot;/&gt;&lt;wsp:rsid wsp:val=&quot;003B32CA&quot;/&gt;&lt;wsp:rsid wsp:val=&quot;003B32FB&quot;/&gt;&lt;wsp:rsid wsp:val=&quot;003B3A53&quot;/&gt;&lt;wsp:rsid wsp:val=&quot;003B4022&quot;/&gt;&lt;wsp:rsid wsp:val=&quot;003B4436&quot;/&gt;&lt;wsp:rsid wsp:val=&quot;003B5136&quot;/&gt;&lt;wsp:rsid wsp:val=&quot;003B60AF&quot;/&gt;&lt;wsp:rsid wsp:val=&quot;003B69F4&quot;/&gt;&lt;wsp:rsid wsp:val=&quot;003B717B&quot;/&gt;&lt;wsp:rsid wsp:val=&quot;003C01FD&quot;/&gt;&lt;wsp:rsid wsp:val=&quot;003C04D5&quot;/&gt;&lt;wsp:rsid wsp:val=&quot;003C0B24&quot;/&gt;&lt;wsp:rsid wsp:val=&quot;003C0D40&quot;/&gt;&lt;wsp:rsid wsp:val=&quot;003C0FB2&quot;/&gt;&lt;wsp:rsid wsp:val=&quot;003C26F8&quot;/&gt;&lt;wsp:rsid wsp:val=&quot;003C353C&quot;/&gt;&lt;wsp:rsid wsp:val=&quot;003C35F7&quot;/&gt;&lt;wsp:rsid wsp:val=&quot;003C3A3A&quot;/&gt;&lt;wsp:rsid wsp:val=&quot;003C49D7&quot;/&gt;&lt;wsp:rsid wsp:val=&quot;003C571C&quot;/&gt;&lt;wsp:rsid wsp:val=&quot;003C57EB&quot;/&gt;&lt;wsp:rsid wsp:val=&quot;003C6407&quot;/&gt;&lt;wsp:rsid wsp:val=&quot;003C6445&quot;/&gt;&lt;wsp:rsid wsp:val=&quot;003C6934&quot;/&gt;&lt;wsp:rsid wsp:val=&quot;003C6D5C&quot;/&gt;&lt;wsp:rsid wsp:val=&quot;003C6DE1&quot;/&gt;&lt;wsp:rsid wsp:val=&quot;003C6E6F&quot;/&gt;&lt;wsp:rsid wsp:val=&quot;003C74C7&quot;/&gt;&lt;wsp:rsid wsp:val=&quot;003C77A8&quot;/&gt;&lt;wsp:rsid wsp:val=&quot;003C78E5&quot;/&gt;&lt;wsp:rsid wsp:val=&quot;003D014A&quot;/&gt;&lt;wsp:rsid wsp:val=&quot;003D0211&quot;/&gt;&lt;wsp:rsid wsp:val=&quot;003D075C&quot;/&gt;&lt;wsp:rsid wsp:val=&quot;003D0854&quot;/&gt;&lt;wsp:rsid wsp:val=&quot;003D0FBF&quot;/&gt;&lt;wsp:rsid wsp:val=&quot;003D1600&quot;/&gt;&lt;wsp:rsid wsp:val=&quot;003D1863&quot;/&gt;&lt;wsp:rsid wsp:val=&quot;003D1A23&quot;/&gt;&lt;wsp:rsid wsp:val=&quot;003D219E&quot;/&gt;&lt;wsp:rsid wsp:val=&quot;003D2D07&quot;/&gt;&lt;wsp:rsid wsp:val=&quot;003D3650&quot;/&gt;&lt;wsp:rsid wsp:val=&quot;003D3931&quot;/&gt;&lt;wsp:rsid wsp:val=&quot;003D3A49&quot;/&gt;&lt;wsp:rsid wsp:val=&quot;003D3A99&quot;/&gt;&lt;wsp:rsid wsp:val=&quot;003D3E89&quot;/&gt;&lt;wsp:rsid wsp:val=&quot;003D42AB&quot;/&gt;&lt;wsp:rsid wsp:val=&quot;003D4410&quot;/&gt;&lt;wsp:rsid wsp:val=&quot;003D4F96&quot;/&gt;&lt;wsp:rsid wsp:val=&quot;003D5F46&quot;/&gt;&lt;wsp:rsid wsp:val=&quot;003D5FD3&quot;/&gt;&lt;wsp:rsid wsp:val=&quot;003D64A3&quot;/&gt;&lt;wsp:rsid wsp:val=&quot;003D65FE&quot;/&gt;&lt;wsp:rsid wsp:val=&quot;003D67D9&quot;/&gt;&lt;wsp:rsid wsp:val=&quot;003D6885&quot;/&gt;&lt;wsp:rsid wsp:val=&quot;003D6D1B&quot;/&gt;&lt;wsp:rsid wsp:val=&quot;003D7B92&quot;/&gt;&lt;wsp:rsid wsp:val=&quot;003E1D3B&quot;/&gt;&lt;wsp:rsid wsp:val=&quot;003E2454&quot;/&gt;&lt;wsp:rsid wsp:val=&quot;003E32FC&quot;/&gt;&lt;wsp:rsid wsp:val=&quot;003E3601&quot;/&gt;&lt;wsp:rsid wsp:val=&quot;003E3BF1&quot;/&gt;&lt;wsp:rsid wsp:val=&quot;003E3E55&quot;/&gt;&lt;wsp:rsid wsp:val=&quot;003E4381&quot;/&gt;&lt;wsp:rsid wsp:val=&quot;003E4415&quot;/&gt;&lt;wsp:rsid wsp:val=&quot;003E444C&quot;/&gt;&lt;wsp:rsid wsp:val=&quot;003E5017&quot;/&gt;&lt;wsp:rsid wsp:val=&quot;003E506C&quot;/&gt;&lt;wsp:rsid wsp:val=&quot;003E60C0&quot;/&gt;&lt;wsp:rsid wsp:val=&quot;003E68D1&quot;/&gt;&lt;wsp:rsid wsp:val=&quot;003E6A7F&quot;/&gt;&lt;wsp:rsid wsp:val=&quot;003E6B0E&quot;/&gt;&lt;wsp:rsid wsp:val=&quot;003E6F73&quot;/&gt;&lt;wsp:rsid wsp:val=&quot;003E6F96&quot;/&gt;&lt;wsp:rsid wsp:val=&quot;003E7AA6&quot;/&gt;&lt;wsp:rsid wsp:val=&quot;003E7B2A&quot;/&gt;&lt;wsp:rsid wsp:val=&quot;003F01DE&quot;/&gt;&lt;wsp:rsid wsp:val=&quot;003F0B5E&quot;/&gt;&lt;wsp:rsid wsp:val=&quot;003F0EB8&quot;/&gt;&lt;wsp:rsid wsp:val=&quot;003F1743&quot;/&gt;&lt;wsp:rsid wsp:val=&quot;003F2061&quot;/&gt;&lt;wsp:rsid wsp:val=&quot;003F216E&quot;/&gt;&lt;wsp:rsid wsp:val=&quot;003F24D8&quot;/&gt;&lt;wsp:rsid wsp:val=&quot;003F2979&quot;/&gt;&lt;wsp:rsid wsp:val=&quot;003F2A72&quot;/&gt;&lt;wsp:rsid wsp:val=&quot;003F3559&quot;/&gt;&lt;wsp:rsid wsp:val=&quot;003F397D&quot;/&gt;&lt;wsp:rsid wsp:val=&quot;003F4446&quot;/&gt;&lt;wsp:rsid wsp:val=&quot;003F4944&quot;/&gt;&lt;wsp:rsid wsp:val=&quot;003F4C02&quot;/&gt;&lt;wsp:rsid wsp:val=&quot;003F4F44&quot;/&gt;&lt;wsp:rsid wsp:val=&quot;003F65CA&quot;/&gt;&lt;wsp:rsid wsp:val=&quot;003F6669&quot;/&gt;&lt;wsp:rsid wsp:val=&quot;003F674E&quot;/&gt;&lt;wsp:rsid wsp:val=&quot;003F6AC2&quot;/&gt;&lt;wsp:rsid wsp:val=&quot;003F6B88&quot;/&gt;&lt;wsp:rsid wsp:val=&quot;003F7323&quot;/&gt;&lt;wsp:rsid wsp:val=&quot;003F7C18&quot;/&gt;&lt;wsp:rsid wsp:val=&quot;003F7E5F&quot;/&gt;&lt;wsp:rsid wsp:val=&quot;00400107&quot;/&gt;&lt;wsp:rsid wsp:val=&quot;004007C2&quot;/&gt;&lt;wsp:rsid wsp:val=&quot;00400835&quot;/&gt;&lt;wsp:rsid wsp:val=&quot;0040096A&quot;/&gt;&lt;wsp:rsid wsp:val=&quot;004009EA&quot;/&gt;&lt;wsp:rsid wsp:val=&quot;00400AF5&quot;/&gt;&lt;wsp:rsid wsp:val=&quot;00400EDC&quot;/&gt;&lt;wsp:rsid wsp:val=&quot;00400EEA&quot;/&gt;&lt;wsp:rsid wsp:val=&quot;0040106C&quot;/&gt;&lt;wsp:rsid wsp:val=&quot;00401D42&quot;/&gt;&lt;wsp:rsid wsp:val=&quot;004024B3&quot;/&gt;&lt;wsp:rsid wsp:val=&quot;00402B99&quot;/&gt;&lt;wsp:rsid wsp:val=&quot;00402C7B&quot;/&gt;&lt;wsp:rsid wsp:val=&quot;00402D5A&quot;/&gt;&lt;wsp:rsid wsp:val=&quot;0040316B&quot;/&gt;&lt;wsp:rsid wsp:val=&quot;00404247&quot;/&gt;&lt;wsp:rsid wsp:val=&quot;00404294&quot;/&gt;&lt;wsp:rsid wsp:val=&quot;004044A1&quot;/&gt;&lt;wsp:rsid wsp:val=&quot;004045B5&quot;/&gt;&lt;wsp:rsid wsp:val=&quot;00404DBD&quot;/&gt;&lt;wsp:rsid wsp:val=&quot;00404DEE&quot;/&gt;&lt;wsp:rsid wsp:val=&quot;00405A4F&quot;/&gt;&lt;wsp:rsid wsp:val=&quot;00405F50&quot;/&gt;&lt;wsp:rsid wsp:val=&quot;004060DB&quot;/&gt;&lt;wsp:rsid wsp:val=&quot;0040704B&quot;/&gt;&lt;wsp:rsid wsp:val=&quot;004079A0&quot;/&gt;&lt;wsp:rsid wsp:val=&quot;00407B0B&quot;/&gt;&lt;wsp:rsid wsp:val=&quot;00407CC0&quot;/&gt;&lt;wsp:rsid wsp:val=&quot;00407DD0&quot;/&gt;&lt;wsp:rsid wsp:val=&quot;00410419&quot;/&gt;&lt;wsp:rsid wsp:val=&quot;00410CAF&quot;/&gt;&lt;wsp:rsid wsp:val=&quot;004112A0&quot;/&gt;&lt;wsp:rsid wsp:val=&quot;00411B52&quot;/&gt;&lt;wsp:rsid wsp:val=&quot;00411CDF&quot;/&gt;&lt;wsp:rsid wsp:val=&quot;00412E0C&quot;/&gt;&lt;wsp:rsid wsp:val=&quot;0041307B&quot;/&gt;&lt;wsp:rsid wsp:val=&quot;004130C9&quot;/&gt;&lt;wsp:rsid wsp:val=&quot;004132EF&quot;/&gt;&lt;wsp:rsid wsp:val=&quot;00413EFC&quot;/&gt;&lt;wsp:rsid wsp:val=&quot;00413F5C&quot;/&gt;&lt;wsp:rsid wsp:val=&quot;00414048&quot;/&gt;&lt;wsp:rsid wsp:val=&quot;0041406F&quot;/&gt;&lt;wsp:rsid wsp:val=&quot;00414321&quot;/&gt;&lt;wsp:rsid wsp:val=&quot;00414916&quot;/&gt;&lt;wsp:rsid wsp:val=&quot;00414D06&quot;/&gt;&lt;wsp:rsid wsp:val=&quot;00415993&quot;/&gt;&lt;wsp:rsid wsp:val=&quot;00415E78&quot;/&gt;&lt;wsp:rsid wsp:val=&quot;0041631E&quot;/&gt;&lt;wsp:rsid wsp:val=&quot;004169AB&quot;/&gt;&lt;wsp:rsid wsp:val=&quot;00417052&quot;/&gt;&lt;wsp:rsid wsp:val=&quot;004201F3&quot;/&gt;&lt;wsp:rsid wsp:val=&quot;00420857&quot;/&gt;&lt;wsp:rsid wsp:val=&quot;00420BC5&quot;/&gt;&lt;wsp:rsid wsp:val=&quot;00420E3B&quot;/&gt;&lt;wsp:rsid wsp:val=&quot;004211FE&quot;/&gt;&lt;wsp:rsid wsp:val=&quot;00422422&quot;/&gt;&lt;wsp:rsid wsp:val=&quot;00422DE0&quot;/&gt;&lt;wsp:rsid wsp:val=&quot;004231C3&quot;/&gt;&lt;wsp:rsid wsp:val=&quot;00423878&quot;/&gt;&lt;wsp:rsid wsp:val=&quot;00423A46&quot;/&gt;&lt;wsp:rsid wsp:val=&quot;00424287&quot;/&gt;&lt;wsp:rsid wsp:val=&quot;0042429D&quot;/&gt;&lt;wsp:rsid wsp:val=&quot;004245FE&quot;/&gt;&lt;wsp:rsid wsp:val=&quot;00424E08&quot;/&gt;&lt;wsp:rsid wsp:val=&quot;00425A5B&quot;/&gt;&lt;wsp:rsid wsp:val=&quot;00425FF7&quot;/&gt;&lt;wsp:rsid wsp:val=&quot;004260EF&quot;/&gt;&lt;wsp:rsid wsp:val=&quot;00426BDC&quot;/&gt;&lt;wsp:rsid wsp:val=&quot;00426F32&quot;/&gt;&lt;wsp:rsid wsp:val=&quot;0042707B&quot;/&gt;&lt;wsp:rsid wsp:val=&quot;0042748E&quot;/&gt;&lt;wsp:rsid wsp:val=&quot;0042773D&quot;/&gt;&lt;wsp:rsid wsp:val=&quot;00427BD8&quot;/&gt;&lt;wsp:rsid wsp:val=&quot;00427F36&quot;/&gt;&lt;wsp:rsid wsp:val=&quot;00430F60&quot;/&gt;&lt;wsp:rsid wsp:val=&quot;00431036&quot;/&gt;&lt;wsp:rsid wsp:val=&quot;004312A0&quot;/&gt;&lt;wsp:rsid wsp:val=&quot;00431608&quot;/&gt;&lt;wsp:rsid wsp:val=&quot;0043197D&quot;/&gt;&lt;wsp:rsid wsp:val=&quot;0043289F&quot;/&gt;&lt;wsp:rsid wsp:val=&quot;00433AE7&quot;/&gt;&lt;wsp:rsid wsp:val=&quot;00433C07&quot;/&gt;&lt;wsp:rsid wsp:val=&quot;004342AB&quot;/&gt;&lt;wsp:rsid wsp:val=&quot;00434C50&quot;/&gt;&lt;wsp:rsid wsp:val=&quot;0043500A&quot;/&gt;&lt;wsp:rsid wsp:val=&quot;004358FD&quot;/&gt;&lt;wsp:rsid wsp:val=&quot;004359FF&quot;/&gt;&lt;wsp:rsid wsp:val=&quot;00435A77&quot;/&gt;&lt;wsp:rsid wsp:val=&quot;00435C7A&quot;/&gt;&lt;wsp:rsid wsp:val=&quot;004360C1&quot;/&gt;&lt;wsp:rsid wsp:val=&quot;004367CE&quot;/&gt;&lt;wsp:rsid wsp:val=&quot;00436BB8&quot;/&gt;&lt;wsp:rsid wsp:val=&quot;004376CD&quot;/&gt;&lt;wsp:rsid wsp:val=&quot;00437A27&quot;/&gt;&lt;wsp:rsid wsp:val=&quot;004400D7&quot;/&gt;&lt;wsp:rsid wsp:val=&quot;00440655&quot;/&gt;&lt;wsp:rsid wsp:val=&quot;0044144F&quot;/&gt;&lt;wsp:rsid wsp:val=&quot;0044173D&quot;/&gt;&lt;wsp:rsid wsp:val=&quot;00441812&quot;/&gt;&lt;wsp:rsid wsp:val=&quot;004421D6&quot;/&gt;&lt;wsp:rsid wsp:val=&quot;0044222C&quot;/&gt;&lt;wsp:rsid wsp:val=&quot;00442560&quot;/&gt;&lt;wsp:rsid wsp:val=&quot;00442E6E&quot;/&gt;&lt;wsp:rsid wsp:val=&quot;0044302C&quot;/&gt;&lt;wsp:rsid wsp:val=&quot;00444528&quot;/&gt;&lt;wsp:rsid wsp:val=&quot;00444B86&quot;/&gt;&lt;wsp:rsid wsp:val=&quot;004459FF&quot;/&gt;&lt;wsp:rsid wsp:val=&quot;00445A7A&quot;/&gt;&lt;wsp:rsid wsp:val=&quot;00446E75&quot;/&gt;&lt;wsp:rsid wsp:val=&quot;00447566&quot;/&gt;&lt;wsp:rsid wsp:val=&quot;004475AE&quot;/&gt;&lt;wsp:rsid wsp:val=&quot;0045054D&quot;/&gt;&lt;wsp:rsid wsp:val=&quot;00450938&quot;/&gt;&lt;wsp:rsid wsp:val=&quot;00450BE8&quot;/&gt;&lt;wsp:rsid wsp:val=&quot;00450F16&quot;/&gt;&lt;wsp:rsid wsp:val=&quot;00451501&quot;/&gt;&lt;wsp:rsid wsp:val=&quot;00451D9B&quot;/&gt;&lt;wsp:rsid wsp:val=&quot;00452229&quot;/&gt;&lt;wsp:rsid wsp:val=&quot;00452FFB&quot;/&gt;&lt;wsp:rsid wsp:val=&quot;00453778&quot;/&gt;&lt;wsp:rsid wsp:val=&quot;0045398A&quot;/&gt;&lt;wsp:rsid wsp:val=&quot;00453A0F&quot;/&gt;&lt;wsp:rsid wsp:val=&quot;004542B8&quot;/&gt;&lt;wsp:rsid wsp:val=&quot;004548D2&quot;/&gt;&lt;wsp:rsid wsp:val=&quot;0045551A&quot;/&gt;&lt;wsp:rsid wsp:val=&quot;00455599&quot;/&gt;&lt;wsp:rsid wsp:val=&quot;0045596A&quot;/&gt;&lt;wsp:rsid wsp:val=&quot;00457ACC&quot;/&gt;&lt;wsp:rsid wsp:val=&quot;00457B62&quot;/&gt;&lt;wsp:rsid wsp:val=&quot;00457B91&quot;/&gt;&lt;wsp:rsid wsp:val=&quot;00457CD6&quot;/&gt;&lt;wsp:rsid wsp:val=&quot;004601BF&quot;/&gt;&lt;wsp:rsid wsp:val=&quot;00460A1E&quot;/&gt;&lt;wsp:rsid wsp:val=&quot;00460D12&quot;/&gt;&lt;wsp:rsid wsp:val=&quot;0046107C&quot;/&gt;&lt;wsp:rsid wsp:val=&quot;00461F86&quot;/&gt;&lt;wsp:rsid wsp:val=&quot;00462000&quot;/&gt;&lt;wsp:rsid wsp:val=&quot;00462157&quot;/&gt;&lt;wsp:rsid wsp:val=&quot;004623EB&quot;/&gt;&lt;wsp:rsid wsp:val=&quot;004627E2&quot;/&gt;&lt;wsp:rsid wsp:val=&quot;0046284B&quot;/&gt;&lt;wsp:rsid wsp:val=&quot;004629E4&quot;/&gt;&lt;wsp:rsid wsp:val=&quot;00462E31&quot;/&gt;&lt;wsp:rsid wsp:val=&quot;00463117&quot;/&gt;&lt;wsp:rsid wsp:val=&quot;004633B6&quot;/&gt;&lt;wsp:rsid wsp:val=&quot;004637AE&quot;/&gt;&lt;wsp:rsid wsp:val=&quot;00463B8A&quot;/&gt;&lt;wsp:rsid wsp:val=&quot;00463C38&quot;/&gt;&lt;wsp:rsid wsp:val=&quot;0046440D&quot;/&gt;&lt;wsp:rsid wsp:val=&quot;00464FE9&quot;/&gt;&lt;wsp:rsid wsp:val=&quot;00465301&quot;/&gt;&lt;wsp:rsid wsp:val=&quot;0046559C&quot;/&gt;&lt;wsp:rsid wsp:val=&quot;004656B8&quot;/&gt;&lt;wsp:rsid wsp:val=&quot;0046588D&quot;/&gt;&lt;wsp:rsid wsp:val=&quot;00465AA1&quot;/&gt;&lt;wsp:rsid wsp:val=&quot;00465CD4&quot;/&gt;&lt;wsp:rsid wsp:val=&quot;004663BE&quot;/&gt;&lt;wsp:rsid wsp:val=&quot;004664CC&quot;/&gt;&lt;wsp:rsid wsp:val=&quot;00466541&quot;/&gt;&lt;wsp:rsid wsp:val=&quot;004665A7&quot;/&gt;&lt;wsp:rsid wsp:val=&quot;00467FDE&quot;/&gt;&lt;wsp:rsid wsp:val=&quot;004703F1&quot;/&gt;&lt;wsp:rsid wsp:val=&quot;0047070C&quot;/&gt;&lt;wsp:rsid wsp:val=&quot;00470C44&quot;/&gt;&lt;wsp:rsid wsp:val=&quot;00470EFE&quot;/&gt;&lt;wsp:rsid wsp:val=&quot;00471041&quot;/&gt;&lt;wsp:rsid wsp:val=&quot;00471351&quot;/&gt;&lt;wsp:rsid wsp:val=&quot;004722FE&quot;/&gt;&lt;wsp:rsid wsp:val=&quot;00472EF7&quot;/&gt;&lt;wsp:rsid wsp:val=&quot;004736C3&quot;/&gt;&lt;wsp:rsid wsp:val=&quot;00473C85&quot;/&gt;&lt;wsp:rsid wsp:val=&quot;0047418C&quot;/&gt;&lt;wsp:rsid wsp:val=&quot;0047449A&quot;/&gt;&lt;wsp:rsid wsp:val=&quot;004748B2&quot;/&gt;&lt;wsp:rsid wsp:val=&quot;00474957&quot;/&gt;&lt;wsp:rsid wsp:val=&quot;00474D9A&quot;/&gt;&lt;wsp:rsid wsp:val=&quot;00474F85&quot;/&gt;&lt;wsp:rsid wsp:val=&quot;00475646&quot;/&gt;&lt;wsp:rsid wsp:val=&quot;0047568C&quot;/&gt;&lt;wsp:rsid wsp:val=&quot;00475CA8&quot;/&gt;&lt;wsp:rsid wsp:val=&quot;00476098&quot;/&gt;&lt;wsp:rsid wsp:val=&quot;004762DA&quot;/&gt;&lt;wsp:rsid wsp:val=&quot;00476FFE&quot;/&gt;&lt;wsp:rsid wsp:val=&quot;00477055&quot;/&gt;&lt;wsp:rsid wsp:val=&quot;004771A3&quot;/&gt;&lt;wsp:rsid wsp:val=&quot;004810D5&quot;/&gt;&lt;wsp:rsid wsp:val=&quot;00481408&quot;/&gt;&lt;wsp:rsid wsp:val=&quot;00481411&quot;/&gt;&lt;wsp:rsid wsp:val=&quot;00481760&quot;/&gt;&lt;wsp:rsid wsp:val=&quot;00481965&quot;/&gt;&lt;wsp:rsid wsp:val=&quot;0048228D&quot;/&gt;&lt;wsp:rsid wsp:val=&quot;00482B2C&quot;/&gt;&lt;wsp:rsid wsp:val=&quot;004836B1&quot;/&gt;&lt;wsp:rsid wsp:val=&quot;004836F5&quot;/&gt;&lt;wsp:rsid wsp:val=&quot;00483B48&quot;/&gt;&lt;wsp:rsid wsp:val=&quot;00483E03&quot;/&gt;&lt;wsp:rsid wsp:val=&quot;00483F7C&quot;/&gt;&lt;wsp:rsid wsp:val=&quot;004840C2&quot;/&gt;&lt;wsp:rsid wsp:val=&quot;004845A7&quot;/&gt;&lt;wsp:rsid wsp:val=&quot;00484959&quot;/&gt;&lt;wsp:rsid wsp:val=&quot;00484987&quot;/&gt;&lt;wsp:rsid wsp:val=&quot;00485136&quot;/&gt;&lt;wsp:rsid wsp:val=&quot;004851EA&quot;/&gt;&lt;wsp:rsid wsp:val=&quot;0048553F&quot;/&gt;&lt;wsp:rsid wsp:val=&quot;004857FC&quot;/&gt;&lt;wsp:rsid wsp:val=&quot;00485E3D&quot;/&gt;&lt;wsp:rsid wsp:val=&quot;004868BD&quot;/&gt;&lt;wsp:rsid wsp:val=&quot;00486A15&quot;/&gt;&lt;wsp:rsid wsp:val=&quot;00486B6F&quot;/&gt;&lt;wsp:rsid wsp:val=&quot;0048710C&quot;/&gt;&lt;wsp:rsid wsp:val=&quot;004871E7&quot;/&gt;&lt;wsp:rsid wsp:val=&quot;004874C5&quot;/&gt;&lt;wsp:rsid wsp:val=&quot;0048767F&quot;/&gt;&lt;wsp:rsid wsp:val=&quot;004900AB&quot;/&gt;&lt;wsp:rsid wsp:val=&quot;004906D9&quot;/&gt;&lt;wsp:rsid wsp:val=&quot;0049164C&quot;/&gt;&lt;wsp:rsid wsp:val=&quot;004919E5&quot;/&gt;&lt;wsp:rsid wsp:val=&quot;00492275&quot;/&gt;&lt;wsp:rsid wsp:val=&quot;00492397&quot;/&gt;&lt;wsp:rsid wsp:val=&quot;0049261E&quot;/&gt;&lt;wsp:rsid wsp:val=&quot;00492792&quot;/&gt;&lt;wsp:rsid wsp:val=&quot;00493815&quot;/&gt;&lt;wsp:rsid wsp:val=&quot;004938AD&quot;/&gt;&lt;wsp:rsid wsp:val=&quot;0049422B&quot;/&gt;&lt;wsp:rsid wsp:val=&quot;004943A8&quot;/&gt;&lt;wsp:rsid wsp:val=&quot;004945C1&quot;/&gt;&lt;wsp:rsid wsp:val=&quot;00494F77&quot;/&gt;&lt;wsp:rsid wsp:val=&quot;00494FDA&quot;/&gt;&lt;wsp:rsid wsp:val=&quot;00495801&quot;/&gt;&lt;wsp:rsid wsp:val=&quot;00495BAC&quot;/&gt;&lt;wsp:rsid wsp:val=&quot;00495D57&quot;/&gt;&lt;wsp:rsid wsp:val=&quot;00496263&quot;/&gt;&lt;wsp:rsid wsp:val=&quot;004962A3&quot;/&gt;&lt;wsp:rsid wsp:val=&quot;0049677D&quot;/&gt;&lt;wsp:rsid wsp:val=&quot;00496B9D&quot;/&gt;&lt;wsp:rsid wsp:val=&quot;00496D28&quot;/&gt;&lt;wsp:rsid wsp:val=&quot;00496DC1&quot;/&gt;&lt;wsp:rsid wsp:val=&quot;00496DD2&quot;/&gt;&lt;wsp:rsid wsp:val=&quot;00497E46&quot;/&gt;&lt;wsp:rsid wsp:val=&quot;004A0279&quot;/&gt;&lt;wsp:rsid wsp:val=&quot;004A0299&quot;/&gt;&lt;wsp:rsid wsp:val=&quot;004A03D4&quot;/&gt;&lt;wsp:rsid wsp:val=&quot;004A159F&quot;/&gt;&lt;wsp:rsid wsp:val=&quot;004A1ED6&quot;/&gt;&lt;wsp:rsid wsp:val=&quot;004A205B&quot;/&gt;&lt;wsp:rsid wsp:val=&quot;004A219D&quot;/&gt;&lt;wsp:rsid wsp:val=&quot;004A248E&quot;/&gt;&lt;wsp:rsid wsp:val=&quot;004A25EB&quot;/&gt;&lt;wsp:rsid wsp:val=&quot;004A26EE&quot;/&gt;&lt;wsp:rsid wsp:val=&quot;004A29AE&quot;/&gt;&lt;wsp:rsid wsp:val=&quot;004A2AB4&quot;/&gt;&lt;wsp:rsid wsp:val=&quot;004A2B6E&quot;/&gt;&lt;wsp:rsid wsp:val=&quot;004A2E58&quot;/&gt;&lt;wsp:rsid wsp:val=&quot;004A2EB8&quot;/&gt;&lt;wsp:rsid wsp:val=&quot;004A31CA&quot;/&gt;&lt;wsp:rsid wsp:val=&quot;004A3387&quot;/&gt;&lt;wsp:rsid wsp:val=&quot;004A38E2&quot;/&gt;&lt;wsp:rsid wsp:val=&quot;004A3B28&quot;/&gt;&lt;wsp:rsid wsp:val=&quot;004A3C38&quot;/&gt;&lt;wsp:rsid wsp:val=&quot;004A427D&quot;/&gt;&lt;wsp:rsid wsp:val=&quot;004A4733&quot;/&gt;&lt;wsp:rsid wsp:val=&quot;004A4ADC&quot;/&gt;&lt;wsp:rsid wsp:val=&quot;004A5023&quot;/&gt;&lt;wsp:rsid wsp:val=&quot;004A5E72&quot;/&gt;&lt;wsp:rsid wsp:val=&quot;004A69A6&quot;/&gt;&lt;wsp:rsid wsp:val=&quot;004A70F9&quot;/&gt;&lt;wsp:rsid wsp:val=&quot;004A75AC&quot;/&gt;&lt;wsp:rsid wsp:val=&quot;004A7983&quot;/&gt;&lt;wsp:rsid wsp:val=&quot;004A7A03&quot;/&gt;&lt;wsp:rsid wsp:val=&quot;004B07DA&quot;/&gt;&lt;wsp:rsid wsp:val=&quot;004B0D95&quot;/&gt;&lt;wsp:rsid wsp:val=&quot;004B0F48&quot;/&gt;&lt;wsp:rsid wsp:val=&quot;004B165E&quot;/&gt;&lt;wsp:rsid wsp:val=&quot;004B1E42&quot;/&gt;&lt;wsp:rsid wsp:val=&quot;004B2259&quot;/&gt;&lt;wsp:rsid wsp:val=&quot;004B24D0&quot;/&gt;&lt;wsp:rsid wsp:val=&quot;004B34A1&quot;/&gt;&lt;wsp:rsid wsp:val=&quot;004B360E&quot;/&gt;&lt;wsp:rsid wsp:val=&quot;004B3A3E&quot;/&gt;&lt;wsp:rsid wsp:val=&quot;004B3B8D&quot;/&gt;&lt;wsp:rsid wsp:val=&quot;004B3F3F&quot;/&gt;&lt;wsp:rsid wsp:val=&quot;004B4092&quot;/&gt;&lt;wsp:rsid wsp:val=&quot;004B4816&quot;/&gt;&lt;wsp:rsid wsp:val=&quot;004B4C8C&quot;/&gt;&lt;wsp:rsid wsp:val=&quot;004B4FC8&quot;/&gt;&lt;wsp:rsid wsp:val=&quot;004B50A9&quot;/&gt;&lt;wsp:rsid wsp:val=&quot;004B58C6&quot;/&gt;&lt;wsp:rsid wsp:val=&quot;004B5994&quot;/&gt;&lt;wsp:rsid wsp:val=&quot;004B6268&quot;/&gt;&lt;wsp:rsid wsp:val=&quot;004B66CF&quot;/&gt;&lt;wsp:rsid wsp:val=&quot;004B6740&quot;/&gt;&lt;wsp:rsid wsp:val=&quot;004B6B04&quot;/&gt;&lt;wsp:rsid wsp:val=&quot;004B6C86&quot;/&gt;&lt;wsp:rsid wsp:val=&quot;004B6E4A&quot;/&gt;&lt;wsp:rsid wsp:val=&quot;004B72C6&quot;/&gt;&lt;wsp:rsid wsp:val=&quot;004B7514&quot;/&gt;&lt;wsp:rsid wsp:val=&quot;004B76F7&quot;/&gt;&lt;wsp:rsid wsp:val=&quot;004B79CF&quot;/&gt;&lt;wsp:rsid wsp:val=&quot;004B7B24&quot;/&gt;&lt;wsp:rsid wsp:val=&quot;004C093C&quot;/&gt;&lt;wsp:rsid wsp:val=&quot;004C0FE3&quot;/&gt;&lt;wsp:rsid wsp:val=&quot;004C105E&quot;/&gt;&lt;wsp:rsid wsp:val=&quot;004C14C3&quot;/&gt;&lt;wsp:rsid wsp:val=&quot;004C176D&quot;/&gt;&lt;wsp:rsid wsp:val=&quot;004C188F&quot;/&gt;&lt;wsp:rsid wsp:val=&quot;004C19B8&quot;/&gt;&lt;wsp:rsid wsp:val=&quot;004C1BE3&quot;/&gt;&lt;wsp:rsid wsp:val=&quot;004C1BEA&quot;/&gt;&lt;wsp:rsid wsp:val=&quot;004C28A8&quot;/&gt;&lt;wsp:rsid wsp:val=&quot;004C2D37&quot;/&gt;&lt;wsp:rsid wsp:val=&quot;004C3374&quot;/&gt;&lt;wsp:rsid wsp:val=&quot;004C37A6&quot;/&gt;&lt;wsp:rsid wsp:val=&quot;004C3D7E&quot;/&gt;&lt;wsp:rsid wsp:val=&quot;004C3E25&quot;/&gt;&lt;wsp:rsid wsp:val=&quot;004C3F60&quot;/&gt;&lt;wsp:rsid wsp:val=&quot;004C42A2&quot;/&gt;&lt;wsp:rsid wsp:val=&quot;004C43C0&quot;/&gt;&lt;wsp:rsid wsp:val=&quot;004C43E8&quot;/&gt;&lt;wsp:rsid wsp:val=&quot;004C4B4E&quot;/&gt;&lt;wsp:rsid wsp:val=&quot;004C4CA8&quot;/&gt;&lt;wsp:rsid wsp:val=&quot;004C4D7D&quot;/&gt;&lt;wsp:rsid wsp:val=&quot;004C4D9F&quot;/&gt;&lt;wsp:rsid wsp:val=&quot;004C507A&quot;/&gt;&lt;wsp:rsid wsp:val=&quot;004C5662&quot;/&gt;&lt;wsp:rsid wsp:val=&quot;004C5A3F&quot;/&gt;&lt;wsp:rsid wsp:val=&quot;004C60DB&quot;/&gt;&lt;wsp:rsid wsp:val=&quot;004C6AFF&quot;/&gt;&lt;wsp:rsid wsp:val=&quot;004C6B82&quot;/&gt;&lt;wsp:rsid wsp:val=&quot;004C71E5&quot;/&gt;&lt;wsp:rsid wsp:val=&quot;004C75F4&quot;/&gt;&lt;wsp:rsid wsp:val=&quot;004C7794&quot;/&gt;&lt;wsp:rsid wsp:val=&quot;004D02DF&quot;/&gt;&lt;wsp:rsid wsp:val=&quot;004D0737&quot;/&gt;&lt;wsp:rsid wsp:val=&quot;004D101C&quot;/&gt;&lt;wsp:rsid wsp:val=&quot;004D1543&quot;/&gt;&lt;wsp:rsid wsp:val=&quot;004D1D7E&quot;/&gt;&lt;wsp:rsid wsp:val=&quot;004D2B4B&quot;/&gt;&lt;wsp:rsid wsp:val=&quot;004D2B67&quot;/&gt;&lt;wsp:rsid wsp:val=&quot;004D2CF9&quot;/&gt;&lt;wsp:rsid wsp:val=&quot;004D30C8&quot;/&gt;&lt;wsp:rsid wsp:val=&quot;004D3191&quot;/&gt;&lt;wsp:rsid wsp:val=&quot;004D31BF&quot;/&gt;&lt;wsp:rsid wsp:val=&quot;004D379D&quot;/&gt;&lt;wsp:rsid wsp:val=&quot;004D397C&quot;/&gt;&lt;wsp:rsid wsp:val=&quot;004D4108&quot;/&gt;&lt;wsp:rsid wsp:val=&quot;004D436C&quot;/&gt;&lt;wsp:rsid wsp:val=&quot;004D4593&quot;/&gt;&lt;wsp:rsid wsp:val=&quot;004D471C&quot;/&gt;&lt;wsp:rsid wsp:val=&quot;004D4725&quot;/&gt;&lt;wsp:rsid wsp:val=&quot;004D4DE8&quot;/&gt;&lt;wsp:rsid wsp:val=&quot;004D579E&quot;/&gt;&lt;wsp:rsid wsp:val=&quot;004D5B0D&quot;/&gt;&lt;wsp:rsid wsp:val=&quot;004D61D6&quot;/&gt;&lt;wsp:rsid wsp:val=&quot;004D68B1&quot;/&gt;&lt;wsp:rsid wsp:val=&quot;004D6DD6&quot;/&gt;&lt;wsp:rsid wsp:val=&quot;004D76BC&quot;/&gt;&lt;wsp:rsid wsp:val=&quot;004D7A0A&quot;/&gt;&lt;wsp:rsid wsp:val=&quot;004D7AE6&quot;/&gt;&lt;wsp:rsid wsp:val=&quot;004E059E&quot;/&gt;&lt;wsp:rsid wsp:val=&quot;004E1531&quot;/&gt;&lt;wsp:rsid wsp:val=&quot;004E1C24&quot;/&gt;&lt;wsp:rsid wsp:val=&quot;004E276C&quot;/&gt;&lt;wsp:rsid wsp:val=&quot;004E2FF3&quot;/&gt;&lt;wsp:rsid wsp:val=&quot;004E3D03&quot;/&gt;&lt;wsp:rsid wsp:val=&quot;004E4BA9&quot;/&gt;&lt;wsp:rsid wsp:val=&quot;004E4D02&quot;/&gt;&lt;wsp:rsid wsp:val=&quot;004E4F9B&quot;/&gt;&lt;wsp:rsid wsp:val=&quot;004E5A94&quot;/&gt;&lt;wsp:rsid wsp:val=&quot;004E5CFB&quot;/&gt;&lt;wsp:rsid wsp:val=&quot;004E5EC6&quot;/&gt;&lt;wsp:rsid wsp:val=&quot;004E618C&quot;/&gt;&lt;wsp:rsid wsp:val=&quot;004E65A0&quot;/&gt;&lt;wsp:rsid wsp:val=&quot;004E6738&quot;/&gt;&lt;wsp:rsid wsp:val=&quot;004E6992&quot;/&gt;&lt;wsp:rsid wsp:val=&quot;004E6E4A&quot;/&gt;&lt;wsp:rsid wsp:val=&quot;004E7563&quot;/&gt;&lt;wsp:rsid wsp:val=&quot;004F0EDA&quot;/&gt;&lt;wsp:rsid wsp:val=&quot;004F110F&quot;/&gt;&lt;wsp:rsid wsp:val=&quot;004F1393&quot;/&gt;&lt;wsp:rsid wsp:val=&quot;004F1B89&quot;/&gt;&lt;wsp:rsid wsp:val=&quot;004F1BA1&quot;/&gt;&lt;wsp:rsid wsp:val=&quot;004F1D14&quot;/&gt;&lt;wsp:rsid wsp:val=&quot;004F2076&quot;/&gt;&lt;wsp:rsid wsp:val=&quot;004F2150&quot;/&gt;&lt;wsp:rsid wsp:val=&quot;004F222D&quot;/&gt;&lt;wsp:rsid wsp:val=&quot;004F252F&quot;/&gt;&lt;wsp:rsid wsp:val=&quot;004F276B&quot;/&gt;&lt;wsp:rsid wsp:val=&quot;004F27EC&quot;/&gt;&lt;wsp:rsid wsp:val=&quot;004F2ED8&quot;/&gt;&lt;wsp:rsid wsp:val=&quot;004F3978&quot;/&gt;&lt;wsp:rsid wsp:val=&quot;004F3A53&quot;/&gt;&lt;wsp:rsid wsp:val=&quot;004F3BA1&quot;/&gt;&lt;wsp:rsid wsp:val=&quot;004F3F3E&quot;/&gt;&lt;wsp:rsid wsp:val=&quot;004F40BC&quot;/&gt;&lt;wsp:rsid wsp:val=&quot;004F431C&quot;/&gt;&lt;wsp:rsid wsp:val=&quot;004F43A0&quot;/&gt;&lt;wsp:rsid wsp:val=&quot;004F447B&quot;/&gt;&lt;wsp:rsid wsp:val=&quot;004F4680&quot;/&gt;&lt;wsp:rsid wsp:val=&quot;004F4787&quot;/&gt;&lt;wsp:rsid wsp:val=&quot;004F50F5&quot;/&gt;&lt;wsp:rsid wsp:val=&quot;004F5246&quot;/&gt;&lt;wsp:rsid wsp:val=&quot;004F53D9&quot;/&gt;&lt;wsp:rsid wsp:val=&quot;004F62C1&quot;/&gt;&lt;wsp:rsid wsp:val=&quot;004F696E&quot;/&gt;&lt;wsp:rsid wsp:val=&quot;004F6A4F&quot;/&gt;&lt;wsp:rsid wsp:val=&quot;004F6FF7&quot;/&gt;&lt;wsp:rsid wsp:val=&quot;004F7309&quot;/&gt;&lt;wsp:rsid wsp:val=&quot;004F73C8&quot;/&gt;&lt;wsp:rsid wsp:val=&quot;004F74B1&quot;/&gt;&lt;wsp:rsid wsp:val=&quot;004F7667&quot;/&gt;&lt;wsp:rsid wsp:val=&quot;004F7691&quot;/&gt;&lt;wsp:rsid wsp:val=&quot;004F76F9&quot;/&gt;&lt;wsp:rsid wsp:val=&quot;004F7802&quot;/&gt;&lt;wsp:rsid wsp:val=&quot;004F7996&quot;/&gt;&lt;wsp:rsid wsp:val=&quot;004F7F5B&quot;/&gt;&lt;wsp:rsid wsp:val=&quot;005008EF&quot;/&gt;&lt;wsp:rsid wsp:val=&quot;00501012&quot;/&gt;&lt;wsp:rsid wsp:val=&quot;005019E2&quot;/&gt;&lt;wsp:rsid wsp:val=&quot;005027B0&quot;/&gt;&lt;wsp:rsid wsp:val=&quot;0050302B&quot;/&gt;&lt;wsp:rsid wsp:val=&quot;005031AE&quot;/&gt;&lt;wsp:rsid wsp:val=&quot;0050343F&quot;/&gt;&lt;wsp:rsid wsp:val=&quot;005036F4&quot;/&gt;&lt;wsp:rsid wsp:val=&quot;00503B2F&quot;/&gt;&lt;wsp:rsid wsp:val=&quot;00503B72&quot;/&gt;&lt;wsp:rsid wsp:val=&quot;005045BE&quot;/&gt;&lt;wsp:rsid wsp:val=&quot;005051E1&quot;/&gt;&lt;wsp:rsid wsp:val=&quot;0050522E&quot;/&gt;&lt;wsp:rsid wsp:val=&quot;005053A7&quot;/&gt;&lt;wsp:rsid wsp:val=&quot;00505475&quot;/&gt;&lt;wsp:rsid wsp:val=&quot;00505697&quot;/&gt;&lt;wsp:rsid wsp:val=&quot;00506956&quot;/&gt;&lt;wsp:rsid wsp:val=&quot;00506B66&quot;/&gt;&lt;wsp:rsid wsp:val=&quot;00506CE7&quot;/&gt;&lt;wsp:rsid wsp:val=&quot;00506EF7&quot;/&gt;&lt;wsp:rsid wsp:val=&quot;00507656&quot;/&gt;&lt;wsp:rsid wsp:val=&quot;0050778C&quot;/&gt;&lt;wsp:rsid wsp:val=&quot;00507A6C&quot;/&gt;&lt;wsp:rsid wsp:val=&quot;00507DB6&quot;/&gt;&lt;wsp:rsid wsp:val=&quot;005106E7&quot;/&gt;&lt;wsp:rsid wsp:val=&quot;00510DB0&quot;/&gt;&lt;wsp:rsid wsp:val=&quot;00512960&quot;/&gt;&lt;wsp:rsid wsp:val=&quot;00512E5E&quot;/&gt;&lt;wsp:rsid wsp:val=&quot;0051337F&quot;/&gt;&lt;wsp:rsid wsp:val=&quot;005147E0&quot;/&gt;&lt;wsp:rsid wsp:val=&quot;00514850&quot;/&gt;&lt;wsp:rsid wsp:val=&quot;005159CF&quot;/&gt;&lt;wsp:rsid wsp:val=&quot;00515B68&quot;/&gt;&lt;wsp:rsid wsp:val=&quot;00515D3F&quot;/&gt;&lt;wsp:rsid wsp:val=&quot;00516458&quot;/&gt;&lt;wsp:rsid wsp:val=&quot;00516CD7&quot;/&gt;&lt;wsp:rsid wsp:val=&quot;00516F53&quot;/&gt;&lt;wsp:rsid wsp:val=&quot;00516FF3&quot;/&gt;&lt;wsp:rsid wsp:val=&quot;00517A02&quot;/&gt;&lt;wsp:rsid wsp:val=&quot;00517B8B&quot;/&gt;&lt;wsp:rsid wsp:val=&quot;00517C72&quot;/&gt;&lt;wsp:rsid wsp:val=&quot;00517D93&quot;/&gt;&lt;wsp:rsid wsp:val=&quot;005202B9&quot;/&gt;&lt;wsp:rsid wsp:val=&quot;005216B0&quot;/&gt;&lt;wsp:rsid wsp:val=&quot;0052175C&quot;/&gt;&lt;wsp:rsid wsp:val=&quot;0052181C&quot;/&gt;&lt;wsp:rsid wsp:val=&quot;00521D97&quot;/&gt;&lt;wsp:rsid wsp:val=&quot;0052200F&quot;/&gt;&lt;wsp:rsid wsp:val=&quot;005221F9&quot;/&gt;&lt;wsp:rsid wsp:val=&quot;00522983&quot;/&gt;&lt;wsp:rsid wsp:val=&quot;005230F3&quot;/&gt;&lt;wsp:rsid wsp:val=&quot;00523498&quot;/&gt;&lt;wsp:rsid wsp:val=&quot;0052377E&quot;/&gt;&lt;wsp:rsid wsp:val=&quot;00524AB8&quot;/&gt;&lt;wsp:rsid wsp:val=&quot;005259A8&quot;/&gt;&lt;wsp:rsid wsp:val=&quot;00525F7C&quot;/&gt;&lt;wsp:rsid wsp:val=&quot;00526402&quot;/&gt;&lt;wsp:rsid wsp:val=&quot;0052708F&quot;/&gt;&lt;wsp:rsid wsp:val=&quot;0052781A&quot;/&gt;&lt;wsp:rsid wsp:val=&quot;00527F6A&quot;/&gt;&lt;wsp:rsid wsp:val=&quot;005305F3&quot;/&gt;&lt;wsp:rsid wsp:val=&quot;00530F44&quot;/&gt;&lt;wsp:rsid wsp:val=&quot;00531050&quot;/&gt;&lt;wsp:rsid wsp:val=&quot;005317FA&quot;/&gt;&lt;wsp:rsid wsp:val=&quot;005319BA&quot;/&gt;&lt;wsp:rsid wsp:val=&quot;00531E19&quot;/&gt;&lt;wsp:rsid wsp:val=&quot;005321B6&quot;/&gt;&lt;wsp:rsid wsp:val=&quot;005324F9&quot;/&gt;&lt;wsp:rsid wsp:val=&quot;00532E48&quot;/&gt;&lt;wsp:rsid wsp:val=&quot;0053307C&quot;/&gt;&lt;wsp:rsid wsp:val=&quot;005331AF&quot;/&gt;&lt;wsp:rsid wsp:val=&quot;005346A7&quot;/&gt;&lt;wsp:rsid wsp:val=&quot;00535054&quot;/&gt;&lt;wsp:rsid wsp:val=&quot;005352AD&quot;/&gt;&lt;wsp:rsid wsp:val=&quot;005352E3&quot;/&gt;&lt;wsp:rsid wsp:val=&quot;0053550D&quot;/&gt;&lt;wsp:rsid wsp:val=&quot;0053579F&quot;/&gt;&lt;wsp:rsid wsp:val=&quot;00535817&quot;/&gt;&lt;wsp:rsid wsp:val=&quot;00535933&quot;/&gt;&lt;wsp:rsid wsp:val=&quot;005365D4&quot;/&gt;&lt;wsp:rsid wsp:val=&quot;00536ABA&quot;/&gt;&lt;wsp:rsid wsp:val=&quot;00536F40&quot;/&gt;&lt;wsp:rsid wsp:val=&quot;005372C1&quot;/&gt;&lt;wsp:rsid wsp:val=&quot;00537E9E&quot;/&gt;&lt;wsp:rsid wsp:val=&quot;00540AD7&quot;/&gt;&lt;wsp:rsid wsp:val=&quot;00541753&quot;/&gt;&lt;wsp:rsid wsp:val=&quot;0054191D&quot;/&gt;&lt;wsp:rsid wsp:val=&quot;00541CCA&quot;/&gt;&lt;wsp:rsid wsp:val=&quot;00541D44&quot;/&gt;&lt;wsp:rsid wsp:val=&quot;0054203D&quot;/&gt;&lt;wsp:rsid wsp:val=&quot;005421D4&quot;/&gt;&lt;wsp:rsid wsp:val=&quot;00542906&quot;/&gt;&lt;wsp:rsid wsp:val=&quot;0054293A&quot;/&gt;&lt;wsp:rsid wsp:val=&quot;00543570&quot;/&gt;&lt;wsp:rsid wsp:val=&quot;005437AD&quot;/&gt;&lt;wsp:rsid wsp:val=&quot;00543924&quot;/&gt;&lt;wsp:rsid wsp:val=&quot;00543E5C&quot;/&gt;&lt;wsp:rsid wsp:val=&quot;00544B40&quot;/&gt;&lt;wsp:rsid wsp:val=&quot;00544C21&quot;/&gt;&lt;wsp:rsid wsp:val=&quot;00544FDD&quot;/&gt;&lt;wsp:rsid wsp:val=&quot;00545153&quot;/&gt;&lt;wsp:rsid wsp:val=&quot;0054538D&quot;/&gt;&lt;wsp:rsid wsp:val=&quot;005457C5&quot;/&gt;&lt;wsp:rsid wsp:val=&quot;005458E3&quot;/&gt;&lt;wsp:rsid wsp:val=&quot;00545A4D&quot;/&gt;&lt;wsp:rsid wsp:val=&quot;00545D67&quot;/&gt;&lt;wsp:rsid wsp:val=&quot;005460C6&quot;/&gt;&lt;wsp:rsid wsp:val=&quot;00547443&quot;/&gt;&lt;wsp:rsid wsp:val=&quot;0055079F&quot;/&gt;&lt;wsp:rsid wsp:val=&quot;00550A3A&quot;/&gt;&lt;wsp:rsid wsp:val=&quot;00550AA3&quot;/&gt;&lt;wsp:rsid wsp:val=&quot;00550BBE&quot;/&gt;&lt;wsp:rsid wsp:val=&quot;005520FD&quot;/&gt;&lt;wsp:rsid wsp:val=&quot;005524F6&quot;/&gt;&lt;wsp:rsid wsp:val=&quot;00552A21&quot;/&gt;&lt;wsp:rsid wsp:val=&quot;005531AB&quot;/&gt;&lt;wsp:rsid wsp:val=&quot;00553A9E&quot;/&gt;&lt;wsp:rsid wsp:val=&quot;00553D22&quot;/&gt;&lt;wsp:rsid wsp:val=&quot;00554258&quot;/&gt;&lt;wsp:rsid wsp:val=&quot;00554C01&quot;/&gt;&lt;wsp:rsid wsp:val=&quot;00554D02&quot;/&gt;&lt;wsp:rsid wsp:val=&quot;00554E4A&quot;/&gt;&lt;wsp:rsid wsp:val=&quot;00554FC9&quot;/&gt;&lt;wsp:rsid wsp:val=&quot;00555518&quot;/&gt;&lt;wsp:rsid wsp:val=&quot;00556818&quot;/&gt;&lt;wsp:rsid wsp:val=&quot;00556EC1&quot;/&gt;&lt;wsp:rsid wsp:val=&quot;00557610&quot;/&gt;&lt;wsp:rsid wsp:val=&quot;00560114&quot;/&gt;&lt;wsp:rsid wsp:val=&quot;005601E8&quot;/&gt;&lt;wsp:rsid wsp:val=&quot;005603EA&quot;/&gt;&lt;wsp:rsid wsp:val=&quot;005607F6&quot;/&gt;&lt;wsp:rsid wsp:val=&quot;00560D2A&quot;/&gt;&lt;wsp:rsid wsp:val=&quot;00560DCA&quot;/&gt;&lt;wsp:rsid wsp:val=&quot;005611AD&quot;/&gt;&lt;wsp:rsid wsp:val=&quot;0056141B&quot;/&gt;&lt;wsp:rsid wsp:val=&quot;0056154E&quot;/&gt;&lt;wsp:rsid wsp:val=&quot;00561B3E&quot;/&gt;&lt;wsp:rsid wsp:val=&quot;00562285&quot;/&gt;&lt;wsp:rsid wsp:val=&quot;00562517&quot;/&gt;&lt;wsp:rsid wsp:val=&quot;00562DCF&quot;/&gt;&lt;wsp:rsid wsp:val=&quot;00562E0A&quot;/&gt;&lt;wsp:rsid wsp:val=&quot;00563556&quot;/&gt;&lt;wsp:rsid wsp:val=&quot;005635FC&quot;/&gt;&lt;wsp:rsid wsp:val=&quot;005642B8&quot;/&gt;&lt;wsp:rsid wsp:val=&quot;0056495D&quot;/&gt;&lt;wsp:rsid wsp:val=&quot;00565A79&quot;/&gt;&lt;wsp:rsid wsp:val=&quot;00565BBE&quot;/&gt;&lt;wsp:rsid wsp:val=&quot;00565FA9&quot;/&gt;&lt;wsp:rsid wsp:val=&quot;0056629C&quot;/&gt;&lt;wsp:rsid wsp:val=&quot;00566519&quot;/&gt;&lt;wsp:rsid wsp:val=&quot;0056657E&quot;/&gt;&lt;wsp:rsid wsp:val=&quot;005665EB&quot;/&gt;&lt;wsp:rsid wsp:val=&quot;005668BE&quot;/&gt;&lt;wsp:rsid wsp:val=&quot;00566AFF&quot;/&gt;&lt;wsp:rsid wsp:val=&quot;00566E6F&quot;/&gt;&lt;wsp:rsid wsp:val=&quot;005670E9&quot;/&gt;&lt;wsp:rsid wsp:val=&quot;00567866&quot;/&gt;&lt;wsp:rsid wsp:val=&quot;00567BFA&quot;/&gt;&lt;wsp:rsid wsp:val=&quot;00570BAD&quot;/&gt;&lt;wsp:rsid wsp:val=&quot;0057107A&quot;/&gt;&lt;wsp:rsid wsp:val=&quot;00571514&quot;/&gt;&lt;wsp:rsid wsp:val=&quot;005717D4&quot;/&gt;&lt;wsp:rsid wsp:val=&quot;00571C4D&quot;/&gt;&lt;wsp:rsid wsp:val=&quot;00571E47&quot;/&gt;&lt;wsp:rsid wsp:val=&quot;0057286F&quot;/&gt;&lt;wsp:rsid wsp:val=&quot;00572C6A&quot;/&gt;&lt;wsp:rsid wsp:val=&quot;00573012&quot;/&gt;&lt;wsp:rsid wsp:val=&quot;0057339E&quot;/&gt;&lt;wsp:rsid wsp:val=&quot;00573AD0&quot;/&gt;&lt;wsp:rsid wsp:val=&quot;0057411E&quot;/&gt;&lt;wsp:rsid wsp:val=&quot;005742D4&quot;/&gt;&lt;wsp:rsid wsp:val=&quot;0057470E&quot;/&gt;&lt;wsp:rsid wsp:val=&quot;00574D29&quot;/&gt;&lt;wsp:rsid wsp:val=&quot;00575651&quot;/&gt;&lt;wsp:rsid wsp:val=&quot;00575868&quot;/&gt;&lt;wsp:rsid wsp:val=&quot;00575972&quot;/&gt;&lt;wsp:rsid wsp:val=&quot;00575F99&quot;/&gt;&lt;wsp:rsid wsp:val=&quot;00576218&quot;/&gt;&lt;wsp:rsid wsp:val=&quot;00576268&quot;/&gt;&lt;wsp:rsid wsp:val=&quot;00576451&quot;/&gt;&lt;wsp:rsid wsp:val=&quot;005766E8&quot;/&gt;&lt;wsp:rsid wsp:val=&quot;00576796&quot;/&gt;&lt;wsp:rsid wsp:val=&quot;0057719D&quot;/&gt;&lt;wsp:rsid wsp:val=&quot;005774D2&quot;/&gt;&lt;wsp:rsid wsp:val=&quot;00577EA7&quot;/&gt;&lt;wsp:rsid wsp:val=&quot;00577F89&quot;/&gt;&lt;wsp:rsid wsp:val=&quot;00577FD4&quot;/&gt;&lt;wsp:rsid wsp:val=&quot;00580470&quot;/&gt;&lt;wsp:rsid wsp:val=&quot;005816D8&quot;/&gt;&lt;wsp:rsid wsp:val=&quot;005817B6&quot;/&gt;&lt;wsp:rsid wsp:val=&quot;005817B8&quot;/&gt;&lt;wsp:rsid wsp:val=&quot;005818E2&quot;/&gt;&lt;wsp:rsid wsp:val=&quot;00581A75&quot;/&gt;&lt;wsp:rsid wsp:val=&quot;00581B4F&quot;/&gt;&lt;wsp:rsid wsp:val=&quot;00581DE5&quot;/&gt;&lt;wsp:rsid wsp:val=&quot;00581E6B&quot;/&gt;&lt;wsp:rsid wsp:val=&quot;005823AA&quot;/&gt;&lt;wsp:rsid wsp:val=&quot;00582A71&quot;/&gt;&lt;wsp:rsid wsp:val=&quot;00582C4F&quot;/&gt;&lt;wsp:rsid wsp:val=&quot;00583071&quot;/&gt;&lt;wsp:rsid wsp:val=&quot;00583413&quot;/&gt;&lt;wsp:rsid wsp:val=&quot;0058389D&quot;/&gt;&lt;wsp:rsid wsp:val=&quot;00583E01&quot;/&gt;&lt;wsp:rsid wsp:val=&quot;00585962&quot;/&gt;&lt;wsp:rsid wsp:val=&quot;00586086&quot;/&gt;&lt;wsp:rsid wsp:val=&quot;0058640B&quot;/&gt;&lt;wsp:rsid wsp:val=&quot;0058677E&quot;/&gt;&lt;wsp:rsid wsp:val=&quot;00586F7A&quot;/&gt;&lt;wsp:rsid wsp:val=&quot;005871B8&quot;/&gt;&lt;wsp:rsid wsp:val=&quot;00587DF9&quot;/&gt;&lt;wsp:rsid wsp:val=&quot;00587F78&quot;/&gt;&lt;wsp:rsid wsp:val=&quot;00590569&quot;/&gt;&lt;wsp:rsid wsp:val=&quot;0059124A&quot;/&gt;&lt;wsp:rsid wsp:val=&quot;00591A3B&quot;/&gt;&lt;wsp:rsid wsp:val=&quot;00592339&quot;/&gt;&lt;wsp:rsid wsp:val=&quot;005925F4&quot;/&gt;&lt;wsp:rsid wsp:val=&quot;0059300F&quot;/&gt;&lt;wsp:rsid wsp:val=&quot;005935B8&quot;/&gt;&lt;wsp:rsid wsp:val=&quot;00593CFA&quot;/&gt;&lt;wsp:rsid wsp:val=&quot;00594064&quot;/&gt;&lt;wsp:rsid wsp:val=&quot;0059440B&quot;/&gt;&lt;wsp:rsid wsp:val=&quot;00594884&quot;/&gt;&lt;wsp:rsid wsp:val=&quot;00594B7A&quot;/&gt;&lt;wsp:rsid wsp:val=&quot;00594BF4&quot;/&gt;&lt;wsp:rsid wsp:val=&quot;00594CBB&quot;/&gt;&lt;wsp:rsid wsp:val=&quot;00594EAE&quot;/&gt;&lt;wsp:rsid wsp:val=&quot;0059523E&quot;/&gt;&lt;wsp:rsid wsp:val=&quot;00595548&quot;/&gt;&lt;wsp:rsid wsp:val=&quot;0059560F&quot;/&gt;&lt;wsp:rsid wsp:val=&quot;00596318&quot;/&gt;&lt;wsp:rsid wsp:val=&quot;00596BE2&quot;/&gt;&lt;wsp:rsid wsp:val=&quot;00596D1A&quot;/&gt;&lt;wsp:rsid wsp:val=&quot;005A06DB&quot;/&gt;&lt;wsp:rsid wsp:val=&quot;005A0A75&quot;/&gt;&lt;wsp:rsid wsp:val=&quot;005A0D74&quot;/&gt;&lt;wsp:rsid wsp:val=&quot;005A14CF&quot;/&gt;&lt;wsp:rsid wsp:val=&quot;005A1548&quot;/&gt;&lt;wsp:rsid wsp:val=&quot;005A1AC0&quot;/&gt;&lt;wsp:rsid wsp:val=&quot;005A1D93&quot;/&gt;&lt;wsp:rsid wsp:val=&quot;005A2037&quot;/&gt;&lt;wsp:rsid wsp:val=&quot;005A3930&quot;/&gt;&lt;wsp:rsid wsp:val=&quot;005A3B0B&quot;/&gt;&lt;wsp:rsid wsp:val=&quot;005A3B5D&quot;/&gt;&lt;wsp:rsid wsp:val=&quot;005A40AF&quot;/&gt;&lt;wsp:rsid wsp:val=&quot;005A447C&quot;/&gt;&lt;wsp:rsid wsp:val=&quot;005A4666&quot;/&gt;&lt;wsp:rsid wsp:val=&quot;005A4C97&quot;/&gt;&lt;wsp:rsid wsp:val=&quot;005A5539&quot;/&gt;&lt;wsp:rsid wsp:val=&quot;005A556D&quot;/&gt;&lt;wsp:rsid wsp:val=&quot;005A59C2&quot;/&gt;&lt;wsp:rsid wsp:val=&quot;005A62CC&quot;/&gt;&lt;wsp:rsid wsp:val=&quot;005A66D5&quot;/&gt;&lt;wsp:rsid wsp:val=&quot;005A73E7&quot;/&gt;&lt;wsp:rsid wsp:val=&quot;005A74C1&quot;/&gt;&lt;wsp:rsid wsp:val=&quot;005A78DC&quot;/&gt;&lt;wsp:rsid wsp:val=&quot;005A798B&quot;/&gt;&lt;wsp:rsid wsp:val=&quot;005A7C61&quot;/&gt;&lt;wsp:rsid wsp:val=&quot;005B0151&quot;/&gt;&lt;wsp:rsid wsp:val=&quot;005B0161&quot;/&gt;&lt;wsp:rsid wsp:val=&quot;005B0666&quot;/&gt;&lt;wsp:rsid wsp:val=&quot;005B0A12&quot;/&gt;&lt;wsp:rsid wsp:val=&quot;005B0BCC&quot;/&gt;&lt;wsp:rsid wsp:val=&quot;005B0F41&quot;/&gt;&lt;wsp:rsid wsp:val=&quot;005B16F8&quot;/&gt;&lt;wsp:rsid wsp:val=&quot;005B183A&quot;/&gt;&lt;wsp:rsid wsp:val=&quot;005B1FC4&quot;/&gt;&lt;wsp:rsid wsp:val=&quot;005B24F7&quot;/&gt;&lt;wsp:rsid wsp:val=&quot;005B2E38&quot;/&gt;&lt;wsp:rsid wsp:val=&quot;005B2F22&quot;/&gt;&lt;wsp:rsid wsp:val=&quot;005B30B5&quot;/&gt;&lt;wsp:rsid wsp:val=&quot;005B35EC&quot;/&gt;&lt;wsp:rsid wsp:val=&quot;005B388D&quot;/&gt;&lt;wsp:rsid wsp:val=&quot;005B3F5E&quot;/&gt;&lt;wsp:rsid wsp:val=&quot;005B405E&quot;/&gt;&lt;wsp:rsid wsp:val=&quot;005B4E94&quot;/&gt;&lt;wsp:rsid wsp:val=&quot;005B502B&quot;/&gt;&lt;wsp:rsid wsp:val=&quot;005B50D3&quot;/&gt;&lt;wsp:rsid wsp:val=&quot;005B5E70&quot;/&gt;&lt;wsp:rsid wsp:val=&quot;005B5F2B&quot;/&gt;&lt;wsp:rsid wsp:val=&quot;005B60B8&quot;/&gt;&lt;wsp:rsid wsp:val=&quot;005B68AE&quot;/&gt;&lt;wsp:rsid wsp:val=&quot;005B68EA&quot;/&gt;&lt;wsp:rsid wsp:val=&quot;005B6BF2&quot;/&gt;&lt;wsp:rsid wsp:val=&quot;005B6D8C&quot;/&gt;&lt;wsp:rsid wsp:val=&quot;005B7923&quot;/&gt;&lt;wsp:rsid wsp:val=&quot;005B7F18&quot;/&gt;&lt;wsp:rsid wsp:val=&quot;005C0526&quot;/&gt;&lt;wsp:rsid wsp:val=&quot;005C053C&quot;/&gt;&lt;wsp:rsid wsp:val=&quot;005C0982&quot;/&gt;&lt;wsp:rsid wsp:val=&quot;005C09B0&quot;/&gt;&lt;wsp:rsid wsp:val=&quot;005C0AB6&quot;/&gt;&lt;wsp:rsid wsp:val=&quot;005C0E12&quot;/&gt;&lt;wsp:rsid wsp:val=&quot;005C10B7&quot;/&gt;&lt;wsp:rsid wsp:val=&quot;005C1BBF&quot;/&gt;&lt;wsp:rsid wsp:val=&quot;005C225B&quot;/&gt;&lt;wsp:rsid wsp:val=&quot;005C2A6B&quot;/&gt;&lt;wsp:rsid wsp:val=&quot;005C2C66&quot;/&gt;&lt;wsp:rsid wsp:val=&quot;005C2E45&quot;/&gt;&lt;wsp:rsid wsp:val=&quot;005C3437&quot;/&gt;&lt;wsp:rsid wsp:val=&quot;005C3869&quot;/&gt;&lt;wsp:rsid wsp:val=&quot;005C38A4&quot;/&gt;&lt;wsp:rsid wsp:val=&quot;005C3B1B&quot;/&gt;&lt;wsp:rsid wsp:val=&quot;005C462D&quot;/&gt;&lt;wsp:rsid wsp:val=&quot;005C4F55&quot;/&gt;&lt;wsp:rsid wsp:val=&quot;005C68CB&quot;/&gt;&lt;wsp:rsid wsp:val=&quot;005C6901&quot;/&gt;&lt;wsp:rsid wsp:val=&quot;005C6A0A&quot;/&gt;&lt;wsp:rsid wsp:val=&quot;005C6FC8&quot;/&gt;&lt;wsp:rsid wsp:val=&quot;005C71C8&quot;/&gt;&lt;wsp:rsid wsp:val=&quot;005C787D&quot;/&gt;&lt;wsp:rsid wsp:val=&quot;005C7C25&quot;/&gt;&lt;wsp:rsid wsp:val=&quot;005C7ED2&quot;/&gt;&lt;wsp:rsid wsp:val=&quot;005D0099&quot;/&gt;&lt;wsp:rsid wsp:val=&quot;005D038D&quot;/&gt;&lt;wsp:rsid wsp:val=&quot;005D14BF&quot;/&gt;&lt;wsp:rsid wsp:val=&quot;005D18DE&quot;/&gt;&lt;wsp:rsid wsp:val=&quot;005D1910&quot;/&gt;&lt;wsp:rsid wsp:val=&quot;005D24D5&quot;/&gt;&lt;wsp:rsid wsp:val=&quot;005D344E&quot;/&gt;&lt;wsp:rsid wsp:val=&quot;005D4699&quot;/&gt;&lt;wsp:rsid wsp:val=&quot;005D46C1&quot;/&gt;&lt;wsp:rsid wsp:val=&quot;005D4DB4&quot;/&gt;&lt;wsp:rsid wsp:val=&quot;005D5123&quot;/&gt;&lt;wsp:rsid wsp:val=&quot;005D5961&quot;/&gt;&lt;wsp:rsid wsp:val=&quot;005D5BB0&quot;/&gt;&lt;wsp:rsid wsp:val=&quot;005D5C9C&quot;/&gt;&lt;wsp:rsid wsp:val=&quot;005D5F1D&quot;/&gt;&lt;wsp:rsid wsp:val=&quot;005D6BA8&quot;/&gt;&lt;wsp:rsid wsp:val=&quot;005D710E&quot;/&gt;&lt;wsp:rsid wsp:val=&quot;005D7793&quot;/&gt;&lt;wsp:rsid wsp:val=&quot;005D7A29&quot;/&gt;&lt;wsp:rsid wsp:val=&quot;005E00EA&quot;/&gt;&lt;wsp:rsid wsp:val=&quot;005E03C5&quot;/&gt;&lt;wsp:rsid wsp:val=&quot;005E04D6&quot;/&gt;&lt;wsp:rsid wsp:val=&quot;005E062B&quot;/&gt;&lt;wsp:rsid wsp:val=&quot;005E08F1&quot;/&gt;&lt;wsp:rsid wsp:val=&quot;005E0A65&quot;/&gt;&lt;wsp:rsid wsp:val=&quot;005E1779&quot;/&gt;&lt;wsp:rsid wsp:val=&quot;005E1782&quot;/&gt;&lt;wsp:rsid wsp:val=&quot;005E1930&quot;/&gt;&lt;wsp:rsid wsp:val=&quot;005E194B&quot;/&gt;&lt;wsp:rsid wsp:val=&quot;005E1F27&quot;/&gt;&lt;wsp:rsid wsp:val=&quot;005E2307&quot;/&gt;&lt;wsp:rsid wsp:val=&quot;005E241D&quot;/&gt;&lt;wsp:rsid wsp:val=&quot;005E2846&quot;/&gt;&lt;wsp:rsid wsp:val=&quot;005E2AB3&quot;/&gt;&lt;wsp:rsid wsp:val=&quot;005E3228&quot;/&gt;&lt;wsp:rsid wsp:val=&quot;005E3AB2&quot;/&gt;&lt;wsp:rsid wsp:val=&quot;005E3DC5&quot;/&gt;&lt;wsp:rsid wsp:val=&quot;005E3F50&quot;/&gt;&lt;wsp:rsid wsp:val=&quot;005E3FBA&quot;/&gt;&lt;wsp:rsid wsp:val=&quot;005E4E35&quot;/&gt;&lt;wsp:rsid wsp:val=&quot;005E505C&quot;/&gt;&lt;wsp:rsid wsp:val=&quot;005E5167&quot;/&gt;&lt;wsp:rsid wsp:val=&quot;005E59C4&quot;/&gt;&lt;wsp:rsid wsp:val=&quot;005E734E&quot;/&gt;&lt;wsp:rsid wsp:val=&quot;005E7354&quot;/&gt;&lt;wsp:rsid wsp:val=&quot;005E76EC&quot;/&gt;&lt;wsp:rsid wsp:val=&quot;005E7DC1&quot;/&gt;&lt;wsp:rsid wsp:val=&quot;005F0A42&quot;/&gt;&lt;wsp:rsid wsp:val=&quot;005F0B58&quot;/&gt;&lt;wsp:rsid wsp:val=&quot;005F15DD&quot;/&gt;&lt;wsp:rsid wsp:val=&quot;005F18DF&quot;/&gt;&lt;wsp:rsid wsp:val=&quot;005F202C&quot;/&gt;&lt;wsp:rsid wsp:val=&quot;005F24C6&quot;/&gt;&lt;wsp:rsid wsp:val=&quot;005F2F1B&quot;/&gt;&lt;wsp:rsid wsp:val=&quot;005F3032&quot;/&gt;&lt;wsp:rsid wsp:val=&quot;005F3269&quot;/&gt;&lt;wsp:rsid wsp:val=&quot;005F3283&quot;/&gt;&lt;wsp:rsid wsp:val=&quot;005F3949&quot;/&gt;&lt;wsp:rsid wsp:val=&quot;005F496E&quot;/&gt;&lt;wsp:rsid wsp:val=&quot;005F4ABE&quot;/&gt;&lt;wsp:rsid wsp:val=&quot;005F5820&quot;/&gt;&lt;wsp:rsid wsp:val=&quot;005F65BC&quot;/&gt;&lt;wsp:rsid wsp:val=&quot;005F65D2&quot;/&gt;&lt;wsp:rsid wsp:val=&quot;005F7634&quot;/&gt;&lt;wsp:rsid wsp:val=&quot;005F77A7&quot;/&gt;&lt;wsp:rsid wsp:val=&quot;005F7D6F&quot;/&gt;&lt;wsp:rsid wsp:val=&quot;00600A64&quot;/&gt;&lt;wsp:rsid wsp:val=&quot;00600C27&quot;/&gt;&lt;wsp:rsid wsp:val=&quot;0060130D&quot;/&gt;&lt;wsp:rsid wsp:val=&quot;00601614&quot;/&gt;&lt;wsp:rsid wsp:val=&quot;00601D88&quot;/&gt;&lt;wsp:rsid wsp:val=&quot;00602218&quot;/&gt;&lt;wsp:rsid wsp:val=&quot;00602ED0&quot;/&gt;&lt;wsp:rsid wsp:val=&quot;00603052&quot;/&gt;&lt;wsp:rsid wsp:val=&quot;00603101&quot;/&gt;&lt;wsp:rsid wsp:val=&quot;006033D9&quot;/&gt;&lt;wsp:rsid wsp:val=&quot;00603637&quot;/&gt;&lt;wsp:rsid wsp:val=&quot;00603650&quot;/&gt;&lt;wsp:rsid wsp:val=&quot;00603886&quot;/&gt;&lt;wsp:rsid wsp:val=&quot;00603C5D&quot;/&gt;&lt;wsp:rsid wsp:val=&quot;00603FBB&quot;/&gt;&lt;wsp:rsid wsp:val=&quot;00604425&quot;/&gt;&lt;wsp:rsid wsp:val=&quot;00604E8A&quot;/&gt;&lt;wsp:rsid wsp:val=&quot;00605C71&quot;/&gt;&lt;wsp:rsid wsp:val=&quot;006071D1&quot;/&gt;&lt;wsp:rsid wsp:val=&quot;006073D9&quot;/&gt;&lt;wsp:rsid wsp:val=&quot;00607844&quot;/&gt;&lt;wsp:rsid wsp:val=&quot;0060796C&quot;/&gt;&lt;wsp:rsid wsp:val=&quot;00610556&quot;/&gt;&lt;wsp:rsid wsp:val=&quot;00610894&quot;/&gt;&lt;wsp:rsid wsp:val=&quot;00610F60&quot;/&gt;&lt;wsp:rsid wsp:val=&quot;00611100&quot;/&gt;&lt;wsp:rsid wsp:val=&quot;00611194&quot;/&gt;&lt;wsp:rsid wsp:val=&quot;006113DE&quot;/&gt;&lt;wsp:rsid wsp:val=&quot;006115EF&quot;/&gt;&lt;wsp:rsid wsp:val=&quot;0061163E&quot;/&gt;&lt;wsp:rsid wsp:val=&quot;0061172C&quot;/&gt;&lt;wsp:rsid wsp:val=&quot;006118E9&quot;/&gt;&lt;wsp:rsid wsp:val=&quot;00612316&quot;/&gt;&lt;wsp:rsid wsp:val=&quot;006124C1&quot;/&gt;&lt;wsp:rsid wsp:val=&quot;00612CB0&quot;/&gt;&lt;wsp:rsid wsp:val=&quot;00612EF3&quot;/&gt;&lt;wsp:rsid wsp:val=&quot;00613D92&quot;/&gt;&lt;wsp:rsid wsp:val=&quot;00615592&quot;/&gt;&lt;wsp:rsid wsp:val=&quot;006155AA&quot;/&gt;&lt;wsp:rsid wsp:val=&quot;00615DC5&quot;/&gt;&lt;wsp:rsid wsp:val=&quot;00615F90&quot;/&gt;&lt;wsp:rsid wsp:val=&quot;0061709E&quot;/&gt;&lt;wsp:rsid wsp:val=&quot;006174DC&quot;/&gt;&lt;wsp:rsid wsp:val=&quot;00617790&quot;/&gt;&lt;wsp:rsid wsp:val=&quot;0062097F&quot;/&gt;&lt;wsp:rsid wsp:val=&quot;00621165&quot;/&gt;&lt;wsp:rsid wsp:val=&quot;00621DB5&quot;/&gt;&lt;wsp:rsid wsp:val=&quot;00624500&quot;/&gt;&lt;wsp:rsid wsp:val=&quot;00624644&quot;/&gt;&lt;wsp:rsid wsp:val=&quot;00624808&quot;/&gt;&lt;wsp:rsid wsp:val=&quot;0062487B&quot;/&gt;&lt;wsp:rsid wsp:val=&quot;00624934&quot;/&gt;&lt;wsp:rsid wsp:val=&quot;00624EB0&quot;/&gt;&lt;wsp:rsid wsp:val=&quot;006250EE&quot;/&gt;&lt;wsp:rsid wsp:val=&quot;0062562C&quot;/&gt;&lt;wsp:rsid wsp:val=&quot;00625A38&quot;/&gt;&lt;wsp:rsid wsp:val=&quot;00625BFE&quot;/&gt;&lt;wsp:rsid wsp:val=&quot;00625D28&quot;/&gt;&lt;wsp:rsid wsp:val=&quot;00626211&quot;/&gt;&lt;wsp:rsid wsp:val=&quot;006269F9&quot;/&gt;&lt;wsp:rsid wsp:val=&quot;00626B45&quot;/&gt;&lt;wsp:rsid wsp:val=&quot;0062714E&quot;/&gt;&lt;wsp:rsid wsp:val=&quot;00627295&quot;/&gt;&lt;wsp:rsid wsp:val=&quot;00627DE3&quot;/&gt;&lt;wsp:rsid wsp:val=&quot;0063024B&quot;/&gt;&lt;wsp:rsid wsp:val=&quot;00630691&quot;/&gt;&lt;wsp:rsid wsp:val=&quot;00631A79&quot;/&gt;&lt;wsp:rsid wsp:val=&quot;00631D1B&quot;/&gt;&lt;wsp:rsid wsp:val=&quot;00631DA6&quot;/&gt;&lt;wsp:rsid wsp:val=&quot;00631E2A&quot;/&gt;&lt;wsp:rsid wsp:val=&quot;006320DF&quot;/&gt;&lt;wsp:rsid wsp:val=&quot;00632161&quot;/&gt;&lt;wsp:rsid wsp:val=&quot;006329BD&quot;/&gt;&lt;wsp:rsid wsp:val=&quot;00632BF7&quot;/&gt;&lt;wsp:rsid wsp:val=&quot;00634445&quot;/&gt;&lt;wsp:rsid wsp:val=&quot;00634E2A&quot;/&gt;&lt;wsp:rsid wsp:val=&quot;00634E7D&quot;/&gt;&lt;wsp:rsid wsp:val=&quot;00635927&quot;/&gt;&lt;wsp:rsid wsp:val=&quot;006365B8&quot;/&gt;&lt;wsp:rsid wsp:val=&quot;00637394&quot;/&gt;&lt;wsp:rsid wsp:val=&quot;00637814&quot;/&gt;&lt;wsp:rsid wsp:val=&quot;0064044E&quot;/&gt;&lt;wsp:rsid wsp:val=&quot;006406A3&quot;/&gt;&lt;wsp:rsid wsp:val=&quot;006406B8&quot;/&gt;&lt;wsp:rsid wsp:val=&quot;0064130E&quot;/&gt;&lt;wsp:rsid wsp:val=&quot;00641735&quot;/&gt;&lt;wsp:rsid wsp:val=&quot;00641905&quot;/&gt;&lt;wsp:rsid wsp:val=&quot;00641A19&quot;/&gt;&lt;wsp:rsid wsp:val=&quot;00641D4B&quot;/&gt;&lt;wsp:rsid wsp:val=&quot;00642177&quot;/&gt;&lt;wsp:rsid wsp:val=&quot;00642443&quot;/&gt;&lt;wsp:rsid wsp:val=&quot;00642BF8&quot;/&gt;&lt;wsp:rsid wsp:val=&quot;00642FD5&quot;/&gt;&lt;wsp:rsid wsp:val=&quot;006430AA&quot;/&gt;&lt;wsp:rsid wsp:val=&quot;0064370D&quot;/&gt;&lt;wsp:rsid wsp:val=&quot;006448A0&quot;/&gt;&lt;wsp:rsid wsp:val=&quot;00645BC7&quot;/&gt;&lt;wsp:rsid wsp:val=&quot;00645E22&quot;/&gt;&lt;wsp:rsid wsp:val=&quot;006460FA&quot;/&gt;&lt;wsp:rsid wsp:val=&quot;0064619C&quot;/&gt;&lt;wsp:rsid wsp:val=&quot;00646522&quot;/&gt;&lt;wsp:rsid wsp:val=&quot;00646AB1&quot;/&gt;&lt;wsp:rsid wsp:val=&quot;00646EE5&quot;/&gt;&lt;wsp:rsid wsp:val=&quot;006470B4&quot;/&gt;&lt;wsp:rsid wsp:val=&quot;006473E8&quot;/&gt;&lt;wsp:rsid wsp:val=&quot;006479D9&quot;/&gt;&lt;wsp:rsid wsp:val=&quot;00647E03&quot;/&gt;&lt;wsp:rsid wsp:val=&quot;0065025D&quot;/&gt;&lt;wsp:rsid wsp:val=&quot;006505D0&quot;/&gt;&lt;wsp:rsid wsp:val=&quot;006509E8&quot;/&gt;&lt;wsp:rsid wsp:val=&quot;006510CF&quot;/&gt;&lt;wsp:rsid wsp:val=&quot;006513F0&quot;/&gt;&lt;wsp:rsid wsp:val=&quot;006515B2&quot;/&gt;&lt;wsp:rsid wsp:val=&quot;0065172D&quot;/&gt;&lt;wsp:rsid wsp:val=&quot;00651751&quot;/&gt;&lt;wsp:rsid wsp:val=&quot;00651F99&quot;/&gt;&lt;wsp:rsid wsp:val=&quot;006523C3&quot;/&gt;&lt;wsp:rsid wsp:val=&quot;0065244B&quot;/&gt;&lt;wsp:rsid wsp:val=&quot;006536C5&quot;/&gt;&lt;wsp:rsid wsp:val=&quot;00653B23&quot;/&gt;&lt;wsp:rsid wsp:val=&quot;00653F22&quot;/&gt;&lt;wsp:rsid wsp:val=&quot;00654420&quot;/&gt;&lt;wsp:rsid wsp:val=&quot;00654EDC&quot;/&gt;&lt;wsp:rsid wsp:val=&quot;006550A8&quot;/&gt;&lt;wsp:rsid wsp:val=&quot;00655EB9&quot;/&gt;&lt;wsp:rsid wsp:val=&quot;00655FE2&quot;/&gt;&lt;wsp:rsid wsp:val=&quot;00656CBE&quot;/&gt;&lt;wsp:rsid wsp:val=&quot;00656E2E&quot;/&gt;&lt;wsp:rsid wsp:val=&quot;00656F10&quot;/&gt;&lt;wsp:rsid wsp:val=&quot;00657066&quot;/&gt;&lt;wsp:rsid wsp:val=&quot;00657094&quot;/&gt;&lt;wsp:rsid wsp:val=&quot;006570F7&quot;/&gt;&lt;wsp:rsid wsp:val=&quot;0065725F&quot;/&gt;&lt;wsp:rsid wsp:val=&quot;006577D2&quot;/&gt;&lt;wsp:rsid wsp:val=&quot;00657AEE&quot;/&gt;&lt;wsp:rsid wsp:val=&quot;00657CDB&quot;/&gt;&lt;wsp:rsid wsp:val=&quot;00660094&quot;/&gt;&lt;wsp:rsid wsp:val=&quot;00660DCE&quot;/&gt;&lt;wsp:rsid wsp:val=&quot;006615D0&quot;/&gt;&lt;wsp:rsid wsp:val=&quot;00661890&quot;/&gt;&lt;wsp:rsid wsp:val=&quot;00662A17&quot;/&gt;&lt;wsp:rsid wsp:val=&quot;00662D05&quot;/&gt;&lt;wsp:rsid wsp:val=&quot;00662D0A&quot;/&gt;&lt;wsp:rsid wsp:val=&quot;00662D7A&quot;/&gt;&lt;wsp:rsid wsp:val=&quot;006645B4&quot;/&gt;&lt;wsp:rsid wsp:val=&quot;0066492E&quot;/&gt;&lt;wsp:rsid wsp:val=&quot;006660AD&quot;/&gt;&lt;wsp:rsid wsp:val=&quot;0066697E&quot;/&gt;&lt;wsp:rsid wsp:val=&quot;00670026&quot;/&gt;&lt;wsp:rsid wsp:val=&quot;00670384&quot;/&gt;&lt;wsp:rsid wsp:val=&quot;006704FA&quot;/&gt;&lt;wsp:rsid wsp:val=&quot;00672BE5&quot;/&gt;&lt;wsp:rsid wsp:val=&quot;00672C94&quot;/&gt;&lt;wsp:rsid wsp:val=&quot;00672E5D&quot;/&gt;&lt;wsp:rsid wsp:val=&quot;0067363C&quot;/&gt;&lt;wsp:rsid wsp:val=&quot;006736CD&quot;/&gt;&lt;wsp:rsid wsp:val=&quot;0067372B&quot;/&gt;&lt;wsp:rsid wsp:val=&quot;0067383B&quot;/&gt;&lt;wsp:rsid wsp:val=&quot;006739E3&quot;/&gt;&lt;wsp:rsid wsp:val=&quot;00673C9F&quot;/&gt;&lt;wsp:rsid wsp:val=&quot;00674788&quot;/&gt;&lt;wsp:rsid wsp:val=&quot;006748EE&quot;/&gt;&lt;wsp:rsid wsp:val=&quot;0067492D&quot;/&gt;&lt;wsp:rsid wsp:val=&quot;00674AC1&quot;/&gt;&lt;wsp:rsid wsp:val=&quot;00674B99&quot;/&gt;&lt;wsp:rsid wsp:val=&quot;0067611F&quot;/&gt;&lt;wsp:rsid wsp:val=&quot;00676315&quot;/&gt;&lt;wsp:rsid wsp:val=&quot;0067664A&quot;/&gt;&lt;wsp:rsid wsp:val=&quot;00676E91&quot;/&gt;&lt;wsp:rsid wsp:val=&quot;00677708&quot;/&gt;&lt;wsp:rsid wsp:val=&quot;006779FD&quot;/&gt;&lt;wsp:rsid wsp:val=&quot;006804DF&quot;/&gt;&lt;wsp:rsid wsp:val=&quot;0068089A&quot;/&gt;&lt;wsp:rsid wsp:val=&quot;0068148B&quot;/&gt;&lt;wsp:rsid wsp:val=&quot;006817E6&quot;/&gt;&lt;wsp:rsid wsp:val=&quot;006819DC&quot;/&gt;&lt;wsp:rsid wsp:val=&quot;00681A31&quot;/&gt;&lt;wsp:rsid wsp:val=&quot;00681B59&quot;/&gt;&lt;wsp:rsid wsp:val=&quot;00682161&quot;/&gt;&lt;wsp:rsid wsp:val=&quot;006821DF&quot;/&gt;&lt;wsp:rsid wsp:val=&quot;006825B7&quot;/&gt;&lt;wsp:rsid wsp:val=&quot;00682B51&quot;/&gt;&lt;wsp:rsid wsp:val=&quot;00683718&quot;/&gt;&lt;wsp:rsid wsp:val=&quot;00684582&quot;/&gt;&lt;wsp:rsid wsp:val=&quot;0068495E&quot;/&gt;&lt;wsp:rsid wsp:val=&quot;00684BA4&quot;/&gt;&lt;wsp:rsid wsp:val=&quot;00686A5B&quot;/&gt;&lt;wsp:rsid wsp:val=&quot;00686B56&quot;/&gt;&lt;wsp:rsid wsp:val=&quot;00686C09&quot;/&gt;&lt;wsp:rsid wsp:val=&quot;00687115&quot;/&gt;&lt;wsp:rsid wsp:val=&quot;006902FC&quot;/&gt;&lt;wsp:rsid wsp:val=&quot;006906B5&quot;/&gt;&lt;wsp:rsid wsp:val=&quot;0069086E&quot;/&gt;&lt;wsp:rsid wsp:val=&quot;0069107C&quot;/&gt;&lt;wsp:rsid wsp:val=&quot;00691891&quot;/&gt;&lt;wsp:rsid wsp:val=&quot;006920D9&quot;/&gt;&lt;wsp:rsid wsp:val=&quot;0069245F&quot;/&gt;&lt;wsp:rsid wsp:val=&quot;0069282B&quot;/&gt;&lt;wsp:rsid wsp:val=&quot;00692DFC&quot;/&gt;&lt;wsp:rsid wsp:val=&quot;00693CAA&quot;/&gt;&lt;wsp:rsid wsp:val=&quot;00693F24&quot;/&gt;&lt;wsp:rsid wsp:val=&quot;006940EC&quot;/&gt;&lt;wsp:rsid wsp:val=&quot;006944F8&quot;/&gt;&lt;wsp:rsid wsp:val=&quot;00694571&quot;/&gt;&lt;wsp:rsid wsp:val=&quot;00694D83&quot;/&gt;&lt;wsp:rsid wsp:val=&quot;0069513E&quot;/&gt;&lt;wsp:rsid wsp:val=&quot;00695276&quot;/&gt;&lt;wsp:rsid wsp:val=&quot;00695B7E&quot;/&gt;&lt;wsp:rsid wsp:val=&quot;00695F61&quot;/&gt;&lt;wsp:rsid wsp:val=&quot;006960FA&quot;/&gt;&lt;wsp:rsid wsp:val=&quot;0069632B&quot;/&gt;&lt;wsp:rsid wsp:val=&quot;006967F2&quot;/&gt;&lt;wsp:rsid wsp:val=&quot;00696B3C&quot;/&gt;&lt;wsp:rsid wsp:val=&quot;00697C4C&quot;/&gt;&lt;wsp:rsid wsp:val=&quot;006A01E7&quot;/&gt;&lt;wsp:rsid wsp:val=&quot;006A0BD1&quot;/&gt;&lt;wsp:rsid wsp:val=&quot;006A0EBB&quot;/&gt;&lt;wsp:rsid wsp:val=&quot;006A30C8&quot;/&gt;&lt;wsp:rsid wsp:val=&quot;006A3427&quot;/&gt;&lt;wsp:rsid wsp:val=&quot;006A3DC7&quot;/&gt;&lt;wsp:rsid wsp:val=&quot;006A3FCD&quot;/&gt;&lt;wsp:rsid wsp:val=&quot;006A400B&quot;/&gt;&lt;wsp:rsid wsp:val=&quot;006A411C&quot;/&gt;&lt;wsp:rsid wsp:val=&quot;006A44DA&quot;/&gt;&lt;wsp:rsid wsp:val=&quot;006A4773&quot;/&gt;&lt;wsp:rsid wsp:val=&quot;006A4934&quot;/&gt;&lt;wsp:rsid wsp:val=&quot;006A4B21&quot;/&gt;&lt;wsp:rsid wsp:val=&quot;006A4FBD&quot;/&gt;&lt;wsp:rsid wsp:val=&quot;006A5395&quot;/&gt;&lt;wsp:rsid wsp:val=&quot;006A5624&quot;/&gt;&lt;wsp:rsid wsp:val=&quot;006A5CC9&quot;/&gt;&lt;wsp:rsid wsp:val=&quot;006A6372&quot;/&gt;&lt;wsp:rsid wsp:val=&quot;006A6EBB&quot;/&gt;&lt;wsp:rsid wsp:val=&quot;006A7DA9&quot;/&gt;&lt;wsp:rsid wsp:val=&quot;006B02AF&quot;/&gt;&lt;wsp:rsid wsp:val=&quot;006B0CA2&quot;/&gt;&lt;wsp:rsid wsp:val=&quot;006B0F37&quot;/&gt;&lt;wsp:rsid wsp:val=&quot;006B1081&quot;/&gt;&lt;wsp:rsid wsp:val=&quot;006B15B7&quot;/&gt;&lt;wsp:rsid wsp:val=&quot;006B2BDA&quot;/&gt;&lt;wsp:rsid wsp:val=&quot;006B3754&quot;/&gt;&lt;wsp:rsid wsp:val=&quot;006B3B32&quot;/&gt;&lt;wsp:rsid wsp:val=&quot;006B3EA0&quot;/&gt;&lt;wsp:rsid wsp:val=&quot;006B4ADB&quot;/&gt;&lt;wsp:rsid wsp:val=&quot;006B4B58&quot;/&gt;&lt;wsp:rsid wsp:val=&quot;006B4B7F&quot;/&gt;&lt;wsp:rsid wsp:val=&quot;006B4CD9&quot;/&gt;&lt;wsp:rsid wsp:val=&quot;006B531E&quot;/&gt;&lt;wsp:rsid wsp:val=&quot;006B570F&quot;/&gt;&lt;wsp:rsid wsp:val=&quot;006B603E&quot;/&gt;&lt;wsp:rsid wsp:val=&quot;006B6382&quot;/&gt;&lt;wsp:rsid wsp:val=&quot;006B689E&quot;/&gt;&lt;wsp:rsid wsp:val=&quot;006B7EB3&quot;/&gt;&lt;wsp:rsid wsp:val=&quot;006C00B1&quot;/&gt;&lt;wsp:rsid wsp:val=&quot;006C0539&quot;/&gt;&lt;wsp:rsid wsp:val=&quot;006C14FE&quot;/&gt;&lt;wsp:rsid wsp:val=&quot;006C15D5&quot;/&gt;&lt;wsp:rsid wsp:val=&quot;006C20D2&quot;/&gt;&lt;wsp:rsid wsp:val=&quot;006C21D0&quot;/&gt;&lt;wsp:rsid wsp:val=&quot;006C24A6&quot;/&gt;&lt;wsp:rsid wsp:val=&quot;006C2543&quot;/&gt;&lt;wsp:rsid wsp:val=&quot;006C2608&quot;/&gt;&lt;wsp:rsid wsp:val=&quot;006C2DCE&quot;/&gt;&lt;wsp:rsid wsp:val=&quot;006C3631&quot;/&gt;&lt;wsp:rsid wsp:val=&quot;006C3650&quot;/&gt;&lt;wsp:rsid wsp:val=&quot;006C378A&quot;/&gt;&lt;wsp:rsid wsp:val=&quot;006C3B1B&quot;/&gt;&lt;wsp:rsid wsp:val=&quot;006C3B1C&quot;/&gt;&lt;wsp:rsid wsp:val=&quot;006C3F7B&quot;/&gt;&lt;wsp:rsid wsp:val=&quot;006C4BDE&quot;/&gt;&lt;wsp:rsid wsp:val=&quot;006C4C32&quot;/&gt;&lt;wsp:rsid wsp:val=&quot;006C4C72&quot;/&gt;&lt;wsp:rsid wsp:val=&quot;006C536F&quot;/&gt;&lt;wsp:rsid wsp:val=&quot;006C5D9B&quot;/&gt;&lt;wsp:rsid wsp:val=&quot;006C5FDA&quot;/&gt;&lt;wsp:rsid wsp:val=&quot;006C60F5&quot;/&gt;&lt;wsp:rsid wsp:val=&quot;006C6586&quot;/&gt;&lt;wsp:rsid wsp:val=&quot;006C69F0&quot;/&gt;&lt;wsp:rsid wsp:val=&quot;006C6A68&quot;/&gt;&lt;wsp:rsid wsp:val=&quot;006C6B68&quot;/&gt;&lt;wsp:rsid wsp:val=&quot;006C6BDB&quot;/&gt;&lt;wsp:rsid wsp:val=&quot;006C75E9&quot;/&gt;&lt;wsp:rsid wsp:val=&quot;006D01E9&quot;/&gt;&lt;wsp:rsid wsp:val=&quot;006D0522&quot;/&gt;&lt;wsp:rsid wsp:val=&quot;006D11FA&quot;/&gt;&lt;wsp:rsid wsp:val=&quot;006D1707&quot;/&gt;&lt;wsp:rsid wsp:val=&quot;006D1901&quot;/&gt;&lt;wsp:rsid wsp:val=&quot;006D1A02&quot;/&gt;&lt;wsp:rsid wsp:val=&quot;006D1EE2&quot;/&gt;&lt;wsp:rsid wsp:val=&quot;006D1FCF&quot;/&gt;&lt;wsp:rsid wsp:val=&quot;006D2C03&quot;/&gt;&lt;wsp:rsid wsp:val=&quot;006D2EB4&quot;/&gt;&lt;wsp:rsid wsp:val=&quot;006D306F&quot;/&gt;&lt;wsp:rsid wsp:val=&quot;006D3645&quot;/&gt;&lt;wsp:rsid wsp:val=&quot;006D36F9&quot;/&gt;&lt;wsp:rsid wsp:val=&quot;006D3D81&quot;/&gt;&lt;wsp:rsid wsp:val=&quot;006D3F33&quot;/&gt;&lt;wsp:rsid wsp:val=&quot;006D5822&quot;/&gt;&lt;wsp:rsid wsp:val=&quot;006D619D&quot;/&gt;&lt;wsp:rsid wsp:val=&quot;006D64FD&quot;/&gt;&lt;wsp:rsid wsp:val=&quot;006D65ED&quot;/&gt;&lt;wsp:rsid wsp:val=&quot;006D6A30&quot;/&gt;&lt;wsp:rsid wsp:val=&quot;006D6A61&quot;/&gt;&lt;wsp:rsid wsp:val=&quot;006D6A73&quot;/&gt;&lt;wsp:rsid wsp:val=&quot;006D73E7&quot;/&gt;&lt;wsp:rsid wsp:val=&quot;006D7654&quot;/&gt;&lt;wsp:rsid wsp:val=&quot;006D7701&quot;/&gt;&lt;wsp:rsid wsp:val=&quot;006D7DC8&quot;/&gt;&lt;wsp:rsid wsp:val=&quot;006E0753&quot;/&gt;&lt;wsp:rsid wsp:val=&quot;006E0B65&quot;/&gt;&lt;wsp:rsid wsp:val=&quot;006E0E67&quot;/&gt;&lt;wsp:rsid wsp:val=&quot;006E1492&quot;/&gt;&lt;wsp:rsid wsp:val=&quot;006E230D&quot;/&gt;&lt;wsp:rsid wsp:val=&quot;006E2C90&quot;/&gt;&lt;wsp:rsid wsp:val=&quot;006E30F4&quot;/&gt;&lt;wsp:rsid wsp:val=&quot;006E3D0F&quot;/&gt;&lt;wsp:rsid wsp:val=&quot;006E3F75&quot;/&gt;&lt;wsp:rsid wsp:val=&quot;006E426D&quot;/&gt;&lt;wsp:rsid wsp:val=&quot;006E4432&quot;/&gt;&lt;wsp:rsid wsp:val=&quot;006E458B&quot;/&gt;&lt;wsp:rsid wsp:val=&quot;006E5EBA&quot;/&gt;&lt;wsp:rsid wsp:val=&quot;006E644C&quot;/&gt;&lt;wsp:rsid wsp:val=&quot;006E6490&quot;/&gt;&lt;wsp:rsid wsp:val=&quot;006E6741&quot;/&gt;&lt;wsp:rsid wsp:val=&quot;006E694E&quot;/&gt;&lt;wsp:rsid wsp:val=&quot;006E6A4E&quot;/&gt;&lt;wsp:rsid wsp:val=&quot;006E6DCF&quot;/&gt;&lt;wsp:rsid wsp:val=&quot;006E6F11&quot;/&gt;&lt;wsp:rsid wsp:val=&quot;006E7211&quot;/&gt;&lt;wsp:rsid wsp:val=&quot;006F08D6&quot;/&gt;&lt;wsp:rsid wsp:val=&quot;006F0F8B&quot;/&gt;&lt;wsp:rsid wsp:val=&quot;006F1010&quot;/&gt;&lt;wsp:rsid wsp:val=&quot;006F11E6&quot;/&gt;&lt;wsp:rsid wsp:val=&quot;006F1AB9&quot;/&gt;&lt;wsp:rsid wsp:val=&quot;006F1D6B&quot;/&gt;&lt;wsp:rsid wsp:val=&quot;006F1E8C&quot;/&gt;&lt;wsp:rsid wsp:val=&quot;006F2B78&quot;/&gt;&lt;wsp:rsid wsp:val=&quot;006F3877&quot;/&gt;&lt;wsp:rsid wsp:val=&quot;006F38C5&quot;/&gt;&lt;wsp:rsid wsp:val=&quot;006F3B68&quot;/&gt;&lt;wsp:rsid wsp:val=&quot;006F3E3C&quot;/&gt;&lt;wsp:rsid wsp:val=&quot;006F4065&quot;/&gt;&lt;wsp:rsid wsp:val=&quot;006F4066&quot;/&gt;&lt;wsp:rsid wsp:val=&quot;006F4227&quot;/&gt;&lt;wsp:rsid wsp:val=&quot;006F43FF&quot;/&gt;&lt;wsp:rsid wsp:val=&quot;006F4493&quot;/&gt;&lt;wsp:rsid wsp:val=&quot;006F4674&quot;/&gt;&lt;wsp:rsid wsp:val=&quot;006F4832&quot;/&gt;&lt;wsp:rsid wsp:val=&quot;006F4DFB&quot;/&gt;&lt;wsp:rsid wsp:val=&quot;006F51BD&quot;/&gt;&lt;wsp:rsid wsp:val=&quot;006F56B3&quot;/&gt;&lt;wsp:rsid wsp:val=&quot;006F5D1F&quot;/&gt;&lt;wsp:rsid wsp:val=&quot;006F68A2&quot;/&gt;&lt;wsp:rsid wsp:val=&quot;006F6D48&quot;/&gt;&lt;wsp:rsid wsp:val=&quot;006F6DE0&quot;/&gt;&lt;wsp:rsid wsp:val=&quot;00700170&quot;/&gt;&lt;wsp:rsid wsp:val=&quot;00700335&quot;/&gt;&lt;wsp:rsid wsp:val=&quot;0070061E&quot;/&gt;&lt;wsp:rsid wsp:val=&quot;00700626&quot;/&gt;&lt;wsp:rsid wsp:val=&quot;00700A96&quot;/&gt;&lt;wsp:rsid wsp:val=&quot;00700CD7&quot;/&gt;&lt;wsp:rsid wsp:val=&quot;00702E49&quot;/&gt;&lt;wsp:rsid wsp:val=&quot;00703329&quot;/&gt;&lt;wsp:rsid wsp:val=&quot;00703565&quot;/&gt;&lt;wsp:rsid wsp:val=&quot;007039E8&quot;/&gt;&lt;wsp:rsid wsp:val=&quot;007040D8&quot;/&gt;&lt;wsp:rsid wsp:val=&quot;0070560C&quot;/&gt;&lt;wsp:rsid wsp:val=&quot;00705CC4&quot;/&gt;&lt;wsp:rsid wsp:val=&quot;00705F12&quot;/&gt;&lt;wsp:rsid wsp:val=&quot;00705FA2&quot;/&gt;&lt;wsp:rsid wsp:val=&quot;0070626C&quot;/&gt;&lt;wsp:rsid wsp:val=&quot;007065BA&quot;/&gt;&lt;wsp:rsid wsp:val=&quot;00706857&quot;/&gt;&lt;wsp:rsid wsp:val=&quot;00706B68&quot;/&gt;&lt;wsp:rsid wsp:val=&quot;00706BBA&quot;/&gt;&lt;wsp:rsid wsp:val=&quot;007075B5&quot;/&gt;&lt;wsp:rsid wsp:val=&quot;00707989&quot;/&gt;&lt;wsp:rsid wsp:val=&quot;00710277&quot;/&gt;&lt;wsp:rsid wsp:val=&quot;00710633&quot;/&gt;&lt;wsp:rsid wsp:val=&quot;00710E8C&quot;/&gt;&lt;wsp:rsid wsp:val=&quot;00710F1E&quot;/&gt;&lt;wsp:rsid wsp:val=&quot;00711B4E&quot;/&gt;&lt;wsp:rsid wsp:val=&quot;0071388B&quot;/&gt;&lt;wsp:rsid wsp:val=&quot;00713930&quot;/&gt;&lt;wsp:rsid wsp:val=&quot;007140C0&quot;/&gt;&lt;wsp:rsid wsp:val=&quot;00714710&quot;/&gt;&lt;wsp:rsid wsp:val=&quot;007147CB&quot;/&gt;&lt;wsp:rsid wsp:val=&quot;00714CA2&quot;/&gt;&lt;wsp:rsid wsp:val=&quot;00715174&quot;/&gt;&lt;wsp:rsid wsp:val=&quot;00715267&quot;/&gt;&lt;wsp:rsid wsp:val=&quot;00715720&quot;/&gt;&lt;wsp:rsid wsp:val=&quot;00715A65&quot;/&gt;&lt;wsp:rsid wsp:val=&quot;00715DC5&quot;/&gt;&lt;wsp:rsid wsp:val=&quot;00716492&quot;/&gt;&lt;wsp:rsid wsp:val=&quot;00716583&quot;/&gt;&lt;wsp:rsid wsp:val=&quot;0071683B&quot;/&gt;&lt;wsp:rsid wsp:val=&quot;00716EC1&quot;/&gt;&lt;wsp:rsid wsp:val=&quot;00717936&quot;/&gt;&lt;wsp:rsid wsp:val=&quot;00717F9A&quot;/&gt;&lt;wsp:rsid wsp:val=&quot;007200F1&quot;/&gt;&lt;wsp:rsid wsp:val=&quot;00720217&quot;/&gt;&lt;wsp:rsid wsp:val=&quot;00720386&quot;/&gt;&lt;wsp:rsid wsp:val=&quot;007206FD&quot;/&gt;&lt;wsp:rsid wsp:val=&quot;007209C1&quot;/&gt;&lt;wsp:rsid wsp:val=&quot;00720C9F&quot;/&gt;&lt;wsp:rsid wsp:val=&quot;00720D41&quot;/&gt;&lt;wsp:rsid wsp:val=&quot;0072101D&quot;/&gt;&lt;wsp:rsid wsp:val=&quot;007211CB&quot;/&gt;&lt;wsp:rsid wsp:val=&quot;00721499&quot;/&gt;&lt;wsp:rsid wsp:val=&quot;00721797&quot;/&gt;&lt;wsp:rsid wsp:val=&quot;007218AE&quot;/&gt;&lt;wsp:rsid wsp:val=&quot;007222A1&quot;/&gt;&lt;wsp:rsid wsp:val=&quot;0072350B&quot;/&gt;&lt;wsp:rsid wsp:val=&quot;00723ABC&quot;/&gt;&lt;wsp:rsid wsp:val=&quot;00723B64&quot;/&gt;&lt;wsp:rsid wsp:val=&quot;00724F55&quot;/&gt;&lt;wsp:rsid wsp:val=&quot;00724FB9&quot;/&gt;&lt;wsp:rsid wsp:val=&quot;00726304&quot;/&gt;&lt;wsp:rsid wsp:val=&quot;0072633F&quot;/&gt;&lt;wsp:rsid wsp:val=&quot;00726EDE&quot;/&gt;&lt;wsp:rsid wsp:val=&quot;00727422&quot;/&gt;&lt;wsp:rsid wsp:val=&quot;00727E66&quot;/&gt;&lt;wsp:rsid wsp:val=&quot;00730572&quot;/&gt;&lt;wsp:rsid wsp:val=&quot;00730768&quot;/&gt;&lt;wsp:rsid wsp:val=&quot;00730974&quot;/&gt;&lt;wsp:rsid wsp:val=&quot;00730F4A&quot;/&gt;&lt;wsp:rsid wsp:val=&quot;007322D7&quot;/&gt;&lt;wsp:rsid wsp:val=&quot;0073238C&quot;/&gt;&lt;wsp:rsid wsp:val=&quot;007328B9&quot;/&gt;&lt;wsp:rsid wsp:val=&quot;00733112&quot;/&gt;&lt;wsp:rsid wsp:val=&quot;00733117&quot;/&gt;&lt;wsp:rsid wsp:val=&quot;0073349A&quot;/&gt;&lt;wsp:rsid wsp:val=&quot;00733D5D&quot;/&gt;&lt;wsp:rsid wsp:val=&quot;0073407E&quot;/&gt;&lt;wsp:rsid wsp:val=&quot;0073416A&quot;/&gt;&lt;wsp:rsid wsp:val=&quot;0073485F&quot;/&gt;&lt;wsp:rsid wsp:val=&quot;00734929&quot;/&gt;&lt;wsp:rsid wsp:val=&quot;007352F1&quot;/&gt;&lt;wsp:rsid wsp:val=&quot;00736558&quot;/&gt;&lt;wsp:rsid wsp:val=&quot;00736875&quot;/&gt;&lt;wsp:rsid wsp:val=&quot;00737146&quot;/&gt;&lt;wsp:rsid wsp:val=&quot;007371D0&quot;/&gt;&lt;wsp:rsid wsp:val=&quot;00737223&quot;/&gt;&lt;wsp:rsid wsp:val=&quot;0073724A&quot;/&gt;&lt;wsp:rsid wsp:val=&quot;00737424&quot;/&gt;&lt;wsp:rsid wsp:val=&quot;007402CA&quot;/&gt;&lt;wsp:rsid wsp:val=&quot;00740530&quot;/&gt;&lt;wsp:rsid wsp:val=&quot;007405D4&quot;/&gt;&lt;wsp:rsid wsp:val=&quot;00740699&quot;/&gt;&lt;wsp:rsid wsp:val=&quot;00740786&quot;/&gt;&lt;wsp:rsid wsp:val=&quot;007409C8&quot;/&gt;&lt;wsp:rsid wsp:val=&quot;00741206&quot;/&gt;&lt;wsp:rsid wsp:val=&quot;00741281&quot;/&gt;&lt;wsp:rsid wsp:val=&quot;007420EA&quot;/&gt;&lt;wsp:rsid wsp:val=&quot;007427FD&quot;/&gt;&lt;wsp:rsid wsp:val=&quot;00742B7E&quot;/&gt;&lt;wsp:rsid wsp:val=&quot;00742CBC&quot;/&gt;&lt;wsp:rsid wsp:val=&quot;00742D39&quot;/&gt;&lt;wsp:rsid wsp:val=&quot;0074331D&quot;/&gt;&lt;wsp:rsid wsp:val=&quot;0074348C&quot;/&gt;&lt;wsp:rsid wsp:val=&quot;0074363D&quot;/&gt;&lt;wsp:rsid wsp:val=&quot;00743987&quot;/&gt;&lt;wsp:rsid wsp:val=&quot;007439DC&quot;/&gt;&lt;wsp:rsid wsp:val=&quot;00743D4F&quot;/&gt;&lt;wsp:rsid wsp:val=&quot;00743EB2&quot;/&gt;&lt;wsp:rsid wsp:val=&quot;0074462E&quot;/&gt;&lt;wsp:rsid wsp:val=&quot;0074558B&quot;/&gt;&lt;wsp:rsid wsp:val=&quot;00745775&quot;/&gt;&lt;wsp:rsid wsp:val=&quot;00745AA5&quot;/&gt;&lt;wsp:rsid wsp:val=&quot;00745CCA&quot;/&gt;&lt;wsp:rsid wsp:val=&quot;00745D2A&quot;/&gt;&lt;wsp:rsid wsp:val=&quot;00746362&quot;/&gt;&lt;wsp:rsid wsp:val=&quot;007464C4&quot;/&gt;&lt;wsp:rsid wsp:val=&quot;00746C01&quot;/&gt;&lt;wsp:rsid wsp:val=&quot;00746D6D&quot;/&gt;&lt;wsp:rsid wsp:val=&quot;00747251&quot;/&gt;&lt;wsp:rsid wsp:val=&quot;007475BF&quot;/&gt;&lt;wsp:rsid wsp:val=&quot;007477F7&quot;/&gt;&lt;wsp:rsid wsp:val=&quot;0075007B&quot;/&gt;&lt;wsp:rsid wsp:val=&quot;00750248&quot;/&gt;&lt;wsp:rsid wsp:val=&quot;0075062D&quot;/&gt;&lt;wsp:rsid wsp:val=&quot;00750959&quot;/&gt;&lt;wsp:rsid wsp:val=&quot;00750A43&quot;/&gt;&lt;wsp:rsid wsp:val=&quot;00750CB2&quot;/&gt;&lt;wsp:rsid wsp:val=&quot;00751FE8&quot;/&gt;&lt;wsp:rsid wsp:val=&quot;00752625&quot;/&gt;&lt;wsp:rsid wsp:val=&quot;0075268C&quot;/&gt;&lt;wsp:rsid wsp:val=&quot;00752910&quot;/&gt;&lt;wsp:rsid wsp:val=&quot;00752DE4&quot;/&gt;&lt;wsp:rsid wsp:val=&quot;0075306C&quot;/&gt;&lt;wsp:rsid wsp:val=&quot;007532D2&quot;/&gt;&lt;wsp:rsid wsp:val=&quot;00753402&quot;/&gt;&lt;wsp:rsid wsp:val=&quot;00753614&quot;/&gt;&lt;wsp:rsid wsp:val=&quot;00753655&quot;/&gt;&lt;wsp:rsid wsp:val=&quot;0075388F&quot;/&gt;&lt;wsp:rsid wsp:val=&quot;00753CEE&quot;/&gt;&lt;wsp:rsid wsp:val=&quot;00753EA4&quot;/&gt;&lt;wsp:rsid wsp:val=&quot;007545E6&quot;/&gt;&lt;wsp:rsid wsp:val=&quot;0075468F&quot;/&gt;&lt;wsp:rsid wsp:val=&quot;00754729&quot;/&gt;&lt;wsp:rsid wsp:val=&quot;00754C1C&quot;/&gt;&lt;wsp:rsid wsp:val=&quot;0075504B&quot;/&gt;&lt;wsp:rsid wsp:val=&quot;0075551B&quot;/&gt;&lt;wsp:rsid wsp:val=&quot;0075580D&quot;/&gt;&lt;wsp:rsid wsp:val=&quot;00756C14&quot;/&gt;&lt;wsp:rsid wsp:val=&quot;00756F68&quot;/&gt;&lt;wsp:rsid wsp:val=&quot;00757199&quot;/&gt;&lt;wsp:rsid wsp:val=&quot;00757547&quot;/&gt;&lt;wsp:rsid wsp:val=&quot;0075778C&quot;/&gt;&lt;wsp:rsid wsp:val=&quot;007578F9&quot;/&gt;&lt;wsp:rsid wsp:val=&quot;0076018F&quot;/&gt;&lt;wsp:rsid wsp:val=&quot;00760351&quot;/&gt;&lt;wsp:rsid wsp:val=&quot;007604A5&quot;/&gt;&lt;wsp:rsid wsp:val=&quot;0076063B&quot;/&gt;&lt;wsp:rsid wsp:val=&quot;007606FA&quot;/&gt;&lt;wsp:rsid wsp:val=&quot;0076098B&quot;/&gt;&lt;wsp:rsid wsp:val=&quot;00760BCB&quot;/&gt;&lt;wsp:rsid wsp:val=&quot;007611D4&quot;/&gt;&lt;wsp:rsid wsp:val=&quot;00761534&quot;/&gt;&lt;wsp:rsid wsp:val=&quot;00761572&quot;/&gt;&lt;wsp:rsid wsp:val=&quot;00761C2D&quot;/&gt;&lt;wsp:rsid wsp:val=&quot;007627FD&quot;/&gt;&lt;wsp:rsid wsp:val=&quot;00762AB0&quot;/&gt;&lt;wsp:rsid wsp:val=&quot;00762D84&quot;/&gt;&lt;wsp:rsid wsp:val=&quot;00762D9D&quot;/&gt;&lt;wsp:rsid wsp:val=&quot;00762E4B&quot;/&gt;&lt;wsp:rsid wsp:val=&quot;00762E8E&quot;/&gt;&lt;wsp:rsid wsp:val=&quot;007631EC&quot;/&gt;&lt;wsp:rsid wsp:val=&quot;0076353D&quot;/&gt;&lt;wsp:rsid wsp:val=&quot;00764536&quot;/&gt;&lt;wsp:rsid wsp:val=&quot;00764751&quot;/&gt;&lt;wsp:rsid wsp:val=&quot;00764BCB&quot;/&gt;&lt;wsp:rsid wsp:val=&quot;00764D18&quot;/&gt;&lt;wsp:rsid wsp:val=&quot;00764DC2&quot;/&gt;&lt;wsp:rsid wsp:val=&quot;00764EF2&quot;/&gt;&lt;wsp:rsid wsp:val=&quot;0076519B&quot;/&gt;&lt;wsp:rsid wsp:val=&quot;007657E2&quot;/&gt;&lt;wsp:rsid wsp:val=&quot;00765A5F&quot;/&gt;&lt;wsp:rsid wsp:val=&quot;0076653B&quot;/&gt;&lt;wsp:rsid wsp:val=&quot;00767D54&quot;/&gt;&lt;wsp:rsid wsp:val=&quot;00770061&quot;/&gt;&lt;wsp:rsid wsp:val=&quot;00770980&quot;/&gt;&lt;wsp:rsid wsp:val=&quot;00770A68&quot;/&gt;&lt;wsp:rsid wsp:val=&quot;00770CDD&quot;/&gt;&lt;wsp:rsid wsp:val=&quot;00771027&quot;/&gt;&lt;wsp:rsid wsp:val=&quot;00771143&quot;/&gt;&lt;wsp:rsid wsp:val=&quot;007711B8&quot;/&gt;&lt;wsp:rsid wsp:val=&quot;00771650&quot;/&gt;&lt;wsp:rsid wsp:val=&quot;00772309&quot;/&gt;&lt;wsp:rsid wsp:val=&quot;007724D1&quot;/&gt;&lt;wsp:rsid wsp:val=&quot;007732EA&quot;/&gt;&lt;wsp:rsid wsp:val=&quot;00773507&quot;/&gt;&lt;wsp:rsid wsp:val=&quot;00773A8D&quot;/&gt;&lt;wsp:rsid wsp:val=&quot;00773DB2&quot;/&gt;&lt;wsp:rsid wsp:val=&quot;00773E3B&quot;/&gt;&lt;wsp:rsid wsp:val=&quot;00774369&quot;/&gt;&lt;wsp:rsid wsp:val=&quot;007747DF&quot;/&gt;&lt;wsp:rsid wsp:val=&quot;0077544F&quot;/&gt;&lt;wsp:rsid wsp:val=&quot;007762EA&quot;/&gt;&lt;wsp:rsid wsp:val=&quot;00776503&quot;/&gt;&lt;wsp:rsid wsp:val=&quot;00776A5F&quot;/&gt;&lt;wsp:rsid wsp:val=&quot;00776AF4&quot;/&gt;&lt;wsp:rsid wsp:val=&quot;00776D36&quot;/&gt;&lt;wsp:rsid wsp:val=&quot;00776DC4&quot;/&gt;&lt;wsp:rsid wsp:val=&quot;00776E16&quot;/&gt;&lt;wsp:rsid wsp:val=&quot;00777113&quot;/&gt;&lt;wsp:rsid wsp:val=&quot;0077735E&quot;/&gt;&lt;wsp:rsid wsp:val=&quot;0077742E&quot;/&gt;&lt;wsp:rsid wsp:val=&quot;00777976&quot;/&gt;&lt;wsp:rsid wsp:val=&quot;00777AB3&quot;/&gt;&lt;wsp:rsid wsp:val=&quot;00780BA9&quot;/&gt;&lt;wsp:rsid wsp:val=&quot;00780DE7&quot;/&gt;&lt;wsp:rsid wsp:val=&quot;00781370&quot;/&gt;&lt;wsp:rsid wsp:val=&quot;00781ACF&quot;/&gt;&lt;wsp:rsid wsp:val=&quot;00781B93&quot;/&gt;&lt;wsp:rsid wsp:val=&quot;00782022&quot;/&gt;&lt;wsp:rsid wsp:val=&quot;00782939&quot;/&gt;&lt;wsp:rsid wsp:val=&quot;00782D9F&quot;/&gt;&lt;wsp:rsid wsp:val=&quot;00782DCE&quot;/&gt;&lt;wsp:rsid wsp:val=&quot;00782E9C&quot;/&gt;&lt;wsp:rsid wsp:val=&quot;00782ECE&quot;/&gt;&lt;wsp:rsid wsp:val=&quot;00783BBE&quot;/&gt;&lt;wsp:rsid wsp:val=&quot;00783FEC&quot;/&gt;&lt;wsp:rsid wsp:val=&quot;007850A0&quot;/&gt;&lt;wsp:rsid wsp:val=&quot;00785739&quot;/&gt;&lt;wsp:rsid wsp:val=&quot;00785C34&quot;/&gt;&lt;wsp:rsid wsp:val=&quot;00785CCD&quot;/&gt;&lt;wsp:rsid wsp:val=&quot;00785DC6&quot;/&gt;&lt;wsp:rsid wsp:val=&quot;00785F23&quot;/&gt;&lt;wsp:rsid wsp:val=&quot;007864D2&quot;/&gt;&lt;wsp:rsid wsp:val=&quot;00786CE7&quot;/&gt;&lt;wsp:rsid wsp:val=&quot;00786DA6&quot;/&gt;&lt;wsp:rsid wsp:val=&quot;00786EDB&quot;/&gt;&lt;wsp:rsid wsp:val=&quot;007875D7&quot;/&gt;&lt;wsp:rsid wsp:val=&quot;0079015B&quot;/&gt;&lt;wsp:rsid wsp:val=&quot;00790556&quot;/&gt;&lt;wsp:rsid wsp:val=&quot;00790768&quot;/&gt;&lt;wsp:rsid wsp:val=&quot;00790D81&quot;/&gt;&lt;wsp:rsid wsp:val=&quot;0079107E&quot;/&gt;&lt;wsp:rsid wsp:val=&quot;007913D2&quot;/&gt;&lt;wsp:rsid wsp:val=&quot;007914FE&quot;/&gt;&lt;wsp:rsid wsp:val=&quot;00791FE1&quot;/&gt;&lt;wsp:rsid wsp:val=&quot;0079216B&quot;/&gt;&lt;wsp:rsid wsp:val=&quot;0079216D&quot;/&gt;&lt;wsp:rsid wsp:val=&quot;00792A32&quot;/&gt;&lt;wsp:rsid wsp:val=&quot;00792D20&quot;/&gt;&lt;wsp:rsid wsp:val=&quot;00793617&quot;/&gt;&lt;wsp:rsid wsp:val=&quot;00793880&quot;/&gt;&lt;wsp:rsid wsp:val=&quot;00794699&quot;/&gt;&lt;wsp:rsid wsp:val=&quot;00794D71&quot;/&gt;&lt;wsp:rsid wsp:val=&quot;00794DE3&quot;/&gt;&lt;wsp:rsid wsp:val=&quot;00795052&quot;/&gt;&lt;wsp:rsid wsp:val=&quot;00795238&quot;/&gt;&lt;wsp:rsid wsp:val=&quot;007958EE&quot;/&gt;&lt;wsp:rsid wsp:val=&quot;007959F3&quot;/&gt;&lt;wsp:rsid wsp:val=&quot;00795A34&quot;/&gt;&lt;wsp:rsid wsp:val=&quot;00795AD0&quot;/&gt;&lt;wsp:rsid wsp:val=&quot;00795E11&quot;/&gt;&lt;wsp:rsid wsp:val=&quot;00796D53&quot;/&gt;&lt;wsp:rsid wsp:val=&quot;007977ED&quot;/&gt;&lt;wsp:rsid wsp:val=&quot;007A14BD&quot;/&gt;&lt;wsp:rsid wsp:val=&quot;007A1716&quot;/&gt;&lt;wsp:rsid wsp:val=&quot;007A1C8B&quot;/&gt;&lt;wsp:rsid wsp:val=&quot;007A1D6C&quot;/&gt;&lt;wsp:rsid wsp:val=&quot;007A2A17&quot;/&gt;&lt;wsp:rsid wsp:val=&quot;007A2FAF&quot;/&gt;&lt;wsp:rsid wsp:val=&quot;007A38CA&quot;/&gt;&lt;wsp:rsid wsp:val=&quot;007A3D3A&quot;/&gt;&lt;wsp:rsid wsp:val=&quot;007A4742&quot;/&gt;&lt;wsp:rsid wsp:val=&quot;007A5596&quot;/&gt;&lt;wsp:rsid wsp:val=&quot;007A5677&quot;/&gt;&lt;wsp:rsid wsp:val=&quot;007A60E5&quot;/&gt;&lt;wsp:rsid wsp:val=&quot;007A614E&quot;/&gt;&lt;wsp:rsid wsp:val=&quot;007A6482&quot;/&gt;&lt;wsp:rsid wsp:val=&quot;007A6C9F&quot;/&gt;&lt;wsp:rsid wsp:val=&quot;007A70A7&quot;/&gt;&lt;wsp:rsid wsp:val=&quot;007A73B1&quot;/&gt;&lt;wsp:rsid wsp:val=&quot;007A7877&quot;/&gt;&lt;wsp:rsid wsp:val=&quot;007A7DAA&quot;/&gt;&lt;wsp:rsid wsp:val=&quot;007B04C9&quot;/&gt;&lt;wsp:rsid wsp:val=&quot;007B10F2&quot;/&gt;&lt;wsp:rsid wsp:val=&quot;007B1277&quot;/&gt;&lt;wsp:rsid wsp:val=&quot;007B18CE&quot;/&gt;&lt;wsp:rsid wsp:val=&quot;007B1D9C&quot;/&gt;&lt;wsp:rsid wsp:val=&quot;007B2314&quot;/&gt;&lt;wsp:rsid wsp:val=&quot;007B31FB&quot;/&gt;&lt;wsp:rsid wsp:val=&quot;007B3459&quot;/&gt;&lt;wsp:rsid wsp:val=&quot;007B348D&quot;/&gt;&lt;wsp:rsid wsp:val=&quot;007B3D68&quot;/&gt;&lt;wsp:rsid wsp:val=&quot;007B3FA8&quot;/&gt;&lt;wsp:rsid wsp:val=&quot;007B4E3B&quot;/&gt;&lt;wsp:rsid wsp:val=&quot;007B4ED2&quot;/&gt;&lt;wsp:rsid wsp:val=&quot;007B508B&quot;/&gt;&lt;wsp:rsid wsp:val=&quot;007B56B9&quot;/&gt;&lt;wsp:rsid wsp:val=&quot;007B5E99&quot;/&gt;&lt;wsp:rsid wsp:val=&quot;007B64C2&quot;/&gt;&lt;wsp:rsid wsp:val=&quot;007B65F1&quot;/&gt;&lt;wsp:rsid wsp:val=&quot;007B726A&quot;/&gt;&lt;wsp:rsid wsp:val=&quot;007B7712&quot;/&gt;&lt;wsp:rsid wsp:val=&quot;007B7ADD&quot;/&gt;&lt;wsp:rsid wsp:val=&quot;007B7E8B&quot;/&gt;&lt;wsp:rsid wsp:val=&quot;007C03C7&quot;/&gt;&lt;wsp:rsid wsp:val=&quot;007C1BD6&quot;/&gt;&lt;wsp:rsid wsp:val=&quot;007C1BD9&quot;/&gt;&lt;wsp:rsid wsp:val=&quot;007C1EC9&quot;/&gt;&lt;wsp:rsid wsp:val=&quot;007C2226&quot;/&gt;&lt;wsp:rsid wsp:val=&quot;007C2374&quot;/&gt;&lt;wsp:rsid wsp:val=&quot;007C2F48&quot;/&gt;&lt;wsp:rsid wsp:val=&quot;007C3403&quot;/&gt;&lt;wsp:rsid wsp:val=&quot;007C36C6&quot;/&gt;&lt;wsp:rsid wsp:val=&quot;007C3BA4&quot;/&gt;&lt;wsp:rsid wsp:val=&quot;007C3E91&quot;/&gt;&lt;wsp:rsid wsp:val=&quot;007C5333&quot;/&gt;&lt;wsp:rsid wsp:val=&quot;007C53C3&quot;/&gt;&lt;wsp:rsid wsp:val=&quot;007C573F&quot;/&gt;&lt;wsp:rsid wsp:val=&quot;007C5BB3&quot;/&gt;&lt;wsp:rsid wsp:val=&quot;007C5D02&quot;/&gt;&lt;wsp:rsid wsp:val=&quot;007C5F06&quot;/&gt;&lt;wsp:rsid wsp:val=&quot;007C6CD3&quot;/&gt;&lt;wsp:rsid wsp:val=&quot;007C74B5&quot;/&gt;&lt;wsp:rsid wsp:val=&quot;007C75D9&quot;/&gt;&lt;wsp:rsid wsp:val=&quot;007C781A&quot;/&gt;&lt;wsp:rsid wsp:val=&quot;007D03C7&quot;/&gt;&lt;wsp:rsid wsp:val=&quot;007D0568&quot;/&gt;&lt;wsp:rsid wsp:val=&quot;007D07D5&quot;/&gt;&lt;wsp:rsid wsp:val=&quot;007D0895&quot;/&gt;&lt;wsp:rsid wsp:val=&quot;007D1075&quot;/&gt;&lt;wsp:rsid wsp:val=&quot;007D1990&quot;/&gt;&lt;wsp:rsid wsp:val=&quot;007D1CFD&quot;/&gt;&lt;wsp:rsid wsp:val=&quot;007D1F75&quot;/&gt;&lt;wsp:rsid wsp:val=&quot;007D2CAB&quot;/&gt;&lt;wsp:rsid wsp:val=&quot;007D38BA&quot;/&gt;&lt;wsp:rsid wsp:val=&quot;007D3CC2&quot;/&gt;&lt;wsp:rsid wsp:val=&quot;007D4FF9&quot;/&gt;&lt;wsp:rsid wsp:val=&quot;007D512B&quot;/&gt;&lt;wsp:rsid wsp:val=&quot;007D51B6&quot;/&gt;&lt;wsp:rsid wsp:val=&quot;007D52D0&quot;/&gt;&lt;wsp:rsid wsp:val=&quot;007D53B3&quot;/&gt;&lt;wsp:rsid wsp:val=&quot;007D550E&quot;/&gt;&lt;wsp:rsid wsp:val=&quot;007D653B&quot;/&gt;&lt;wsp:rsid wsp:val=&quot;007D731F&quot;/&gt;&lt;wsp:rsid wsp:val=&quot;007D7DF0&quot;/&gt;&lt;wsp:rsid wsp:val=&quot;007E00E3&quot;/&gt;&lt;wsp:rsid wsp:val=&quot;007E048A&quot;/&gt;&lt;wsp:rsid wsp:val=&quot;007E0621&quot;/&gt;&lt;wsp:rsid wsp:val=&quot;007E06BF&quot;/&gt;&lt;wsp:rsid wsp:val=&quot;007E09E5&quot;/&gt;&lt;wsp:rsid wsp:val=&quot;007E0A06&quot;/&gt;&lt;wsp:rsid wsp:val=&quot;007E113B&quot;/&gt;&lt;wsp:rsid wsp:val=&quot;007E116E&quot;/&gt;&lt;wsp:rsid wsp:val=&quot;007E1A18&quot;/&gt;&lt;wsp:rsid wsp:val=&quot;007E1B4D&quot;/&gt;&lt;wsp:rsid wsp:val=&quot;007E1DED&quot;/&gt;&lt;wsp:rsid wsp:val=&quot;007E1F59&quot;/&gt;&lt;wsp:rsid wsp:val=&quot;007E220C&quot;/&gt;&lt;wsp:rsid wsp:val=&quot;007E22C5&quot;/&gt;&lt;wsp:rsid wsp:val=&quot;007E2984&quot;/&gt;&lt;wsp:rsid wsp:val=&quot;007E2BEC&quot;/&gt;&lt;wsp:rsid wsp:val=&quot;007E2CC1&quot;/&gt;&lt;wsp:rsid wsp:val=&quot;007E444F&quot;/&gt;&lt;wsp:rsid wsp:val=&quot;007E6187&quot;/&gt;&lt;wsp:rsid wsp:val=&quot;007E6B0D&quot;/&gt;&lt;wsp:rsid wsp:val=&quot;007E6EBB&quot;/&gt;&lt;wsp:rsid wsp:val=&quot;007E79FE&quot;/&gt;&lt;wsp:rsid wsp:val=&quot;007E7D24&quot;/&gt;&lt;wsp:rsid wsp:val=&quot;007F07A1&quot;/&gt;&lt;wsp:rsid wsp:val=&quot;007F08B7&quot;/&gt;&lt;wsp:rsid wsp:val=&quot;007F0918&quot;/&gt;&lt;wsp:rsid wsp:val=&quot;007F09BD&quot;/&gt;&lt;wsp:rsid wsp:val=&quot;007F1418&quot;/&gt;&lt;wsp:rsid wsp:val=&quot;007F2F14&quot;/&gt;&lt;wsp:rsid wsp:val=&quot;007F3041&quot;/&gt;&lt;wsp:rsid wsp:val=&quot;007F3062&quot;/&gt;&lt;wsp:rsid wsp:val=&quot;007F319D&quot;/&gt;&lt;wsp:rsid wsp:val=&quot;007F3826&quot;/&gt;&lt;wsp:rsid wsp:val=&quot;007F3979&quot;/&gt;&lt;wsp:rsid wsp:val=&quot;007F3C99&quot;/&gt;&lt;wsp:rsid wsp:val=&quot;007F3CCB&quot;/&gt;&lt;wsp:rsid wsp:val=&quot;007F3E7C&quot;/&gt;&lt;wsp:rsid wsp:val=&quot;007F4025&quot;/&gt;&lt;wsp:rsid wsp:val=&quot;007F408C&quot;/&gt;&lt;wsp:rsid wsp:val=&quot;007F483F&quot;/&gt;&lt;wsp:rsid wsp:val=&quot;007F4A71&quot;/&gt;&lt;wsp:rsid wsp:val=&quot;007F4AC4&quot;/&gt;&lt;wsp:rsid wsp:val=&quot;007F509B&quot;/&gt;&lt;wsp:rsid wsp:val=&quot;007F5130&quot;/&gt;&lt;wsp:rsid wsp:val=&quot;007F541C&quot;/&gt;&lt;wsp:rsid wsp:val=&quot;007F5445&quot;/&gt;&lt;wsp:rsid wsp:val=&quot;007F5718&quot;/&gt;&lt;wsp:rsid wsp:val=&quot;007F58B6&quot;/&gt;&lt;wsp:rsid wsp:val=&quot;007F60CF&quot;/&gt;&lt;wsp:rsid wsp:val=&quot;007F6179&quot;/&gt;&lt;wsp:rsid wsp:val=&quot;007F6AB3&quot;/&gt;&lt;wsp:rsid wsp:val=&quot;007F6AEF&quot;/&gt;&lt;wsp:rsid wsp:val=&quot;007F70F9&quot;/&gt;&lt;wsp:rsid wsp:val=&quot;007F7248&quot;/&gt;&lt;wsp:rsid wsp:val=&quot;00800E28&quot;/&gt;&lt;wsp:rsid wsp:val=&quot;00801D8E&quot;/&gt;&lt;wsp:rsid wsp:val=&quot;0080306C&quot;/&gt;&lt;wsp:rsid wsp:val=&quot;0080321F&quot;/&gt;&lt;wsp:rsid wsp:val=&quot;00803C27&quot;/&gt;&lt;wsp:rsid wsp:val=&quot;00803DEF&quot;/&gt;&lt;wsp:rsid wsp:val=&quot;00803EAB&quot;/&gt;&lt;wsp:rsid wsp:val=&quot;00804F26&quot;/&gt;&lt;wsp:rsid wsp:val=&quot;0080516C&quot;/&gt;&lt;wsp:rsid wsp:val=&quot;00805832&quot;/&gt;&lt;wsp:rsid wsp:val=&quot;00805C24&quot;/&gt;&lt;wsp:rsid wsp:val=&quot;00805CF3&quot;/&gt;&lt;wsp:rsid wsp:val=&quot;00805D54&quot;/&gt;&lt;wsp:rsid wsp:val=&quot;008065F8&quot;/&gt;&lt;wsp:rsid wsp:val=&quot;008066FD&quot;/&gt;&lt;wsp:rsid wsp:val=&quot;0080680A&quot;/&gt;&lt;wsp:rsid wsp:val=&quot;00806937&quot;/&gt;&lt;wsp:rsid wsp:val=&quot;00806E17&quot;/&gt;&lt;wsp:rsid wsp:val=&quot;00807128&quot;/&gt;&lt;wsp:rsid wsp:val=&quot;008072AE&quot;/&gt;&lt;wsp:rsid wsp:val=&quot;0080735D&quot;/&gt;&lt;wsp:rsid wsp:val=&quot;00807749&quot;/&gt;&lt;wsp:rsid wsp:val=&quot;008077E7&quot;/&gt;&lt;wsp:rsid wsp:val=&quot;0081012F&quot;/&gt;&lt;wsp:rsid wsp:val=&quot;00810424&quot;/&gt;&lt;wsp:rsid wsp:val=&quot;00810CC9&quot;/&gt;&lt;wsp:rsid wsp:val=&quot;008111BF&quot;/&gt;&lt;wsp:rsid wsp:val=&quot;0081135F&quot;/&gt;&lt;wsp:rsid wsp:val=&quot;00811826&quot;/&gt;&lt;wsp:rsid wsp:val=&quot;00811A4F&quot;/&gt;&lt;wsp:rsid wsp:val=&quot;00812488&quot;/&gt;&lt;wsp:rsid wsp:val=&quot;008127B7&quot;/&gt;&lt;wsp:rsid wsp:val=&quot;00812823&quot;/&gt;&lt;wsp:rsid wsp:val=&quot;00812CFC&quot;/&gt;&lt;wsp:rsid wsp:val=&quot;00813D17&quot;/&gt;&lt;wsp:rsid wsp:val=&quot;008141F4&quot;/&gt;&lt;wsp:rsid wsp:val=&quot;00814442&quot;/&gt;&lt;wsp:rsid wsp:val=&quot;008146D7&quot;/&gt;&lt;wsp:rsid wsp:val=&quot;00814904&quot;/&gt;&lt;wsp:rsid wsp:val=&quot;0081495C&quot;/&gt;&lt;wsp:rsid wsp:val=&quot;00816769&quot;/&gt;&lt;wsp:rsid wsp:val=&quot;00816F12&quot;/&gt;&lt;wsp:rsid wsp:val=&quot;0081754C&quot;/&gt;&lt;wsp:rsid wsp:val=&quot;0081783D&quot;/&gt;&lt;wsp:rsid wsp:val=&quot;00817C9E&quot;/&gt;&lt;wsp:rsid wsp:val=&quot;00820495&quot;/&gt;&lt;wsp:rsid wsp:val=&quot;00820B66&quot;/&gt;&lt;wsp:rsid wsp:val=&quot;00820BAE&quot;/&gt;&lt;wsp:rsid wsp:val=&quot;00820CFD&quot;/&gt;&lt;wsp:rsid wsp:val=&quot;008210F0&quot;/&gt;&lt;wsp:rsid wsp:val=&quot;0082123F&quot;/&gt;&lt;wsp:rsid wsp:val=&quot;0082181E&quot;/&gt;&lt;wsp:rsid wsp:val=&quot;00821F14&quot;/&gt;&lt;wsp:rsid wsp:val=&quot;00821FBA&quot;/&gt;&lt;wsp:rsid wsp:val=&quot;00822033&quot;/&gt;&lt;wsp:rsid wsp:val=&quot;00822B49&quot;/&gt;&lt;wsp:rsid wsp:val=&quot;00823678&quot;/&gt;&lt;wsp:rsid wsp:val=&quot;00823758&quot;/&gt;&lt;wsp:rsid wsp:val=&quot;00823EB3&quot;/&gt;&lt;wsp:rsid wsp:val=&quot;00824302&quot;/&gt;&lt;wsp:rsid wsp:val=&quot;00824963&quot;/&gt;&lt;wsp:rsid wsp:val=&quot;00824A35&quot;/&gt;&lt;wsp:rsid wsp:val=&quot;0082547F&quot;/&gt;&lt;wsp:rsid wsp:val=&quot;0082597A&quot;/&gt;&lt;wsp:rsid wsp:val=&quot;00825E72&quot;/&gt;&lt;wsp:rsid wsp:val=&quot;00826273&quot;/&gt;&lt;wsp:rsid wsp:val=&quot;008263BB&quot;/&gt;&lt;wsp:rsid wsp:val=&quot;00826C7B&quot;/&gt;&lt;wsp:rsid wsp:val=&quot;00827091&quot;/&gt;&lt;wsp:rsid wsp:val=&quot;0082713B&quot;/&gt;&lt;wsp:rsid wsp:val=&quot;00827205&quot;/&gt;&lt;wsp:rsid wsp:val=&quot;0082759B&quot;/&gt;&lt;wsp:rsid wsp:val=&quot;0082778C&quot;/&gt;&lt;wsp:rsid wsp:val=&quot;00827A84&quot;/&gt;&lt;wsp:rsid wsp:val=&quot;00827D12&quot;/&gt;&lt;wsp:rsid wsp:val=&quot;00830A9D&quot;/&gt;&lt;wsp:rsid wsp:val=&quot;00831607&quot;/&gt;&lt;wsp:rsid wsp:val=&quot;008316AE&quot;/&gt;&lt;wsp:rsid wsp:val=&quot;00832740&quot;/&gt;&lt;wsp:rsid wsp:val=&quot;00832901&quot;/&gt;&lt;wsp:rsid wsp:val=&quot;00832B5F&quot;/&gt;&lt;wsp:rsid wsp:val=&quot;00832E50&quot;/&gt;&lt;wsp:rsid wsp:val=&quot;00832E66&quot;/&gt;&lt;wsp:rsid wsp:val=&quot;00832F69&quot;/&gt;&lt;wsp:rsid wsp:val=&quot;008334D8&quot;/&gt;&lt;wsp:rsid wsp:val=&quot;00833529&quot;/&gt;&lt;wsp:rsid wsp:val=&quot;008335D0&quot;/&gt;&lt;wsp:rsid wsp:val=&quot;00834221&quot;/&gt;&lt;wsp:rsid wsp:val=&quot;0083443F&quot;/&gt;&lt;wsp:rsid wsp:val=&quot;00834769&quot;/&gt;&lt;wsp:rsid wsp:val=&quot;00834A94&quot;/&gt;&lt;wsp:rsid wsp:val=&quot;0083594A&quot;/&gt;&lt;wsp:rsid wsp:val=&quot;00835F46&quot;/&gt;&lt;wsp:rsid wsp:val=&quot;00836207&quot;/&gt;&lt;wsp:rsid wsp:val=&quot;008362F7&quot;/&gt;&lt;wsp:rsid wsp:val=&quot;00836410&quot;/&gt;&lt;wsp:rsid wsp:val=&quot;008364C8&quot;/&gt;&lt;wsp:rsid wsp:val=&quot;0083681B&quot;/&gt;&lt;wsp:rsid wsp:val=&quot;00836C39&quot;/&gt;&lt;wsp:rsid wsp:val=&quot;00836D90&quot;/&gt;&lt;wsp:rsid wsp:val=&quot;00837964&quot;/&gt;&lt;wsp:rsid wsp:val=&quot;00837BEB&quot;/&gt;&lt;wsp:rsid wsp:val=&quot;00837C72&quot;/&gt;&lt;wsp:rsid wsp:val=&quot;00840CFB&quot;/&gt;&lt;wsp:rsid wsp:val=&quot;008411D9&quot;/&gt;&lt;wsp:rsid wsp:val=&quot;00841747&quot;/&gt;&lt;wsp:rsid wsp:val=&quot;00842E02&quot;/&gt;&lt;wsp:rsid wsp:val=&quot;00842E1C&quot;/&gt;&lt;wsp:rsid wsp:val=&quot;0084311D&quot;/&gt;&lt;wsp:rsid wsp:val=&quot;00843359&quot;/&gt;&lt;wsp:rsid wsp:val=&quot;00843DF1&quot;/&gt;&lt;wsp:rsid wsp:val=&quot;00844792&quot;/&gt;&lt;wsp:rsid wsp:val=&quot;00844FF9&quot;/&gt;&lt;wsp:rsid wsp:val=&quot;0084518F&quot;/&gt;&lt;wsp:rsid wsp:val=&quot;0084538F&quot;/&gt;&lt;wsp:rsid wsp:val=&quot;00845EAA&quot;/&gt;&lt;wsp:rsid wsp:val=&quot;008462BF&quot;/&gt;&lt;wsp:rsid wsp:val=&quot;008467F6&quot;/&gt;&lt;wsp:rsid wsp:val=&quot;00846F8A&quot;/&gt;&lt;wsp:rsid wsp:val=&quot;008472D7&quot;/&gt;&lt;wsp:rsid wsp:val=&quot;00847D9C&quot;/&gt;&lt;wsp:rsid wsp:val=&quot;00847F43&quot;/&gt;&lt;wsp:rsid wsp:val=&quot;00850059&quot;/&gt;&lt;wsp:rsid wsp:val=&quot;00850B2A&quot;/&gt;&lt;wsp:rsid wsp:val=&quot;00850E0C&quot;/&gt;&lt;wsp:rsid wsp:val=&quot;008513CC&quot;/&gt;&lt;wsp:rsid wsp:val=&quot;0085180A&quot;/&gt;&lt;wsp:rsid wsp:val=&quot;00851AEF&quot;/&gt;&lt;wsp:rsid wsp:val=&quot;00851CB6&quot;/&gt;&lt;wsp:rsid wsp:val=&quot;00851E31&quot;/&gt;&lt;wsp:rsid wsp:val=&quot;008521D0&quot;/&gt;&lt;wsp:rsid wsp:val=&quot;008523B4&quot;/&gt;&lt;wsp:rsid wsp:val=&quot;00852499&quot;/&gt;&lt;wsp:rsid wsp:val=&quot;0085275C&quot;/&gt;&lt;wsp:rsid wsp:val=&quot;00852A49&quot;/&gt;&lt;wsp:rsid wsp:val=&quot;00852B78&quot;/&gt;&lt;wsp:rsid wsp:val=&quot;00853607&quot;/&gt;&lt;wsp:rsid wsp:val=&quot;008536B9&quot;/&gt;&lt;wsp:rsid wsp:val=&quot;008537F4&quot;/&gt;&lt;wsp:rsid wsp:val=&quot;00853890&quot;/&gt;&lt;wsp:rsid wsp:val=&quot;008541F7&quot;/&gt;&lt;wsp:rsid wsp:val=&quot;00854848&quot;/&gt;&lt;wsp:rsid wsp:val=&quot;00854AED&quot;/&gt;&lt;wsp:rsid wsp:val=&quot;00855BE0&quot;/&gt;&lt;wsp:rsid wsp:val=&quot;00856A07&quot;/&gt;&lt;wsp:rsid wsp:val=&quot;00856E24&quot;/&gt;&lt;wsp:rsid wsp:val=&quot;008573AC&quot;/&gt;&lt;wsp:rsid wsp:val=&quot;008577D1&quot;/&gt;&lt;wsp:rsid wsp:val=&quot;00857822&quot;/&gt;&lt;wsp:rsid wsp:val=&quot;008579E5&quot;/&gt;&lt;wsp:rsid wsp:val=&quot;00860366&quot;/&gt;&lt;wsp:rsid wsp:val=&quot;00860B15&quot;/&gt;&lt;wsp:rsid wsp:val=&quot;008615A8&quot;/&gt;&lt;wsp:rsid wsp:val=&quot;00861723&quot;/&gt;&lt;wsp:rsid wsp:val=&quot;00862156&quot;/&gt;&lt;wsp:rsid wsp:val=&quot;008621E7&quot;/&gt;&lt;wsp:rsid wsp:val=&quot;00863000&quot;/&gt;&lt;wsp:rsid wsp:val=&quot;008634AF&quot;/&gt;&lt;wsp:rsid wsp:val=&quot;00864477&quot;/&gt;&lt;wsp:rsid wsp:val=&quot;0086482D&quot;/&gt;&lt;wsp:rsid wsp:val=&quot;00865179&quot;/&gt;&lt;wsp:rsid wsp:val=&quot;008652E2&quot;/&gt;&lt;wsp:rsid wsp:val=&quot;00865671&quot;/&gt;&lt;wsp:rsid wsp:val=&quot;00865BE0&quot;/&gt;&lt;wsp:rsid wsp:val=&quot;00865C69&quot;/&gt;&lt;wsp:rsid wsp:val=&quot;00866095&quot;/&gt;&lt;wsp:rsid wsp:val=&quot;008666B3&quot;/&gt;&lt;wsp:rsid wsp:val=&quot;00866A08&quot;/&gt;&lt;wsp:rsid wsp:val=&quot;008673C3&quot;/&gt;&lt;wsp:rsid wsp:val=&quot;008673EA&quot;/&gt;&lt;wsp:rsid wsp:val=&quot;008675E4&quot;/&gt;&lt;wsp:rsid wsp:val=&quot;00867968&quot;/&gt;&lt;wsp:rsid wsp:val=&quot;00867A7C&quot;/&gt;&lt;wsp:rsid wsp:val=&quot;00870008&quot;/&gt;&lt;wsp:rsid wsp:val=&quot;00870BC4&quot;/&gt;&lt;wsp:rsid wsp:val=&quot;00871C6F&quot;/&gt;&lt;wsp:rsid wsp:val=&quot;00871EEE&quot;/&gt;&lt;wsp:rsid wsp:val=&quot;00872023&quot;/&gt;&lt;wsp:rsid wsp:val=&quot;00872339&quot;/&gt;&lt;wsp:rsid wsp:val=&quot;00872391&quot;/&gt;&lt;wsp:rsid wsp:val=&quot;008725BE&quot;/&gt;&lt;wsp:rsid wsp:val=&quot;00872A3A&quot;/&gt;&lt;wsp:rsid wsp:val=&quot;00873854&quot;/&gt;&lt;wsp:rsid wsp:val=&quot;00873C34&quot;/&gt;&lt;wsp:rsid wsp:val=&quot;008746AC&quot;/&gt;&lt;wsp:rsid wsp:val=&quot;00874A63&quot;/&gt;&lt;wsp:rsid wsp:val=&quot;00875713&quot;/&gt;&lt;wsp:rsid wsp:val=&quot;00876076&quot;/&gt;&lt;wsp:rsid wsp:val=&quot;008760F3&quot;/&gt;&lt;wsp:rsid wsp:val=&quot;0087629B&quot;/&gt;&lt;wsp:rsid wsp:val=&quot;00876318&quot;/&gt;&lt;wsp:rsid wsp:val=&quot;00876776&quot;/&gt;&lt;wsp:rsid wsp:val=&quot;00876AC9&quot;/&gt;&lt;wsp:rsid wsp:val=&quot;008774C3&quot;/&gt;&lt;wsp:rsid wsp:val=&quot;008802DC&quot;/&gt;&lt;wsp:rsid wsp:val=&quot;008803BC&quot;/&gt;&lt;wsp:rsid wsp:val=&quot;00880632&quot;/&gt;&lt;wsp:rsid wsp:val=&quot;008807DD&quot;/&gt;&lt;wsp:rsid wsp:val=&quot;00880D4B&quot;/&gt;&lt;wsp:rsid wsp:val=&quot;008811C8&quot;/&gt;&lt;wsp:rsid wsp:val=&quot;0088135C&quot;/&gt;&lt;wsp:rsid wsp:val=&quot;0088170C&quot;/&gt;&lt;wsp:rsid wsp:val=&quot;00881D0D&quot;/&gt;&lt;wsp:rsid wsp:val=&quot;00881EEF&quot;/&gt;&lt;wsp:rsid wsp:val=&quot;00882406&quot;/&gt;&lt;wsp:rsid wsp:val=&quot;00882A96&quot;/&gt;&lt;wsp:rsid wsp:val=&quot;0088354E&quot;/&gt;&lt;wsp:rsid wsp:val=&quot;0088460A&quot;/&gt;&lt;wsp:rsid wsp:val=&quot;00884C5D&quot;/&gt;&lt;wsp:rsid wsp:val=&quot;00884DF1&quot;/&gt;&lt;wsp:rsid wsp:val=&quot;00885CD7&quot;/&gt;&lt;wsp:rsid wsp:val=&quot;00885EE6&quot;/&gt;&lt;wsp:rsid wsp:val=&quot;008865B3&quot;/&gt;&lt;wsp:rsid wsp:val=&quot;00886747&quot;/&gt;&lt;wsp:rsid wsp:val=&quot;00886BD9&quot;/&gt;&lt;wsp:rsid wsp:val=&quot;008875B5&quot;/&gt;&lt;wsp:rsid wsp:val=&quot;008875C5&quot;/&gt;&lt;wsp:rsid wsp:val=&quot;00887F43&quot;/&gt;&lt;wsp:rsid wsp:val=&quot;00890769&quot;/&gt;&lt;wsp:rsid wsp:val=&quot;00891C43&quot;/&gt;&lt;wsp:rsid wsp:val=&quot;00891DF4&quot;/&gt;&lt;wsp:rsid wsp:val=&quot;0089216F&quot;/&gt;&lt;wsp:rsid wsp:val=&quot;00892B9D&quot;/&gt;&lt;wsp:rsid wsp:val=&quot;00892CEF&quot;/&gt;&lt;wsp:rsid wsp:val=&quot;00892D09&quot;/&gt;&lt;wsp:rsid wsp:val=&quot;0089303A&quot;/&gt;&lt;wsp:rsid wsp:val=&quot;008936D6&quot;/&gt;&lt;wsp:rsid wsp:val=&quot;00893862&quot;/&gt;&lt;wsp:rsid wsp:val=&quot;00893DFD&quot;/&gt;&lt;wsp:rsid wsp:val=&quot;00894212&quot;/&gt;&lt;wsp:rsid wsp:val=&quot;008944A6&quot;/&gt;&lt;wsp:rsid wsp:val=&quot;00894AA7&quot;/&gt;&lt;wsp:rsid wsp:val=&quot;00894B43&quot;/&gt;&lt;wsp:rsid wsp:val=&quot;00894D96&quot;/&gt;&lt;wsp:rsid wsp:val=&quot;00895459&quot;/&gt;&lt;wsp:rsid wsp:val=&quot;008960B8&quot;/&gt;&lt;wsp:rsid wsp:val=&quot;008962EC&quot;/&gt;&lt;wsp:rsid wsp:val=&quot;008964D2&quot;/&gt;&lt;wsp:rsid wsp:val=&quot;008968DA&quot;/&gt;&lt;wsp:rsid wsp:val=&quot;00896C10&quot;/&gt;&lt;wsp:rsid wsp:val=&quot;00897388&quot;/&gt;&lt;wsp:rsid wsp:val=&quot;008979EA&quot;/&gt;&lt;wsp:rsid wsp:val=&quot;008A0389&quot;/&gt;&lt;wsp:rsid wsp:val=&quot;008A0C8D&quot;/&gt;&lt;wsp:rsid wsp:val=&quot;008A153F&quot;/&gt;&lt;wsp:rsid wsp:val=&quot;008A15C6&quot;/&gt;&lt;wsp:rsid wsp:val=&quot;008A17D5&quot;/&gt;&lt;wsp:rsid wsp:val=&quot;008A2159&quot;/&gt;&lt;wsp:rsid wsp:val=&quot;008A252E&quot;/&gt;&lt;wsp:rsid wsp:val=&quot;008A28C4&quot;/&gt;&lt;wsp:rsid wsp:val=&quot;008A2944&quot;/&gt;&lt;wsp:rsid wsp:val=&quot;008A2EA3&quot;/&gt;&lt;wsp:rsid wsp:val=&quot;008A32AB&quot;/&gt;&lt;wsp:rsid wsp:val=&quot;008A33FD&quot;/&gt;&lt;wsp:rsid wsp:val=&quot;008A34F0&quot;/&gt;&lt;wsp:rsid wsp:val=&quot;008A3DAD&quot;/&gt;&lt;wsp:rsid wsp:val=&quot;008A43E5&quot;/&gt;&lt;wsp:rsid wsp:val=&quot;008A51F3&quot;/&gt;&lt;wsp:rsid wsp:val=&quot;008A5283&quot;/&gt;&lt;wsp:rsid wsp:val=&quot;008A5469&quot;/&gt;&lt;wsp:rsid wsp:val=&quot;008A55A5&quot;/&gt;&lt;wsp:rsid wsp:val=&quot;008A56DD&quot;/&gt;&lt;wsp:rsid wsp:val=&quot;008A5894&quot;/&gt;&lt;wsp:rsid wsp:val=&quot;008A5CAD&quot;/&gt;&lt;wsp:rsid wsp:val=&quot;008A646C&quot;/&gt;&lt;wsp:rsid wsp:val=&quot;008A65DB&quot;/&gt;&lt;wsp:rsid wsp:val=&quot;008A689A&quot;/&gt;&lt;wsp:rsid wsp:val=&quot;008A7705&quot;/&gt;&lt;wsp:rsid wsp:val=&quot;008B0635&quot;/&gt;&lt;wsp:rsid wsp:val=&quot;008B0A4D&quot;/&gt;&lt;wsp:rsid wsp:val=&quot;008B182F&quot;/&gt;&lt;wsp:rsid wsp:val=&quot;008B1C96&quot;/&gt;&lt;wsp:rsid wsp:val=&quot;008B233F&quot;/&gt;&lt;wsp:rsid wsp:val=&quot;008B2689&quot;/&gt;&lt;wsp:rsid wsp:val=&quot;008B2911&quot;/&gt;&lt;wsp:rsid wsp:val=&quot;008B2EBE&quot;/&gt;&lt;wsp:rsid wsp:val=&quot;008B3653&quot;/&gt;&lt;wsp:rsid wsp:val=&quot;008B3C9E&quot;/&gt;&lt;wsp:rsid wsp:val=&quot;008B408F&quot;/&gt;&lt;wsp:rsid wsp:val=&quot;008B42FF&quot;/&gt;&lt;wsp:rsid wsp:val=&quot;008B430F&quot;/&gt;&lt;wsp:rsid wsp:val=&quot;008B49E9&quot;/&gt;&lt;wsp:rsid wsp:val=&quot;008B4A2F&quot;/&gt;&lt;wsp:rsid wsp:val=&quot;008B547C&quot;/&gt;&lt;wsp:rsid wsp:val=&quot;008B5605&quot;/&gt;&lt;wsp:rsid wsp:val=&quot;008B610F&quot;/&gt;&lt;wsp:rsid wsp:val=&quot;008B64DE&quot;/&gt;&lt;wsp:rsid wsp:val=&quot;008B650C&quot;/&gt;&lt;wsp:rsid wsp:val=&quot;008B6A7D&quot;/&gt;&lt;wsp:rsid wsp:val=&quot;008B78FD&quot;/&gt;&lt;wsp:rsid wsp:val=&quot;008B7940&quot;/&gt;&lt;wsp:rsid wsp:val=&quot;008B7B36&quot;/&gt;&lt;wsp:rsid wsp:val=&quot;008C0060&quot;/&gt;&lt;wsp:rsid wsp:val=&quot;008C0847&quot;/&gt;&lt;wsp:rsid wsp:val=&quot;008C1494&quot;/&gt;&lt;wsp:rsid wsp:val=&quot;008C1739&quot;/&gt;&lt;wsp:rsid wsp:val=&quot;008C205F&quot;/&gt;&lt;wsp:rsid wsp:val=&quot;008C22A4&quot;/&gt;&lt;wsp:rsid wsp:val=&quot;008C23EE&quot;/&gt;&lt;wsp:rsid wsp:val=&quot;008C2593&quot;/&gt;&lt;wsp:rsid wsp:val=&quot;008C265A&quot;/&gt;&lt;wsp:rsid wsp:val=&quot;008C37BA&quot;/&gt;&lt;wsp:rsid wsp:val=&quot;008C3B9E&quot;/&gt;&lt;wsp:rsid wsp:val=&quot;008C3CC2&quot;/&gt;&lt;wsp:rsid wsp:val=&quot;008C3E8D&quot;/&gt;&lt;wsp:rsid wsp:val=&quot;008C418A&quot;/&gt;&lt;wsp:rsid wsp:val=&quot;008C4D22&quot;/&gt;&lt;wsp:rsid wsp:val=&quot;008C4D83&quot;/&gt;&lt;wsp:rsid wsp:val=&quot;008C631B&quot;/&gt;&lt;wsp:rsid wsp:val=&quot;008C66A9&quot;/&gt;&lt;wsp:rsid wsp:val=&quot;008C6A82&quot;/&gt;&lt;wsp:rsid wsp:val=&quot;008C6BF6&quot;/&gt;&lt;wsp:rsid wsp:val=&quot;008C7B47&quot;/&gt;&lt;wsp:rsid wsp:val=&quot;008C7C9C&quot;/&gt;&lt;wsp:rsid wsp:val=&quot;008D0E02&quot;/&gt;&lt;wsp:rsid wsp:val=&quot;008D13B0&quot;/&gt;&lt;wsp:rsid wsp:val=&quot;008D1555&quot;/&gt;&lt;wsp:rsid wsp:val=&quot;008D232B&quot;/&gt;&lt;wsp:rsid wsp:val=&quot;008D2AEE&quot;/&gt;&lt;wsp:rsid wsp:val=&quot;008D2C87&quot;/&gt;&lt;wsp:rsid wsp:val=&quot;008D4B8F&quot;/&gt;&lt;wsp:rsid wsp:val=&quot;008D5D94&quot;/&gt;&lt;wsp:rsid wsp:val=&quot;008D6077&quot;/&gt;&lt;wsp:rsid wsp:val=&quot;008D67BC&quot;/&gt;&lt;wsp:rsid wsp:val=&quot;008D67FB&quot;/&gt;&lt;wsp:rsid wsp:val=&quot;008D690E&quot;/&gt;&lt;wsp:rsid wsp:val=&quot;008D6C92&quot;/&gt;&lt;wsp:rsid wsp:val=&quot;008D74CE&quot;/&gt;&lt;wsp:rsid wsp:val=&quot;008D7686&quot;/&gt;&lt;wsp:rsid wsp:val=&quot;008D76B1&quot;/&gt;&lt;wsp:rsid wsp:val=&quot;008D7B2D&quot;/&gt;&lt;wsp:rsid wsp:val=&quot;008D7E49&quot;/&gt;&lt;wsp:rsid wsp:val=&quot;008D7FAB&quot;/&gt;&lt;wsp:rsid wsp:val=&quot;008E0051&quot;/&gt;&lt;wsp:rsid wsp:val=&quot;008E036D&quot;/&gt;&lt;wsp:rsid wsp:val=&quot;008E05BA&quot;/&gt;&lt;wsp:rsid wsp:val=&quot;008E0A04&quot;/&gt;&lt;wsp:rsid wsp:val=&quot;008E170B&quot;/&gt;&lt;wsp:rsid wsp:val=&quot;008E1D26&quot;/&gt;&lt;wsp:rsid wsp:val=&quot;008E1E2E&quot;/&gt;&lt;wsp:rsid wsp:val=&quot;008E2BB2&quot;/&gt;&lt;wsp:rsid wsp:val=&quot;008E2E5F&quot;/&gt;&lt;wsp:rsid wsp:val=&quot;008E3141&quot;/&gt;&lt;wsp:rsid wsp:val=&quot;008E43F6&quot;/&gt;&lt;wsp:rsid wsp:val=&quot;008E4F6C&quot;/&gt;&lt;wsp:rsid wsp:val=&quot;008E5349&quot;/&gt;&lt;wsp:rsid wsp:val=&quot;008E53B6&quot;/&gt;&lt;wsp:rsid wsp:val=&quot;008E53FC&quot;/&gt;&lt;wsp:rsid wsp:val=&quot;008E568F&quot;/&gt;&lt;wsp:rsid wsp:val=&quot;008E571B&quot;/&gt;&lt;wsp:rsid wsp:val=&quot;008E66FD&quot;/&gt;&lt;wsp:rsid wsp:val=&quot;008E69DE&quot;/&gt;&lt;wsp:rsid wsp:val=&quot;008E6DF1&quot;/&gt;&lt;wsp:rsid wsp:val=&quot;008E7195&quot;/&gt;&lt;wsp:rsid wsp:val=&quot;008E757C&quot;/&gt;&lt;wsp:rsid wsp:val=&quot;008E7DAA&quot;/&gt;&lt;wsp:rsid wsp:val=&quot;008F04FB&quot;/&gt;&lt;wsp:rsid wsp:val=&quot;008F1F35&quot;/&gt;&lt;wsp:rsid wsp:val=&quot;008F214D&quot;/&gt;&lt;wsp:rsid wsp:val=&quot;008F221C&quot;/&gt;&lt;wsp:rsid wsp:val=&quot;008F25F4&quot;/&gt;&lt;wsp:rsid wsp:val=&quot;008F2960&quot;/&gt;&lt;wsp:rsid wsp:val=&quot;008F35A4&quot;/&gt;&lt;wsp:rsid wsp:val=&quot;008F3832&quot;/&gt;&lt;wsp:rsid wsp:val=&quot;008F3833&quot;/&gt;&lt;wsp:rsid wsp:val=&quot;008F3975&quot;/&gt;&lt;wsp:rsid wsp:val=&quot;008F3D49&quot;/&gt;&lt;wsp:rsid wsp:val=&quot;008F4295&quot;/&gt;&lt;wsp:rsid wsp:val=&quot;008F4374&quot;/&gt;&lt;wsp:rsid wsp:val=&quot;008F4603&quot;/&gt;&lt;wsp:rsid wsp:val=&quot;008F52E6&quot;/&gt;&lt;wsp:rsid wsp:val=&quot;008F541B&quot;/&gt;&lt;wsp:rsid wsp:val=&quot;008F57D0&quot;/&gt;&lt;wsp:rsid wsp:val=&quot;008F6F57&quot;/&gt;&lt;wsp:rsid wsp:val=&quot;008F78DD&quot;/&gt;&lt;wsp:rsid wsp:val=&quot;008F7918&quot;/&gt;&lt;wsp:rsid wsp:val=&quot;008F7CD6&quot;/&gt;&lt;wsp:rsid wsp:val=&quot;00900083&quot;/&gt;&lt;wsp:rsid wsp:val=&quot;0090076C&quot;/&gt;&lt;wsp:rsid wsp:val=&quot;00900D65&quot;/&gt;&lt;wsp:rsid wsp:val=&quot;0090119D&quot;/&gt;&lt;wsp:rsid wsp:val=&quot;009011D1&quot;/&gt;&lt;wsp:rsid wsp:val=&quot;00901A00&quot;/&gt;&lt;wsp:rsid wsp:val=&quot;00902522&quot;/&gt;&lt;wsp:rsid wsp:val=&quot;00902588&quot;/&gt;&lt;wsp:rsid wsp:val=&quot;009032A3&quot;/&gt;&lt;wsp:rsid wsp:val=&quot;00903341&quot;/&gt;&lt;wsp:rsid wsp:val=&quot;00903C48&quot;/&gt;&lt;wsp:rsid wsp:val=&quot;00904670&quot;/&gt;&lt;wsp:rsid wsp:val=&quot;009046E9&quot;/&gt;&lt;wsp:rsid wsp:val=&quot;009049BC&quot;/&gt;&lt;wsp:rsid wsp:val=&quot;009060D5&quot;/&gt;&lt;wsp:rsid wsp:val=&quot;009066D8&quot;/&gt;&lt;wsp:rsid wsp:val=&quot;00906D8D&quot;/&gt;&lt;wsp:rsid wsp:val=&quot;00906FD8&quot;/&gt;&lt;wsp:rsid wsp:val=&quot;009073A0&quot;/&gt;&lt;wsp:rsid wsp:val=&quot;00907E2E&quot;/&gt;&lt;wsp:rsid wsp:val=&quot;00907E53&quot;/&gt;&lt;wsp:rsid wsp:val=&quot;0091054F&quot;/&gt;&lt;wsp:rsid wsp:val=&quot;00910D1F&quot;/&gt;&lt;wsp:rsid wsp:val=&quot;00911433&quot;/&gt;&lt;wsp:rsid wsp:val=&quot;00911452&quot;/&gt;&lt;wsp:rsid wsp:val=&quot;009124A0&quot;/&gt;&lt;wsp:rsid wsp:val=&quot;009125D3&quot;/&gt;&lt;wsp:rsid wsp:val=&quot;00912813&quot;/&gt;&lt;wsp:rsid wsp:val=&quot;00912A13&quot;/&gt;&lt;wsp:rsid wsp:val=&quot;00912A89&quot;/&gt;&lt;wsp:rsid wsp:val=&quot;0091350B&quot;/&gt;&lt;wsp:rsid wsp:val=&quot;009135F4&quot;/&gt;&lt;wsp:rsid wsp:val=&quot;00913747&quot;/&gt;&lt;wsp:rsid wsp:val=&quot;0091377D&quot;/&gt;&lt;wsp:rsid wsp:val=&quot;00913ABD&quot;/&gt;&lt;wsp:rsid wsp:val=&quot;00914080&quot;/&gt;&lt;wsp:rsid wsp:val=&quot;009146FA&quot;/&gt;&lt;wsp:rsid wsp:val=&quot;0091474F&quot;/&gt;&lt;wsp:rsid wsp:val=&quot;00914955&quot;/&gt;&lt;wsp:rsid wsp:val=&quot;00914E7B&quot;/&gt;&lt;wsp:rsid wsp:val=&quot;00914ED0&quot;/&gt;&lt;wsp:rsid wsp:val=&quot;0091515D&quot;/&gt;&lt;wsp:rsid wsp:val=&quot;00915348&quot;/&gt;&lt;wsp:rsid wsp:val=&quot;00915569&quot;/&gt;&lt;wsp:rsid wsp:val=&quot;00916AAB&quot;/&gt;&lt;wsp:rsid wsp:val=&quot;0091703F&quot;/&gt;&lt;wsp:rsid wsp:val=&quot;0091749D&quot;/&gt;&lt;wsp:rsid wsp:val=&quot;00917526&quot;/&gt;&lt;wsp:rsid wsp:val=&quot;0092017A&quot;/&gt;&lt;wsp:rsid wsp:val=&quot;00920880&quot;/&gt;&lt;wsp:rsid wsp:val=&quot;00920C5C&quot;/&gt;&lt;wsp:rsid wsp:val=&quot;00921F48&quot;/&gt;&lt;wsp:rsid wsp:val=&quot;0092201D&quot;/&gt;&lt;wsp:rsid wsp:val=&quot;009222A2&quot;/&gt;&lt;wsp:rsid wsp:val=&quot;009224A8&quot;/&gt;&lt;wsp:rsid wsp:val=&quot;00922C80&quot;/&gt;&lt;wsp:rsid wsp:val=&quot;00922D74&quot;/&gt;&lt;wsp:rsid wsp:val=&quot;00923A47&quot;/&gt;&lt;wsp:rsid wsp:val=&quot;00923BF4&quot;/&gt;&lt;wsp:rsid wsp:val=&quot;00923D09&quot;/&gt;&lt;wsp:rsid wsp:val=&quot;00923E79&quot;/&gt;&lt;wsp:rsid wsp:val=&quot;00923FA1&quot;/&gt;&lt;wsp:rsid wsp:val=&quot;00924C08&quot;/&gt;&lt;wsp:rsid wsp:val=&quot;00924F6E&quot;/&gt;&lt;wsp:rsid wsp:val=&quot;00925090&quot;/&gt;&lt;wsp:rsid wsp:val=&quot;009254A4&quot;/&gt;&lt;wsp:rsid wsp:val=&quot;00926A90&quot;/&gt;&lt;wsp:rsid wsp:val=&quot;00926C76&quot;/&gt;&lt;wsp:rsid wsp:val=&quot;00926DC2&quot;/&gt;&lt;wsp:rsid wsp:val=&quot;00926E78&quot;/&gt;&lt;wsp:rsid wsp:val=&quot;00926F68&quot;/&gt;&lt;wsp:rsid wsp:val=&quot;009279C8&quot;/&gt;&lt;wsp:rsid wsp:val=&quot;00927A5A&quot;/&gt;&lt;wsp:rsid wsp:val=&quot;00927B17&quot;/&gt;&lt;wsp:rsid wsp:val=&quot;00927BD8&quot;/&gt;&lt;wsp:rsid wsp:val=&quot;0093074A&quot;/&gt;&lt;wsp:rsid wsp:val=&quot;00930825&quot;/&gt;&lt;wsp:rsid wsp:val=&quot;0093087E&quot;/&gt;&lt;wsp:rsid wsp:val=&quot;00930D82&quot;/&gt;&lt;wsp:rsid wsp:val=&quot;00931D4E&quot;/&gt;&lt;wsp:rsid wsp:val=&quot;009324CB&quot;/&gt;&lt;wsp:rsid wsp:val=&quot;00932615&quot;/&gt;&lt;wsp:rsid wsp:val=&quot;009327A9&quot;/&gt;&lt;wsp:rsid wsp:val=&quot;00932C77&quot;/&gt;&lt;wsp:rsid wsp:val=&quot;00932E6F&quot;/&gt;&lt;wsp:rsid wsp:val=&quot;009331E6&quot;/&gt;&lt;wsp:rsid wsp:val=&quot;00933590&quot;/&gt;&lt;wsp:rsid wsp:val=&quot;0093416B&quot;/&gt;&lt;wsp:rsid wsp:val=&quot;00934387&quot;/&gt;&lt;wsp:rsid wsp:val=&quot;0093444B&quot;/&gt;&lt;wsp:rsid wsp:val=&quot;0093491F&quot;/&gt;&lt;wsp:rsid wsp:val=&quot;00934AC8&quot;/&gt;&lt;wsp:rsid wsp:val=&quot;00934B83&quot;/&gt;&lt;wsp:rsid wsp:val=&quot;009357D2&quot;/&gt;&lt;wsp:rsid wsp:val=&quot;00936C4D&quot;/&gt;&lt;wsp:rsid wsp:val=&quot;00936D45&quot;/&gt;&lt;wsp:rsid wsp:val=&quot;00936DDC&quot;/&gt;&lt;wsp:rsid wsp:val=&quot;00936E00&quot;/&gt;&lt;wsp:rsid wsp:val=&quot;0093702E&quot;/&gt;&lt;wsp:rsid wsp:val=&quot;009370F3&quot;/&gt;&lt;wsp:rsid wsp:val=&quot;0093719A&quot;/&gt;&lt;wsp:rsid wsp:val=&quot;00937415&quot;/&gt;&lt;wsp:rsid wsp:val=&quot;00937BB8&quot;/&gt;&lt;wsp:rsid wsp:val=&quot;00937D0F&quot;/&gt;&lt;wsp:rsid wsp:val=&quot;009403FB&quot;/&gt;&lt;wsp:rsid wsp:val=&quot;0094095F&quot;/&gt;&lt;wsp:rsid wsp:val=&quot;00940B71&quot;/&gt;&lt;wsp:rsid wsp:val=&quot;00940B84&quot;/&gt;&lt;wsp:rsid wsp:val=&quot;0094146B&quot;/&gt;&lt;wsp:rsid wsp:val=&quot;009417C7&quot;/&gt;&lt;wsp:rsid wsp:val=&quot;0094187F&quot;/&gt;&lt;wsp:rsid wsp:val=&quot;00941BAC&quot;/&gt;&lt;wsp:rsid wsp:val=&quot;00941D1F&quot;/&gt;&lt;wsp:rsid wsp:val=&quot;00942134&quot;/&gt;&lt;wsp:rsid wsp:val=&quot;0094249A&quot;/&gt;&lt;wsp:rsid wsp:val=&quot;0094268E&quot;/&gt;&lt;wsp:rsid wsp:val=&quot;009432A6&quot;/&gt;&lt;wsp:rsid wsp:val=&quot;009439A1&quot;/&gt;&lt;wsp:rsid wsp:val=&quot;00943C4B&quot;/&gt;&lt;wsp:rsid wsp:val=&quot;00945046&quot;/&gt;&lt;wsp:rsid wsp:val=&quot;00945610&quot;/&gt;&lt;wsp:rsid wsp:val=&quot;009458A3&quot;/&gt;&lt;wsp:rsid wsp:val=&quot;00945DC5&quot;/&gt;&lt;wsp:rsid wsp:val=&quot;0094633C&quot;/&gt;&lt;wsp:rsid wsp:val=&quot;00946514&quot;/&gt;&lt;wsp:rsid wsp:val=&quot;00946F3D&quot;/&gt;&lt;wsp:rsid wsp:val=&quot;00947281&quot;/&gt;&lt;wsp:rsid wsp:val=&quot;00947457&quot;/&gt;&lt;wsp:rsid wsp:val=&quot;00947A20&quot;/&gt;&lt;wsp:rsid wsp:val=&quot;00947E31&quot;/&gt;&lt;wsp:rsid wsp:val=&quot;0095005A&quot;/&gt;&lt;wsp:rsid wsp:val=&quot;00950599&quot;/&gt;&lt;wsp:rsid wsp:val=&quot;009506A9&quot;/&gt;&lt;wsp:rsid wsp:val=&quot;00950EAB&quot;/&gt;&lt;wsp:rsid wsp:val=&quot;00950FEF&quot;/&gt;&lt;wsp:rsid wsp:val=&quot;0095132C&quot;/&gt;&lt;wsp:rsid wsp:val=&quot;009518BC&quot;/&gt;&lt;wsp:rsid wsp:val=&quot;00951C4E&quot;/&gt;&lt;wsp:rsid wsp:val=&quot;00952075&quot;/&gt;&lt;wsp:rsid wsp:val=&quot;0095235F&quot;/&gt;&lt;wsp:rsid wsp:val=&quot;009527CD&quot;/&gt;&lt;wsp:rsid wsp:val=&quot;009532BC&quot;/&gt;&lt;wsp:rsid wsp:val=&quot;009537BF&quot;/&gt;&lt;wsp:rsid wsp:val=&quot;009544B2&quot;/&gt;&lt;wsp:rsid wsp:val=&quot;009548CD&quot;/&gt;&lt;wsp:rsid wsp:val=&quot;0095527C&quot;/&gt;&lt;wsp:rsid wsp:val=&quot;009555AD&quot;/&gt;&lt;wsp:rsid wsp:val=&quot;009560D0&quot;/&gt;&lt;wsp:rsid wsp:val=&quot;00956B16&quot;/&gt;&lt;wsp:rsid wsp:val=&quot;00957D5D&quot;/&gt;&lt;wsp:rsid wsp:val=&quot;00960245&quot;/&gt;&lt;wsp:rsid wsp:val=&quot;00960F2F&quot;/&gt;&lt;wsp:rsid wsp:val=&quot;0096142E&quot;/&gt;&lt;wsp:rsid wsp:val=&quot;00962288&quot;/&gt;&lt;wsp:rsid wsp:val=&quot;00962651&quot;/&gt;&lt;wsp:rsid wsp:val=&quot;00962BAB&quot;/&gt;&lt;wsp:rsid wsp:val=&quot;00962E54&quot;/&gt;&lt;wsp:rsid wsp:val=&quot;00963021&quot;/&gt;&lt;wsp:rsid wsp:val=&quot;0096303F&quot;/&gt;&lt;wsp:rsid wsp:val=&quot;00963E42&quot;/&gt;&lt;wsp:rsid wsp:val=&quot;00963F3D&quot;/&gt;&lt;wsp:rsid wsp:val=&quot;009642F0&quot;/&gt;&lt;wsp:rsid wsp:val=&quot;009647F5&quot;/&gt;&lt;wsp:rsid wsp:val=&quot;0096491B&quot;/&gt;&lt;wsp:rsid wsp:val=&quot;009651CB&quot;/&gt;&lt;wsp:rsid wsp:val=&quot;009652AD&quot;/&gt;&lt;wsp:rsid wsp:val=&quot;00965F01&quot;/&gt;&lt;wsp:rsid wsp:val=&quot;00967787&quot;/&gt;&lt;wsp:rsid wsp:val=&quot;00970100&quot;/&gt;&lt;wsp:rsid wsp:val=&quot;0097091C&quot;/&gt;&lt;wsp:rsid wsp:val=&quot;009709D1&quot;/&gt;&lt;wsp:rsid wsp:val=&quot;00972499&quot;/&gt;&lt;wsp:rsid wsp:val=&quot;00972D2C&quot;/&gt;&lt;wsp:rsid wsp:val=&quot;00972D34&quot;/&gt;&lt;wsp:rsid wsp:val=&quot;00972D90&quot;/&gt;&lt;wsp:rsid wsp:val=&quot;009733DA&quot;/&gt;&lt;wsp:rsid wsp:val=&quot;009735B1&quot;/&gt;&lt;wsp:rsid wsp:val=&quot;0097365E&quot;/&gt;&lt;wsp:rsid wsp:val=&quot;00973846&quot;/&gt;&lt;wsp:rsid wsp:val=&quot;00973B1E&quot;/&gt;&lt;wsp:rsid wsp:val=&quot;0097413C&quot;/&gt;&lt;wsp:rsid wsp:val=&quot;0097442D&quot;/&gt;&lt;wsp:rsid wsp:val=&quot;00974932&quot;/&gt;&lt;wsp:rsid wsp:val=&quot;009751ED&quot;/&gt;&lt;wsp:rsid wsp:val=&quot;0097525A&quot;/&gt;&lt;wsp:rsid wsp:val=&quot;00975661&quot;/&gt;&lt;wsp:rsid wsp:val=&quot;00975AA8&quot;/&gt;&lt;wsp:rsid wsp:val=&quot;00976239&quot;/&gt;&lt;wsp:rsid wsp:val=&quot;00976597&quot;/&gt;&lt;wsp:rsid wsp:val=&quot;00976603&quot;/&gt;&lt;wsp:rsid wsp:val=&quot;00976F3B&quot;/&gt;&lt;wsp:rsid wsp:val=&quot;00976FB4&quot;/&gt;&lt;wsp:rsid wsp:val=&quot;00977664&quot;/&gt;&lt;wsp:rsid wsp:val=&quot;00977742&quot;/&gt;&lt;wsp:rsid wsp:val=&quot;00977A5D&quot;/&gt;&lt;wsp:rsid wsp:val=&quot;00977EF5&quot;/&gt;&lt;wsp:rsid wsp:val=&quot;00980A67&quot;/&gt;&lt;wsp:rsid wsp:val=&quot;00980EC4&quot;/&gt;&lt;wsp:rsid wsp:val=&quot;009812CB&quot;/&gt;&lt;wsp:rsid wsp:val=&quot;009816B5&quot;/&gt;&lt;wsp:rsid wsp:val=&quot;00981C11&quot;/&gt;&lt;wsp:rsid wsp:val=&quot;009823B8&quot;/&gt;&lt;wsp:rsid wsp:val=&quot;0098267B&quot;/&gt;&lt;wsp:rsid wsp:val=&quot;00982939&quot;/&gt;&lt;wsp:rsid wsp:val=&quot;00982A36&quot;/&gt;&lt;wsp:rsid wsp:val=&quot;00982AD9&quot;/&gt;&lt;wsp:rsid wsp:val=&quot;009831E9&quot;/&gt;&lt;wsp:rsid wsp:val=&quot;0098377F&quot;/&gt;&lt;wsp:rsid wsp:val=&quot;00983E6A&quot;/&gt;&lt;wsp:rsid wsp:val=&quot;00983EFF&quot;/&gt;&lt;wsp:rsid wsp:val=&quot;009841E7&quot;/&gt;&lt;wsp:rsid wsp:val=&quot;00984982&quot;/&gt;&lt;wsp:rsid wsp:val=&quot;00984988&quot;/&gt;&lt;wsp:rsid wsp:val=&quot;009849E9&quot;/&gt;&lt;wsp:rsid wsp:val=&quot;00985309&quot;/&gt;&lt;wsp:rsid wsp:val=&quot;0098565C&quot;/&gt;&lt;wsp:rsid wsp:val=&quot;00985AA0&quot;/&gt;&lt;wsp:rsid wsp:val=&quot;009861CA&quot;/&gt;&lt;wsp:rsid wsp:val=&quot;00986BDB&quot;/&gt;&lt;wsp:rsid wsp:val=&quot;00986E0C&quot;/&gt;&lt;wsp:rsid wsp:val=&quot;009872F2&quot;/&gt;&lt;wsp:rsid wsp:val=&quot;009873EA&quot;/&gt;&lt;wsp:rsid wsp:val=&quot;00987926&quot;/&gt;&lt;wsp:rsid wsp:val=&quot;009900E4&quot;/&gt;&lt;wsp:rsid wsp:val=&quot;00990137&quot;/&gt;&lt;wsp:rsid wsp:val=&quot;00990178&quot;/&gt;&lt;wsp:rsid wsp:val=&quot;009905DA&quot;/&gt;&lt;wsp:rsid wsp:val=&quot;00990715&quot;/&gt;&lt;wsp:rsid wsp:val=&quot;00990DD8&quot;/&gt;&lt;wsp:rsid wsp:val=&quot;00991528&quot;/&gt;&lt;wsp:rsid wsp:val=&quot;00991B7E&quot;/&gt;&lt;wsp:rsid wsp:val=&quot;00991CBB&quot;/&gt;&lt;wsp:rsid wsp:val=&quot;00991DE3&quot;/&gt;&lt;wsp:rsid wsp:val=&quot;00992096&quot;/&gt;&lt;wsp:rsid wsp:val=&quot;00993370&quot;/&gt;&lt;wsp:rsid wsp:val=&quot;00993CA9&quot;/&gt;&lt;wsp:rsid wsp:val=&quot;00995115&quot;/&gt;&lt;wsp:rsid wsp:val=&quot;00995423&quot;/&gt;&lt;wsp:rsid wsp:val=&quot;0099588C&quot;/&gt;&lt;wsp:rsid wsp:val=&quot;009962D6&quot;/&gt;&lt;wsp:rsid wsp:val=&quot;00996AEF&quot;/&gt;&lt;wsp:rsid wsp:val=&quot;00996D2D&quot;/&gt;&lt;wsp:rsid wsp:val=&quot;00997116&quot;/&gt;&lt;wsp:rsid wsp:val=&quot;009975D6&quot;/&gt;&lt;wsp:rsid wsp:val=&quot;00997800&quot;/&gt;&lt;wsp:rsid wsp:val=&quot;009A0232&quot;/&gt;&lt;wsp:rsid wsp:val=&quot;009A04F9&quot;/&gt;&lt;wsp:rsid wsp:val=&quot;009A095C&quot;/&gt;&lt;wsp:rsid wsp:val=&quot;009A0AA3&quot;/&gt;&lt;wsp:rsid wsp:val=&quot;009A0C64&quot;/&gt;&lt;wsp:rsid wsp:val=&quot;009A1A68&quot;/&gt;&lt;wsp:rsid wsp:val=&quot;009A1C98&quot;/&gt;&lt;wsp:rsid wsp:val=&quot;009A1FD5&quot;/&gt;&lt;wsp:rsid wsp:val=&quot;009A20A4&quot;/&gt;&lt;wsp:rsid wsp:val=&quot;009A25FF&quot;/&gt;&lt;wsp:rsid wsp:val=&quot;009A2836&quot;/&gt;&lt;wsp:rsid wsp:val=&quot;009A31C6&quot;/&gt;&lt;wsp:rsid wsp:val=&quot;009A31E9&quot;/&gt;&lt;wsp:rsid wsp:val=&quot;009A3203&quot;/&gt;&lt;wsp:rsid wsp:val=&quot;009A367C&quot;/&gt;&lt;wsp:rsid wsp:val=&quot;009A3823&quot;/&gt;&lt;wsp:rsid wsp:val=&quot;009A3BCF&quot;/&gt;&lt;wsp:rsid wsp:val=&quot;009A472E&quot;/&gt;&lt;wsp:rsid wsp:val=&quot;009A506C&quot;/&gt;&lt;wsp:rsid wsp:val=&quot;009A5655&quot;/&gt;&lt;wsp:rsid wsp:val=&quot;009A577C&quot;/&gt;&lt;wsp:rsid wsp:val=&quot;009A57DD&quot;/&gt;&lt;wsp:rsid wsp:val=&quot;009A586D&quot;/&gt;&lt;wsp:rsid wsp:val=&quot;009A5C08&quot;/&gt;&lt;wsp:rsid wsp:val=&quot;009A63AE&quot;/&gt;&lt;wsp:rsid wsp:val=&quot;009A711E&quot;/&gt;&lt;wsp:rsid wsp:val=&quot;009A781C&quot;/&gt;&lt;wsp:rsid wsp:val=&quot;009A7BD6&quot;/&gt;&lt;wsp:rsid wsp:val=&quot;009B0409&quot;/&gt;&lt;wsp:rsid wsp:val=&quot;009B06E3&quot;/&gt;&lt;wsp:rsid wsp:val=&quot;009B0A27&quot;/&gt;&lt;wsp:rsid wsp:val=&quot;009B0EE3&quot;/&gt;&lt;wsp:rsid wsp:val=&quot;009B1178&quot;/&gt;&lt;wsp:rsid wsp:val=&quot;009B18E9&quot;/&gt;&lt;wsp:rsid wsp:val=&quot;009B2565&quot;/&gt;&lt;wsp:rsid wsp:val=&quot;009B2C77&quot;/&gt;&lt;wsp:rsid wsp:val=&quot;009B3545&quot;/&gt;&lt;wsp:rsid wsp:val=&quot;009B42A1&quot;/&gt;&lt;wsp:rsid wsp:val=&quot;009B5125&quot;/&gt;&lt;wsp:rsid wsp:val=&quot;009B5132&quot;/&gt;&lt;wsp:rsid wsp:val=&quot;009B5B0F&quot;/&gt;&lt;wsp:rsid wsp:val=&quot;009B5CD0&quot;/&gt;&lt;wsp:rsid wsp:val=&quot;009B74B7&quot;/&gt;&lt;wsp:rsid wsp:val=&quot;009B7CA8&quot;/&gt;&lt;wsp:rsid wsp:val=&quot;009C0053&quot;/&gt;&lt;wsp:rsid wsp:val=&quot;009C0181&quot;/&gt;&lt;wsp:rsid wsp:val=&quot;009C0ECD&quot;/&gt;&lt;wsp:rsid wsp:val=&quot;009C15C2&quot;/&gt;&lt;wsp:rsid wsp:val=&quot;009C2217&quot;/&gt;&lt;wsp:rsid wsp:val=&quot;009C2ECC&quot;/&gt;&lt;wsp:rsid wsp:val=&quot;009C369F&quot;/&gt;&lt;wsp:rsid wsp:val=&quot;009C3F12&quot;/&gt;&lt;wsp:rsid wsp:val=&quot;009C42FA&quot;/&gt;&lt;wsp:rsid wsp:val=&quot;009C4A18&quot;/&gt;&lt;wsp:rsid wsp:val=&quot;009C4C3D&quot;/&gt;&lt;wsp:rsid wsp:val=&quot;009C4E2C&quot;/&gt;&lt;wsp:rsid wsp:val=&quot;009C5BD2&quot;/&gt;&lt;wsp:rsid wsp:val=&quot;009C6618&quot;/&gt;&lt;wsp:rsid wsp:val=&quot;009C661A&quot;/&gt;&lt;wsp:rsid wsp:val=&quot;009C73E0&quot;/&gt;&lt;wsp:rsid wsp:val=&quot;009D02B7&quot;/&gt;&lt;wsp:rsid wsp:val=&quot;009D0508&quot;/&gt;&lt;wsp:rsid wsp:val=&quot;009D0A84&quot;/&gt;&lt;wsp:rsid wsp:val=&quot;009D1163&quot;/&gt;&lt;wsp:rsid wsp:val=&quot;009D2233&quot;/&gt;&lt;wsp:rsid wsp:val=&quot;009D2743&quot;/&gt;&lt;wsp:rsid wsp:val=&quot;009D30F4&quot;/&gt;&lt;wsp:rsid wsp:val=&quot;009D330A&quot;/&gt;&lt;wsp:rsid wsp:val=&quot;009D34F0&quot;/&gt;&lt;wsp:rsid wsp:val=&quot;009D35E3&quot;/&gt;&lt;wsp:rsid wsp:val=&quot;009D419B&quot;/&gt;&lt;wsp:rsid wsp:val=&quot;009D41C4&quot;/&gt;&lt;wsp:rsid wsp:val=&quot;009D4DA2&quot;/&gt;&lt;wsp:rsid wsp:val=&quot;009D582B&quot;/&gt;&lt;wsp:rsid wsp:val=&quot;009D58F2&quot;/&gt;&lt;wsp:rsid wsp:val=&quot;009D5E64&quot;/&gt;&lt;wsp:rsid wsp:val=&quot;009D5E7E&quot;/&gt;&lt;wsp:rsid wsp:val=&quot;009D5F68&quot;/&gt;&lt;wsp:rsid wsp:val=&quot;009D6112&quot;/&gt;&lt;wsp:rsid wsp:val=&quot;009D6223&quot;/&gt;&lt;wsp:rsid wsp:val=&quot;009D653D&quot;/&gt;&lt;wsp:rsid wsp:val=&quot;009D73F3&quot;/&gt;&lt;wsp:rsid wsp:val=&quot;009D7EA6&quot;/&gt;&lt;wsp:rsid wsp:val=&quot;009E08CA&quot;/&gt;&lt;wsp:rsid wsp:val=&quot;009E0B6E&quot;/&gt;&lt;wsp:rsid wsp:val=&quot;009E1431&quot;/&gt;&lt;wsp:rsid wsp:val=&quot;009E197F&quot;/&gt;&lt;wsp:rsid wsp:val=&quot;009E19C3&quot;/&gt;&lt;wsp:rsid wsp:val=&quot;009E2097&quot;/&gt;&lt;wsp:rsid wsp:val=&quot;009E25A5&quot;/&gt;&lt;wsp:rsid wsp:val=&quot;009E2A76&quot;/&gt;&lt;wsp:rsid wsp:val=&quot;009E2B4D&quot;/&gt;&lt;wsp:rsid wsp:val=&quot;009E2BC1&quot;/&gt;&lt;wsp:rsid wsp:val=&quot;009E2C84&quot;/&gt;&lt;wsp:rsid wsp:val=&quot;009E2D05&quot;/&gt;&lt;wsp:rsid wsp:val=&quot;009E3079&quot;/&gt;&lt;wsp:rsid wsp:val=&quot;009E3FB9&quot;/&gt;&lt;wsp:rsid wsp:val=&quot;009E3FEE&quot;/&gt;&lt;wsp:rsid wsp:val=&quot;009E4093&quot;/&gt;&lt;wsp:rsid wsp:val=&quot;009E4131&quot;/&gt;&lt;wsp:rsid wsp:val=&quot;009E4163&quot;/&gt;&lt;wsp:rsid wsp:val=&quot;009E4813&quot;/&gt;&lt;wsp:rsid wsp:val=&quot;009E4827&quot;/&gt;&lt;wsp:rsid wsp:val=&quot;009E5A1F&quot;/&gt;&lt;wsp:rsid wsp:val=&quot;009E62C0&quot;/&gt;&lt;wsp:rsid wsp:val=&quot;009E6E51&quot;/&gt;&lt;wsp:rsid wsp:val=&quot;009E71C6&quot;/&gt;&lt;wsp:rsid wsp:val=&quot;009E764A&quot;/&gt;&lt;wsp:rsid wsp:val=&quot;009F0C00&quot;/&gt;&lt;wsp:rsid wsp:val=&quot;009F0C4A&quot;/&gt;&lt;wsp:rsid wsp:val=&quot;009F0EDC&quot;/&gt;&lt;wsp:rsid wsp:val=&quot;009F0F8E&quot;/&gt;&lt;wsp:rsid wsp:val=&quot;009F1093&quot;/&gt;&lt;wsp:rsid wsp:val=&quot;009F1822&quot;/&gt;&lt;wsp:rsid wsp:val=&quot;009F1CB4&quot;/&gt;&lt;wsp:rsid wsp:val=&quot;009F24DC&quot;/&gt;&lt;wsp:rsid wsp:val=&quot;009F2873&quot;/&gt;&lt;wsp:rsid wsp:val=&quot;009F2944&quot;/&gt;&lt;wsp:rsid wsp:val=&quot;009F2D93&quot;/&gt;&lt;wsp:rsid wsp:val=&quot;009F34EA&quot;/&gt;&lt;wsp:rsid wsp:val=&quot;009F363E&quot;/&gt;&lt;wsp:rsid wsp:val=&quot;009F4063&quot;/&gt;&lt;wsp:rsid wsp:val=&quot;009F4599&quot;/&gt;&lt;wsp:rsid wsp:val=&quot;009F4942&quot;/&gt;&lt;wsp:rsid wsp:val=&quot;009F4ACD&quot;/&gt;&lt;wsp:rsid wsp:val=&quot;009F567C&quot;/&gt;&lt;wsp:rsid wsp:val=&quot;009F62EC&quot;/&gt;&lt;wsp:rsid wsp:val=&quot;009F64AF&quot;/&gt;&lt;wsp:rsid wsp:val=&quot;009F7634&quot;/&gt;&lt;wsp:rsid wsp:val=&quot;009F7C62&quot;/&gt;&lt;wsp:rsid wsp:val=&quot;00A00FDF&quot;/&gt;&lt;wsp:rsid wsp:val=&quot;00A01107&quot;/&gt;&lt;wsp:rsid wsp:val=&quot;00A0161D&quot;/&gt;&lt;wsp:rsid wsp:val=&quot;00A01E7F&quot;/&gt;&lt;wsp:rsid wsp:val=&quot;00A0230C&quot;/&gt;&lt;wsp:rsid wsp:val=&quot;00A04B6A&quot;/&gt;&lt;wsp:rsid wsp:val=&quot;00A04B9D&quot;/&gt;&lt;wsp:rsid wsp:val=&quot;00A05279&quot;/&gt;&lt;wsp:rsid wsp:val=&quot;00A052A7&quot;/&gt;&lt;wsp:rsid wsp:val=&quot;00A0539E&quot;/&gt;&lt;wsp:rsid wsp:val=&quot;00A056A6&quot;/&gt;&lt;wsp:rsid wsp:val=&quot;00A0587D&quot;/&gt;&lt;wsp:rsid wsp:val=&quot;00A05F02&quot;/&gt;&lt;wsp:rsid wsp:val=&quot;00A06840&quot;/&gt;&lt;wsp:rsid wsp:val=&quot;00A074AE&quot;/&gt;&lt;wsp:rsid wsp:val=&quot;00A07915&quot;/&gt;&lt;wsp:rsid wsp:val=&quot;00A0797B&quot;/&gt;&lt;wsp:rsid wsp:val=&quot;00A07D66&quot;/&gt;&lt;wsp:rsid wsp:val=&quot;00A10799&quot;/&gt;&lt;wsp:rsid wsp:val=&quot;00A10937&quot;/&gt;&lt;wsp:rsid wsp:val=&quot;00A10B2A&quot;/&gt;&lt;wsp:rsid wsp:val=&quot;00A11CAE&quot;/&gt;&lt;wsp:rsid wsp:val=&quot;00A12065&quot;/&gt;&lt;wsp:rsid wsp:val=&quot;00A12793&quot;/&gt;&lt;wsp:rsid wsp:val=&quot;00A127C7&quot;/&gt;&lt;wsp:rsid wsp:val=&quot;00A13C94&quot;/&gt;&lt;wsp:rsid wsp:val=&quot;00A14079&quot;/&gt;&lt;wsp:rsid wsp:val=&quot;00A14229&quot;/&gt;&lt;wsp:rsid wsp:val=&quot;00A146E2&quot;/&gt;&lt;wsp:rsid wsp:val=&quot;00A14C9B&quot;/&gt;&lt;wsp:rsid wsp:val=&quot;00A153F0&quot;/&gt;&lt;wsp:rsid wsp:val=&quot;00A15748&quot;/&gt;&lt;wsp:rsid wsp:val=&quot;00A16195&quot;/&gt;&lt;wsp:rsid wsp:val=&quot;00A16206&quot;/&gt;&lt;wsp:rsid wsp:val=&quot;00A16D6B&quot;/&gt;&lt;wsp:rsid wsp:val=&quot;00A17385&quot;/&gt;&lt;wsp:rsid wsp:val=&quot;00A17EAE&quot;/&gt;&lt;wsp:rsid wsp:val=&quot;00A206A3&quot;/&gt;&lt;wsp:rsid wsp:val=&quot;00A206B4&quot;/&gt;&lt;wsp:rsid wsp:val=&quot;00A20A5F&quot;/&gt;&lt;wsp:rsid wsp:val=&quot;00A2103E&quot;/&gt;&lt;wsp:rsid wsp:val=&quot;00A21579&quot;/&gt;&lt;wsp:rsid wsp:val=&quot;00A218E3&quot;/&gt;&lt;wsp:rsid wsp:val=&quot;00A2251B&quot;/&gt;&lt;wsp:rsid wsp:val=&quot;00A2278D&quot;/&gt;&lt;wsp:rsid wsp:val=&quot;00A227EC&quot;/&gt;&lt;wsp:rsid wsp:val=&quot;00A22A9D&quot;/&gt;&lt;wsp:rsid wsp:val=&quot;00A22CAD&quot;/&gt;&lt;wsp:rsid wsp:val=&quot;00A22CFB&quot;/&gt;&lt;wsp:rsid wsp:val=&quot;00A230A6&quot;/&gt;&lt;wsp:rsid wsp:val=&quot;00A24EB5&quot;/&gt;&lt;wsp:rsid wsp:val=&quot;00A250E8&quot;/&gt;&lt;wsp:rsid wsp:val=&quot;00A25506&quot;/&gt;&lt;wsp:rsid wsp:val=&quot;00A2685F&quot;/&gt;&lt;wsp:rsid wsp:val=&quot;00A2686B&quot;/&gt;&lt;wsp:rsid wsp:val=&quot;00A26FA0&quot;/&gt;&lt;wsp:rsid wsp:val=&quot;00A27246&quot;/&gt;&lt;wsp:rsid wsp:val=&quot;00A27C88&quot;/&gt;&lt;wsp:rsid wsp:val=&quot;00A301A0&quot;/&gt;&lt;wsp:rsid wsp:val=&quot;00A30845&quot;/&gt;&lt;wsp:rsid wsp:val=&quot;00A30C41&quot;/&gt;&lt;wsp:rsid wsp:val=&quot;00A30E99&quot;/&gt;&lt;wsp:rsid wsp:val=&quot;00A31689&quot;/&gt;&lt;wsp:rsid wsp:val=&quot;00A3177A&quot;/&gt;&lt;wsp:rsid wsp:val=&quot;00A32233&quot;/&gt;&lt;wsp:rsid wsp:val=&quot;00A3266E&quot;/&gt;&lt;wsp:rsid wsp:val=&quot;00A327C1&quot;/&gt;&lt;wsp:rsid wsp:val=&quot;00A32BDB&quot;/&gt;&lt;wsp:rsid wsp:val=&quot;00A32EDD&quot;/&gt;&lt;wsp:rsid wsp:val=&quot;00A32F29&quot;/&gt;&lt;wsp:rsid wsp:val=&quot;00A32FC8&quot;/&gt;&lt;wsp:rsid wsp:val=&quot;00A33DE9&quot;/&gt;&lt;wsp:rsid wsp:val=&quot;00A33FCA&quot;/&gt;&lt;wsp:rsid wsp:val=&quot;00A34E55&quot;/&gt;&lt;wsp:rsid wsp:val=&quot;00A350E6&quot;/&gt;&lt;wsp:rsid wsp:val=&quot;00A351BE&quot;/&gt;&lt;wsp:rsid wsp:val=&quot;00A3543C&quot;/&gt;&lt;wsp:rsid wsp:val=&quot;00A356FC&quot;/&gt;&lt;wsp:rsid wsp:val=&quot;00A3599E&quot;/&gt;&lt;wsp:rsid wsp:val=&quot;00A35DA0&quot;/&gt;&lt;wsp:rsid wsp:val=&quot;00A36085&quot;/&gt;&lt;wsp:rsid wsp:val=&quot;00A362E8&quot;/&gt;&lt;wsp:rsid wsp:val=&quot;00A370C3&quot;/&gt;&lt;wsp:rsid wsp:val=&quot;00A37625&quot;/&gt;&lt;wsp:rsid wsp:val=&quot;00A378CA&quot;/&gt;&lt;wsp:rsid wsp:val=&quot;00A37FA2&quot;/&gt;&lt;wsp:rsid wsp:val=&quot;00A4088D&quot;/&gt;&lt;wsp:rsid wsp:val=&quot;00A40A37&quot;/&gt;&lt;wsp:rsid wsp:val=&quot;00A40B75&quot;/&gt;&lt;wsp:rsid wsp:val=&quot;00A424AB&quot;/&gt;&lt;wsp:rsid wsp:val=&quot;00A42538&quot;/&gt;&lt;wsp:rsid wsp:val=&quot;00A42CC6&quot;/&gt;&lt;wsp:rsid wsp:val=&quot;00A433AA&quot;/&gt;&lt;wsp:rsid wsp:val=&quot;00A43773&quot;/&gt;&lt;wsp:rsid wsp:val=&quot;00A44050&quot;/&gt;&lt;wsp:rsid wsp:val=&quot;00A4457A&quot;/&gt;&lt;wsp:rsid wsp:val=&quot;00A44584&quot;/&gt;&lt;wsp:rsid wsp:val=&quot;00A447A1&quot;/&gt;&lt;wsp:rsid wsp:val=&quot;00A44AE5&quot;/&gt;&lt;wsp:rsid wsp:val=&quot;00A45E04&quot;/&gt;&lt;wsp:rsid wsp:val=&quot;00A461AC&quot;/&gt;&lt;wsp:rsid wsp:val=&quot;00A4698B&quot;/&gt;&lt;wsp:rsid wsp:val=&quot;00A46C90&quot;/&gt;&lt;wsp:rsid wsp:val=&quot;00A46DDC&quot;/&gt;&lt;wsp:rsid wsp:val=&quot;00A47A52&quot;/&gt;&lt;wsp:rsid wsp:val=&quot;00A47DA8&quot;/&gt;&lt;wsp:rsid wsp:val=&quot;00A5109E&quot;/&gt;&lt;wsp:rsid wsp:val=&quot;00A51AEC&quot;/&gt;&lt;wsp:rsid wsp:val=&quot;00A51C39&quot;/&gt;&lt;wsp:rsid wsp:val=&quot;00A51CDF&quot;/&gt;&lt;wsp:rsid wsp:val=&quot;00A52ACF&quot;/&gt;&lt;wsp:rsid wsp:val=&quot;00A52CA5&quot;/&gt;&lt;wsp:rsid wsp:val=&quot;00A52EF7&quot;/&gt;&lt;wsp:rsid wsp:val=&quot;00A530EE&quot;/&gt;&lt;wsp:rsid wsp:val=&quot;00A53AED&quot;/&gt;&lt;wsp:rsid wsp:val=&quot;00A53B5C&quot;/&gt;&lt;wsp:rsid wsp:val=&quot;00A53C3F&quot;/&gt;&lt;wsp:rsid wsp:val=&quot;00A53C90&quot;/&gt;&lt;wsp:rsid wsp:val=&quot;00A53C91&quot;/&gt;&lt;wsp:rsid wsp:val=&quot;00A543F1&quot;/&gt;&lt;wsp:rsid wsp:val=&quot;00A544D2&quot;/&gt;&lt;wsp:rsid wsp:val=&quot;00A548A9&quot;/&gt;&lt;wsp:rsid wsp:val=&quot;00A54AD6&quot;/&gt;&lt;wsp:rsid wsp:val=&quot;00A54C67&quot;/&gt;&lt;wsp:rsid wsp:val=&quot;00A55096&quot;/&gt;&lt;wsp:rsid wsp:val=&quot;00A551EF&quot;/&gt;&lt;wsp:rsid wsp:val=&quot;00A556A6&quot;/&gt;&lt;wsp:rsid wsp:val=&quot;00A556AD&quot;/&gt;&lt;wsp:rsid wsp:val=&quot;00A55DB8&quot;/&gt;&lt;wsp:rsid wsp:val=&quot;00A5612F&quot;/&gt;&lt;wsp:rsid wsp:val=&quot;00A56A19&quot;/&gt;&lt;wsp:rsid wsp:val=&quot;00A56EC5&quot;/&gt;&lt;wsp:rsid wsp:val=&quot;00A57792&quot;/&gt;&lt;wsp:rsid wsp:val=&quot;00A57A3B&quot;/&gt;&lt;wsp:rsid wsp:val=&quot;00A57E5F&quot;/&gt;&lt;wsp:rsid wsp:val=&quot;00A603DF&quot;/&gt;&lt;wsp:rsid wsp:val=&quot;00A607AA&quot;/&gt;&lt;wsp:rsid wsp:val=&quot;00A60C87&quot;/&gt;&lt;wsp:rsid wsp:val=&quot;00A610BF&quot;/&gt;&lt;wsp:rsid wsp:val=&quot;00A610D2&quot;/&gt;&lt;wsp:rsid wsp:val=&quot;00A611F0&quot;/&gt;&lt;wsp:rsid wsp:val=&quot;00A611F3&quot;/&gt;&lt;wsp:rsid wsp:val=&quot;00A61D2C&quot;/&gt;&lt;wsp:rsid wsp:val=&quot;00A62015&quot;/&gt;&lt;wsp:rsid wsp:val=&quot;00A622F5&quot;/&gt;&lt;wsp:rsid wsp:val=&quot;00A62374&quot;/&gt;&lt;wsp:rsid wsp:val=&quot;00A623FA&quot;/&gt;&lt;wsp:rsid wsp:val=&quot;00A62611&quot;/&gt;&lt;wsp:rsid wsp:val=&quot;00A62652&quot;/&gt;&lt;wsp:rsid wsp:val=&quot;00A62835&quot;/&gt;&lt;wsp:rsid wsp:val=&quot;00A63415&quot;/&gt;&lt;wsp:rsid wsp:val=&quot;00A63503&quot;/&gt;&lt;wsp:rsid wsp:val=&quot;00A635DC&quot;/&gt;&lt;wsp:rsid wsp:val=&quot;00A63AE5&quot;/&gt;&lt;wsp:rsid wsp:val=&quot;00A63C2A&quot;/&gt;&lt;wsp:rsid wsp:val=&quot;00A63CC8&quot;/&gt;&lt;wsp:rsid wsp:val=&quot;00A6537F&quot;/&gt;&lt;wsp:rsid wsp:val=&quot;00A6552A&quot;/&gt;&lt;wsp:rsid wsp:val=&quot;00A655FD&quot;/&gt;&lt;wsp:rsid wsp:val=&quot;00A65722&quot;/&gt;&lt;wsp:rsid wsp:val=&quot;00A66582&quot;/&gt;&lt;wsp:rsid wsp:val=&quot;00A669B3&quot;/&gt;&lt;wsp:rsid wsp:val=&quot;00A66E32&quot;/&gt;&lt;wsp:rsid wsp:val=&quot;00A672FE&quot;/&gt;&lt;wsp:rsid wsp:val=&quot;00A67372&quot;/&gt;&lt;wsp:rsid wsp:val=&quot;00A67759&quot;/&gt;&lt;wsp:rsid wsp:val=&quot;00A677E5&quot;/&gt;&lt;wsp:rsid wsp:val=&quot;00A6784F&quot;/&gt;&lt;wsp:rsid wsp:val=&quot;00A709BF&quot;/&gt;&lt;wsp:rsid wsp:val=&quot;00A71092&quot;/&gt;&lt;wsp:rsid wsp:val=&quot;00A71167&quot;/&gt;&lt;wsp:rsid wsp:val=&quot;00A7131D&quot;/&gt;&lt;wsp:rsid wsp:val=&quot;00A71320&quot;/&gt;&lt;wsp:rsid wsp:val=&quot;00A7178B&quot;/&gt;&lt;wsp:rsid wsp:val=&quot;00A71F04&quot;/&gt;&lt;wsp:rsid wsp:val=&quot;00A72686&quot;/&gt;&lt;wsp:rsid wsp:val=&quot;00A7291A&quot;/&gt;&lt;wsp:rsid wsp:val=&quot;00A72EEC&quot;/&gt;&lt;wsp:rsid wsp:val=&quot;00A735C9&quot;/&gt;&lt;wsp:rsid wsp:val=&quot;00A7517C&quot;/&gt;&lt;wsp:rsid wsp:val=&quot;00A75649&quot;/&gt;&lt;wsp:rsid wsp:val=&quot;00A7575D&quot;/&gt;&lt;wsp:rsid wsp:val=&quot;00A75838&quot;/&gt;&lt;wsp:rsid wsp:val=&quot;00A75D46&quot;/&gt;&lt;wsp:rsid wsp:val=&quot;00A75F3C&quot;/&gt;&lt;wsp:rsid wsp:val=&quot;00A7675C&quot;/&gt;&lt;wsp:rsid wsp:val=&quot;00A77762&quot;/&gt;&lt;wsp:rsid wsp:val=&quot;00A77BB6&quot;/&gt;&lt;wsp:rsid wsp:val=&quot;00A8034A&quot;/&gt;&lt;wsp:rsid wsp:val=&quot;00A80846&quot;/&gt;&lt;wsp:rsid wsp:val=&quot;00A80889&quot;/&gt;&lt;wsp:rsid wsp:val=&quot;00A8145B&quot;/&gt;&lt;wsp:rsid wsp:val=&quot;00A81DE3&quot;/&gt;&lt;wsp:rsid wsp:val=&quot;00A81EB8&quot;/&gt;&lt;wsp:rsid wsp:val=&quot;00A8207D&quot;/&gt;&lt;wsp:rsid wsp:val=&quot;00A82408&quot;/&gt;&lt;wsp:rsid wsp:val=&quot;00A82649&quot;/&gt;&lt;wsp:rsid wsp:val=&quot;00A82E06&quot;/&gt;&lt;wsp:rsid wsp:val=&quot;00A82E87&quot;/&gt;&lt;wsp:rsid wsp:val=&quot;00A83BBD&quot;/&gt;&lt;wsp:rsid wsp:val=&quot;00A84240&quot;/&gt;&lt;wsp:rsid wsp:val=&quot;00A84730&quot;/&gt;&lt;wsp:rsid wsp:val=&quot;00A8566B&quot;/&gt;&lt;wsp:rsid wsp:val=&quot;00A856D6&quot;/&gt;&lt;wsp:rsid wsp:val=&quot;00A860F7&quot;/&gt;&lt;wsp:rsid wsp:val=&quot;00A865C9&quot;/&gt;&lt;wsp:rsid wsp:val=&quot;00A86DB7&quot;/&gt;&lt;wsp:rsid wsp:val=&quot;00A87186&quot;/&gt;&lt;wsp:rsid wsp:val=&quot;00A87FDE&quot;/&gt;&lt;wsp:rsid wsp:val=&quot;00A90286&quot;/&gt;&lt;wsp:rsid wsp:val=&quot;00A906C6&quot;/&gt;&lt;wsp:rsid wsp:val=&quot;00A912C0&quot;/&gt;&lt;wsp:rsid wsp:val=&quot;00A913D0&quot;/&gt;&lt;wsp:rsid wsp:val=&quot;00A91E57&quot;/&gt;&lt;wsp:rsid wsp:val=&quot;00A92023&quot;/&gt;&lt;wsp:rsid wsp:val=&quot;00A92353&quot;/&gt;&lt;wsp:rsid wsp:val=&quot;00A92822&quot;/&gt;&lt;wsp:rsid wsp:val=&quot;00A92C52&quot;/&gt;&lt;wsp:rsid wsp:val=&quot;00A9314A&quot;/&gt;&lt;wsp:rsid wsp:val=&quot;00A9480D&quot;/&gt;&lt;wsp:rsid wsp:val=&quot;00A94B38&quot;/&gt;&lt;wsp:rsid wsp:val=&quot;00A95029&quot;/&gt;&lt;wsp:rsid wsp:val=&quot;00A9535D&quot;/&gt;&lt;wsp:rsid wsp:val=&quot;00A955DF&quot;/&gt;&lt;wsp:rsid wsp:val=&quot;00A957CB&quot;/&gt;&lt;wsp:rsid wsp:val=&quot;00A95EF7&quot;/&gt;&lt;wsp:rsid wsp:val=&quot;00A965F2&quot;/&gt;&lt;wsp:rsid wsp:val=&quot;00A96638&quot;/&gt;&lt;wsp:rsid wsp:val=&quot;00A9689B&quot;/&gt;&lt;wsp:rsid wsp:val=&quot;00A969C9&quot;/&gt;&lt;wsp:rsid wsp:val=&quot;00A96EFF&quot;/&gt;&lt;wsp:rsid wsp:val=&quot;00A97442&quot;/&gt;&lt;wsp:rsid wsp:val=&quot;00A9788C&quot;/&gt;&lt;wsp:rsid wsp:val=&quot;00A97E5E&quot;/&gt;&lt;wsp:rsid wsp:val=&quot;00AA0B5A&quot;/&gt;&lt;wsp:rsid wsp:val=&quot;00AA0C29&quot;/&gt;&lt;wsp:rsid wsp:val=&quot;00AA111C&quot;/&gt;&lt;wsp:rsid wsp:val=&quot;00AA11F3&quot;/&gt;&lt;wsp:rsid wsp:val=&quot;00AA1993&quot;/&gt;&lt;wsp:rsid wsp:val=&quot;00AA2021&quot;/&gt;&lt;wsp:rsid wsp:val=&quot;00AA21BA&quot;/&gt;&lt;wsp:rsid wsp:val=&quot;00AA22B1&quot;/&gt;&lt;wsp:rsid wsp:val=&quot;00AA2300&quot;/&gt;&lt;wsp:rsid wsp:val=&quot;00AA2D16&quot;/&gt;&lt;wsp:rsid wsp:val=&quot;00AA2DBF&quot;/&gt;&lt;wsp:rsid wsp:val=&quot;00AA3060&quot;/&gt;&lt;wsp:rsid wsp:val=&quot;00AA3826&quot;/&gt;&lt;wsp:rsid wsp:val=&quot;00AA383D&quot;/&gt;&lt;wsp:rsid wsp:val=&quot;00AA392C&quot;/&gt;&lt;wsp:rsid wsp:val=&quot;00AA3E54&quot;/&gt;&lt;wsp:rsid wsp:val=&quot;00AA466C&quot;/&gt;&lt;wsp:rsid wsp:val=&quot;00AA471B&quot;/&gt;&lt;wsp:rsid wsp:val=&quot;00AA4788&quot;/&gt;&lt;wsp:rsid wsp:val=&quot;00AA4D8F&quot;/&gt;&lt;wsp:rsid wsp:val=&quot;00AA4E26&quot;/&gt;&lt;wsp:rsid wsp:val=&quot;00AA627B&quot;/&gt;&lt;wsp:rsid wsp:val=&quot;00AA6AE8&quot;/&gt;&lt;wsp:rsid wsp:val=&quot;00AA6B9B&quot;/&gt;&lt;wsp:rsid wsp:val=&quot;00AA7874&quot;/&gt;&lt;wsp:rsid wsp:val=&quot;00AA7CC3&quot;/&gt;&lt;wsp:rsid wsp:val=&quot;00AB03A3&quot;/&gt;&lt;wsp:rsid wsp:val=&quot;00AB04A8&quot;/&gt;&lt;wsp:rsid wsp:val=&quot;00AB0626&quot;/&gt;&lt;wsp:rsid wsp:val=&quot;00AB0AA6&quot;/&gt;&lt;wsp:rsid wsp:val=&quot;00AB0AE1&quot;/&gt;&lt;wsp:rsid wsp:val=&quot;00AB0B08&quot;/&gt;&lt;wsp:rsid wsp:val=&quot;00AB0E89&quot;/&gt;&lt;wsp:rsid wsp:val=&quot;00AB1424&quot;/&gt;&lt;wsp:rsid wsp:val=&quot;00AB189A&quot;/&gt;&lt;wsp:rsid wsp:val=&quot;00AB1BD7&quot;/&gt;&lt;wsp:rsid wsp:val=&quot;00AB1D8F&quot;/&gt;&lt;wsp:rsid wsp:val=&quot;00AB2AF6&quot;/&gt;&lt;wsp:rsid wsp:val=&quot;00AB34D4&quot;/&gt;&lt;wsp:rsid wsp:val=&quot;00AB36FA&quot;/&gt;&lt;wsp:rsid wsp:val=&quot;00AB3A02&quot;/&gt;&lt;wsp:rsid wsp:val=&quot;00AB3DF3&quot;/&gt;&lt;wsp:rsid wsp:val=&quot;00AB3EE0&quot;/&gt;&lt;wsp:rsid wsp:val=&quot;00AB3F14&quot;/&gt;&lt;wsp:rsid wsp:val=&quot;00AB40E4&quot;/&gt;&lt;wsp:rsid wsp:val=&quot;00AB4416&quot;/&gt;&lt;wsp:rsid wsp:val=&quot;00AB4914&quot;/&gt;&lt;wsp:rsid wsp:val=&quot;00AB4A82&quot;/&gt;&lt;wsp:rsid wsp:val=&quot;00AB509D&quot;/&gt;&lt;wsp:rsid wsp:val=&quot;00AB5286&quot;/&gt;&lt;wsp:rsid wsp:val=&quot;00AB541C&quot;/&gt;&lt;wsp:rsid wsp:val=&quot;00AB567E&quot;/&gt;&lt;wsp:rsid wsp:val=&quot;00AB56A3&quot;/&gt;&lt;wsp:rsid wsp:val=&quot;00AB69D1&quot;/&gt;&lt;wsp:rsid wsp:val=&quot;00AB6A1E&quot;/&gt;&lt;wsp:rsid wsp:val=&quot;00AB6D52&quot;/&gt;&lt;wsp:rsid wsp:val=&quot;00AB6E87&quot;/&gt;&lt;wsp:rsid wsp:val=&quot;00AB7A0F&quot;/&gt;&lt;wsp:rsid wsp:val=&quot;00AB7B8A&quot;/&gt;&lt;wsp:rsid wsp:val=&quot;00AB7F12&quot;/&gt;&lt;wsp:rsid wsp:val=&quot;00AB7FD0&quot;/&gt;&lt;wsp:rsid wsp:val=&quot;00AC034E&quot;/&gt;&lt;wsp:rsid wsp:val=&quot;00AC0E84&quot;/&gt;&lt;wsp:rsid wsp:val=&quot;00AC0FB4&quot;/&gt;&lt;wsp:rsid wsp:val=&quot;00AC1098&quot;/&gt;&lt;wsp:rsid wsp:val=&quot;00AC1296&quot;/&gt;&lt;wsp:rsid wsp:val=&quot;00AC16B2&quot;/&gt;&lt;wsp:rsid wsp:val=&quot;00AC175B&quot;/&gt;&lt;wsp:rsid wsp:val=&quot;00AC1928&quot;/&gt;&lt;wsp:rsid wsp:val=&quot;00AC2056&quot;/&gt;&lt;wsp:rsid wsp:val=&quot;00AC21A7&quot;/&gt;&lt;wsp:rsid wsp:val=&quot;00AC21BF&quot;/&gt;&lt;wsp:rsid wsp:val=&quot;00AC230B&quot;/&gt;&lt;wsp:rsid wsp:val=&quot;00AC320A&quot;/&gt;&lt;wsp:rsid wsp:val=&quot;00AC33E1&quot;/&gt;&lt;wsp:rsid wsp:val=&quot;00AC3435&quot;/&gt;&lt;wsp:rsid wsp:val=&quot;00AC3479&quot;/&gt;&lt;wsp:rsid wsp:val=&quot;00AC36AB&quot;/&gt;&lt;wsp:rsid wsp:val=&quot;00AC36EC&quot;/&gt;&lt;wsp:rsid wsp:val=&quot;00AC3911&quot;/&gt;&lt;wsp:rsid wsp:val=&quot;00AC3A7F&quot;/&gt;&lt;wsp:rsid wsp:val=&quot;00AC3E57&quot;/&gt;&lt;wsp:rsid wsp:val=&quot;00AC4001&quot;/&gt;&lt;wsp:rsid wsp:val=&quot;00AC40D0&quot;/&gt;&lt;wsp:rsid wsp:val=&quot;00AC466F&quot;/&gt;&lt;wsp:rsid wsp:val=&quot;00AC4A56&quot;/&gt;&lt;wsp:rsid wsp:val=&quot;00AC4B16&quot;/&gt;&lt;wsp:rsid wsp:val=&quot;00AC5022&quot;/&gt;&lt;wsp:rsid wsp:val=&quot;00AC5143&quot;/&gt;&lt;wsp:rsid wsp:val=&quot;00AC54F6&quot;/&gt;&lt;wsp:rsid wsp:val=&quot;00AC66F2&quot;/&gt;&lt;wsp:rsid wsp:val=&quot;00AC683D&quot;/&gt;&lt;wsp:rsid wsp:val=&quot;00AC6841&quot;/&gt;&lt;wsp:rsid wsp:val=&quot;00AC6B20&quot;/&gt;&lt;wsp:rsid wsp:val=&quot;00AC6BA4&quot;/&gt;&lt;wsp:rsid wsp:val=&quot;00AC6C5B&quot;/&gt;&lt;wsp:rsid wsp:val=&quot;00AC6C5C&quot;/&gt;&lt;wsp:rsid wsp:val=&quot;00AC7324&quot;/&gt;&lt;wsp:rsid wsp:val=&quot;00AC7C2A&quot;/&gt;&lt;wsp:rsid wsp:val=&quot;00AD0509&quot;/&gt;&lt;wsp:rsid wsp:val=&quot;00AD08A3&quot;/&gt;&lt;wsp:rsid wsp:val=&quot;00AD0C6F&quot;/&gt;&lt;wsp:rsid wsp:val=&quot;00AD0E6D&quot;/&gt;&lt;wsp:rsid wsp:val=&quot;00AD1D70&quot;/&gt;&lt;wsp:rsid wsp:val=&quot;00AD1ED6&quot;/&gt;&lt;wsp:rsid wsp:val=&quot;00AD2158&quot;/&gt;&lt;wsp:rsid wsp:val=&quot;00AD2494&quot;/&gt;&lt;wsp:rsid wsp:val=&quot;00AD2C1B&quot;/&gt;&lt;wsp:rsid wsp:val=&quot;00AD2D00&quot;/&gt;&lt;wsp:rsid wsp:val=&quot;00AD2F3C&quot;/&gt;&lt;wsp:rsid wsp:val=&quot;00AD30D9&quot;/&gt;&lt;wsp:rsid wsp:val=&quot;00AD3BDD&quot;/&gt;&lt;wsp:rsid wsp:val=&quot;00AD4987&quot;/&gt;&lt;wsp:rsid wsp:val=&quot;00AD4F18&quot;/&gt;&lt;wsp:rsid wsp:val=&quot;00AD532E&quot;/&gt;&lt;wsp:rsid wsp:val=&quot;00AD5574&quot;/&gt;&lt;wsp:rsid wsp:val=&quot;00AD5F2A&quot;/&gt;&lt;wsp:rsid wsp:val=&quot;00AD60BB&quot;/&gt;&lt;wsp:rsid wsp:val=&quot;00AD6123&quot;/&gt;&lt;wsp:rsid wsp:val=&quot;00AE0557&quot;/&gt;&lt;wsp:rsid wsp:val=&quot;00AE0B29&quot;/&gt;&lt;wsp:rsid wsp:val=&quot;00AE0B9B&quot;/&gt;&lt;wsp:rsid wsp:val=&quot;00AE0E47&quot;/&gt;&lt;wsp:rsid wsp:val=&quot;00AE0EED&quot;/&gt;&lt;wsp:rsid wsp:val=&quot;00AE11CA&quot;/&gt;&lt;wsp:rsid wsp:val=&quot;00AE17FB&quot;/&gt;&lt;wsp:rsid wsp:val=&quot;00AE1BD7&quot;/&gt;&lt;wsp:rsid wsp:val=&quot;00AE1FF4&quot;/&gt;&lt;wsp:rsid wsp:val=&quot;00AE222B&quot;/&gt;&lt;wsp:rsid wsp:val=&quot;00AE26F2&quot;/&gt;&lt;wsp:rsid wsp:val=&quot;00AE2F6A&quot;/&gt;&lt;wsp:rsid wsp:val=&quot;00AE32B0&quot;/&gt;&lt;wsp:rsid wsp:val=&quot;00AE36C1&quot;/&gt;&lt;wsp:rsid wsp:val=&quot;00AE3A8E&quot;/&gt;&lt;wsp:rsid wsp:val=&quot;00AE3C03&quot;/&gt;&lt;wsp:rsid wsp:val=&quot;00AE3CA4&quot;/&gt;&lt;wsp:rsid wsp:val=&quot;00AE4590&quot;/&gt;&lt;wsp:rsid wsp:val=&quot;00AE46E5&quot;/&gt;&lt;wsp:rsid wsp:val=&quot;00AE4E83&quot;/&gt;&lt;wsp:rsid wsp:val=&quot;00AE5175&quot;/&gt;&lt;wsp:rsid wsp:val=&quot;00AE524C&quot;/&gt;&lt;wsp:rsid wsp:val=&quot;00AE5404&quot;/&gt;&lt;wsp:rsid wsp:val=&quot;00AE602B&quot;/&gt;&lt;wsp:rsid wsp:val=&quot;00AE7592&quot;/&gt;&lt;wsp:rsid wsp:val=&quot;00AE7D9A&quot;/&gt;&lt;wsp:rsid wsp:val=&quot;00AE7DAD&quot;/&gt;&lt;wsp:rsid wsp:val=&quot;00AE7DCF&quot;/&gt;&lt;wsp:rsid wsp:val=&quot;00AE7E23&quot;/&gt;&lt;wsp:rsid wsp:val=&quot;00AE7F29&quot;/&gt;&lt;wsp:rsid wsp:val=&quot;00AF04FE&quot;/&gt;&lt;wsp:rsid wsp:val=&quot;00AF080A&quot;/&gt;&lt;wsp:rsid wsp:val=&quot;00AF09FC&quot;/&gt;&lt;wsp:rsid wsp:val=&quot;00AF0A43&quot;/&gt;&lt;wsp:rsid wsp:val=&quot;00AF0E70&quot;/&gt;&lt;wsp:rsid wsp:val=&quot;00AF0F10&quot;/&gt;&lt;wsp:rsid wsp:val=&quot;00AF1249&quot;/&gt;&lt;wsp:rsid wsp:val=&quot;00AF167F&quot;/&gt;&lt;wsp:rsid wsp:val=&quot;00AF16F5&quot;/&gt;&lt;wsp:rsid wsp:val=&quot;00AF18B7&quot;/&gt;&lt;wsp:rsid wsp:val=&quot;00AF1D35&quot;/&gt;&lt;wsp:rsid wsp:val=&quot;00AF1E8F&quot;/&gt;&lt;wsp:rsid wsp:val=&quot;00AF1EE5&quot;/&gt;&lt;wsp:rsid wsp:val=&quot;00AF24A3&quot;/&gt;&lt;wsp:rsid wsp:val=&quot;00AF26D9&quot;/&gt;&lt;wsp:rsid wsp:val=&quot;00AF26F7&quot;/&gt;&lt;wsp:rsid wsp:val=&quot;00AF2FBD&quot;/&gt;&lt;wsp:rsid wsp:val=&quot;00AF330A&quot;/&gt;&lt;wsp:rsid wsp:val=&quot;00AF347F&quot;/&gt;&lt;wsp:rsid wsp:val=&quot;00AF35FB&quot;/&gt;&lt;wsp:rsid wsp:val=&quot;00AF391E&quot;/&gt;&lt;wsp:rsid wsp:val=&quot;00AF3E6B&quot;/&gt;&lt;wsp:rsid wsp:val=&quot;00AF3F63&quot;/&gt;&lt;wsp:rsid wsp:val=&quot;00AF3FFB&quot;/&gt;&lt;wsp:rsid wsp:val=&quot;00AF4507&quot;/&gt;&lt;wsp:rsid wsp:val=&quot;00AF453B&quot;/&gt;&lt;wsp:rsid wsp:val=&quot;00AF5859&quot;/&gt;&lt;wsp:rsid wsp:val=&quot;00AF5B41&quot;/&gt;&lt;wsp:rsid wsp:val=&quot;00AF63C0&quot;/&gt;&lt;wsp:rsid wsp:val=&quot;00AF68EB&quot;/&gt;&lt;wsp:rsid wsp:val=&quot;00AF732B&quot;/&gt;&lt;wsp:rsid wsp:val=&quot;00AF749A&quot;/&gt;&lt;wsp:rsid wsp:val=&quot;00AF7ED5&quot;/&gt;&lt;wsp:rsid wsp:val=&quot;00B000A3&quot;/&gt;&lt;wsp:rsid wsp:val=&quot;00B00341&quot;/&gt;&lt;wsp:rsid wsp:val=&quot;00B00644&quot;/&gt;&lt;wsp:rsid wsp:val=&quot;00B00680&quot;/&gt;&lt;wsp:rsid wsp:val=&quot;00B00E0F&quot;/&gt;&lt;wsp:rsid wsp:val=&quot;00B01791&quot;/&gt;&lt;wsp:rsid wsp:val=&quot;00B01851&quot;/&gt;&lt;wsp:rsid wsp:val=&quot;00B025DB&quot;/&gt;&lt;wsp:rsid wsp:val=&quot;00B02A43&quot;/&gt;&lt;wsp:rsid wsp:val=&quot;00B02C15&quot;/&gt;&lt;wsp:rsid wsp:val=&quot;00B03367&quot;/&gt;&lt;wsp:rsid wsp:val=&quot;00B037AB&quot;/&gt;&lt;wsp:rsid wsp:val=&quot;00B038D6&quot;/&gt;&lt;wsp:rsid wsp:val=&quot;00B0410F&quot;/&gt;&lt;wsp:rsid wsp:val=&quot;00B042E0&quot;/&gt;&lt;wsp:rsid wsp:val=&quot;00B04331&quot;/&gt;&lt;wsp:rsid wsp:val=&quot;00B04826&quot;/&gt;&lt;wsp:rsid wsp:val=&quot;00B0482D&quot;/&gt;&lt;wsp:rsid wsp:val=&quot;00B04E26&quot;/&gt;&lt;wsp:rsid wsp:val=&quot;00B05326&quot;/&gt;&lt;wsp:rsid wsp:val=&quot;00B05C3C&quot;/&gt;&lt;wsp:rsid wsp:val=&quot;00B0632D&quot;/&gt;&lt;wsp:rsid wsp:val=&quot;00B06456&quot;/&gt;&lt;wsp:rsid wsp:val=&quot;00B06ECC&quot;/&gt;&lt;wsp:rsid wsp:val=&quot;00B07562&quot;/&gt;&lt;wsp:rsid wsp:val=&quot;00B07A28&quot;/&gt;&lt;wsp:rsid wsp:val=&quot;00B07C76&quot;/&gt;&lt;wsp:rsid wsp:val=&quot;00B1003F&quot;/&gt;&lt;wsp:rsid wsp:val=&quot;00B1034C&quot;/&gt;&lt;wsp:rsid wsp:val=&quot;00B10350&quot;/&gt;&lt;wsp:rsid wsp:val=&quot;00B105DF&quot;/&gt;&lt;wsp:rsid wsp:val=&quot;00B1087F&quot;/&gt;&lt;wsp:rsid wsp:val=&quot;00B1094B&quot;/&gt;&lt;wsp:rsid wsp:val=&quot;00B10A5E&quot;/&gt;&lt;wsp:rsid wsp:val=&quot;00B10DF9&quot;/&gt;&lt;wsp:rsid wsp:val=&quot;00B11335&quot;/&gt;&lt;wsp:rsid wsp:val=&quot;00B11515&quot;/&gt;&lt;wsp:rsid wsp:val=&quot;00B12640&quot;/&gt;&lt;wsp:rsid wsp:val=&quot;00B128C1&quot;/&gt;&lt;wsp:rsid wsp:val=&quot;00B13361&quot;/&gt;&lt;wsp:rsid wsp:val=&quot;00B1377C&quot;/&gt;&lt;wsp:rsid wsp:val=&quot;00B13AAF&quot;/&gt;&lt;wsp:rsid wsp:val=&quot;00B14157&quot;/&gt;&lt;wsp:rsid wsp:val=&quot;00B141C7&quot;/&gt;&lt;wsp:rsid wsp:val=&quot;00B14577&quot;/&gt;&lt;wsp:rsid wsp:val=&quot;00B145E0&quot;/&gt;&lt;wsp:rsid wsp:val=&quot;00B14B90&quot;/&gt;&lt;wsp:rsid wsp:val=&quot;00B14D6F&quot;/&gt;&lt;wsp:rsid wsp:val=&quot;00B154D1&quot;/&gt;&lt;wsp:rsid wsp:val=&quot;00B15541&quot;/&gt;&lt;wsp:rsid wsp:val=&quot;00B1683F&quot;/&gt;&lt;wsp:rsid wsp:val=&quot;00B16EF0&quot;/&gt;&lt;wsp:rsid wsp:val=&quot;00B177CE&quot;/&gt;&lt;wsp:rsid wsp:val=&quot;00B20331&quot;/&gt;&lt;wsp:rsid wsp:val=&quot;00B206F2&quot;/&gt;&lt;wsp:rsid wsp:val=&quot;00B20C63&quot;/&gt;&lt;wsp:rsid wsp:val=&quot;00B20FBC&quot;/&gt;&lt;wsp:rsid wsp:val=&quot;00B2148D&quot;/&gt;&lt;wsp:rsid wsp:val=&quot;00B21A1D&quot;/&gt;&lt;wsp:rsid wsp:val=&quot;00B21C14&quot;/&gt;&lt;wsp:rsid wsp:val=&quot;00B21F6D&quot;/&gt;&lt;wsp:rsid wsp:val=&quot;00B221A9&quot;/&gt;&lt;wsp:rsid wsp:val=&quot;00B23336&quot;/&gt;&lt;wsp:rsid wsp:val=&quot;00B236AC&quot;/&gt;&lt;wsp:rsid wsp:val=&quot;00B23B96&quot;/&gt;&lt;wsp:rsid wsp:val=&quot;00B23EF4&quot;/&gt;&lt;wsp:rsid wsp:val=&quot;00B24A59&quot;/&gt;&lt;wsp:rsid wsp:val=&quot;00B24BC2&quot;/&gt;&lt;wsp:rsid wsp:val=&quot;00B24CC4&quot;/&gt;&lt;wsp:rsid wsp:val=&quot;00B257A9&quot;/&gt;&lt;wsp:rsid wsp:val=&quot;00B25EF5&quot;/&gt;&lt;wsp:rsid wsp:val=&quot;00B25F8F&quot;/&gt;&lt;wsp:rsid wsp:val=&quot;00B25FA4&quot;/&gt;&lt;wsp:rsid wsp:val=&quot;00B270E8&quot;/&gt;&lt;wsp:rsid wsp:val=&quot;00B27B91&quot;/&gt;&lt;wsp:rsid wsp:val=&quot;00B27D6A&quot;/&gt;&lt;wsp:rsid wsp:val=&quot;00B30472&quot;/&gt;&lt;wsp:rsid wsp:val=&quot;00B3056F&quot;/&gt;&lt;wsp:rsid wsp:val=&quot;00B314E9&quot;/&gt;&lt;wsp:rsid wsp:val=&quot;00B316A1&quot;/&gt;&lt;wsp:rsid wsp:val=&quot;00B31BB6&quot;/&gt;&lt;wsp:rsid wsp:val=&quot;00B31E15&quot;/&gt;&lt;wsp:rsid wsp:val=&quot;00B32938&quot;/&gt;&lt;wsp:rsid wsp:val=&quot;00B32D18&quot;/&gt;&lt;wsp:rsid wsp:val=&quot;00B336F0&quot;/&gt;&lt;wsp:rsid wsp:val=&quot;00B337D6&quot;/&gt;&lt;wsp:rsid wsp:val=&quot;00B3414D&quot;/&gt;&lt;wsp:rsid wsp:val=&quot;00B34A12&quot;/&gt;&lt;wsp:rsid wsp:val=&quot;00B353E8&quot;/&gt;&lt;wsp:rsid wsp:val=&quot;00B360F6&quot;/&gt;&lt;wsp:rsid wsp:val=&quot;00B361B9&quot;/&gt;&lt;wsp:rsid wsp:val=&quot;00B3662E&quot;/&gt;&lt;wsp:rsid wsp:val=&quot;00B37094&quot;/&gt;&lt;wsp:rsid wsp:val=&quot;00B3713C&quot;/&gt;&lt;wsp:rsid wsp:val=&quot;00B37550&quot;/&gt;&lt;wsp:rsid wsp:val=&quot;00B377DA&quot;/&gt;&lt;wsp:rsid wsp:val=&quot;00B37D2B&quot;/&gt;&lt;wsp:rsid wsp:val=&quot;00B40158&quot;/&gt;&lt;wsp:rsid wsp:val=&quot;00B40214&quot;/&gt;&lt;wsp:rsid wsp:val=&quot;00B40EC7&quot;/&gt;&lt;wsp:rsid wsp:val=&quot;00B4100B&quot;/&gt;&lt;wsp:rsid wsp:val=&quot;00B417E8&quot;/&gt;&lt;wsp:rsid wsp:val=&quot;00B4182A&quot;/&gt;&lt;wsp:rsid wsp:val=&quot;00B41BE6&quot;/&gt;&lt;wsp:rsid wsp:val=&quot;00B41EDE&quot;/&gt;&lt;wsp:rsid wsp:val=&quot;00B42386&quot;/&gt;&lt;wsp:rsid wsp:val=&quot;00B4245F&quot;/&gt;&lt;wsp:rsid wsp:val=&quot;00B42A3D&quot;/&gt;&lt;wsp:rsid wsp:val=&quot;00B43367&quot;/&gt;&lt;wsp:rsid wsp:val=&quot;00B4358C&quot;/&gt;&lt;wsp:rsid wsp:val=&quot;00B43B33&quot;/&gt;&lt;wsp:rsid wsp:val=&quot;00B43CE2&quot;/&gt;&lt;wsp:rsid wsp:val=&quot;00B44CA5&quot;/&gt;&lt;wsp:rsid wsp:val=&quot;00B45390&quot;/&gt;&lt;wsp:rsid wsp:val=&quot;00B453A4&quot;/&gt;&lt;wsp:rsid wsp:val=&quot;00B4544B&quot;/&gt;&lt;wsp:rsid wsp:val=&quot;00B45ADF&quot;/&gt;&lt;wsp:rsid wsp:val=&quot;00B45C15&quot;/&gt;&lt;wsp:rsid wsp:val=&quot;00B45F93&quot;/&gt;&lt;wsp:rsid wsp:val=&quot;00B4603D&quot;/&gt;&lt;wsp:rsid wsp:val=&quot;00B462E1&quot;/&gt;&lt;wsp:rsid wsp:val=&quot;00B46497&quot;/&gt;&lt;wsp:rsid wsp:val=&quot;00B46AEF&quot;/&gt;&lt;wsp:rsid wsp:val=&quot;00B4799A&quot;/&gt;&lt;wsp:rsid wsp:val=&quot;00B47E2C&quot;/&gt;&lt;wsp:rsid wsp:val=&quot;00B47FF3&quot;/&gt;&lt;wsp:rsid wsp:val=&quot;00B503C0&quot;/&gt;&lt;wsp:rsid wsp:val=&quot;00B50C28&quot;/&gt;&lt;wsp:rsid wsp:val=&quot;00B50C6C&quot;/&gt;&lt;wsp:rsid wsp:val=&quot;00B51E5D&quot;/&gt;&lt;wsp:rsid wsp:val=&quot;00B529D3&quot;/&gt;&lt;wsp:rsid wsp:val=&quot;00B53580&quot;/&gt;&lt;wsp:rsid wsp:val=&quot;00B535BC&quot;/&gt;&lt;wsp:rsid wsp:val=&quot;00B54423&quot;/&gt;&lt;wsp:rsid wsp:val=&quot;00B54CC4&quot;/&gt;&lt;wsp:rsid wsp:val=&quot;00B54D5F&quot;/&gt;&lt;wsp:rsid wsp:val=&quot;00B550CE&quot;/&gt;&lt;wsp:rsid wsp:val=&quot;00B55402&quot;/&gt;&lt;wsp:rsid wsp:val=&quot;00B55853&quot;/&gt;&lt;wsp:rsid wsp:val=&quot;00B55BC9&quot;/&gt;&lt;wsp:rsid wsp:val=&quot;00B55F75&quot;/&gt;&lt;wsp:rsid wsp:val=&quot;00B56247&quot;/&gt;&lt;wsp:rsid wsp:val=&quot;00B5681D&quot;/&gt;&lt;wsp:rsid wsp:val=&quot;00B56FA7&quot;/&gt;&lt;wsp:rsid wsp:val=&quot;00B5742A&quot;/&gt;&lt;wsp:rsid wsp:val=&quot;00B576D4&quot;/&gt;&lt;wsp:rsid wsp:val=&quot;00B577E5&quot;/&gt;&lt;wsp:rsid wsp:val=&quot;00B57D37&quot;/&gt;&lt;wsp:rsid wsp:val=&quot;00B57FD8&quot;/&gt;&lt;wsp:rsid wsp:val=&quot;00B6010B&quot;/&gt;&lt;wsp:rsid wsp:val=&quot;00B60248&quot;/&gt;&lt;wsp:rsid wsp:val=&quot;00B61459&quot;/&gt;&lt;wsp:rsid wsp:val=&quot;00B615F5&quot;/&gt;&lt;wsp:rsid wsp:val=&quot;00B61668&quot;/&gt;&lt;wsp:rsid wsp:val=&quot;00B622E5&quot;/&gt;&lt;wsp:rsid wsp:val=&quot;00B62AE8&quot;/&gt;&lt;wsp:rsid wsp:val=&quot;00B62D1A&quot;/&gt;&lt;wsp:rsid wsp:val=&quot;00B632A3&quot;/&gt;&lt;wsp:rsid wsp:val=&quot;00B63B45&quot;/&gt;&lt;wsp:rsid wsp:val=&quot;00B642F8&quot;/&gt;&lt;wsp:rsid wsp:val=&quot;00B644E8&quot;/&gt;&lt;wsp:rsid wsp:val=&quot;00B647F7&quot;/&gt;&lt;wsp:rsid wsp:val=&quot;00B6491D&quot;/&gt;&lt;wsp:rsid wsp:val=&quot;00B64F91&quot;/&gt;&lt;wsp:rsid wsp:val=&quot;00B65389&quot;/&gt;&lt;wsp:rsid wsp:val=&quot;00B657AD&quot;/&gt;&lt;wsp:rsid wsp:val=&quot;00B65C1D&quot;/&gt;&lt;wsp:rsid wsp:val=&quot;00B65CE9&quot;/&gt;&lt;wsp:rsid wsp:val=&quot;00B65D8F&quot;/&gt;&lt;wsp:rsid wsp:val=&quot;00B65EA8&quot;/&gt;&lt;wsp:rsid wsp:val=&quot;00B65F62&quot;/&gt;&lt;wsp:rsid wsp:val=&quot;00B66190&quot;/&gt;&lt;wsp:rsid wsp:val=&quot;00B66240&quot;/&gt;&lt;wsp:rsid wsp:val=&quot;00B66372&quot;/&gt;&lt;wsp:rsid wsp:val=&quot;00B6746F&quot;/&gt;&lt;wsp:rsid wsp:val=&quot;00B674A3&quot;/&gt;&lt;wsp:rsid wsp:val=&quot;00B678DD&quot;/&gt;&lt;wsp:rsid wsp:val=&quot;00B67B30&quot;/&gt;&lt;wsp:rsid wsp:val=&quot;00B7012B&quot;/&gt;&lt;wsp:rsid wsp:val=&quot;00B70B23&quot;/&gt;&lt;wsp:rsid wsp:val=&quot;00B70F58&quot;/&gt;&lt;wsp:rsid wsp:val=&quot;00B71419&quot;/&gt;&lt;wsp:rsid wsp:val=&quot;00B7155D&quot;/&gt;&lt;wsp:rsid wsp:val=&quot;00B716D3&quot;/&gt;&lt;wsp:rsid wsp:val=&quot;00B71B53&quot;/&gt;&lt;wsp:rsid wsp:val=&quot;00B73386&quot;/&gt;&lt;wsp:rsid wsp:val=&quot;00B73915&quot;/&gt;&lt;wsp:rsid wsp:val=&quot;00B73994&quot;/&gt;&lt;wsp:rsid wsp:val=&quot;00B741EE&quot;/&gt;&lt;wsp:rsid wsp:val=&quot;00B744EF&quot;/&gt;&lt;wsp:rsid wsp:val=&quot;00B74CB2&quot;/&gt;&lt;wsp:rsid wsp:val=&quot;00B74FD6&quot;/&gt;&lt;wsp:rsid wsp:val=&quot;00B7511A&quot;/&gt;&lt;wsp:rsid wsp:val=&quot;00B75661&quot;/&gt;&lt;wsp:rsid wsp:val=&quot;00B76588&quot;/&gt;&lt;wsp:rsid wsp:val=&quot;00B77617&quot;/&gt;&lt;wsp:rsid wsp:val=&quot;00B776BD&quot;/&gt;&lt;wsp:rsid wsp:val=&quot;00B7775B&quot;/&gt;&lt;wsp:rsid wsp:val=&quot;00B77B17&quot;/&gt;&lt;wsp:rsid wsp:val=&quot;00B77B98&quot;/&gt;&lt;wsp:rsid wsp:val=&quot;00B77E04&quot;/&gt;&lt;wsp:rsid wsp:val=&quot;00B8032E&quot;/&gt;&lt;wsp:rsid wsp:val=&quot;00B80F49&quot;/&gt;&lt;wsp:rsid wsp:val=&quot;00B8101D&quot;/&gt;&lt;wsp:rsid wsp:val=&quot;00B81543&quot;/&gt;&lt;wsp:rsid wsp:val=&quot;00B81E7F&quot;/&gt;&lt;wsp:rsid wsp:val=&quot;00B8284A&quot;/&gt;&lt;wsp:rsid wsp:val=&quot;00B828B0&quot;/&gt;&lt;wsp:rsid wsp:val=&quot;00B83130&quot;/&gt;&lt;wsp:rsid wsp:val=&quot;00B83551&quot;/&gt;&lt;wsp:rsid wsp:val=&quot;00B837BF&quot;/&gt;&lt;wsp:rsid wsp:val=&quot;00B84006&quot;/&gt;&lt;wsp:rsid wsp:val=&quot;00B84172&quot;/&gt;&lt;wsp:rsid wsp:val=&quot;00B84A64&quot;/&gt;&lt;wsp:rsid wsp:val=&quot;00B84DB3&quot;/&gt;&lt;wsp:rsid wsp:val=&quot;00B85AD2&quot;/&gt;&lt;wsp:rsid wsp:val=&quot;00B85BFC&quot;/&gt;&lt;wsp:rsid wsp:val=&quot;00B85CF1&quot;/&gt;&lt;wsp:rsid wsp:val=&quot;00B867B6&quot;/&gt;&lt;wsp:rsid wsp:val=&quot;00B86F6D&quot;/&gt;&lt;wsp:rsid wsp:val=&quot;00B874DB&quot;/&gt;&lt;wsp:rsid wsp:val=&quot;00B876BE&quot;/&gt;&lt;wsp:rsid wsp:val=&quot;00B877B9&quot;/&gt;&lt;wsp:rsid wsp:val=&quot;00B90129&quot;/&gt;&lt;wsp:rsid wsp:val=&quot;00B909DC&quot;/&gt;&lt;wsp:rsid wsp:val=&quot;00B90BF1&quot;/&gt;&lt;wsp:rsid wsp:val=&quot;00B91396&quot;/&gt;&lt;wsp:rsid wsp:val=&quot;00B91627&quot;/&gt;&lt;wsp:rsid wsp:val=&quot;00B91C99&quot;/&gt;&lt;wsp:rsid wsp:val=&quot;00B91E72&quot;/&gt;&lt;wsp:rsid wsp:val=&quot;00B920C6&quot;/&gt;&lt;wsp:rsid wsp:val=&quot;00B92161&quot;/&gt;&lt;wsp:rsid wsp:val=&quot;00B925DE&quot;/&gt;&lt;wsp:rsid wsp:val=&quot;00B926DB&quot;/&gt;&lt;wsp:rsid wsp:val=&quot;00B9280A&quot;/&gt;&lt;wsp:rsid wsp:val=&quot;00B9284D&quot;/&gt;&lt;wsp:rsid wsp:val=&quot;00B9338F&quot;/&gt;&lt;wsp:rsid wsp:val=&quot;00B937E3&quot;/&gt;&lt;wsp:rsid wsp:val=&quot;00B93A94&quot;/&gt;&lt;wsp:rsid wsp:val=&quot;00B94018&quot;/&gt;&lt;wsp:rsid wsp:val=&quot;00B94B59&quot;/&gt;&lt;wsp:rsid wsp:val=&quot;00B952A3&quot;/&gt;&lt;wsp:rsid wsp:val=&quot;00B9568B&quot;/&gt;&lt;wsp:rsid wsp:val=&quot;00B95CBF&quot;/&gt;&lt;wsp:rsid wsp:val=&quot;00B95D07&quot;/&gt;&lt;wsp:rsid wsp:val=&quot;00B95DE1&quot;/&gt;&lt;wsp:rsid wsp:val=&quot;00B95FBA&quot;/&gt;&lt;wsp:rsid wsp:val=&quot;00B96559&quot;/&gt;&lt;wsp:rsid wsp:val=&quot;00B97BE2&quot;/&gt;&lt;wsp:rsid wsp:val=&quot;00B97FEE&quot;/&gt;&lt;wsp:rsid wsp:val=&quot;00BA0187&quot;/&gt;&lt;wsp:rsid wsp:val=&quot;00BA0DE5&quot;/&gt;&lt;wsp:rsid wsp:val=&quot;00BA0EC1&quot;/&gt;&lt;wsp:rsid wsp:val=&quot;00BA10DD&quot;/&gt;&lt;wsp:rsid wsp:val=&quot;00BA1532&quot;/&gt;&lt;wsp:rsid wsp:val=&quot;00BA19A5&quot;/&gt;&lt;wsp:rsid wsp:val=&quot;00BA2F5F&quot;/&gt;&lt;wsp:rsid wsp:val=&quot;00BA3015&quot;/&gt;&lt;wsp:rsid wsp:val=&quot;00BA30A8&quot;/&gt;&lt;wsp:rsid wsp:val=&quot;00BA31A3&quot;/&gt;&lt;wsp:rsid wsp:val=&quot;00BA32E4&quot;/&gt;&lt;wsp:rsid wsp:val=&quot;00BA3A65&quot;/&gt;&lt;wsp:rsid wsp:val=&quot;00BA3C1F&quot;/&gt;&lt;wsp:rsid wsp:val=&quot;00BA3FA4&quot;/&gt;&lt;wsp:rsid wsp:val=&quot;00BA430C&quot;/&gt;&lt;wsp:rsid wsp:val=&quot;00BA4A71&quot;/&gt;&lt;wsp:rsid wsp:val=&quot;00BA4E6E&quot;/&gt;&lt;wsp:rsid wsp:val=&quot;00BA582E&quot;/&gt;&lt;wsp:rsid wsp:val=&quot;00BA5B1D&quot;/&gt;&lt;wsp:rsid wsp:val=&quot;00BA61AC&quot;/&gt;&lt;wsp:rsid wsp:val=&quot;00BA61EA&quot;/&gt;&lt;wsp:rsid wsp:val=&quot;00BA6209&quot;/&gt;&lt;wsp:rsid wsp:val=&quot;00BA6520&quot;/&gt;&lt;wsp:rsid wsp:val=&quot;00BA6FF1&quot;/&gt;&lt;wsp:rsid wsp:val=&quot;00BA7289&quot;/&gt;&lt;wsp:rsid wsp:val=&quot;00BA76C8&quot;/&gt;&lt;wsp:rsid wsp:val=&quot;00BA775A&quot;/&gt;&lt;wsp:rsid wsp:val=&quot;00BA7952&quot;/&gt;&lt;wsp:rsid wsp:val=&quot;00BA7A65&quot;/&gt;&lt;wsp:rsid wsp:val=&quot;00BA7C9B&quot;/&gt;&lt;wsp:rsid wsp:val=&quot;00BB0BFB&quot;/&gt;&lt;wsp:rsid wsp:val=&quot;00BB1645&quot;/&gt;&lt;wsp:rsid wsp:val=&quot;00BB1DCD&quot;/&gt;&lt;wsp:rsid wsp:val=&quot;00BB1E4A&quot;/&gt;&lt;wsp:rsid wsp:val=&quot;00BB1F9C&quot;/&gt;&lt;wsp:rsid wsp:val=&quot;00BB23AD&quot;/&gt;&lt;wsp:rsid wsp:val=&quot;00BB2D92&quot;/&gt;&lt;wsp:rsid wsp:val=&quot;00BB2E89&quot;/&gt;&lt;wsp:rsid wsp:val=&quot;00BB3635&quot;/&gt;&lt;wsp:rsid wsp:val=&quot;00BB408B&quot;/&gt;&lt;wsp:rsid wsp:val=&quot;00BB40D6&quot;/&gt;&lt;wsp:rsid wsp:val=&quot;00BB422B&quot;/&gt;&lt;wsp:rsid wsp:val=&quot;00BB4671&quot;/&gt;&lt;wsp:rsid wsp:val=&quot;00BB46A7&quot;/&gt;&lt;wsp:rsid wsp:val=&quot;00BB4F48&quot;/&gt;&lt;wsp:rsid wsp:val=&quot;00BB5023&quot;/&gt;&lt;wsp:rsid wsp:val=&quot;00BB56CC&quot;/&gt;&lt;wsp:rsid wsp:val=&quot;00BB57A1&quot;/&gt;&lt;wsp:rsid wsp:val=&quot;00BB593B&quot;/&gt;&lt;wsp:rsid wsp:val=&quot;00BB593D&quot;/&gt;&lt;wsp:rsid wsp:val=&quot;00BB5D3F&quot;/&gt;&lt;wsp:rsid wsp:val=&quot;00BB6547&quot;/&gt;&lt;wsp:rsid wsp:val=&quot;00BB711F&quot;/&gt;&lt;wsp:rsid wsp:val=&quot;00BB73A3&quot;/&gt;&lt;wsp:rsid wsp:val=&quot;00BB73EF&quot;/&gt;&lt;wsp:rsid wsp:val=&quot;00BB7B99&quot;/&gt;&lt;wsp:rsid wsp:val=&quot;00BB7C18&quot;/&gt;&lt;wsp:rsid wsp:val=&quot;00BC000B&quot;/&gt;&lt;wsp:rsid wsp:val=&quot;00BC013E&quot;/&gt;&lt;wsp:rsid wsp:val=&quot;00BC0376&quot;/&gt;&lt;wsp:rsid wsp:val=&quot;00BC0399&quot;/&gt;&lt;wsp:rsid wsp:val=&quot;00BC058D&quot;/&gt;&lt;wsp:rsid wsp:val=&quot;00BC1335&quot;/&gt;&lt;wsp:rsid wsp:val=&quot;00BC20F2&quot;/&gt;&lt;wsp:rsid wsp:val=&quot;00BC28F8&quot;/&gt;&lt;wsp:rsid wsp:val=&quot;00BC2F59&quot;/&gt;&lt;wsp:rsid wsp:val=&quot;00BC354B&quot;/&gt;&lt;wsp:rsid wsp:val=&quot;00BC3CFB&quot;/&gt;&lt;wsp:rsid wsp:val=&quot;00BC43C5&quot;/&gt;&lt;wsp:rsid wsp:val=&quot;00BC444F&quot;/&gt;&lt;wsp:rsid wsp:val=&quot;00BC458A&quot;/&gt;&lt;wsp:rsid wsp:val=&quot;00BC4A43&quot;/&gt;&lt;wsp:rsid wsp:val=&quot;00BC4C23&quot;/&gt;&lt;wsp:rsid wsp:val=&quot;00BC4DB5&quot;/&gt;&lt;wsp:rsid wsp:val=&quot;00BC4FDF&quot;/&gt;&lt;wsp:rsid wsp:val=&quot;00BC665F&quot;/&gt;&lt;wsp:rsid wsp:val=&quot;00BC70DE&quot;/&gt;&lt;wsp:rsid wsp:val=&quot;00BC7316&quot;/&gt;&lt;wsp:rsid wsp:val=&quot;00BC7445&quot;/&gt;&lt;wsp:rsid wsp:val=&quot;00BC78CD&quot;/&gt;&lt;wsp:rsid wsp:val=&quot;00BC7909&quot;/&gt;&lt;wsp:rsid wsp:val=&quot;00BD0D07&quot;/&gt;&lt;wsp:rsid wsp:val=&quot;00BD0DF4&quot;/&gt;&lt;wsp:rsid wsp:val=&quot;00BD186B&quot;/&gt;&lt;wsp:rsid wsp:val=&quot;00BD1A7C&quot;/&gt;&lt;wsp:rsid wsp:val=&quot;00BD2560&quot;/&gt;&lt;wsp:rsid wsp:val=&quot;00BD25A3&quot;/&gt;&lt;wsp:rsid wsp:val=&quot;00BD2671&quot;/&gt;&lt;wsp:rsid wsp:val=&quot;00BD2B45&quot;/&gt;&lt;wsp:rsid wsp:val=&quot;00BD2B74&quot;/&gt;&lt;wsp:rsid wsp:val=&quot;00BD36BD&quot;/&gt;&lt;wsp:rsid wsp:val=&quot;00BD44FB&quot;/&gt;&lt;wsp:rsid wsp:val=&quot;00BD4531&quot;/&gt;&lt;wsp:rsid wsp:val=&quot;00BD4676&quot;/&gt;&lt;wsp:rsid wsp:val=&quot;00BD4D93&quot;/&gt;&lt;wsp:rsid wsp:val=&quot;00BD4E74&quot;/&gt;&lt;wsp:rsid wsp:val=&quot;00BD5046&quot;/&gt;&lt;wsp:rsid wsp:val=&quot;00BD5313&quot;/&gt;&lt;wsp:rsid wsp:val=&quot;00BD5437&quot;/&gt;&lt;wsp:rsid wsp:val=&quot;00BD5F90&quot;/&gt;&lt;wsp:rsid wsp:val=&quot;00BD61BB&quot;/&gt;&lt;wsp:rsid wsp:val=&quot;00BD6624&quot;/&gt;&lt;wsp:rsid wsp:val=&quot;00BD6F2F&quot;/&gt;&lt;wsp:rsid wsp:val=&quot;00BD7086&quot;/&gt;&lt;wsp:rsid wsp:val=&quot;00BD7F8F&quot;/&gt;&lt;wsp:rsid wsp:val=&quot;00BE003F&quot;/&gt;&lt;wsp:rsid wsp:val=&quot;00BE020E&quot;/&gt;&lt;wsp:rsid wsp:val=&quot;00BE06D2&quot;/&gt;&lt;wsp:rsid wsp:val=&quot;00BE0E2C&quot;/&gt;&lt;wsp:rsid wsp:val=&quot;00BE1EFA&quot;/&gt;&lt;wsp:rsid wsp:val=&quot;00BE21BC&quot;/&gt;&lt;wsp:rsid wsp:val=&quot;00BE23FF&quot;/&gt;&lt;wsp:rsid wsp:val=&quot;00BE3124&quot;/&gt;&lt;wsp:rsid wsp:val=&quot;00BE371A&quot;/&gt;&lt;wsp:rsid wsp:val=&quot;00BE3921&quot;/&gt;&lt;wsp:rsid wsp:val=&quot;00BE4355&quot;/&gt;&lt;wsp:rsid wsp:val=&quot;00BE5156&quot;/&gt;&lt;wsp:rsid wsp:val=&quot;00BE5165&quot;/&gt;&lt;wsp:rsid wsp:val=&quot;00BE59D7&quot;/&gt;&lt;wsp:rsid wsp:val=&quot;00BE5A94&quot;/&gt;&lt;wsp:rsid wsp:val=&quot;00BE5C24&quot;/&gt;&lt;wsp:rsid wsp:val=&quot;00BE604F&quot;/&gt;&lt;wsp:rsid wsp:val=&quot;00BE63CC&quot;/&gt;&lt;wsp:rsid wsp:val=&quot;00BE6414&quot;/&gt;&lt;wsp:rsid wsp:val=&quot;00BE6840&quot;/&gt;&lt;wsp:rsid wsp:val=&quot;00BE6B3D&quot;/&gt;&lt;wsp:rsid wsp:val=&quot;00BE7026&quot;/&gt;&lt;wsp:rsid wsp:val=&quot;00BE70D6&quot;/&gt;&lt;wsp:rsid wsp:val=&quot;00BE74A9&quot;/&gt;&lt;wsp:rsid wsp:val=&quot;00BE7C5D&quot;/&gt;&lt;wsp:rsid wsp:val=&quot;00BF0D61&quot;/&gt;&lt;wsp:rsid wsp:val=&quot;00BF12EC&quot;/&gt;&lt;wsp:rsid wsp:val=&quot;00BF1572&quot;/&gt;&lt;wsp:rsid wsp:val=&quot;00BF1C5F&quot;/&gt;&lt;wsp:rsid wsp:val=&quot;00BF2102&quot;/&gt;&lt;wsp:rsid wsp:val=&quot;00BF21D2&quot;/&gt;&lt;wsp:rsid wsp:val=&quot;00BF26F8&quot;/&gt;&lt;wsp:rsid wsp:val=&quot;00BF2CD7&quot;/&gt;&lt;wsp:rsid wsp:val=&quot;00BF30BD&quot;/&gt;&lt;wsp:rsid wsp:val=&quot;00BF361C&quot;/&gt;&lt;wsp:rsid wsp:val=&quot;00BF365B&quot;/&gt;&lt;wsp:rsid wsp:val=&quot;00BF3753&quot;/&gt;&lt;wsp:rsid wsp:val=&quot;00BF37A1&quot;/&gt;&lt;wsp:rsid wsp:val=&quot;00BF37D8&quot;/&gt;&lt;wsp:rsid wsp:val=&quot;00BF3888&quot;/&gt;&lt;wsp:rsid wsp:val=&quot;00BF39A4&quot;/&gt;&lt;wsp:rsid wsp:val=&quot;00BF3A3B&quot;/&gt;&lt;wsp:rsid wsp:val=&quot;00BF5394&quot;/&gt;&lt;wsp:rsid wsp:val=&quot;00BF5541&quot;/&gt;&lt;wsp:rsid wsp:val=&quot;00BF60BC&quot;/&gt;&lt;wsp:rsid wsp:val=&quot;00BF6A75&quot;/&gt;&lt;wsp:rsid wsp:val=&quot;00BF6DDA&quot;/&gt;&lt;wsp:rsid wsp:val=&quot;00BF73D9&quot;/&gt;&lt;wsp:rsid wsp:val=&quot;00BF7413&quot;/&gt;&lt;wsp:rsid wsp:val=&quot;00BF7B6A&quot;/&gt;&lt;wsp:rsid wsp:val=&quot;00C00484&quot;/&gt;&lt;wsp:rsid wsp:val=&quot;00C008C3&quot;/&gt;&lt;wsp:rsid wsp:val=&quot;00C00B4C&quot;/&gt;&lt;wsp:rsid wsp:val=&quot;00C00BFF&quot;/&gt;&lt;wsp:rsid wsp:val=&quot;00C02003&quot;/&gt;&lt;wsp:rsid wsp:val=&quot;00C02161&quot;/&gt;&lt;wsp:rsid wsp:val=&quot;00C022B9&quot;/&gt;&lt;wsp:rsid wsp:val=&quot;00C02375&quot;/&gt;&lt;wsp:rsid wsp:val=&quot;00C0265F&quot;/&gt;&lt;wsp:rsid wsp:val=&quot;00C02AE7&quot;/&gt;&lt;wsp:rsid wsp:val=&quot;00C02E71&quot;/&gt;&lt;wsp:rsid wsp:val=&quot;00C0311F&quot;/&gt;&lt;wsp:rsid wsp:val=&quot;00C03BF3&quot;/&gt;&lt;wsp:rsid wsp:val=&quot;00C03FEF&quot;/&gt;&lt;wsp:rsid wsp:val=&quot;00C0426A&quot;/&gt;&lt;wsp:rsid wsp:val=&quot;00C042AC&quot;/&gt;&lt;wsp:rsid wsp:val=&quot;00C0441E&quot;/&gt;&lt;wsp:rsid wsp:val=&quot;00C0474E&quot;/&gt;&lt;wsp:rsid wsp:val=&quot;00C049DE&quot;/&gt;&lt;wsp:rsid wsp:val=&quot;00C04BC7&quot;/&gt;&lt;wsp:rsid wsp:val=&quot;00C053FD&quot;/&gt;&lt;wsp:rsid wsp:val=&quot;00C05A3B&quot;/&gt;&lt;wsp:rsid wsp:val=&quot;00C06230&quot;/&gt;&lt;wsp:rsid wsp:val=&quot;00C065C5&quot;/&gt;&lt;wsp:rsid wsp:val=&quot;00C0695B&quot;/&gt;&lt;wsp:rsid wsp:val=&quot;00C06BC5&quot;/&gt;&lt;wsp:rsid wsp:val=&quot;00C078DF&quot;/&gt;&lt;wsp:rsid wsp:val=&quot;00C100B4&quot;/&gt;&lt;wsp:rsid wsp:val=&quot;00C108B2&quot;/&gt;&lt;wsp:rsid wsp:val=&quot;00C109B6&quot;/&gt;&lt;wsp:rsid wsp:val=&quot;00C10E53&quot;/&gt;&lt;wsp:rsid wsp:val=&quot;00C1141F&quot;/&gt;&lt;wsp:rsid wsp:val=&quot;00C11C4E&quot;/&gt;&lt;wsp:rsid wsp:val=&quot;00C11D4C&quot;/&gt;&lt;wsp:rsid wsp:val=&quot;00C12034&quot;/&gt;&lt;wsp:rsid wsp:val=&quot;00C12624&quot;/&gt;&lt;wsp:rsid wsp:val=&quot;00C130EF&quot;/&gt;&lt;wsp:rsid wsp:val=&quot;00C13FA2&quot;/&gt;&lt;wsp:rsid wsp:val=&quot;00C147EF&quot;/&gt;&lt;wsp:rsid wsp:val=&quot;00C148CA&quot;/&gt;&lt;wsp:rsid wsp:val=&quot;00C14AA6&quot;/&gt;&lt;wsp:rsid wsp:val=&quot;00C1549C&quot;/&gt;&lt;wsp:rsid wsp:val=&quot;00C16C58&quot;/&gt;&lt;wsp:rsid wsp:val=&quot;00C16D80&quot;/&gt;&lt;wsp:rsid wsp:val=&quot;00C16F86&quot;/&gt;&lt;wsp:rsid wsp:val=&quot;00C173EC&quot;/&gt;&lt;wsp:rsid wsp:val=&quot;00C17561&quot;/&gt;&lt;wsp:rsid wsp:val=&quot;00C1789B&quot;/&gt;&lt;wsp:rsid wsp:val=&quot;00C203A0&quot;/&gt;&lt;wsp:rsid wsp:val=&quot;00C2112F&quot;/&gt;&lt;wsp:rsid wsp:val=&quot;00C21EF6&quot;/&gt;&lt;wsp:rsid wsp:val=&quot;00C2208E&quot;/&gt;&lt;wsp:rsid wsp:val=&quot;00C2213E&quot;/&gt;&lt;wsp:rsid wsp:val=&quot;00C221E2&quot;/&gt;&lt;wsp:rsid wsp:val=&quot;00C2222E&quot;/&gt;&lt;wsp:rsid wsp:val=&quot;00C22757&quot;/&gt;&lt;wsp:rsid wsp:val=&quot;00C23478&quot;/&gt;&lt;wsp:rsid wsp:val=&quot;00C23CC8&quot;/&gt;&lt;wsp:rsid wsp:val=&quot;00C241B0&quot;/&gt;&lt;wsp:rsid wsp:val=&quot;00C2470C&quot;/&gt;&lt;wsp:rsid wsp:val=&quot;00C247EE&quot;/&gt;&lt;wsp:rsid wsp:val=&quot;00C25377&quot;/&gt;&lt;wsp:rsid wsp:val=&quot;00C25945&quot;/&gt;&lt;wsp:rsid wsp:val=&quot;00C266B5&quot;/&gt;&lt;wsp:rsid wsp:val=&quot;00C266C5&quot;/&gt;&lt;wsp:rsid wsp:val=&quot;00C26715&quot;/&gt;&lt;wsp:rsid wsp:val=&quot;00C26954&quot;/&gt;&lt;wsp:rsid wsp:val=&quot;00C26BE7&quot;/&gt;&lt;wsp:rsid wsp:val=&quot;00C26F7E&quot;/&gt;&lt;wsp:rsid wsp:val=&quot;00C270ED&quot;/&gt;&lt;wsp:rsid wsp:val=&quot;00C278E3&quot;/&gt;&lt;wsp:rsid wsp:val=&quot;00C3177F&quot;/&gt;&lt;wsp:rsid wsp:val=&quot;00C31781&quot;/&gt;&lt;wsp:rsid wsp:val=&quot;00C317F6&quot;/&gt;&lt;wsp:rsid wsp:val=&quot;00C318BC&quot;/&gt;&lt;wsp:rsid wsp:val=&quot;00C319CB&quot;/&gt;&lt;wsp:rsid wsp:val=&quot;00C31DB9&quot;/&gt;&lt;wsp:rsid wsp:val=&quot;00C31DC4&quot;/&gt;&lt;wsp:rsid wsp:val=&quot;00C31E52&quot;/&gt;&lt;wsp:rsid wsp:val=&quot;00C32B45&quot;/&gt;&lt;wsp:rsid wsp:val=&quot;00C335FB&quot;/&gt;&lt;wsp:rsid wsp:val=&quot;00C33EE4&quot;/&gt;&lt;wsp:rsid wsp:val=&quot;00C346F8&quot;/&gt;&lt;wsp:rsid wsp:val=&quot;00C35066&quot;/&gt;&lt;wsp:rsid wsp:val=&quot;00C350CA&quot;/&gt;&lt;wsp:rsid wsp:val=&quot;00C354E3&quot;/&gt;&lt;wsp:rsid wsp:val=&quot;00C35631&quot;/&gt;&lt;wsp:rsid wsp:val=&quot;00C35AFA&quot;/&gt;&lt;wsp:rsid wsp:val=&quot;00C35C0D&quot;/&gt;&lt;wsp:rsid wsp:val=&quot;00C35E9C&quot;/&gt;&lt;wsp:rsid wsp:val=&quot;00C362E1&quot;/&gt;&lt;wsp:rsid wsp:val=&quot;00C3682A&quot;/&gt;&lt;wsp:rsid wsp:val=&quot;00C36DC1&quot;/&gt;&lt;wsp:rsid wsp:val=&quot;00C37A89&quot;/&gt;&lt;wsp:rsid wsp:val=&quot;00C37BF5&quot;/&gt;&lt;wsp:rsid wsp:val=&quot;00C37CEB&quot;/&gt;&lt;wsp:rsid wsp:val=&quot;00C37E52&quot;/&gt;&lt;wsp:rsid wsp:val=&quot;00C37FEE&quot;/&gt;&lt;wsp:rsid wsp:val=&quot;00C403D6&quot;/&gt;&lt;wsp:rsid wsp:val=&quot;00C40479&quot;/&gt;&lt;wsp:rsid wsp:val=&quot;00C4091F&quot;/&gt;&lt;wsp:rsid wsp:val=&quot;00C412CF&quot;/&gt;&lt;wsp:rsid wsp:val=&quot;00C427A0&quot;/&gt;&lt;wsp:rsid wsp:val=&quot;00C427D7&quot;/&gt;&lt;wsp:rsid wsp:val=&quot;00C42B67&quot;/&gt;&lt;wsp:rsid wsp:val=&quot;00C42F34&quot;/&gt;&lt;wsp:rsid wsp:val=&quot;00C42F4B&quot;/&gt;&lt;wsp:rsid wsp:val=&quot;00C43755&quot;/&gt;&lt;wsp:rsid wsp:val=&quot;00C440D4&quot;/&gt;&lt;wsp:rsid wsp:val=&quot;00C4459F&quot;/&gt;&lt;wsp:rsid wsp:val=&quot;00C44E92&quot;/&gt;&lt;wsp:rsid wsp:val=&quot;00C452E8&quot;/&gt;&lt;wsp:rsid wsp:val=&quot;00C45379&quot;/&gt;&lt;wsp:rsid wsp:val=&quot;00C45646&quot;/&gt;&lt;wsp:rsid wsp:val=&quot;00C45BD0&quot;/&gt;&lt;wsp:rsid wsp:val=&quot;00C45BD4&quot;/&gt;&lt;wsp:rsid wsp:val=&quot;00C45C8F&quot;/&gt;&lt;wsp:rsid wsp:val=&quot;00C45E52&quot;/&gt;&lt;wsp:rsid wsp:val=&quot;00C4629D&quot;/&gt;&lt;wsp:rsid wsp:val=&quot;00C46442&quot;/&gt;&lt;wsp:rsid wsp:val=&quot;00C46D02&quot;/&gt;&lt;wsp:rsid wsp:val=&quot;00C50005&quot;/&gt;&lt;wsp:rsid wsp:val=&quot;00C50331&quot;/&gt;&lt;wsp:rsid wsp:val=&quot;00C50E5F&quot;/&gt;&lt;wsp:rsid wsp:val=&quot;00C50F8D&quot;/&gt;&lt;wsp:rsid wsp:val=&quot;00C51ABA&quot;/&gt;&lt;wsp:rsid wsp:val=&quot;00C51EDF&quot;/&gt;&lt;wsp:rsid wsp:val=&quot;00C528EA&quot;/&gt;&lt;wsp:rsid wsp:val=&quot;00C52D39&quot;/&gt;&lt;wsp:rsid wsp:val=&quot;00C54194&quot;/&gt;&lt;wsp:rsid wsp:val=&quot;00C55066&quot;/&gt;&lt;wsp:rsid wsp:val=&quot;00C5618C&quot;/&gt;&lt;wsp:rsid wsp:val=&quot;00C568DD&quot;/&gt;&lt;wsp:rsid wsp:val=&quot;00C56B84&quot;/&gt;&lt;wsp:rsid wsp:val=&quot;00C57541&quot;/&gt;&lt;wsp:rsid wsp:val=&quot;00C57A64&quot;/&gt;&lt;wsp:rsid wsp:val=&quot;00C57D53&quot;/&gt;&lt;wsp:rsid wsp:val=&quot;00C57F28&quot;/&gt;&lt;wsp:rsid wsp:val=&quot;00C60740&quot;/&gt;&lt;wsp:rsid wsp:val=&quot;00C60A71&quot;/&gt;&lt;wsp:rsid wsp:val=&quot;00C60B3A&quot;/&gt;&lt;wsp:rsid wsp:val=&quot;00C62055&quot;/&gt;&lt;wsp:rsid wsp:val=&quot;00C6224C&quot;/&gt;&lt;wsp:rsid wsp:val=&quot;00C62734&quot;/&gt;&lt;wsp:rsid wsp:val=&quot;00C62846&quot;/&gt;&lt;wsp:rsid wsp:val=&quot;00C62F47&quot;/&gt;&lt;wsp:rsid wsp:val=&quot;00C63021&quot;/&gt;&lt;wsp:rsid wsp:val=&quot;00C638E5&quot;/&gt;&lt;wsp:rsid wsp:val=&quot;00C63B14&quot;/&gt;&lt;wsp:rsid wsp:val=&quot;00C64768&quot;/&gt;&lt;wsp:rsid wsp:val=&quot;00C64A76&quot;/&gt;&lt;wsp:rsid wsp:val=&quot;00C64BFD&quot;/&gt;&lt;wsp:rsid wsp:val=&quot;00C65BEF&quot;/&gt;&lt;wsp:rsid wsp:val=&quot;00C66281&quot;/&gt;&lt;wsp:rsid wsp:val=&quot;00C670A4&quot;/&gt;&lt;wsp:rsid wsp:val=&quot;00C675B8&quot;/&gt;&lt;wsp:rsid wsp:val=&quot;00C703BB&quot;/&gt;&lt;wsp:rsid wsp:val=&quot;00C70DBF&quot;/&gt;&lt;wsp:rsid wsp:val=&quot;00C70E15&quot;/&gt;&lt;wsp:rsid wsp:val=&quot;00C70F56&quot;/&gt;&lt;wsp:rsid wsp:val=&quot;00C70FFA&quot;/&gt;&lt;wsp:rsid wsp:val=&quot;00C713CD&quot;/&gt;&lt;wsp:rsid wsp:val=&quot;00C71440&quot;/&gt;&lt;wsp:rsid wsp:val=&quot;00C71935&quot;/&gt;&lt;wsp:rsid wsp:val=&quot;00C71BA5&quot;/&gt;&lt;wsp:rsid wsp:val=&quot;00C71CDB&quot;/&gt;&lt;wsp:rsid wsp:val=&quot;00C71EBE&quot;/&gt;&lt;wsp:rsid wsp:val=&quot;00C73BAB&quot;/&gt;&lt;wsp:rsid wsp:val=&quot;00C748B0&quot;/&gt;&lt;wsp:rsid wsp:val=&quot;00C75170&quot;/&gt;&lt;wsp:rsid wsp:val=&quot;00C752ED&quot;/&gt;&lt;wsp:rsid wsp:val=&quot;00C75502&quot;/&gt;&lt;wsp:rsid wsp:val=&quot;00C75742&quot;/&gt;&lt;wsp:rsid wsp:val=&quot;00C75D72&quot;/&gt;&lt;wsp:rsid wsp:val=&quot;00C76366&quot;/&gt;&lt;wsp:rsid wsp:val=&quot;00C7773C&quot;/&gt;&lt;wsp:rsid wsp:val=&quot;00C778BF&quot;/&gt;&lt;wsp:rsid wsp:val=&quot;00C779F6&quot;/&gt;&lt;wsp:rsid wsp:val=&quot;00C77C87&quot;/&gt;&lt;wsp:rsid wsp:val=&quot;00C80421&quot;/&gt;&lt;wsp:rsid wsp:val=&quot;00C8073C&quot;/&gt;&lt;wsp:rsid wsp:val=&quot;00C80CD9&quot;/&gt;&lt;wsp:rsid wsp:val=&quot;00C81B60&quot;/&gt;&lt;wsp:rsid wsp:val=&quot;00C82117&quot;/&gt;&lt;wsp:rsid wsp:val=&quot;00C82465&quot;/&gt;&lt;wsp:rsid wsp:val=&quot;00C83328&quot;/&gt;&lt;wsp:rsid wsp:val=&quot;00C836F7&quot;/&gt;&lt;wsp:rsid wsp:val=&quot;00C84624&quot;/&gt;&lt;wsp:rsid wsp:val=&quot;00C849B6&quot;/&gt;&lt;wsp:rsid wsp:val=&quot;00C853D1&quot;/&gt;&lt;wsp:rsid wsp:val=&quot;00C8599B&quot;/&gt;&lt;wsp:rsid wsp:val=&quot;00C859E1&quot;/&gt;&lt;wsp:rsid wsp:val=&quot;00C85F5E&quot;/&gt;&lt;wsp:rsid wsp:val=&quot;00C86033&quot;/&gt;&lt;wsp:rsid wsp:val=&quot;00C862C9&quot;/&gt;&lt;wsp:rsid wsp:val=&quot;00C86773&quot;/&gt;&lt;wsp:rsid wsp:val=&quot;00C86BA9&quot;/&gt;&lt;wsp:rsid wsp:val=&quot;00C86FEE&quot;/&gt;&lt;wsp:rsid wsp:val=&quot;00C87282&quot;/&gt;&lt;wsp:rsid wsp:val=&quot;00C87364&quot;/&gt;&lt;wsp:rsid wsp:val=&quot;00C874B2&quot;/&gt;&lt;wsp:rsid wsp:val=&quot;00C87C59&quot;/&gt;&lt;wsp:rsid wsp:val=&quot;00C87F36&quot;/&gt;&lt;wsp:rsid wsp:val=&quot;00C90651&quot;/&gt;&lt;wsp:rsid wsp:val=&quot;00C90BFE&quot;/&gt;&lt;wsp:rsid wsp:val=&quot;00C90CD5&quot;/&gt;&lt;wsp:rsid wsp:val=&quot;00C92252&quot;/&gt;&lt;wsp:rsid wsp:val=&quot;00C926DB&quot;/&gt;&lt;wsp:rsid wsp:val=&quot;00C933C3&quot;/&gt;&lt;wsp:rsid wsp:val=&quot;00C93799&quot;/&gt;&lt;wsp:rsid wsp:val=&quot;00C93EA8&quot;/&gt;&lt;wsp:rsid wsp:val=&quot;00C943DA&quot;/&gt;&lt;wsp:rsid wsp:val=&quot;00C94934&quot;/&gt;&lt;wsp:rsid wsp:val=&quot;00C94B0F&quot;/&gt;&lt;wsp:rsid wsp:val=&quot;00C94BE7&quot;/&gt;&lt;wsp:rsid wsp:val=&quot;00C94DD4&quot;/&gt;&lt;wsp:rsid wsp:val=&quot;00C9550B&quot;/&gt;&lt;wsp:rsid wsp:val=&quot;00C9632B&quot;/&gt;&lt;wsp:rsid wsp:val=&quot;00C9685B&quot;/&gt;&lt;wsp:rsid wsp:val=&quot;00C96CED&quot;/&gt;&lt;wsp:rsid wsp:val=&quot;00C9783D&quot;/&gt;&lt;wsp:rsid wsp:val=&quot;00CA05DF&quot;/&gt;&lt;wsp:rsid wsp:val=&quot;00CA0F68&quot;/&gt;&lt;wsp:rsid wsp:val=&quot;00CA1F83&quot;/&gt;&lt;wsp:rsid wsp:val=&quot;00CA2993&quot;/&gt;&lt;wsp:rsid wsp:val=&quot;00CA2D15&quot;/&gt;&lt;wsp:rsid wsp:val=&quot;00CA2F69&quot;/&gt;&lt;wsp:rsid wsp:val=&quot;00CA3291&quot;/&gt;&lt;wsp:rsid wsp:val=&quot;00CA332A&quot;/&gt;&lt;wsp:rsid wsp:val=&quot;00CA3BC0&quot;/&gt;&lt;wsp:rsid wsp:val=&quot;00CA3BD8&quot;/&gt;&lt;wsp:rsid wsp:val=&quot;00CA3CD1&quot;/&gt;&lt;wsp:rsid wsp:val=&quot;00CA5425&quot;/&gt;&lt;wsp:rsid wsp:val=&quot;00CA5489&quot;/&gt;&lt;wsp:rsid wsp:val=&quot;00CA5978&quot;/&gt;&lt;wsp:rsid wsp:val=&quot;00CA6036&quot;/&gt;&lt;wsp:rsid wsp:val=&quot;00CA6141&quot;/&gt;&lt;wsp:rsid wsp:val=&quot;00CA634D&quot;/&gt;&lt;wsp:rsid wsp:val=&quot;00CA65E8&quot;/&gt;&lt;wsp:rsid wsp:val=&quot;00CA6BCF&quot;/&gt;&lt;wsp:rsid wsp:val=&quot;00CA6F82&quot;/&gt;&lt;wsp:rsid wsp:val=&quot;00CA712E&quot;/&gt;&lt;wsp:rsid wsp:val=&quot;00CA749A&quot;/&gt;&lt;wsp:rsid wsp:val=&quot;00CA7985&quot;/&gt;&lt;wsp:rsid wsp:val=&quot;00CB0B0A&quot;/&gt;&lt;wsp:rsid wsp:val=&quot;00CB0B4B&quot;/&gt;&lt;wsp:rsid wsp:val=&quot;00CB0DA8&quot;/&gt;&lt;wsp:rsid wsp:val=&quot;00CB1FC3&quot;/&gt;&lt;wsp:rsid wsp:val=&quot;00CB274D&quot;/&gt;&lt;wsp:rsid wsp:val=&quot;00CB31BA&quot;/&gt;&lt;wsp:rsid wsp:val=&quot;00CB32BE&quot;/&gt;&lt;wsp:rsid wsp:val=&quot;00CB3D5A&quot;/&gt;&lt;wsp:rsid wsp:val=&quot;00CB401B&quot;/&gt;&lt;wsp:rsid wsp:val=&quot;00CB42B6&quot;/&gt;&lt;wsp:rsid wsp:val=&quot;00CB491B&quot;/&gt;&lt;wsp:rsid wsp:val=&quot;00CB55FC&quot;/&gt;&lt;wsp:rsid wsp:val=&quot;00CB5816&quot;/&gt;&lt;wsp:rsid wsp:val=&quot;00CB6917&quot;/&gt;&lt;wsp:rsid wsp:val=&quot;00CB6A3E&quot;/&gt;&lt;wsp:rsid wsp:val=&quot;00CB7170&quot;/&gt;&lt;wsp:rsid wsp:val=&quot;00CB73FF&quot;/&gt;&lt;wsp:rsid wsp:val=&quot;00CB77ED&quot;/&gt;&lt;wsp:rsid wsp:val=&quot;00CC0244&quot;/&gt;&lt;wsp:rsid wsp:val=&quot;00CC0403&quot;/&gt;&lt;wsp:rsid wsp:val=&quot;00CC0FFF&quot;/&gt;&lt;wsp:rsid wsp:val=&quot;00CC1610&quot;/&gt;&lt;wsp:rsid wsp:val=&quot;00CC22D3&quot;/&gt;&lt;wsp:rsid wsp:val=&quot;00CC2652&quot;/&gt;&lt;wsp:rsid wsp:val=&quot;00CC2C41&quot;/&gt;&lt;wsp:rsid wsp:val=&quot;00CC2C7B&quot;/&gt;&lt;wsp:rsid wsp:val=&quot;00CC2E66&quot;/&gt;&lt;wsp:rsid wsp:val=&quot;00CC3896&quot;/&gt;&lt;wsp:rsid wsp:val=&quot;00CC3F9E&quot;/&gt;&lt;wsp:rsid wsp:val=&quot;00CC4E98&quot;/&gt;&lt;wsp:rsid wsp:val=&quot;00CC512B&quot;/&gt;&lt;wsp:rsid wsp:val=&quot;00CC53E6&quot;/&gt;&lt;wsp:rsid wsp:val=&quot;00CC54D7&quot;/&gt;&lt;wsp:rsid wsp:val=&quot;00CC55B5&quot;/&gt;&lt;wsp:rsid wsp:val=&quot;00CC5E40&quot;/&gt;&lt;wsp:rsid wsp:val=&quot;00CC5E62&quot;/&gt;&lt;wsp:rsid wsp:val=&quot;00CC5EE5&quot;/&gt;&lt;wsp:rsid wsp:val=&quot;00CC6576&quot;/&gt;&lt;wsp:rsid wsp:val=&quot;00CC696E&quot;/&gt;&lt;wsp:rsid wsp:val=&quot;00CC6A69&quot;/&gt;&lt;wsp:rsid wsp:val=&quot;00CC6C54&quot;/&gt;&lt;wsp:rsid wsp:val=&quot;00CC7030&quot;/&gt;&lt;wsp:rsid wsp:val=&quot;00CC741B&quot;/&gt;&lt;wsp:rsid wsp:val=&quot;00CC7926&quot;/&gt;&lt;wsp:rsid wsp:val=&quot;00CD0A29&quot;/&gt;&lt;wsp:rsid wsp:val=&quot;00CD1281&quot;/&gt;&lt;wsp:rsid wsp:val=&quot;00CD19ED&quot;/&gt;&lt;wsp:rsid wsp:val=&quot;00CD1CE3&quot;/&gt;&lt;wsp:rsid wsp:val=&quot;00CD2074&quot;/&gt;&lt;wsp:rsid wsp:val=&quot;00CD213E&quot;/&gt;&lt;wsp:rsid wsp:val=&quot;00CD218F&quot;/&gt;&lt;wsp:rsid wsp:val=&quot;00CD2288&quot;/&gt;&lt;wsp:rsid wsp:val=&quot;00CD2DF9&quot;/&gt;&lt;wsp:rsid wsp:val=&quot;00CD3084&quot;/&gt;&lt;wsp:rsid wsp:val=&quot;00CD30FE&quot;/&gt;&lt;wsp:rsid wsp:val=&quot;00CD3692&quot;/&gt;&lt;wsp:rsid wsp:val=&quot;00CD3774&quot;/&gt;&lt;wsp:rsid wsp:val=&quot;00CD37CD&quot;/&gt;&lt;wsp:rsid wsp:val=&quot;00CD3B71&quot;/&gt;&lt;wsp:rsid wsp:val=&quot;00CD51CA&quot;/&gt;&lt;wsp:rsid wsp:val=&quot;00CD52E8&quot;/&gt;&lt;wsp:rsid wsp:val=&quot;00CD5CCE&quot;/&gt;&lt;wsp:rsid wsp:val=&quot;00CD5EED&quot;/&gt;&lt;wsp:rsid wsp:val=&quot;00CD6514&quot;/&gt;&lt;wsp:rsid wsp:val=&quot;00CD65A2&quot;/&gt;&lt;wsp:rsid wsp:val=&quot;00CD6637&quot;/&gt;&lt;wsp:rsid wsp:val=&quot;00CD66A4&quot;/&gt;&lt;wsp:rsid wsp:val=&quot;00CD694B&quot;/&gt;&lt;wsp:rsid wsp:val=&quot;00CD69E7&quot;/&gt;&lt;wsp:rsid wsp:val=&quot;00CD69E9&quot;/&gt;&lt;wsp:rsid wsp:val=&quot;00CD6A70&quot;/&gt;&lt;wsp:rsid wsp:val=&quot;00CD74D8&quot;/&gt;&lt;wsp:rsid wsp:val=&quot;00CD7999&quot;/&gt;&lt;wsp:rsid wsp:val=&quot;00CD7BF1&quot;/&gt;&lt;wsp:rsid wsp:val=&quot;00CE0AB2&quot;/&gt;&lt;wsp:rsid wsp:val=&quot;00CE0C16&quot;/&gt;&lt;wsp:rsid wsp:val=&quot;00CE0CA0&quot;/&gt;&lt;wsp:rsid wsp:val=&quot;00CE1CCE&quot;/&gt;&lt;wsp:rsid wsp:val=&quot;00CE21FB&quot;/&gt;&lt;wsp:rsid wsp:val=&quot;00CE376E&quot;/&gt;&lt;wsp:rsid wsp:val=&quot;00CE3866&quot;/&gt;&lt;wsp:rsid wsp:val=&quot;00CE399C&quot;/&gt;&lt;wsp:rsid wsp:val=&quot;00CE4C8A&quot;/&gt;&lt;wsp:rsid wsp:val=&quot;00CE4FD3&quot;/&gt;&lt;wsp:rsid wsp:val=&quot;00CE576A&quot;/&gt;&lt;wsp:rsid wsp:val=&quot;00CE5853&quot;/&gt;&lt;wsp:rsid wsp:val=&quot;00CE5BD9&quot;/&gt;&lt;wsp:rsid wsp:val=&quot;00CE5D8F&quot;/&gt;&lt;wsp:rsid wsp:val=&quot;00CE6025&quot;/&gt;&lt;wsp:rsid wsp:val=&quot;00CE6071&quot;/&gt;&lt;wsp:rsid wsp:val=&quot;00CE611F&quot;/&gt;&lt;wsp:rsid wsp:val=&quot;00CE61F5&quot;/&gt;&lt;wsp:rsid wsp:val=&quot;00CE6ABF&quot;/&gt;&lt;wsp:rsid wsp:val=&quot;00CE6BA9&quot;/&gt;&lt;wsp:rsid wsp:val=&quot;00CE6F0E&quot;/&gt;&lt;wsp:rsid wsp:val=&quot;00CE7151&quot;/&gt;&lt;wsp:rsid wsp:val=&quot;00CF09BF&quot;/&gt;&lt;wsp:rsid wsp:val=&quot;00CF1B2A&quot;/&gt;&lt;wsp:rsid wsp:val=&quot;00CF1CFA&quot;/&gt;&lt;wsp:rsid wsp:val=&quot;00CF22DE&quot;/&gt;&lt;wsp:rsid wsp:val=&quot;00CF2B49&quot;/&gt;&lt;wsp:rsid wsp:val=&quot;00CF2EA1&quot;/&gt;&lt;wsp:rsid wsp:val=&quot;00CF2FB9&quot;/&gt;&lt;wsp:rsid wsp:val=&quot;00CF31DC&quot;/&gt;&lt;wsp:rsid wsp:val=&quot;00CF3F30&quot;/&gt;&lt;wsp:rsid wsp:val=&quot;00CF3FEF&quot;/&gt;&lt;wsp:rsid wsp:val=&quot;00CF4B77&quot;/&gt;&lt;wsp:rsid wsp:val=&quot;00CF51DB&quot;/&gt;&lt;wsp:rsid wsp:val=&quot;00CF5B2E&quot;/&gt;&lt;wsp:rsid wsp:val=&quot;00CF5BDF&quot;/&gt;&lt;wsp:rsid wsp:val=&quot;00CF5D64&quot;/&gt;&lt;wsp:rsid wsp:val=&quot;00CF6B2C&quot;/&gt;&lt;wsp:rsid wsp:val=&quot;00CF7115&quot;/&gt;&lt;wsp:rsid wsp:val=&quot;00CF7996&quot;/&gt;&lt;wsp:rsid wsp:val=&quot;00D00238&quot;/&gt;&lt;wsp:rsid wsp:val=&quot;00D00DC6&quot;/&gt;&lt;wsp:rsid wsp:val=&quot;00D00EF3&quot;/&gt;&lt;wsp:rsid wsp:val=&quot;00D01224&quot;/&gt;&lt;wsp:rsid wsp:val=&quot;00D01783&quot;/&gt;&lt;wsp:rsid wsp:val=&quot;00D01B32&quot;/&gt;&lt;wsp:rsid wsp:val=&quot;00D01C6C&quot;/&gt;&lt;wsp:rsid wsp:val=&quot;00D01F24&quot;/&gt;&lt;wsp:rsid wsp:val=&quot;00D02011&quot;/&gt;&lt;wsp:rsid wsp:val=&quot;00D02109&quot;/&gt;&lt;wsp:rsid wsp:val=&quot;00D029A1&quot;/&gt;&lt;wsp:rsid wsp:val=&quot;00D02EE9&quot;/&gt;&lt;wsp:rsid wsp:val=&quot;00D0360E&quot;/&gt;&lt;wsp:rsid wsp:val=&quot;00D03C5C&quot;/&gt;&lt;wsp:rsid wsp:val=&quot;00D0458F&quot;/&gt;&lt;wsp:rsid wsp:val=&quot;00D0461D&quot;/&gt;&lt;wsp:rsid wsp:val=&quot;00D04749&quot;/&gt;&lt;wsp:rsid wsp:val=&quot;00D04A59&quot;/&gt;&lt;wsp:rsid wsp:val=&quot;00D0500A&quot;/&gt;&lt;wsp:rsid wsp:val=&quot;00D05301&quot;/&gt;&lt;wsp:rsid wsp:val=&quot;00D06BB5&quot;/&gt;&lt;wsp:rsid wsp:val=&quot;00D06C66&quot;/&gt;&lt;wsp:rsid wsp:val=&quot;00D0705E&quot;/&gt;&lt;wsp:rsid wsp:val=&quot;00D072B4&quot;/&gt;&lt;wsp:rsid wsp:val=&quot;00D07CA7&quot;/&gt;&lt;wsp:rsid wsp:val=&quot;00D1001E&quot;/&gt;&lt;wsp:rsid wsp:val=&quot;00D10129&quot;/&gt;&lt;wsp:rsid wsp:val=&quot;00D103C2&quot;/&gt;&lt;wsp:rsid wsp:val=&quot;00D1040B&quot;/&gt;&lt;wsp:rsid wsp:val=&quot;00D10740&quot;/&gt;&lt;wsp:rsid wsp:val=&quot;00D109E2&quot;/&gt;&lt;wsp:rsid wsp:val=&quot;00D10DD5&quot;/&gt;&lt;wsp:rsid wsp:val=&quot;00D10EA0&quot;/&gt;&lt;wsp:rsid wsp:val=&quot;00D10F30&quot;/&gt;&lt;wsp:rsid wsp:val=&quot;00D10F73&quot;/&gt;&lt;wsp:rsid wsp:val=&quot;00D12115&quot;/&gt;&lt;wsp:rsid wsp:val=&quot;00D1261E&quot;/&gt;&lt;wsp:rsid wsp:val=&quot;00D12AE5&quot;/&gt;&lt;wsp:rsid wsp:val=&quot;00D13184&quot;/&gt;&lt;wsp:rsid wsp:val=&quot;00D13CF7&quot;/&gt;&lt;wsp:rsid wsp:val=&quot;00D14195&quot;/&gt;&lt;wsp:rsid wsp:val=&quot;00D14A38&quot;/&gt;&lt;wsp:rsid wsp:val=&quot;00D14FDD&quot;/&gt;&lt;wsp:rsid wsp:val=&quot;00D1586E&quot;/&gt;&lt;wsp:rsid wsp:val=&quot;00D158B9&quot;/&gt;&lt;wsp:rsid wsp:val=&quot;00D15EFE&quot;/&gt;&lt;wsp:rsid wsp:val=&quot;00D1676A&quot;/&gt;&lt;wsp:rsid wsp:val=&quot;00D168FF&quot;/&gt;&lt;wsp:rsid wsp:val=&quot;00D16E18&quot;/&gt;&lt;wsp:rsid wsp:val=&quot;00D17550&quot;/&gt;&lt;wsp:rsid wsp:val=&quot;00D17560&quot;/&gt;&lt;wsp:rsid wsp:val=&quot;00D20CCA&quot;/&gt;&lt;wsp:rsid wsp:val=&quot;00D2117D&quot;/&gt;&lt;wsp:rsid wsp:val=&quot;00D21199&quot;/&gt;&lt;wsp:rsid wsp:val=&quot;00D215AC&quot;/&gt;&lt;wsp:rsid wsp:val=&quot;00D2209F&quot;/&gt;&lt;wsp:rsid wsp:val=&quot;00D222AA&quot;/&gt;&lt;wsp:rsid wsp:val=&quot;00D223CB&quot;/&gt;&lt;wsp:rsid wsp:val=&quot;00D228B5&quot;/&gt;&lt;wsp:rsid wsp:val=&quot;00D22C6A&quot;/&gt;&lt;wsp:rsid wsp:val=&quot;00D230DE&quot;/&gt;&lt;wsp:rsid wsp:val=&quot;00D23301&quot;/&gt;&lt;wsp:rsid wsp:val=&quot;00D238BE&quot;/&gt;&lt;wsp:rsid wsp:val=&quot;00D23DD5&quot;/&gt;&lt;wsp:rsid wsp:val=&quot;00D2415B&quot;/&gt;&lt;wsp:rsid wsp:val=&quot;00D249B8&quot;/&gt;&lt;wsp:rsid wsp:val=&quot;00D258A2&quot;/&gt;&lt;wsp:rsid wsp:val=&quot;00D262DE&quot;/&gt;&lt;wsp:rsid wsp:val=&quot;00D2643A&quot;/&gt;&lt;wsp:rsid wsp:val=&quot;00D268A0&quot;/&gt;&lt;wsp:rsid wsp:val=&quot;00D26C6B&quot;/&gt;&lt;wsp:rsid wsp:val=&quot;00D26E1A&quot;/&gt;&lt;wsp:rsid wsp:val=&quot;00D271FF&quot;/&gt;&lt;wsp:rsid wsp:val=&quot;00D27EA4&quot;/&gt;&lt;wsp:rsid wsp:val=&quot;00D30019&quot;/&gt;&lt;wsp:rsid wsp:val=&quot;00D306A9&quot;/&gt;&lt;wsp:rsid wsp:val=&quot;00D30D67&quot;/&gt;&lt;wsp:rsid wsp:val=&quot;00D31279&quot;/&gt;&lt;wsp:rsid wsp:val=&quot;00D31676&quot;/&gt;&lt;wsp:rsid wsp:val=&quot;00D321F1&quot;/&gt;&lt;wsp:rsid wsp:val=&quot;00D333CA&quot;/&gt;&lt;wsp:rsid wsp:val=&quot;00D33F76&quot;/&gt;&lt;wsp:rsid wsp:val=&quot;00D342D5&quot;/&gt;&lt;wsp:rsid wsp:val=&quot;00D3449C&quot;/&gt;&lt;wsp:rsid wsp:val=&quot;00D34AE0&quot;/&gt;&lt;wsp:rsid wsp:val=&quot;00D34C28&quot;/&gt;&lt;wsp:rsid wsp:val=&quot;00D34F95&quot;/&gt;&lt;wsp:rsid wsp:val=&quot;00D35492&quot;/&gt;&lt;wsp:rsid wsp:val=&quot;00D35C79&quot;/&gt;&lt;wsp:rsid wsp:val=&quot;00D3664E&quot;/&gt;&lt;wsp:rsid wsp:val=&quot;00D366C3&quot;/&gt;&lt;wsp:rsid wsp:val=&quot;00D36E16&quot;/&gt;&lt;wsp:rsid wsp:val=&quot;00D3707F&quot;/&gt;&lt;wsp:rsid wsp:val=&quot;00D371F3&quot;/&gt;&lt;wsp:rsid wsp:val=&quot;00D3739A&quot;/&gt;&lt;wsp:rsid wsp:val=&quot;00D375D0&quot;/&gt;&lt;wsp:rsid wsp:val=&quot;00D37749&quot;/&gt;&lt;wsp:rsid wsp:val=&quot;00D378EA&quot;/&gt;&lt;wsp:rsid wsp:val=&quot;00D405DB&quot;/&gt;&lt;wsp:rsid wsp:val=&quot;00D41606&quot;/&gt;&lt;wsp:rsid wsp:val=&quot;00D416BF&quot;/&gt;&lt;wsp:rsid wsp:val=&quot;00D4238F&quot;/&gt;&lt;wsp:rsid wsp:val=&quot;00D42C6A&quot;/&gt;&lt;wsp:rsid wsp:val=&quot;00D43761&quot;/&gt;&lt;wsp:rsid wsp:val=&quot;00D43F01&quot;/&gt;&lt;wsp:rsid wsp:val=&quot;00D440D6&quot;/&gt;&lt;wsp:rsid wsp:val=&quot;00D44A24&quot;/&gt;&lt;wsp:rsid wsp:val=&quot;00D44D03&quot;/&gt;&lt;wsp:rsid wsp:val=&quot;00D46A5A&quot;/&gt;&lt;wsp:rsid wsp:val=&quot;00D46C33&quot;/&gt;&lt;wsp:rsid wsp:val=&quot;00D46E0D&quot;/&gt;&lt;wsp:rsid wsp:val=&quot;00D47036&quot;/&gt;&lt;wsp:rsid wsp:val=&quot;00D476FA&quot;/&gt;&lt;wsp:rsid wsp:val=&quot;00D503B9&quot;/&gt;&lt;wsp:rsid wsp:val=&quot;00D503EA&quot;/&gt;&lt;wsp:rsid wsp:val=&quot;00D50EED&quot;/&gt;&lt;wsp:rsid wsp:val=&quot;00D51033&quot;/&gt;&lt;wsp:rsid wsp:val=&quot;00D51EDF&quot;/&gt;&lt;wsp:rsid wsp:val=&quot;00D520D5&quot;/&gt;&lt;wsp:rsid wsp:val=&quot;00D522B4&quot;/&gt;&lt;wsp:rsid wsp:val=&quot;00D523B6&quot;/&gt;&lt;wsp:rsid wsp:val=&quot;00D52513&quot;/&gt;&lt;wsp:rsid wsp:val=&quot;00D526CB&quot;/&gt;&lt;wsp:rsid wsp:val=&quot;00D528CE&quot;/&gt;&lt;wsp:rsid wsp:val=&quot;00D52A90&quot;/&gt;&lt;wsp:rsid wsp:val=&quot;00D52A94&quot;/&gt;&lt;wsp:rsid wsp:val=&quot;00D53085&quot;/&gt;&lt;wsp:rsid wsp:val=&quot;00D543FB&quot;/&gt;&lt;wsp:rsid wsp:val=&quot;00D5527B&quot;/&gt;&lt;wsp:rsid wsp:val=&quot;00D55EA7&quot;/&gt;&lt;wsp:rsid wsp:val=&quot;00D56130&quot;/&gt;&lt;wsp:rsid wsp:val=&quot;00D56EFA&quot;/&gt;&lt;wsp:rsid wsp:val=&quot;00D572BE&quot;/&gt;&lt;wsp:rsid wsp:val=&quot;00D5764C&quot;/&gt;&lt;wsp:rsid wsp:val=&quot;00D57B52&quot;/&gt;&lt;wsp:rsid wsp:val=&quot;00D60B33&quot;/&gt;&lt;wsp:rsid wsp:val=&quot;00D60B71&quot;/&gt;&lt;wsp:rsid wsp:val=&quot;00D60B7E&quot;/&gt;&lt;wsp:rsid wsp:val=&quot;00D611AF&quot;/&gt;&lt;wsp:rsid wsp:val=&quot;00D6135B&quot;/&gt;&lt;wsp:rsid wsp:val=&quot;00D617A8&quot;/&gt;&lt;wsp:rsid wsp:val=&quot;00D61E44&quot;/&gt;&lt;wsp:rsid wsp:val=&quot;00D62A06&quot;/&gt;&lt;wsp:rsid wsp:val=&quot;00D62C1A&quot;/&gt;&lt;wsp:rsid wsp:val=&quot;00D62F5E&quot;/&gt;&lt;wsp:rsid wsp:val=&quot;00D6377F&quot;/&gt;&lt;wsp:rsid wsp:val=&quot;00D64AED&quot;/&gt;&lt;wsp:rsid wsp:val=&quot;00D64CA7&quot;/&gt;&lt;wsp:rsid wsp:val=&quot;00D64DB1&quot;/&gt;&lt;wsp:rsid wsp:val=&quot;00D64E8D&quot;/&gt;&lt;wsp:rsid wsp:val=&quot;00D6501D&quot;/&gt;&lt;wsp:rsid wsp:val=&quot;00D65ADA&quot;/&gt;&lt;wsp:rsid wsp:val=&quot;00D66990&quot;/&gt;&lt;wsp:rsid wsp:val=&quot;00D66AA9&quot;/&gt;&lt;wsp:rsid wsp:val=&quot;00D66DC7&quot;/&gt;&lt;wsp:rsid wsp:val=&quot;00D67EB1&quot;/&gt;&lt;wsp:rsid wsp:val=&quot;00D67F1D&quot;/&gt;&lt;wsp:rsid wsp:val=&quot;00D70231&quot;/&gt;&lt;wsp:rsid wsp:val=&quot;00D70B1B&quot;/&gt;&lt;wsp:rsid wsp:val=&quot;00D70B59&quot;/&gt;&lt;wsp:rsid wsp:val=&quot;00D71152&quot;/&gt;&lt;wsp:rsid wsp:val=&quot;00D71913&quot;/&gt;&lt;wsp:rsid wsp:val=&quot;00D7193C&quot;/&gt;&lt;wsp:rsid wsp:val=&quot;00D71B3E&quot;/&gt;&lt;wsp:rsid wsp:val=&quot;00D7265F&quot;/&gt;&lt;wsp:rsid wsp:val=&quot;00D729F6&quot;/&gt;&lt;wsp:rsid wsp:val=&quot;00D729FA&quot;/&gt;&lt;wsp:rsid wsp:val=&quot;00D72BDA&quot;/&gt;&lt;wsp:rsid wsp:val=&quot;00D73677&quot;/&gt;&lt;wsp:rsid wsp:val=&quot;00D7389C&quot;/&gt;&lt;wsp:rsid wsp:val=&quot;00D74D59&quot;/&gt;&lt;wsp:rsid wsp:val=&quot;00D74DBC&quot;/&gt;&lt;wsp:rsid wsp:val=&quot;00D74DDD&quot;/&gt;&lt;wsp:rsid wsp:val=&quot;00D74E1A&quot;/&gt;&lt;wsp:rsid wsp:val=&quot;00D74E94&quot;/&gt;&lt;wsp:rsid wsp:val=&quot;00D75835&quot;/&gt;&lt;wsp:rsid wsp:val=&quot;00D75D47&quot;/&gt;&lt;wsp:rsid wsp:val=&quot;00D76048&quot;/&gt;&lt;wsp:rsid wsp:val=&quot;00D760E7&quot;/&gt;&lt;wsp:rsid wsp:val=&quot;00D762E8&quot;/&gt;&lt;wsp:rsid wsp:val=&quot;00D762EF&quot;/&gt;&lt;wsp:rsid wsp:val=&quot;00D76517&quot;/&gt;&lt;wsp:rsid wsp:val=&quot;00D76689&quot;/&gt;&lt;wsp:rsid wsp:val=&quot;00D766D2&quot;/&gt;&lt;wsp:rsid wsp:val=&quot;00D76919&quot;/&gt;&lt;wsp:rsid wsp:val=&quot;00D77E41&quot;/&gt;&lt;wsp:rsid wsp:val=&quot;00D77EE5&quot;/&gt;&lt;wsp:rsid wsp:val=&quot;00D8039A&quot;/&gt;&lt;wsp:rsid wsp:val=&quot;00D80913&quot;/&gt;&lt;wsp:rsid wsp:val=&quot;00D8099C&quot;/&gt;&lt;wsp:rsid wsp:val=&quot;00D81B99&quot;/&gt;&lt;wsp:rsid wsp:val=&quot;00D81FEC&quot;/&gt;&lt;wsp:rsid wsp:val=&quot;00D823EE&quot;/&gt;&lt;wsp:rsid wsp:val=&quot;00D82815&quot;/&gt;&lt;wsp:rsid wsp:val=&quot;00D82C31&quot;/&gt;&lt;wsp:rsid wsp:val=&quot;00D832A4&quot;/&gt;&lt;wsp:rsid wsp:val=&quot;00D8349C&quot;/&gt;&lt;wsp:rsid wsp:val=&quot;00D838AF&quot;/&gt;&lt;wsp:rsid wsp:val=&quot;00D84113&quot;/&gt;&lt;wsp:rsid wsp:val=&quot;00D84285&quot;/&gt;&lt;wsp:rsid wsp:val=&quot;00D84349&quot;/&gt;&lt;wsp:rsid wsp:val=&quot;00D84901&quot;/&gt;&lt;wsp:rsid wsp:val=&quot;00D8560C&quot;/&gt;&lt;wsp:rsid wsp:val=&quot;00D861CD&quot;/&gt;&lt;wsp:rsid wsp:val=&quot;00D8659C&quot;/&gt;&lt;wsp:rsid wsp:val=&quot;00D870F2&quot;/&gt;&lt;wsp:rsid wsp:val=&quot;00D87463&quot;/&gt;&lt;wsp:rsid wsp:val=&quot;00D87753&quot;/&gt;&lt;wsp:rsid wsp:val=&quot;00D87A65&quot;/&gt;&lt;wsp:rsid wsp:val=&quot;00D87E2C&quot;/&gt;&lt;wsp:rsid wsp:val=&quot;00D90202&quot;/&gt;&lt;wsp:rsid wsp:val=&quot;00D902F2&quot;/&gt;&lt;wsp:rsid wsp:val=&quot;00D90B88&quot;/&gt;&lt;wsp:rsid wsp:val=&quot;00D91448&quot;/&gt;&lt;wsp:rsid wsp:val=&quot;00D92263&quot;/&gt;&lt;wsp:rsid wsp:val=&quot;00D92855&quot;/&gt;&lt;wsp:rsid wsp:val=&quot;00D92C6B&quot;/&gt;&lt;wsp:rsid wsp:val=&quot;00D93D26&quot;/&gt;&lt;wsp:rsid wsp:val=&quot;00D94199&quot;/&gt;&lt;wsp:rsid wsp:val=&quot;00D956DD&quot;/&gt;&lt;wsp:rsid wsp:val=&quot;00D96206&quot;/&gt;&lt;wsp:rsid wsp:val=&quot;00D964F2&quot;/&gt;&lt;wsp:rsid wsp:val=&quot;00D96C27&quot;/&gt;&lt;wsp:rsid wsp:val=&quot;00D96EEC&quot;/&gt;&lt;wsp:rsid wsp:val=&quot;00D97034&quot;/&gt;&lt;wsp:rsid wsp:val=&quot;00D97574&quot;/&gt;&lt;wsp:rsid wsp:val=&quot;00D97F4E&quot;/&gt;&lt;wsp:rsid wsp:val=&quot;00DA0AFC&quot;/&gt;&lt;wsp:rsid wsp:val=&quot;00DA0B47&quot;/&gt;&lt;wsp:rsid wsp:val=&quot;00DA0BC9&quot;/&gt;&lt;wsp:rsid wsp:val=&quot;00DA0CD5&quot;/&gt;&lt;wsp:rsid wsp:val=&quot;00DA11A5&quot;/&gt;&lt;wsp:rsid wsp:val=&quot;00DA1871&quot;/&gt;&lt;wsp:rsid wsp:val=&quot;00DA1A41&quot;/&gt;&lt;wsp:rsid wsp:val=&quot;00DA20CD&quot;/&gt;&lt;wsp:rsid wsp:val=&quot;00DA21DD&quot;/&gt;&lt;wsp:rsid wsp:val=&quot;00DA2471&quot;/&gt;&lt;wsp:rsid wsp:val=&quot;00DA280C&quot;/&gt;&lt;wsp:rsid wsp:val=&quot;00DA2C4F&quot;/&gt;&lt;wsp:rsid wsp:val=&quot;00DA2E49&quot;/&gt;&lt;wsp:rsid wsp:val=&quot;00DA2E96&quot;/&gt;&lt;wsp:rsid wsp:val=&quot;00DA2EA7&quot;/&gt;&lt;wsp:rsid wsp:val=&quot;00DA2FE0&quot;/&gt;&lt;wsp:rsid wsp:val=&quot;00DA3027&quot;/&gt;&lt;wsp:rsid wsp:val=&quot;00DA32EB&quot;/&gt;&lt;wsp:rsid wsp:val=&quot;00DA337D&quot;/&gt;&lt;wsp:rsid wsp:val=&quot;00DA486E&quot;/&gt;&lt;wsp:rsid wsp:val=&quot;00DA512F&quot;/&gt;&lt;wsp:rsid wsp:val=&quot;00DA5201&quot;/&gt;&lt;wsp:rsid wsp:val=&quot;00DA54D4&quot;/&gt;&lt;wsp:rsid wsp:val=&quot;00DA5D21&quot;/&gt;&lt;wsp:rsid wsp:val=&quot;00DA617F&quot;/&gt;&lt;wsp:rsid wsp:val=&quot;00DA66B8&quot;/&gt;&lt;wsp:rsid wsp:val=&quot;00DA706A&quot;/&gt;&lt;wsp:rsid wsp:val=&quot;00DA72CF&quot;/&gt;&lt;wsp:rsid wsp:val=&quot;00DA734D&quot;/&gt;&lt;wsp:rsid wsp:val=&quot;00DA7727&quot;/&gt;&lt;wsp:rsid wsp:val=&quot;00DA78D0&quot;/&gt;&lt;wsp:rsid wsp:val=&quot;00DA7B02&quot;/&gt;&lt;wsp:rsid wsp:val=&quot;00DA7D0F&quot;/&gt;&lt;wsp:rsid wsp:val=&quot;00DB0281&quot;/&gt;&lt;wsp:rsid wsp:val=&quot;00DB03D0&quot;/&gt;&lt;wsp:rsid wsp:val=&quot;00DB0A6E&quot;/&gt;&lt;wsp:rsid wsp:val=&quot;00DB0D6F&quot;/&gt;&lt;wsp:rsid wsp:val=&quot;00DB1E42&quot;/&gt;&lt;wsp:rsid wsp:val=&quot;00DB1FB2&quot;/&gt;&lt;wsp:rsid wsp:val=&quot;00DB2616&quot;/&gt;&lt;wsp:rsid wsp:val=&quot;00DB2AD8&quot;/&gt;&lt;wsp:rsid wsp:val=&quot;00DB303C&quot;/&gt;&lt;wsp:rsid wsp:val=&quot;00DB31D4&quot;/&gt;&lt;wsp:rsid wsp:val=&quot;00DB34E0&quot;/&gt;&lt;wsp:rsid wsp:val=&quot;00DB4138&quot;/&gt;&lt;wsp:rsid wsp:val=&quot;00DB4491&quot;/&gt;&lt;wsp:rsid wsp:val=&quot;00DB4872&quot;/&gt;&lt;wsp:rsid wsp:val=&quot;00DB49C5&quot;/&gt;&lt;wsp:rsid wsp:val=&quot;00DB5001&quot;/&gt;&lt;wsp:rsid wsp:val=&quot;00DB589E&quot;/&gt;&lt;wsp:rsid wsp:val=&quot;00DB62A5&quot;/&gt;&lt;wsp:rsid wsp:val=&quot;00DB62A6&quot;/&gt;&lt;wsp:rsid wsp:val=&quot;00DB6606&quot;/&gt;&lt;wsp:rsid wsp:val=&quot;00DB6D36&quot;/&gt;&lt;wsp:rsid wsp:val=&quot;00DB7756&quot;/&gt;&lt;wsp:rsid wsp:val=&quot;00DB7784&quot;/&gt;&lt;wsp:rsid wsp:val=&quot;00DB7905&quot;/&gt;&lt;wsp:rsid wsp:val=&quot;00DB7A2A&quot;/&gt;&lt;wsp:rsid wsp:val=&quot;00DB7B75&quot;/&gt;&lt;wsp:rsid wsp:val=&quot;00DC0325&quot;/&gt;&lt;wsp:rsid wsp:val=&quot;00DC0A1C&quot;/&gt;&lt;wsp:rsid wsp:val=&quot;00DC169C&quot;/&gt;&lt;wsp:rsid wsp:val=&quot;00DC1922&quot;/&gt;&lt;wsp:rsid wsp:val=&quot;00DC2AED&quot;/&gt;&lt;wsp:rsid wsp:val=&quot;00DC3209&quot;/&gt;&lt;wsp:rsid wsp:val=&quot;00DC3548&quot;/&gt;&lt;wsp:rsid wsp:val=&quot;00DC3654&quot;/&gt;&lt;wsp:rsid wsp:val=&quot;00DC3CEF&quot;/&gt;&lt;wsp:rsid wsp:val=&quot;00DC40B0&quot;/&gt;&lt;wsp:rsid wsp:val=&quot;00DC4A31&quot;/&gt;&lt;wsp:rsid wsp:val=&quot;00DC4DEE&quot;/&gt;&lt;wsp:rsid wsp:val=&quot;00DC4F31&quot;/&gt;&lt;wsp:rsid wsp:val=&quot;00DC528E&quot;/&gt;&lt;wsp:rsid wsp:val=&quot;00DC54AC&quot;/&gt;&lt;wsp:rsid wsp:val=&quot;00DC5621&quot;/&gt;&lt;wsp:rsid wsp:val=&quot;00DC5AF4&quot;/&gt;&lt;wsp:rsid wsp:val=&quot;00DC6079&quot;/&gt;&lt;wsp:rsid wsp:val=&quot;00DC6567&quot;/&gt;&lt;wsp:rsid wsp:val=&quot;00DC692B&quot;/&gt;&lt;wsp:rsid wsp:val=&quot;00DC6977&quot;/&gt;&lt;wsp:rsid wsp:val=&quot;00DC6CD6&quot;/&gt;&lt;wsp:rsid wsp:val=&quot;00DC6DAF&quot;/&gt;&lt;wsp:rsid wsp:val=&quot;00DC6FFC&quot;/&gt;&lt;wsp:rsid wsp:val=&quot;00DC715F&quot;/&gt;&lt;wsp:rsid wsp:val=&quot;00DC7C84&quot;/&gt;&lt;wsp:rsid wsp:val=&quot;00DD00E1&quot;/&gt;&lt;wsp:rsid wsp:val=&quot;00DD0308&quot;/&gt;&lt;wsp:rsid wsp:val=&quot;00DD05E0&quot;/&gt;&lt;wsp:rsid wsp:val=&quot;00DD0BB7&quot;/&gt;&lt;wsp:rsid wsp:val=&quot;00DD0E63&quot;/&gt;&lt;wsp:rsid wsp:val=&quot;00DD1075&quot;/&gt;&lt;wsp:rsid wsp:val=&quot;00DD1586&quot;/&gt;&lt;wsp:rsid wsp:val=&quot;00DD1F25&quot;/&gt;&lt;wsp:rsid wsp:val=&quot;00DD258A&quot;/&gt;&lt;wsp:rsid wsp:val=&quot;00DD25DF&quot;/&gt;&lt;wsp:rsid wsp:val=&quot;00DD2ADC&quot;/&gt;&lt;wsp:rsid wsp:val=&quot;00DD2C56&quot;/&gt;&lt;wsp:rsid wsp:val=&quot;00DD2F38&quot;/&gt;&lt;wsp:rsid wsp:val=&quot;00DD39C8&quot;/&gt;&lt;wsp:rsid wsp:val=&quot;00DD4759&quot;/&gt;&lt;wsp:rsid wsp:val=&quot;00DD4A3C&quot;/&gt;&lt;wsp:rsid wsp:val=&quot;00DD4F3D&quot;/&gt;&lt;wsp:rsid wsp:val=&quot;00DD521B&quot;/&gt;&lt;wsp:rsid wsp:val=&quot;00DD5432&quot;/&gt;&lt;wsp:rsid wsp:val=&quot;00DD5BBC&quot;/&gt;&lt;wsp:rsid wsp:val=&quot;00DD60D4&quot;/&gt;&lt;wsp:rsid wsp:val=&quot;00DD736C&quot;/&gt;&lt;wsp:rsid wsp:val=&quot;00DD76FC&quot;/&gt;&lt;wsp:rsid wsp:val=&quot;00DD7B4A&quot;/&gt;&lt;wsp:rsid wsp:val=&quot;00DE0182&quot;/&gt;&lt;wsp:rsid wsp:val=&quot;00DE1999&quot;/&gt;&lt;wsp:rsid wsp:val=&quot;00DE1C00&quot;/&gt;&lt;wsp:rsid wsp:val=&quot;00DE2353&quot;/&gt;&lt;wsp:rsid wsp:val=&quot;00DE2665&quot;/&gt;&lt;wsp:rsid wsp:val=&quot;00DE278C&quot;/&gt;&lt;wsp:rsid wsp:val=&quot;00DE2CEC&quot;/&gt;&lt;wsp:rsid wsp:val=&quot;00DE2D9A&quot;/&gt;&lt;wsp:rsid wsp:val=&quot;00DE32DF&quot;/&gt;&lt;wsp:rsid wsp:val=&quot;00DE3400&quot;/&gt;&lt;wsp:rsid wsp:val=&quot;00DE3546&quot;/&gt;&lt;wsp:rsid wsp:val=&quot;00DE3CE4&quot;/&gt;&lt;wsp:rsid wsp:val=&quot;00DE3F26&quot;/&gt;&lt;wsp:rsid wsp:val=&quot;00DE429F&quot;/&gt;&lt;wsp:rsid wsp:val=&quot;00DE4733&quot;/&gt;&lt;wsp:rsid wsp:val=&quot;00DE5249&quot;/&gt;&lt;wsp:rsid wsp:val=&quot;00DE5A9C&quot;/&gt;&lt;wsp:rsid wsp:val=&quot;00DE5F92&quot;/&gt;&lt;wsp:rsid wsp:val=&quot;00DE620B&quot;/&gt;&lt;wsp:rsid wsp:val=&quot;00DE6CF2&quot;/&gt;&lt;wsp:rsid wsp:val=&quot;00DE7276&quot;/&gt;&lt;wsp:rsid wsp:val=&quot;00DF0C04&quot;/&gt;&lt;wsp:rsid wsp:val=&quot;00DF0F6D&quot;/&gt;&lt;wsp:rsid wsp:val=&quot;00DF13FD&quot;/&gt;&lt;wsp:rsid wsp:val=&quot;00DF1D30&quot;/&gt;&lt;wsp:rsid wsp:val=&quot;00DF1D9F&quot;/&gt;&lt;wsp:rsid wsp:val=&quot;00DF20DE&quot;/&gt;&lt;wsp:rsid wsp:val=&quot;00DF213A&quot;/&gt;&lt;wsp:rsid wsp:val=&quot;00DF2ED7&quot;/&gt;&lt;wsp:rsid wsp:val=&quot;00DF3311&quot;/&gt;&lt;wsp:rsid wsp:val=&quot;00DF337F&quot;/&gt;&lt;wsp:rsid wsp:val=&quot;00DF354A&quot;/&gt;&lt;wsp:rsid wsp:val=&quot;00DF45BC&quot;/&gt;&lt;wsp:rsid wsp:val=&quot;00DF4636&quot;/&gt;&lt;wsp:rsid wsp:val=&quot;00DF4698&quot;/&gt;&lt;wsp:rsid wsp:val=&quot;00DF478E&quot;/&gt;&lt;wsp:rsid wsp:val=&quot;00DF4BB2&quot;/&gt;&lt;wsp:rsid wsp:val=&quot;00DF4D7E&quot;/&gt;&lt;wsp:rsid wsp:val=&quot;00DF4EE2&quot;/&gt;&lt;wsp:rsid wsp:val=&quot;00DF5CB5&quot;/&gt;&lt;wsp:rsid wsp:val=&quot;00DF5FFE&quot;/&gt;&lt;wsp:rsid wsp:val=&quot;00DF6303&quot;/&gt;&lt;wsp:rsid wsp:val=&quot;00DF65F7&quot;/&gt;&lt;wsp:rsid wsp:val=&quot;00DF66AB&quot;/&gt;&lt;wsp:rsid wsp:val=&quot;00DF6820&quot;/&gt;&lt;wsp:rsid wsp:val=&quot;00DF6CDB&quot;/&gt;&lt;wsp:rsid wsp:val=&quot;00DF6D56&quot;/&gt;&lt;wsp:rsid wsp:val=&quot;00DF70D7&quot;/&gt;&lt;wsp:rsid wsp:val=&quot;00DF7A17&quot;/&gt;&lt;wsp:rsid wsp:val=&quot;00DF7AF3&quot;/&gt;&lt;wsp:rsid wsp:val=&quot;00DF7E57&quot;/&gt;&lt;wsp:rsid wsp:val=&quot;00DF7EDA&quot;/&gt;&lt;wsp:rsid wsp:val=&quot;00E00515&quot;/&gt;&lt;wsp:rsid wsp:val=&quot;00E011A8&quot;/&gt;&lt;wsp:rsid wsp:val=&quot;00E01436&quot;/&gt;&lt;wsp:rsid wsp:val=&quot;00E01975&quot;/&gt;&lt;wsp:rsid wsp:val=&quot;00E01A8C&quot;/&gt;&lt;wsp:rsid wsp:val=&quot;00E01B70&quot;/&gt;&lt;wsp:rsid wsp:val=&quot;00E01BFC&quot;/&gt;&lt;wsp:rsid wsp:val=&quot;00E01C05&quot;/&gt;&lt;wsp:rsid wsp:val=&quot;00E02292&quot;/&gt;&lt;wsp:rsid wsp:val=&quot;00E02581&quot;/&gt;&lt;wsp:rsid wsp:val=&quot;00E028D3&quot;/&gt;&lt;wsp:rsid wsp:val=&quot;00E02C39&quot;/&gt;&lt;wsp:rsid wsp:val=&quot;00E02DA9&quot;/&gt;&lt;wsp:rsid wsp:val=&quot;00E02FEA&quot;/&gt;&lt;wsp:rsid wsp:val=&quot;00E036E9&quot;/&gt;&lt;wsp:rsid wsp:val=&quot;00E03E72&quot;/&gt;&lt;wsp:rsid wsp:val=&quot;00E03FD4&quot;/&gt;&lt;wsp:rsid wsp:val=&quot;00E045BD&quot;/&gt;&lt;wsp:rsid wsp:val=&quot;00E04F65&quot;/&gt;&lt;wsp:rsid wsp:val=&quot;00E050A8&quot;/&gt;&lt;wsp:rsid wsp:val=&quot;00E057FE&quot;/&gt;&lt;wsp:rsid wsp:val=&quot;00E05A7B&quot;/&gt;&lt;wsp:rsid wsp:val=&quot;00E05C1C&quot;/&gt;&lt;wsp:rsid wsp:val=&quot;00E05C54&quot;/&gt;&lt;wsp:rsid wsp:val=&quot;00E05DBB&quot;/&gt;&lt;wsp:rsid wsp:val=&quot;00E060B7&quot;/&gt;&lt;wsp:rsid wsp:val=&quot;00E06579&quot;/&gt;&lt;wsp:rsid wsp:val=&quot;00E06777&quot;/&gt;&lt;wsp:rsid wsp:val=&quot;00E071DD&quot;/&gt;&lt;wsp:rsid wsp:val=&quot;00E07269&quot;/&gt;&lt;wsp:rsid wsp:val=&quot;00E0794A&quot;/&gt;&lt;wsp:rsid wsp:val=&quot;00E100F4&quot;/&gt;&lt;wsp:rsid wsp:val=&quot;00E10B0C&quot;/&gt;&lt;wsp:rsid wsp:val=&quot;00E10F47&quot;/&gt;&lt;wsp:rsid wsp:val=&quot;00E10F6C&quot;/&gt;&lt;wsp:rsid wsp:val=&quot;00E11274&quot;/&gt;&lt;wsp:rsid wsp:val=&quot;00E11398&quot;/&gt;&lt;wsp:rsid wsp:val=&quot;00E11AE8&quot;/&gt;&lt;wsp:rsid wsp:val=&quot;00E11EA2&quot;/&gt;&lt;wsp:rsid wsp:val=&quot;00E1218B&quot;/&gt;&lt;wsp:rsid wsp:val=&quot;00E121DA&quot;/&gt;&lt;wsp:rsid wsp:val=&quot;00E1277D&quot;/&gt;&lt;wsp:rsid wsp:val=&quot;00E13113&quot;/&gt;&lt;wsp:rsid wsp:val=&quot;00E13334&quot;/&gt;&lt;wsp:rsid wsp:val=&quot;00E13ADC&quot;/&gt;&lt;wsp:rsid wsp:val=&quot;00E13EE1&quot;/&gt;&lt;wsp:rsid wsp:val=&quot;00E140D1&quot;/&gt;&lt;wsp:rsid wsp:val=&quot;00E15621&quot;/&gt;&lt;wsp:rsid wsp:val=&quot;00E15877&quot;/&gt;&lt;wsp:rsid wsp:val=&quot;00E15C2D&quot;/&gt;&lt;wsp:rsid wsp:val=&quot;00E16461&quot;/&gt;&lt;wsp:rsid wsp:val=&quot;00E165BA&quot;/&gt;&lt;wsp:rsid wsp:val=&quot;00E165EE&quot;/&gt;&lt;wsp:rsid wsp:val=&quot;00E166BB&quot;/&gt;&lt;wsp:rsid wsp:val=&quot;00E16E0D&quot;/&gt;&lt;wsp:rsid wsp:val=&quot;00E16ED0&quot;/&gt;&lt;wsp:rsid wsp:val=&quot;00E178EE&quot;/&gt;&lt;wsp:rsid wsp:val=&quot;00E17958&quot;/&gt;&lt;wsp:rsid wsp:val=&quot;00E20191&quot;/&gt;&lt;wsp:rsid wsp:val=&quot;00E20806&quot;/&gt;&lt;wsp:rsid wsp:val=&quot;00E20956&quot;/&gt;&lt;wsp:rsid wsp:val=&quot;00E2097B&quot;/&gt;&lt;wsp:rsid wsp:val=&quot;00E20ED0&quot;/&gt;&lt;wsp:rsid wsp:val=&quot;00E2123B&quot;/&gt;&lt;wsp:rsid wsp:val=&quot;00E213AA&quot;/&gt;&lt;wsp:rsid wsp:val=&quot;00E2156A&quot;/&gt;&lt;wsp:rsid wsp:val=&quot;00E21795&quot;/&gt;&lt;wsp:rsid wsp:val=&quot;00E22191&quot;/&gt;&lt;wsp:rsid wsp:val=&quot;00E22241&quot;/&gt;&lt;wsp:rsid wsp:val=&quot;00E227F3&quot;/&gt;&lt;wsp:rsid wsp:val=&quot;00E228D3&quot;/&gt;&lt;wsp:rsid wsp:val=&quot;00E22B18&quot;/&gt;&lt;wsp:rsid wsp:val=&quot;00E22D2E&quot;/&gt;&lt;wsp:rsid wsp:val=&quot;00E22E47&quot;/&gt;&lt;wsp:rsid wsp:val=&quot;00E22F48&quot;/&gt;&lt;wsp:rsid wsp:val=&quot;00E22FB4&quot;/&gt;&lt;wsp:rsid wsp:val=&quot;00E235E7&quot;/&gt;&lt;wsp:rsid wsp:val=&quot;00E237F6&quot;/&gt;&lt;wsp:rsid wsp:val=&quot;00E24428&quot;/&gt;&lt;wsp:rsid wsp:val=&quot;00E24C65&quot;/&gt;&lt;wsp:rsid wsp:val=&quot;00E24E03&quot;/&gt;&lt;wsp:rsid wsp:val=&quot;00E24E3A&quot;/&gt;&lt;wsp:rsid wsp:val=&quot;00E250E8&quot;/&gt;&lt;wsp:rsid wsp:val=&quot;00E25218&quot;/&gt;&lt;wsp:rsid wsp:val=&quot;00E255E5&quot;/&gt;&lt;wsp:rsid wsp:val=&quot;00E256B9&quot;/&gt;&lt;wsp:rsid wsp:val=&quot;00E2585B&quot;/&gt;&lt;wsp:rsid wsp:val=&quot;00E25F1C&quot;/&gt;&lt;wsp:rsid wsp:val=&quot;00E25FD7&quot;/&gt;&lt;wsp:rsid wsp:val=&quot;00E260EA&quot;/&gt;&lt;wsp:rsid wsp:val=&quot;00E260FA&quot;/&gt;&lt;wsp:rsid wsp:val=&quot;00E26148&quot;/&gt;&lt;wsp:rsid wsp:val=&quot;00E2640D&quot;/&gt;&lt;wsp:rsid wsp:val=&quot;00E266CD&quot;/&gt;&lt;wsp:rsid wsp:val=&quot;00E26A5E&quot;/&gt;&lt;wsp:rsid wsp:val=&quot;00E26F84&quot;/&gt;&lt;wsp:rsid wsp:val=&quot;00E2721F&quot;/&gt;&lt;wsp:rsid wsp:val=&quot;00E27BB7&quot;/&gt;&lt;wsp:rsid wsp:val=&quot;00E30150&quot;/&gt;&lt;wsp:rsid wsp:val=&quot;00E304FB&quot;/&gt;&lt;wsp:rsid wsp:val=&quot;00E305DF&quot;/&gt;&lt;wsp:rsid wsp:val=&quot;00E3064C&quot;/&gt;&lt;wsp:rsid wsp:val=&quot;00E30936&quot;/&gt;&lt;wsp:rsid wsp:val=&quot;00E30AE1&quot;/&gt;&lt;wsp:rsid wsp:val=&quot;00E30DD1&quot;/&gt;&lt;wsp:rsid wsp:val=&quot;00E312D3&quot;/&gt;&lt;wsp:rsid wsp:val=&quot;00E31B59&quot;/&gt;&lt;wsp:rsid wsp:val=&quot;00E32A0A&quot;/&gt;&lt;wsp:rsid wsp:val=&quot;00E32A4E&quot;/&gt;&lt;wsp:rsid wsp:val=&quot;00E33904&quot;/&gt;&lt;wsp:rsid wsp:val=&quot;00E33DBB&quot;/&gt;&lt;wsp:rsid wsp:val=&quot;00E33EAE&quot;/&gt;&lt;wsp:rsid wsp:val=&quot;00E33EDA&quot;/&gt;&lt;wsp:rsid wsp:val=&quot;00E35513&quot;/&gt;&lt;wsp:rsid wsp:val=&quot;00E35FF9&quot;/&gt;&lt;wsp:rsid wsp:val=&quot;00E36334&quot;/&gt;&lt;wsp:rsid wsp:val=&quot;00E36C08&quot;/&gt;&lt;wsp:rsid wsp:val=&quot;00E370CD&quot;/&gt;&lt;wsp:rsid wsp:val=&quot;00E37150&quot;/&gt;&lt;wsp:rsid wsp:val=&quot;00E37BAB&quot;/&gt;&lt;wsp:rsid wsp:val=&quot;00E40E27&quot;/&gt;&lt;wsp:rsid wsp:val=&quot;00E40E7C&quot;/&gt;&lt;wsp:rsid wsp:val=&quot;00E4128D&quot;/&gt;&lt;wsp:rsid wsp:val=&quot;00E4136D&quot;/&gt;&lt;wsp:rsid wsp:val=&quot;00E413B5&quot;/&gt;&lt;wsp:rsid wsp:val=&quot;00E4142B&quot;/&gt;&lt;wsp:rsid wsp:val=&quot;00E4153E&quot;/&gt;&lt;wsp:rsid wsp:val=&quot;00E4376C&quot;/&gt;&lt;wsp:rsid wsp:val=&quot;00E44071&quot;/&gt;&lt;wsp:rsid wsp:val=&quot;00E44CBE&quot;/&gt;&lt;wsp:rsid wsp:val=&quot;00E44E97&quot;/&gt;&lt;wsp:rsid wsp:val=&quot;00E453A7&quot;/&gt;&lt;wsp:rsid wsp:val=&quot;00E453B1&quot;/&gt;&lt;wsp:rsid wsp:val=&quot;00E457C1&quot;/&gt;&lt;wsp:rsid wsp:val=&quot;00E4595B&quot;/&gt;&lt;wsp:rsid wsp:val=&quot;00E471B3&quot;/&gt;&lt;wsp:rsid wsp:val=&quot;00E4754D&quot;/&gt;&lt;wsp:rsid wsp:val=&quot;00E4784C&quot;/&gt;&lt;wsp:rsid wsp:val=&quot;00E47A8A&quot;/&gt;&lt;wsp:rsid wsp:val=&quot;00E50A99&quot;/&gt;&lt;wsp:rsid wsp:val=&quot;00E51B44&quot;/&gt;&lt;wsp:rsid wsp:val=&quot;00E51C8A&quot;/&gt;&lt;wsp:rsid wsp:val=&quot;00E51E98&quot;/&gt;&lt;wsp:rsid wsp:val=&quot;00E51F84&quot;/&gt;&lt;wsp:rsid wsp:val=&quot;00E530EF&quot;/&gt;&lt;wsp:rsid wsp:val=&quot;00E53AB6&quot;/&gt;&lt;wsp:rsid wsp:val=&quot;00E5464C&quot;/&gt;&lt;wsp:rsid wsp:val=&quot;00E54B97&quot;/&gt;&lt;wsp:rsid wsp:val=&quot;00E54C65&quot;/&gt;&lt;wsp:rsid wsp:val=&quot;00E550DF&quot;/&gt;&lt;wsp:rsid wsp:val=&quot;00E55200&quot;/&gt;&lt;wsp:rsid wsp:val=&quot;00E552F6&quot;/&gt;&lt;wsp:rsid wsp:val=&quot;00E5535D&quot;/&gt;&lt;wsp:rsid wsp:val=&quot;00E5539D&quot;/&gt;&lt;wsp:rsid wsp:val=&quot;00E556B0&quot;/&gt;&lt;wsp:rsid wsp:val=&quot;00E557B2&quot;/&gt;&lt;wsp:rsid wsp:val=&quot;00E55AF2&quot;/&gt;&lt;wsp:rsid wsp:val=&quot;00E55CAA&quot;/&gt;&lt;wsp:rsid wsp:val=&quot;00E55EA3&quot;/&gt;&lt;wsp:rsid wsp:val=&quot;00E56614&quot;/&gt;&lt;wsp:rsid wsp:val=&quot;00E57202&quot;/&gt;&lt;wsp:rsid wsp:val=&quot;00E5751F&quot;/&gt;&lt;wsp:rsid wsp:val=&quot;00E5753A&quot;/&gt;&lt;wsp:rsid wsp:val=&quot;00E602DD&quot;/&gt;&lt;wsp:rsid wsp:val=&quot;00E609F9&quot;/&gt;&lt;wsp:rsid wsp:val=&quot;00E61222&quot;/&gt;&lt;wsp:rsid wsp:val=&quot;00E61788&quot;/&gt;&lt;wsp:rsid wsp:val=&quot;00E6181C&quot;/&gt;&lt;wsp:rsid wsp:val=&quot;00E61C7F&quot;/&gt;&lt;wsp:rsid wsp:val=&quot;00E629A8&quot;/&gt;&lt;wsp:rsid wsp:val=&quot;00E62F4C&quot;/&gt;&lt;wsp:rsid wsp:val=&quot;00E6361F&quot;/&gt;&lt;wsp:rsid wsp:val=&quot;00E63889&quot;/&gt;&lt;wsp:rsid wsp:val=&quot;00E65295&quot;/&gt;&lt;wsp:rsid wsp:val=&quot;00E654CD&quot;/&gt;&lt;wsp:rsid wsp:val=&quot;00E65642&quot;/&gt;&lt;wsp:rsid wsp:val=&quot;00E65A60&quot;/&gt;&lt;wsp:rsid wsp:val=&quot;00E65BFC&quot;/&gt;&lt;wsp:rsid wsp:val=&quot;00E65DE0&quot;/&gt;&lt;wsp:rsid wsp:val=&quot;00E661F4&quot;/&gt;&lt;wsp:rsid wsp:val=&quot;00E67921&quot;/&gt;&lt;wsp:rsid wsp:val=&quot;00E67A81&quot;/&gt;&lt;wsp:rsid wsp:val=&quot;00E67E88&quot;/&gt;&lt;wsp:rsid wsp:val=&quot;00E705F2&quot;/&gt;&lt;wsp:rsid wsp:val=&quot;00E71329&quot;/&gt;&lt;wsp:rsid wsp:val=&quot;00E71370&quot;/&gt;&lt;wsp:rsid wsp:val=&quot;00E71989&quot;/&gt;&lt;wsp:rsid wsp:val=&quot;00E71E64&quot;/&gt;&lt;wsp:rsid wsp:val=&quot;00E7293E&quot;/&gt;&lt;wsp:rsid wsp:val=&quot;00E72B30&quot;/&gt;&lt;wsp:rsid wsp:val=&quot;00E730E8&quot;/&gt;&lt;wsp:rsid wsp:val=&quot;00E7331A&quot;/&gt;&lt;wsp:rsid wsp:val=&quot;00E73BC3&quot;/&gt;&lt;wsp:rsid wsp:val=&quot;00E74541&quot;/&gt;&lt;wsp:rsid wsp:val=&quot;00E74E9C&quot;/&gt;&lt;wsp:rsid wsp:val=&quot;00E76534&quot;/&gt;&lt;wsp:rsid wsp:val=&quot;00E76A71&quot;/&gt;&lt;wsp:rsid wsp:val=&quot;00E76F07&quot;/&gt;&lt;wsp:rsid wsp:val=&quot;00E77367&quot;/&gt;&lt;wsp:rsid wsp:val=&quot;00E7736B&quot;/&gt;&lt;wsp:rsid wsp:val=&quot;00E77491&quot;/&gt;&lt;wsp:rsid wsp:val=&quot;00E7783E&quot;/&gt;&lt;wsp:rsid wsp:val=&quot;00E80742&quot;/&gt;&lt;wsp:rsid wsp:val=&quot;00E8076A&quot;/&gt;&lt;wsp:rsid wsp:val=&quot;00E80E38&quot;/&gt;&lt;wsp:rsid wsp:val=&quot;00E81065&quot;/&gt;&lt;wsp:rsid wsp:val=&quot;00E81080&quot;/&gt;&lt;wsp:rsid wsp:val=&quot;00E8151B&quot;/&gt;&lt;wsp:rsid wsp:val=&quot;00E81D41&quot;/&gt;&lt;wsp:rsid wsp:val=&quot;00E81DE7&quot;/&gt;&lt;wsp:rsid wsp:val=&quot;00E8306E&quot;/&gt;&lt;wsp:rsid wsp:val=&quot;00E83392&quot;/&gt;&lt;wsp:rsid wsp:val=&quot;00E8358C&quot;/&gt;&lt;wsp:rsid wsp:val=&quot;00E83AB2&quot;/&gt;&lt;wsp:rsid wsp:val=&quot;00E83AD9&quot;/&gt;&lt;wsp:rsid wsp:val=&quot;00E842F3&quot;/&gt;&lt;wsp:rsid wsp:val=&quot;00E84594&quot;/&gt;&lt;wsp:rsid wsp:val=&quot;00E84708&quot;/&gt;&lt;wsp:rsid wsp:val=&quot;00E84D3F&quot;/&gt;&lt;wsp:rsid wsp:val=&quot;00E851E6&quot;/&gt;&lt;wsp:rsid wsp:val=&quot;00E8579F&quot;/&gt;&lt;wsp:rsid wsp:val=&quot;00E85A3C&quot;/&gt;&lt;wsp:rsid wsp:val=&quot;00E85DF9&quot;/&gt;&lt;wsp:rsid wsp:val=&quot;00E86904&quot;/&gt;&lt;wsp:rsid wsp:val=&quot;00E86CCA&quot;/&gt;&lt;wsp:rsid wsp:val=&quot;00E879D3&quot;/&gt;&lt;wsp:rsid wsp:val=&quot;00E87FB4&quot;/&gt;&lt;wsp:rsid wsp:val=&quot;00E901D0&quot;/&gt;&lt;wsp:rsid wsp:val=&quot;00E90708&quot;/&gt;&lt;wsp:rsid wsp:val=&quot;00E9070C&quot;/&gt;&lt;wsp:rsid wsp:val=&quot;00E9085E&quot;/&gt;&lt;wsp:rsid wsp:val=&quot;00E90D6E&quot;/&gt;&lt;wsp:rsid wsp:val=&quot;00E912EE&quot;/&gt;&lt;wsp:rsid wsp:val=&quot;00E914CD&quot;/&gt;&lt;wsp:rsid wsp:val=&quot;00E915CC&quot;/&gt;&lt;wsp:rsid wsp:val=&quot;00E91F68&quot;/&gt;&lt;wsp:rsid wsp:val=&quot;00E91F7C&quot;/&gt;&lt;wsp:rsid wsp:val=&quot;00E92949&quot;/&gt;&lt;wsp:rsid wsp:val=&quot;00E92BAF&quot;/&gt;&lt;wsp:rsid wsp:val=&quot;00E93270&quot;/&gt;&lt;wsp:rsid wsp:val=&quot;00E94296&quot;/&gt;&lt;wsp:rsid wsp:val=&quot;00E94607&quot;/&gt;&lt;wsp:rsid wsp:val=&quot;00E9471D&quot;/&gt;&lt;wsp:rsid wsp:val=&quot;00E94937&quot;/&gt;&lt;wsp:rsid wsp:val=&quot;00E94C77&quot;/&gt;&lt;wsp:rsid wsp:val=&quot;00E94DC9&quot;/&gt;&lt;wsp:rsid wsp:val=&quot;00E94F57&quot;/&gt;&lt;wsp:rsid wsp:val=&quot;00E94FDF&quot;/&gt;&lt;wsp:rsid wsp:val=&quot;00E9500A&quot;/&gt;&lt;wsp:rsid wsp:val=&quot;00E95855&quot;/&gt;&lt;wsp:rsid wsp:val=&quot;00E95A0B&quot;/&gt;&lt;wsp:rsid wsp:val=&quot;00E960CE&quot;/&gt;&lt;wsp:rsid wsp:val=&quot;00E960FF&quot;/&gt;&lt;wsp:rsid wsp:val=&quot;00E961CF&quot;/&gt;&lt;wsp:rsid wsp:val=&quot;00E96CED&quot;/&gt;&lt;wsp:rsid wsp:val=&quot;00E976F6&quot;/&gt;&lt;wsp:rsid wsp:val=&quot;00E9774A&quot;/&gt;&lt;wsp:rsid wsp:val=&quot;00E97C94&quot;/&gt;&lt;wsp:rsid wsp:val=&quot;00E97E5A&quot;/&gt;&lt;wsp:rsid wsp:val=&quot;00EA026C&quot;/&gt;&lt;wsp:rsid wsp:val=&quot;00EA1D2F&quot;/&gt;&lt;wsp:rsid wsp:val=&quot;00EA1F19&quot;/&gt;&lt;wsp:rsid wsp:val=&quot;00EA2C5B&quot;/&gt;&lt;wsp:rsid wsp:val=&quot;00EA32D8&quot;/&gt;&lt;wsp:rsid wsp:val=&quot;00EA33C2&quot;/&gt;&lt;wsp:rsid wsp:val=&quot;00EA351D&quot;/&gt;&lt;wsp:rsid wsp:val=&quot;00EA3EBC&quot;/&gt;&lt;wsp:rsid wsp:val=&quot;00EA4258&quot;/&gt;&lt;wsp:rsid wsp:val=&quot;00EA5058&quot;/&gt;&lt;wsp:rsid wsp:val=&quot;00EA5338&quot;/&gt;&lt;wsp:rsid wsp:val=&quot;00EA5509&quot;/&gt;&lt;wsp:rsid wsp:val=&quot;00EA567F&quot;/&gt;&lt;wsp:rsid wsp:val=&quot;00EA67CA&quot;/&gt;&lt;wsp:rsid wsp:val=&quot;00EB01A5&quot;/&gt;&lt;wsp:rsid wsp:val=&quot;00EB01EE&quot;/&gt;&lt;wsp:rsid wsp:val=&quot;00EB0AA1&quot;/&gt;&lt;wsp:rsid wsp:val=&quot;00EB0B79&quot;/&gt;&lt;wsp:rsid wsp:val=&quot;00EB16FA&quot;/&gt;&lt;wsp:rsid wsp:val=&quot;00EB1B40&quot;/&gt;&lt;wsp:rsid wsp:val=&quot;00EB1E5B&quot;/&gt;&lt;wsp:rsid wsp:val=&quot;00EB2223&quot;/&gt;&lt;wsp:rsid wsp:val=&quot;00EB22EF&quot;/&gt;&lt;wsp:rsid wsp:val=&quot;00EB234D&quot;/&gt;&lt;wsp:rsid wsp:val=&quot;00EB2676&quot;/&gt;&lt;wsp:rsid wsp:val=&quot;00EB2C53&quot;/&gt;&lt;wsp:rsid wsp:val=&quot;00EB2F62&quot;/&gt;&lt;wsp:rsid wsp:val=&quot;00EB3835&quot;/&gt;&lt;wsp:rsid wsp:val=&quot;00EB4476&quot;/&gt;&lt;wsp:rsid wsp:val=&quot;00EB4C66&quot;/&gt;&lt;wsp:rsid wsp:val=&quot;00EB52C2&quot;/&gt;&lt;wsp:rsid wsp:val=&quot;00EB54AC&quot;/&gt;&lt;wsp:rsid wsp:val=&quot;00EB5A3F&quot;/&gt;&lt;wsp:rsid wsp:val=&quot;00EB637D&quot;/&gt;&lt;wsp:rsid wsp:val=&quot;00EB6AEA&quot;/&gt;&lt;wsp:rsid wsp:val=&quot;00EB6B22&quot;/&gt;&lt;wsp:rsid wsp:val=&quot;00EB7452&quot;/&gt;&lt;wsp:rsid wsp:val=&quot;00EB74F7&quot;/&gt;&lt;wsp:rsid wsp:val=&quot;00EB7501&quot;/&gt;&lt;wsp:rsid wsp:val=&quot;00EB7B7A&quot;/&gt;&lt;wsp:rsid wsp:val=&quot;00EC015C&quot;/&gt;&lt;wsp:rsid wsp:val=&quot;00EC0796&quot;/&gt;&lt;wsp:rsid wsp:val=&quot;00EC0D2B&quot;/&gt;&lt;wsp:rsid wsp:val=&quot;00EC0FB3&quot;/&gt;&lt;wsp:rsid wsp:val=&quot;00EC102D&quot;/&gt;&lt;wsp:rsid wsp:val=&quot;00EC1C5B&quot;/&gt;&lt;wsp:rsid wsp:val=&quot;00EC1E78&quot;/&gt;&lt;wsp:rsid wsp:val=&quot;00EC2279&quot;/&gt;&lt;wsp:rsid wsp:val=&quot;00EC27C5&quot;/&gt;&lt;wsp:rsid wsp:val=&quot;00EC3C9E&quot;/&gt;&lt;wsp:rsid wsp:val=&quot;00EC3E18&quot;/&gt;&lt;wsp:rsid wsp:val=&quot;00EC3E1E&quot;/&gt;&lt;wsp:rsid wsp:val=&quot;00EC3E2C&quot;/&gt;&lt;wsp:rsid wsp:val=&quot;00EC43D3&quot;/&gt;&lt;wsp:rsid wsp:val=&quot;00EC4891&quot;/&gt;&lt;wsp:rsid wsp:val=&quot;00EC4B44&quot;/&gt;&lt;wsp:rsid wsp:val=&quot;00EC4D1F&quot;/&gt;&lt;wsp:rsid wsp:val=&quot;00EC6673&quot;/&gt;&lt;wsp:rsid wsp:val=&quot;00EC74D4&quot;/&gt;&lt;wsp:rsid wsp:val=&quot;00EC7AE9&quot;/&gt;&lt;wsp:rsid wsp:val=&quot;00EC7E81&quot;/&gt;&lt;wsp:rsid wsp:val=&quot;00ED0702&quot;/&gt;&lt;wsp:rsid wsp:val=&quot;00ED0904&quot;/&gt;&lt;wsp:rsid wsp:val=&quot;00ED0E0F&quot;/&gt;&lt;wsp:rsid wsp:val=&quot;00ED129E&quot;/&gt;&lt;wsp:rsid wsp:val=&quot;00ED13EF&quot;/&gt;&lt;wsp:rsid wsp:val=&quot;00ED1B04&quot;/&gt;&lt;wsp:rsid wsp:val=&quot;00ED27C3&quot;/&gt;&lt;wsp:rsid wsp:val=&quot;00ED28FF&quot;/&gt;&lt;wsp:rsid wsp:val=&quot;00ED2E1B&quot;/&gt;&lt;wsp:rsid wsp:val=&quot;00ED3496&quot;/&gt;&lt;wsp:rsid wsp:val=&quot;00ED3D22&quot;/&gt;&lt;wsp:rsid wsp:val=&quot;00ED417D&quot;/&gt;&lt;wsp:rsid wsp:val=&quot;00ED4790&quot;/&gt;&lt;wsp:rsid wsp:val=&quot;00ED5087&quot;/&gt;&lt;wsp:rsid wsp:val=&quot;00ED522B&quot;/&gt;&lt;wsp:rsid wsp:val=&quot;00ED544C&quot;/&gt;&lt;wsp:rsid wsp:val=&quot;00ED59B1&quot;/&gt;&lt;wsp:rsid wsp:val=&quot;00ED63FE&quot;/&gt;&lt;wsp:rsid wsp:val=&quot;00ED66B3&quot;/&gt;&lt;wsp:rsid wsp:val=&quot;00ED68FC&quot;/&gt;&lt;wsp:rsid wsp:val=&quot;00ED6BC5&quot;/&gt;&lt;wsp:rsid wsp:val=&quot;00ED6DA3&quot;/&gt;&lt;wsp:rsid wsp:val=&quot;00ED73B9&quot;/&gt;&lt;wsp:rsid wsp:val=&quot;00ED7595&quot;/&gt;&lt;wsp:rsid wsp:val=&quot;00ED7620&quot;/&gt;&lt;wsp:rsid wsp:val=&quot;00ED77C7&quot;/&gt;&lt;wsp:rsid wsp:val=&quot;00ED784D&quot;/&gt;&lt;wsp:rsid wsp:val=&quot;00ED7E7C&quot;/&gt;&lt;wsp:rsid wsp:val=&quot;00ED7EBC&quot;/&gt;&lt;wsp:rsid wsp:val=&quot;00EE00E1&quot;/&gt;&lt;wsp:rsid wsp:val=&quot;00EE0B2F&quot;/&gt;&lt;wsp:rsid wsp:val=&quot;00EE0F8D&quot;/&gt;&lt;wsp:rsid wsp:val=&quot;00EE136C&quot;/&gt;&lt;wsp:rsid wsp:val=&quot;00EE1886&quot;/&gt;&lt;wsp:rsid wsp:val=&quot;00EE1907&quot;/&gt;&lt;wsp:rsid wsp:val=&quot;00EE1D05&quot;/&gt;&lt;wsp:rsid wsp:val=&quot;00EE20E9&quot;/&gt;&lt;wsp:rsid wsp:val=&quot;00EE2CBE&quot;/&gt;&lt;wsp:rsid wsp:val=&quot;00EE2CDA&quot;/&gt;&lt;wsp:rsid wsp:val=&quot;00EE37A6&quot;/&gt;&lt;wsp:rsid wsp:val=&quot;00EE3F5B&quot;/&gt;&lt;wsp:rsid wsp:val=&quot;00EE509E&quot;/&gt;&lt;wsp:rsid wsp:val=&quot;00EE5C92&quot;/&gt;&lt;wsp:rsid wsp:val=&quot;00EE5E3D&quot;/&gt;&lt;wsp:rsid wsp:val=&quot;00EE6309&quot;/&gt;&lt;wsp:rsid wsp:val=&quot;00EE6D1B&quot;/&gt;&lt;wsp:rsid wsp:val=&quot;00EE6DE6&quot;/&gt;&lt;wsp:rsid wsp:val=&quot;00EE72DA&quot;/&gt;&lt;wsp:rsid wsp:val=&quot;00EE76F6&quot;/&gt;&lt;wsp:rsid wsp:val=&quot;00EE78F9&quot;/&gt;&lt;wsp:rsid wsp:val=&quot;00EE7DCA&quot;/&gt;&lt;wsp:rsid wsp:val=&quot;00EE7E16&quot;/&gt;&lt;wsp:rsid wsp:val=&quot;00EF1170&quot;/&gt;&lt;wsp:rsid wsp:val=&quot;00EF1741&quot;/&gt;&lt;wsp:rsid wsp:val=&quot;00EF19FC&quot;/&gt;&lt;wsp:rsid wsp:val=&quot;00EF1ED2&quot;/&gt;&lt;wsp:rsid wsp:val=&quot;00EF322D&quot;/&gt;&lt;wsp:rsid wsp:val=&quot;00EF3A83&quot;/&gt;&lt;wsp:rsid wsp:val=&quot;00EF3AAD&quot;/&gt;&lt;wsp:rsid wsp:val=&quot;00EF3C53&quot;/&gt;&lt;wsp:rsid wsp:val=&quot;00EF456F&quot;/&gt;&lt;wsp:rsid wsp:val=&quot;00EF4608&quot;/&gt;&lt;wsp:rsid wsp:val=&quot;00EF5FBE&quot;/&gt;&lt;wsp:rsid wsp:val=&quot;00EF70F4&quot;/&gt;&lt;wsp:rsid wsp:val=&quot;00EF7615&quot;/&gt;&lt;wsp:rsid wsp:val=&quot;00EF7924&quot;/&gt;&lt;wsp:rsid wsp:val=&quot;00EF7EEB&quot;/&gt;&lt;wsp:rsid wsp:val=&quot;00F00139&quot;/&gt;&lt;wsp:rsid wsp:val=&quot;00F0025F&quot;/&gt;&lt;wsp:rsid wsp:val=&quot;00F003C5&quot;/&gt;&lt;wsp:rsid wsp:val=&quot;00F012F4&quot;/&gt;&lt;wsp:rsid wsp:val=&quot;00F0170D&quot;/&gt;&lt;wsp:rsid wsp:val=&quot;00F02A0C&quot;/&gt;&lt;wsp:rsid wsp:val=&quot;00F02BC1&quot;/&gt;&lt;wsp:rsid wsp:val=&quot;00F03119&quot;/&gt;&lt;wsp:rsid wsp:val=&quot;00F0348C&quot;/&gt;&lt;wsp:rsid wsp:val=&quot;00F03DCF&quot;/&gt;&lt;wsp:rsid wsp:val=&quot;00F03FEC&quot;/&gt;&lt;wsp:rsid wsp:val=&quot;00F047DD&quot;/&gt;&lt;wsp:rsid wsp:val=&quot;00F04A7C&quot;/&gt;&lt;wsp:rsid wsp:val=&quot;00F04D10&quot;/&gt;&lt;wsp:rsid wsp:val=&quot;00F04F1F&quot;/&gt;&lt;wsp:rsid wsp:val=&quot;00F05C4A&quot;/&gt;&lt;wsp:rsid wsp:val=&quot;00F06AE0&quot;/&gt;&lt;wsp:rsid wsp:val=&quot;00F07021&quot;/&gt;&lt;wsp:rsid wsp:val=&quot;00F07036&quot;/&gt;&lt;wsp:rsid wsp:val=&quot;00F079D2&quot;/&gt;&lt;wsp:rsid wsp:val=&quot;00F07C4F&quot;/&gt;&lt;wsp:rsid wsp:val=&quot;00F10144&quot;/&gt;&lt;wsp:rsid wsp:val=&quot;00F1017B&quot;/&gt;&lt;wsp:rsid wsp:val=&quot;00F10A43&quot;/&gt;&lt;wsp:rsid wsp:val=&quot;00F10BB0&quot;/&gt;&lt;wsp:rsid wsp:val=&quot;00F111E6&quot;/&gt;&lt;wsp:rsid wsp:val=&quot;00F11A05&quot;/&gt;&lt;wsp:rsid wsp:val=&quot;00F11F2D&quot;/&gt;&lt;wsp:rsid wsp:val=&quot;00F120A8&quot;/&gt;&lt;wsp:rsid wsp:val=&quot;00F12607&quot;/&gt;&lt;wsp:rsid wsp:val=&quot;00F1275A&quot;/&gt;&lt;wsp:rsid wsp:val=&quot;00F127C8&quot;/&gt;&lt;wsp:rsid wsp:val=&quot;00F129F3&quot;/&gt;&lt;wsp:rsid wsp:val=&quot;00F12AED&quot;/&gt;&lt;wsp:rsid wsp:val=&quot;00F13705&quot;/&gt;&lt;wsp:rsid wsp:val=&quot;00F138F2&quot;/&gt;&lt;wsp:rsid wsp:val=&quot;00F13A51&quot;/&gt;&lt;wsp:rsid wsp:val=&quot;00F144D6&quot;/&gt;&lt;wsp:rsid wsp:val=&quot;00F14DF2&quot;/&gt;&lt;wsp:rsid wsp:val=&quot;00F14E9B&quot;/&gt;&lt;wsp:rsid wsp:val=&quot;00F151F5&quot;/&gt;&lt;wsp:rsid wsp:val=&quot;00F1532F&quot;/&gt;&lt;wsp:rsid wsp:val=&quot;00F16167&quot;/&gt;&lt;wsp:rsid wsp:val=&quot;00F161C4&quot;/&gt;&lt;wsp:rsid wsp:val=&quot;00F1631A&quot;/&gt;&lt;wsp:rsid wsp:val=&quot;00F1644F&quot;/&gt;&lt;wsp:rsid wsp:val=&quot;00F168A7&quot;/&gt;&lt;wsp:rsid wsp:val=&quot;00F1694B&quot;/&gt;&lt;wsp:rsid wsp:val=&quot;00F16DB6&quot;/&gt;&lt;wsp:rsid wsp:val=&quot;00F17122&quot;/&gt;&lt;wsp:rsid wsp:val=&quot;00F17274&quot;/&gt;&lt;wsp:rsid wsp:val=&quot;00F17410&quot;/&gt;&lt;wsp:rsid wsp:val=&quot;00F179D0&quot;/&gt;&lt;wsp:rsid wsp:val=&quot;00F179E1&quot;/&gt;&lt;wsp:rsid wsp:val=&quot;00F17D12&quot;/&gt;&lt;wsp:rsid wsp:val=&quot;00F203B8&quot;/&gt;&lt;wsp:rsid wsp:val=&quot;00F209A8&quot;/&gt;&lt;wsp:rsid wsp:val=&quot;00F20AE8&quot;/&gt;&lt;wsp:rsid wsp:val=&quot;00F210F3&quot;/&gt;&lt;wsp:rsid wsp:val=&quot;00F212E0&quot;/&gt;&lt;wsp:rsid wsp:val=&quot;00F213A0&quot;/&gt;&lt;wsp:rsid wsp:val=&quot;00F21434&quot;/&gt;&lt;wsp:rsid wsp:val=&quot;00F21ACB&quot;/&gt;&lt;wsp:rsid wsp:val=&quot;00F22B0A&quot;/&gt;&lt;wsp:rsid wsp:val=&quot;00F2318E&quot;/&gt;&lt;wsp:rsid wsp:val=&quot;00F23FAD&quot;/&gt;&lt;wsp:rsid wsp:val=&quot;00F25BCA&quot;/&gt;&lt;wsp:rsid wsp:val=&quot;00F25D19&quot;/&gt;&lt;wsp:rsid wsp:val=&quot;00F25D3E&quot;/&gt;&lt;wsp:rsid wsp:val=&quot;00F26151&quot;/&gt;&lt;wsp:rsid wsp:val=&quot;00F261FF&quot;/&gt;&lt;wsp:rsid wsp:val=&quot;00F26C12&quot;/&gt;&lt;wsp:rsid wsp:val=&quot;00F26D40&quot;/&gt;&lt;wsp:rsid wsp:val=&quot;00F26DE5&quot;/&gt;&lt;wsp:rsid wsp:val=&quot;00F26E9B&quot;/&gt;&lt;wsp:rsid wsp:val=&quot;00F26FC5&quot;/&gt;&lt;wsp:rsid wsp:val=&quot;00F27428&quot;/&gt;&lt;wsp:rsid wsp:val=&quot;00F276CF&quot;/&gt;&lt;wsp:rsid wsp:val=&quot;00F27F5B&quot;/&gt;&lt;wsp:rsid wsp:val=&quot;00F30057&quot;/&gt;&lt;wsp:rsid wsp:val=&quot;00F30113&quot;/&gt;&lt;wsp:rsid wsp:val=&quot;00F303FC&quot;/&gt;&lt;wsp:rsid wsp:val=&quot;00F305D4&quot;/&gt;&lt;wsp:rsid wsp:val=&quot;00F318EA&quot;/&gt;&lt;wsp:rsid wsp:val=&quot;00F31B64&quot;/&gt;&lt;wsp:rsid wsp:val=&quot;00F321DB&quot;/&gt;&lt;wsp:rsid wsp:val=&quot;00F32B74&quot;/&gt;&lt;wsp:rsid wsp:val=&quot;00F32C1A&quot;/&gt;&lt;wsp:rsid wsp:val=&quot;00F33119&quot;/&gt;&lt;wsp:rsid wsp:val=&quot;00F3323B&quot;/&gt;&lt;wsp:rsid wsp:val=&quot;00F3365C&quot;/&gt;&lt;wsp:rsid wsp:val=&quot;00F33C62&quot;/&gt;&lt;wsp:rsid wsp:val=&quot;00F34491&quot;/&gt;&lt;wsp:rsid wsp:val=&quot;00F3458D&quot;/&gt;&lt;wsp:rsid wsp:val=&quot;00F34A79&quot;/&gt;&lt;wsp:rsid wsp:val=&quot;00F34C74&quot;/&gt;&lt;wsp:rsid wsp:val=&quot;00F35253&quot;/&gt;&lt;wsp:rsid wsp:val=&quot;00F35303&quot;/&gt;&lt;wsp:rsid wsp:val=&quot;00F35627&quot;/&gt;&lt;wsp:rsid wsp:val=&quot;00F35659&quot;/&gt;&lt;wsp:rsid wsp:val=&quot;00F35AAA&quot;/&gt;&lt;wsp:rsid wsp:val=&quot;00F35F9D&quot;/&gt;&lt;wsp:rsid wsp:val=&quot;00F3615E&quot;/&gt;&lt;wsp:rsid wsp:val=&quot;00F361C5&quot;/&gt;&lt;wsp:rsid wsp:val=&quot;00F3669D&quot;/&gt;&lt;wsp:rsid wsp:val=&quot;00F3767A&quot;/&gt;&lt;wsp:rsid wsp:val=&quot;00F3779C&quot;/&gt;&lt;wsp:rsid wsp:val=&quot;00F414C8&quot;/&gt;&lt;wsp:rsid wsp:val=&quot;00F41ACC&quot;/&gt;&lt;wsp:rsid wsp:val=&quot;00F41AFB&quot;/&gt;&lt;wsp:rsid wsp:val=&quot;00F428C8&quot;/&gt;&lt;wsp:rsid wsp:val=&quot;00F431B3&quot;/&gt;&lt;wsp:rsid wsp:val=&quot;00F433B8&quot;/&gt;&lt;wsp:rsid wsp:val=&quot;00F4391C&quot;/&gt;&lt;wsp:rsid wsp:val=&quot;00F43F55&quot;/&gt;&lt;wsp:rsid wsp:val=&quot;00F445E2&quot;/&gt;&lt;wsp:rsid wsp:val=&quot;00F4550F&quot;/&gt;&lt;wsp:rsid wsp:val=&quot;00F45E60&quot;/&gt;&lt;wsp:rsid wsp:val=&quot;00F46106&quot;/&gt;&lt;wsp:rsid wsp:val=&quot;00F4625A&quot;/&gt;&lt;wsp:rsid wsp:val=&quot;00F469C2&quot;/&gt;&lt;wsp:rsid wsp:val=&quot;00F46FBB&quot;/&gt;&lt;wsp:rsid wsp:val=&quot;00F4710B&quot;/&gt;&lt;wsp:rsid wsp:val=&quot;00F477C9&quot;/&gt;&lt;wsp:rsid wsp:val=&quot;00F47958&quot;/&gt;&lt;wsp:rsid wsp:val=&quot;00F47A7F&quot;/&gt;&lt;wsp:rsid wsp:val=&quot;00F47CE9&quot;/&gt;&lt;wsp:rsid wsp:val=&quot;00F502FD&quot;/&gt;&lt;wsp:rsid wsp:val=&quot;00F503A7&quot;/&gt;&lt;wsp:rsid wsp:val=&quot;00F50673&quot;/&gt;&lt;wsp:rsid wsp:val=&quot;00F508D8&quot;/&gt;&lt;wsp:rsid wsp:val=&quot;00F50B1C&quot;/&gt;&lt;wsp:rsid wsp:val=&quot;00F51164&quot;/&gt;&lt;wsp:rsid wsp:val=&quot;00F51A53&quot;/&gt;&lt;wsp:rsid wsp:val=&quot;00F51EB3&quot;/&gt;&lt;wsp:rsid wsp:val=&quot;00F51F90&quot;/&gt;&lt;wsp:rsid wsp:val=&quot;00F52141&quot;/&gt;&lt;wsp:rsid wsp:val=&quot;00F52185&quot;/&gt;&lt;wsp:rsid wsp:val=&quot;00F52A6D&quot;/&gt;&lt;wsp:rsid wsp:val=&quot;00F5327D&quot;/&gt;&lt;wsp:rsid wsp:val=&quot;00F53CA9&quot;/&gt;&lt;wsp:rsid wsp:val=&quot;00F53E30&quot;/&gt;&lt;wsp:rsid wsp:val=&quot;00F5481D&quot;/&gt;&lt;wsp:rsid wsp:val=&quot;00F55101&quot;/&gt;&lt;wsp:rsid wsp:val=&quot;00F553A0&quot;/&gt;&lt;wsp:rsid wsp:val=&quot;00F55AA1&quot;/&gt;&lt;wsp:rsid wsp:val=&quot;00F55BFE&quot;/&gt;&lt;wsp:rsid wsp:val=&quot;00F56762&quot;/&gt;&lt;wsp:rsid wsp:val=&quot;00F567D8&quot;/&gt;&lt;wsp:rsid wsp:val=&quot;00F56CA6&quot;/&gt;&lt;wsp:rsid wsp:val=&quot;00F571DE&quot;/&gt;&lt;wsp:rsid wsp:val=&quot;00F57629&quot;/&gt;&lt;wsp:rsid wsp:val=&quot;00F57C0E&quot;/&gt;&lt;wsp:rsid wsp:val=&quot;00F603B8&quot;/&gt;&lt;wsp:rsid wsp:val=&quot;00F6054C&quot;/&gt;&lt;wsp:rsid wsp:val=&quot;00F6089D&quot;/&gt;&lt;wsp:rsid wsp:val=&quot;00F60977&quot;/&gt;&lt;wsp:rsid wsp:val=&quot;00F6124D&quot;/&gt;&lt;wsp:rsid wsp:val=&quot;00F6168E&quot;/&gt;&lt;wsp:rsid wsp:val=&quot;00F617DE&quot;/&gt;&lt;wsp:rsid wsp:val=&quot;00F618E5&quot;/&gt;&lt;wsp:rsid wsp:val=&quot;00F61919&quot;/&gt;&lt;wsp:rsid wsp:val=&quot;00F619D8&quot;/&gt;&lt;wsp:rsid wsp:val=&quot;00F6211D&quot;/&gt;&lt;wsp:rsid wsp:val=&quot;00F62A9A&quot;/&gt;&lt;wsp:rsid wsp:val=&quot;00F62B9B&quot;/&gt;&lt;wsp:rsid wsp:val=&quot;00F62EE2&quot;/&gt;&lt;wsp:rsid wsp:val=&quot;00F630B7&quot;/&gt;&lt;wsp:rsid wsp:val=&quot;00F63489&quot;/&gt;&lt;wsp:rsid wsp:val=&quot;00F634CF&quot;/&gt;&lt;wsp:rsid wsp:val=&quot;00F642BC&quot;/&gt;&lt;wsp:rsid wsp:val=&quot;00F64DD1&quot;/&gt;&lt;wsp:rsid wsp:val=&quot;00F65225&quot;/&gt;&lt;wsp:rsid wsp:val=&quot;00F657DB&quot;/&gt;&lt;wsp:rsid wsp:val=&quot;00F6628C&quot;/&gt;&lt;wsp:rsid wsp:val=&quot;00F6655F&quot;/&gt;&lt;wsp:rsid wsp:val=&quot;00F6669B&quot;/&gt;&lt;wsp:rsid wsp:val=&quot;00F67000&quot;/&gt;&lt;wsp:rsid wsp:val=&quot;00F67B51&quot;/&gt;&lt;wsp:rsid wsp:val=&quot;00F67E92&quot;/&gt;&lt;wsp:rsid wsp:val=&quot;00F70BE3&quot;/&gt;&lt;wsp:rsid wsp:val=&quot;00F70E87&quot;/&gt;&lt;wsp:rsid wsp:val=&quot;00F70E9B&quot;/&gt;&lt;wsp:rsid wsp:val=&quot;00F71204&quot;/&gt;&lt;wsp:rsid wsp:val=&quot;00F71894&quot;/&gt;&lt;wsp:rsid wsp:val=&quot;00F71D0E&quot;/&gt;&lt;wsp:rsid wsp:val=&quot;00F72FF5&quot;/&gt;&lt;wsp:rsid wsp:val=&quot;00F7309C&quot;/&gt;&lt;wsp:rsid wsp:val=&quot;00F73759&quot;/&gt;&lt;wsp:rsid wsp:val=&quot;00F73B87&quot;/&gt;&lt;wsp:rsid wsp:val=&quot;00F74599&quot;/&gt;&lt;wsp:rsid wsp:val=&quot;00F74B29&quot;/&gt;&lt;wsp:rsid wsp:val=&quot;00F74F0B&quot;/&gt;&lt;wsp:rsid wsp:val=&quot;00F74F68&quot;/&gt;&lt;wsp:rsid wsp:val=&quot;00F75032&quot;/&gt;&lt;wsp:rsid wsp:val=&quot;00F75744&quot;/&gt;&lt;wsp:rsid wsp:val=&quot;00F757E7&quot;/&gt;&lt;wsp:rsid wsp:val=&quot;00F758FB&quot;/&gt;&lt;wsp:rsid wsp:val=&quot;00F75D53&quot;/&gt;&lt;wsp:rsid wsp:val=&quot;00F761EF&quot;/&gt;&lt;wsp:rsid wsp:val=&quot;00F76330&quot;/&gt;&lt;wsp:rsid wsp:val=&quot;00F766E0&quot;/&gt;&lt;wsp:rsid wsp:val=&quot;00F76C27&quot;/&gt;&lt;wsp:rsid wsp:val=&quot;00F77564&quot;/&gt;&lt;wsp:rsid wsp:val=&quot;00F80109&quot;/&gt;&lt;wsp:rsid wsp:val=&quot;00F80D60&quot;/&gt;&lt;wsp:rsid wsp:val=&quot;00F811F8&quot;/&gt;&lt;wsp:rsid wsp:val=&quot;00F81CA2&quot;/&gt;&lt;wsp:rsid wsp:val=&quot;00F81DE4&quot;/&gt;&lt;wsp:rsid wsp:val=&quot;00F81E1F&quot;/&gt;&lt;wsp:rsid wsp:val=&quot;00F82813&quot;/&gt;&lt;wsp:rsid wsp:val=&quot;00F82A61&quot;/&gt;&lt;wsp:rsid wsp:val=&quot;00F82ABB&quot;/&gt;&lt;wsp:rsid wsp:val=&quot;00F84930&quot;/&gt;&lt;wsp:rsid wsp:val=&quot;00F84B1F&quot;/&gt;&lt;wsp:rsid wsp:val=&quot;00F84BC5&quot;/&gt;&lt;wsp:rsid wsp:val=&quot;00F8534E&quot;/&gt;&lt;wsp:rsid wsp:val=&quot;00F85445&quot;/&gt;&lt;wsp:rsid wsp:val=&quot;00F85DC9&quot;/&gt;&lt;wsp:rsid wsp:val=&quot;00F86368&quot;/&gt;&lt;wsp:rsid wsp:val=&quot;00F86B2D&quot;/&gt;&lt;wsp:rsid wsp:val=&quot;00F8734F&quot;/&gt;&lt;wsp:rsid wsp:val=&quot;00F87875&quot;/&gt;&lt;wsp:rsid wsp:val=&quot;00F87B63&quot;/&gt;&lt;wsp:rsid wsp:val=&quot;00F9065E&quot;/&gt;&lt;wsp:rsid wsp:val=&quot;00F9094E&quot;/&gt;&lt;wsp:rsid wsp:val=&quot;00F90EC1&quot;/&gt;&lt;wsp:rsid wsp:val=&quot;00F90FCB&quot;/&gt;&lt;wsp:rsid wsp:val=&quot;00F910BB&quot;/&gt;&lt;wsp:rsid wsp:val=&quot;00F914BD&quot;/&gt;&lt;wsp:rsid wsp:val=&quot;00F91529&quot;/&gt;&lt;wsp:rsid wsp:val=&quot;00F9172C&quot;/&gt;&lt;wsp:rsid wsp:val=&quot;00F91A35&quot;/&gt;&lt;wsp:rsid wsp:val=&quot;00F91F04&quot;/&gt;&lt;wsp:rsid wsp:val=&quot;00F92504&quot;/&gt;&lt;wsp:rsid wsp:val=&quot;00F928F4&quot;/&gt;&lt;wsp:rsid wsp:val=&quot;00F92B78&quot;/&gt;&lt;wsp:rsid wsp:val=&quot;00F92DBE&quot;/&gt;&lt;wsp:rsid wsp:val=&quot;00F93A6D&quot;/&gt;&lt;wsp:rsid wsp:val=&quot;00F93B1B&quot;/&gt;&lt;wsp:rsid wsp:val=&quot;00F93E01&quot;/&gt;&lt;wsp:rsid wsp:val=&quot;00F9415F&quot;/&gt;&lt;wsp:rsid wsp:val=&quot;00F946B7&quot;/&gt;&lt;wsp:rsid wsp:val=&quot;00F94A12&quot;/&gt;&lt;wsp:rsid wsp:val=&quot;00F94AAB&quot;/&gt;&lt;wsp:rsid wsp:val=&quot;00F94E5B&quot;/&gt;&lt;wsp:rsid wsp:val=&quot;00F94ED5&quot;/&gt;&lt;wsp:rsid wsp:val=&quot;00F953DC&quot;/&gt;&lt;wsp:rsid wsp:val=&quot;00F95705&quot;/&gt;&lt;wsp:rsid wsp:val=&quot;00F96148&quot;/&gt;&lt;wsp:rsid wsp:val=&quot;00F964B6&quot;/&gt;&lt;wsp:rsid wsp:val=&quot;00F96591&quot;/&gt;&lt;wsp:rsid wsp:val=&quot;00F96663&quot;/&gt;&lt;wsp:rsid wsp:val=&quot;00F96A55&quot;/&gt;&lt;wsp:rsid wsp:val=&quot;00F96E6C&quot;/&gt;&lt;wsp:rsid wsp:val=&quot;00F96F01&quot;/&gt;&lt;wsp:rsid wsp:val=&quot;00F97185&quot;/&gt;&lt;wsp:rsid wsp:val=&quot;00FA020E&quot;/&gt;&lt;wsp:rsid wsp:val=&quot;00FA0331&quot;/&gt;&lt;wsp:rsid wsp:val=&quot;00FA042A&quot;/&gt;&lt;wsp:rsid wsp:val=&quot;00FA0999&quot;/&gt;&lt;wsp:rsid wsp:val=&quot;00FA09FE&quot;/&gt;&lt;wsp:rsid wsp:val=&quot;00FA1BD0&quot;/&gt;&lt;wsp:rsid wsp:val=&quot;00FA1E8A&quot;/&gt;&lt;wsp:rsid wsp:val=&quot;00FA244A&quot;/&gt;&lt;wsp:rsid wsp:val=&quot;00FA2DFD&quot;/&gt;&lt;wsp:rsid wsp:val=&quot;00FA2EE2&quot;/&gt;&lt;wsp:rsid wsp:val=&quot;00FA3033&quot;/&gt;&lt;wsp:rsid wsp:val=&quot;00FA3261&quot;/&gt;&lt;wsp:rsid wsp:val=&quot;00FA35A4&quot;/&gt;&lt;wsp:rsid wsp:val=&quot;00FA40DA&quot;/&gt;&lt;wsp:rsid wsp:val=&quot;00FA4223&quot;/&gt;&lt;wsp:rsid wsp:val=&quot;00FA485C&quot;/&gt;&lt;wsp:rsid wsp:val=&quot;00FA48B4&quot;/&gt;&lt;wsp:rsid wsp:val=&quot;00FA7892&quot;/&gt;&lt;wsp:rsid wsp:val=&quot;00FA7FEB&quot;/&gt;&lt;wsp:rsid wsp:val=&quot;00FB0CE7&quot;/&gt;&lt;wsp:rsid wsp:val=&quot;00FB0F4D&quot;/&gt;&lt;wsp:rsid wsp:val=&quot;00FB1034&quot;/&gt;&lt;wsp:rsid wsp:val=&quot;00FB14E5&quot;/&gt;&lt;wsp:rsid wsp:val=&quot;00FB1647&quot;/&gt;&lt;wsp:rsid wsp:val=&quot;00FB1C16&quot;/&gt;&lt;wsp:rsid wsp:val=&quot;00FB246E&quot;/&gt;&lt;wsp:rsid wsp:val=&quot;00FB415E&quot;/&gt;&lt;wsp:rsid wsp:val=&quot;00FB4719&quot;/&gt;&lt;wsp:rsid wsp:val=&quot;00FB49B4&quot;/&gt;&lt;wsp:rsid wsp:val=&quot;00FB517E&quot;/&gt;&lt;wsp:rsid wsp:val=&quot;00FB5704&quot;/&gt;&lt;wsp:rsid wsp:val=&quot;00FB581F&quot;/&gt;&lt;wsp:rsid wsp:val=&quot;00FB60E4&quot;/&gt;&lt;wsp:rsid wsp:val=&quot;00FB6580&quot;/&gt;&lt;wsp:rsid wsp:val=&quot;00FB6749&quot;/&gt;&lt;wsp:rsid wsp:val=&quot;00FB6A72&quot;/&gt;&lt;wsp:rsid wsp:val=&quot;00FB6BA8&quot;/&gt;&lt;wsp:rsid wsp:val=&quot;00FB6E04&quot;/&gt;&lt;wsp:rsid wsp:val=&quot;00FB71AB&quot;/&gt;&lt;wsp:rsid wsp:val=&quot;00FB71C1&quot;/&gt;&lt;wsp:rsid wsp:val=&quot;00FB7348&quot;/&gt;&lt;wsp:rsid wsp:val=&quot;00FB739F&quot;/&gt;&lt;wsp:rsid wsp:val=&quot;00FC033D&quot;/&gt;&lt;wsp:rsid wsp:val=&quot;00FC07B8&quot;/&gt;&lt;wsp:rsid wsp:val=&quot;00FC08F0&quot;/&gt;&lt;wsp:rsid wsp:val=&quot;00FC0CBE&quot;/&gt;&lt;wsp:rsid wsp:val=&quot;00FC0CF6&quot;/&gt;&lt;wsp:rsid wsp:val=&quot;00FC0FAD&quot;/&gt;&lt;wsp:rsid wsp:val=&quot;00FC1AE0&quot;/&gt;&lt;wsp:rsid wsp:val=&quot;00FC1D98&quot;/&gt;&lt;wsp:rsid wsp:val=&quot;00FC1E72&quot;/&gt;&lt;wsp:rsid wsp:val=&quot;00FC1FAC&quot;/&gt;&lt;wsp:rsid wsp:val=&quot;00FC3FE0&quot;/&gt;&lt;wsp:rsid wsp:val=&quot;00FC4251&quot;/&gt;&lt;wsp:rsid wsp:val=&quot;00FC4557&quot;/&gt;&lt;wsp:rsid wsp:val=&quot;00FC46F1&quot;/&gt;&lt;wsp:rsid wsp:val=&quot;00FC5328&quot;/&gt;&lt;wsp:rsid wsp:val=&quot;00FC5583&quot;/&gt;&lt;wsp:rsid wsp:val=&quot;00FC5A6F&quot;/&gt;&lt;wsp:rsid wsp:val=&quot;00FC5AA1&quot;/&gt;&lt;wsp:rsid wsp:val=&quot;00FC5B85&quot;/&gt;&lt;wsp:rsid wsp:val=&quot;00FC6C16&quot;/&gt;&lt;wsp:rsid wsp:val=&quot;00FC6C1E&quot;/&gt;&lt;wsp:rsid wsp:val=&quot;00FC6CD3&quot;/&gt;&lt;wsp:rsid wsp:val=&quot;00FC6D57&quot;/&gt;&lt;wsp:rsid wsp:val=&quot;00FC7EC4&quot;/&gt;&lt;wsp:rsid wsp:val=&quot;00FD0982&quot;/&gt;&lt;wsp:rsid wsp:val=&quot;00FD0A94&quot;/&gt;&lt;wsp:rsid wsp:val=&quot;00FD0F4E&quot;/&gt;&lt;wsp:rsid wsp:val=&quot;00FD1450&quot;/&gt;&lt;wsp:rsid wsp:val=&quot;00FD147F&quot;/&gt;&lt;wsp:rsid wsp:val=&quot;00FD1912&quot;/&gt;&lt;wsp:rsid wsp:val=&quot;00FD20F7&quot;/&gt;&lt;wsp:rsid wsp:val=&quot;00FD28F9&quot;/&gt;&lt;wsp:rsid wsp:val=&quot;00FD30FB&quot;/&gt;&lt;wsp:rsid wsp:val=&quot;00FD33A4&quot;/&gt;&lt;wsp:rsid wsp:val=&quot;00FD36C7&quot;/&gt;&lt;wsp:rsid wsp:val=&quot;00FD3A38&quot;/&gt;&lt;wsp:rsid wsp:val=&quot;00FD3B99&quot;/&gt;&lt;wsp:rsid wsp:val=&quot;00FD3C42&quot;/&gt;&lt;wsp:rsid wsp:val=&quot;00FD4E2B&quot;/&gt;&lt;wsp:rsid wsp:val=&quot;00FD5974&quot;/&gt;&lt;wsp:rsid wsp:val=&quot;00FD60FD&quot;/&gt;&lt;wsp:rsid wsp:val=&quot;00FD6213&quot;/&gt;&lt;wsp:rsid wsp:val=&quot;00FD6403&quot;/&gt;&lt;wsp:rsid wsp:val=&quot;00FD6435&quot;/&gt;&lt;wsp:rsid wsp:val=&quot;00FD6548&quot;/&gt;&lt;wsp:rsid wsp:val=&quot;00FD69AE&quot;/&gt;&lt;wsp:rsid wsp:val=&quot;00FD6D0C&quot;/&gt;&lt;wsp:rsid wsp:val=&quot;00FD797E&quot;/&gt;&lt;wsp:rsid wsp:val=&quot;00FD7AB3&quot;/&gt;&lt;wsp:rsid wsp:val=&quot;00FD7CB8&quot;/&gt;&lt;wsp:rsid wsp:val=&quot;00FD7E27&quot;/&gt;&lt;wsp:rsid wsp:val=&quot;00FE02DB&quot;/&gt;&lt;wsp:rsid wsp:val=&quot;00FE02F8&quot;/&gt;&lt;wsp:rsid wsp:val=&quot;00FE04D6&quot;/&gt;&lt;wsp:rsid wsp:val=&quot;00FE0BAC&quot;/&gt;&lt;wsp:rsid wsp:val=&quot;00FE135A&quot;/&gt;&lt;wsp:rsid wsp:val=&quot;00FE1443&quot;/&gt;&lt;wsp:rsid wsp:val=&quot;00FE15A0&quot;/&gt;&lt;wsp:rsid wsp:val=&quot;00FE1A02&quot;/&gt;&lt;wsp:rsid wsp:val=&quot;00FE224A&quot;/&gt;&lt;wsp:rsid wsp:val=&quot;00FE22F8&quot;/&gt;&lt;wsp:rsid wsp:val=&quot;00FE2580&quot;/&gt;&lt;wsp:rsid wsp:val=&quot;00FE2D89&quot;/&gt;&lt;wsp:rsid wsp:val=&quot;00FE31F6&quot;/&gt;&lt;wsp:rsid wsp:val=&quot;00FE380C&quot;/&gt;&lt;wsp:rsid wsp:val=&quot;00FE3D97&quot;/&gt;&lt;wsp:rsid wsp:val=&quot;00FE4A8B&quot;/&gt;&lt;wsp:rsid wsp:val=&quot;00FE4CF0&quot;/&gt;&lt;wsp:rsid wsp:val=&quot;00FE59BB&quot;/&gt;&lt;wsp:rsid wsp:val=&quot;00FE5D59&quot;/&gt;&lt;wsp:rsid wsp:val=&quot;00FE5F42&quot;/&gt;&lt;wsp:rsid wsp:val=&quot;00FE631F&quot;/&gt;&lt;wsp:rsid wsp:val=&quot;00FE695E&quot;/&gt;&lt;wsp:rsid wsp:val=&quot;00FE6A8F&quot;/&gt;&lt;wsp:rsid wsp:val=&quot;00FE6A9F&quot;/&gt;&lt;wsp:rsid wsp:val=&quot;00FE6BB5&quot;/&gt;&lt;wsp:rsid wsp:val=&quot;00FF1644&quot;/&gt;&lt;wsp:rsid wsp:val=&quot;00FF25A7&quot;/&gt;&lt;wsp:rsid wsp:val=&quot;00FF2888&quot;/&gt;&lt;wsp:rsid wsp:val=&quot;00FF2953&quot;/&gt;&lt;wsp:rsid wsp:val=&quot;00FF2EA3&quot;/&gt;&lt;wsp:rsid wsp:val=&quot;00FF414C&quot;/&gt;&lt;wsp:rsid wsp:val=&quot;00FF4764&quot;/&gt;&lt;wsp:rsid wsp:val=&quot;00FF4CCA&quot;/&gt;&lt;wsp:rsid wsp:val=&quot;00FF50FD&quot;/&gt;&lt;wsp:rsid wsp:val=&quot;00FF5E00&quot;/&gt;&lt;wsp:rsid wsp:val=&quot;00FF5E10&quot;/&gt;&lt;wsp:rsid wsp:val=&quot;00FF6DB6&quot;/&gt;&lt;wsp:rsid wsp:val=&quot;00FF73A1&quot;/&gt;&lt;wsp:rsid wsp:val=&quot;02B26B56&quot;/&gt;&lt;wsp:rsid wsp:val=&quot;03D66BA6&quot;/&gt;&lt;wsp:rsid wsp:val=&quot;051A0D14&quot;/&gt;&lt;wsp:rsid wsp:val=&quot;08373D17&quot;/&gt;&lt;wsp:rsid wsp:val=&quot;08D31906&quot;/&gt;&lt;wsp:rsid wsp:val=&quot;099B57EC&quot;/&gt;&lt;wsp:rsid wsp:val=&quot;09C35E1E&quot;/&gt;&lt;wsp:rsid wsp:val=&quot;0A7B2255&quot;/&gt;&lt;wsp:rsid wsp:val=&quot;0AA30366&quot;/&gt;&lt;wsp:rsid wsp:val=&quot;0CC7731D&quot;/&gt;&lt;wsp:rsid wsp:val=&quot;0FCD6BA8&quot;/&gt;&lt;wsp:rsid wsp:val=&quot;0FF419B0&quot;/&gt;&lt;wsp:rsid wsp:val=&quot;11A14B86&quot;/&gt;&lt;wsp:rsid wsp:val=&quot;12E11476&quot;/&gt;&lt;wsp:rsid wsp:val=&quot;13CA5776&quot;/&gt;&lt;wsp:rsid wsp:val=&quot;1451781E&quot;/&gt;&lt;wsp:rsid wsp:val=&quot;15151F29&quot;/&gt;&lt;wsp:rsid wsp:val=&quot;1BC22817&quot;/&gt;&lt;wsp:rsid wsp:val=&quot;1F14103B&quot;/&gt;&lt;wsp:rsid wsp:val=&quot;1F83778A&quot;/&gt;&lt;wsp:rsid wsp:val=&quot;224631C9&quot;/&gt;&lt;wsp:rsid wsp:val=&quot;240F2DC9&quot;/&gt;&lt;wsp:rsid wsp:val=&quot;24C30629&quot;/&gt;&lt;wsp:rsid wsp:val=&quot;25763D25&quot;/&gt;&lt;wsp:rsid wsp:val=&quot;26A5092E&quot;/&gt;&lt;wsp:rsid wsp:val=&quot;29BC0105&quot;/&gt;&lt;wsp:rsid wsp:val=&quot;2B6770FF&quot;/&gt;&lt;wsp:rsid wsp:val=&quot;2D123049&quot;/&gt;&lt;wsp:rsid wsp:val=&quot;2D947006&quot;/&gt;&lt;wsp:rsid wsp:val=&quot;2E3276DD&quot;/&gt;&lt;wsp:rsid wsp:val=&quot;314A0E14&quot;/&gt;&lt;wsp:rsid wsp:val=&quot;32037751&quot;/&gt;&lt;wsp:rsid wsp:val=&quot;330D18BF&quot;/&gt;&lt;wsp:rsid wsp:val=&quot;33CE629A&quot;/&gt;&lt;wsp:rsid wsp:val=&quot;342521FB&quot;/&gt;&lt;wsp:rsid wsp:val=&quot;350308E2&quot;/&gt;&lt;wsp:rsid wsp:val=&quot;38042FDA&quot;/&gt;&lt;wsp:rsid wsp:val=&quot;3A184B1B&quot;/&gt;&lt;wsp:rsid wsp:val=&quot;3AA1137B&quot;/&gt;&lt;wsp:rsid wsp:val=&quot;3BC67B86&quot;/&gt;&lt;wsp:rsid wsp:val=&quot;3CB74F79&quot;/&gt;&lt;wsp:rsid wsp:val=&quot;3CC80A7A&quot;/&gt;&lt;wsp:rsid wsp:val=&quot;3E63644F&quot;/&gt;&lt;wsp:rsid wsp:val=&quot;42211EC1&quot;/&gt;&lt;wsp:rsid wsp:val=&quot;42C06726&quot;/&gt;&lt;wsp:rsid wsp:val=&quot;430E56F4&quot;/&gt;&lt;wsp:rsid wsp:val=&quot;48CC13D9&quot;/&gt;&lt;wsp:rsid wsp:val=&quot;4CD34ADE&quot;/&gt;&lt;wsp:rsid wsp:val=&quot;4CDB2302&quot;/&gt;&lt;wsp:rsid wsp:val=&quot;500F7705&quot;/&gt;&lt;wsp:rsid wsp:val=&quot;50223AD5&quot;/&gt;&lt;wsp:rsid wsp:val=&quot;52231D58&quot;/&gt;&lt;wsp:rsid wsp:val=&quot;57A606AC&quot;/&gt;&lt;wsp:rsid wsp:val=&quot;58C45316&quot;/&gt;&lt;wsp:rsid wsp:val=&quot;59F7468F&quot;/&gt;&lt;wsp:rsid wsp:val=&quot;5B3C50B8&quot;/&gt;&lt;wsp:rsid wsp:val=&quot;5FF37537&quot;/&gt;&lt;wsp:rsid wsp:val=&quot;60BB0848&quot;/&gt;&lt;wsp:rsid wsp:val=&quot;60CF1B28&quot;/&gt;&lt;wsp:rsid wsp:val=&quot;61A22D98&quot;/&gt;&lt;wsp:rsid wsp:val=&quot;648C3B2E&quot;/&gt;&lt;wsp:rsid wsp:val=&quot;67702502&quot;/&gt;&lt;wsp:rsid wsp:val=&quot;68B106FE&quot;/&gt;&lt;wsp:rsid wsp:val=&quot;69845BA5&quot;/&gt;&lt;wsp:rsid wsp:val=&quot;699340F5&quot;/&gt;&lt;wsp:rsid wsp:val=&quot;6ABB51FD&quot;/&gt;&lt;wsp:rsid wsp:val=&quot;6BA51E03&quot;/&gt;&lt;wsp:rsid wsp:val=&quot;6D0F48A1&quot;/&gt;&lt;wsp:rsid wsp:val=&quot;6E5E1E17&quot;/&gt;&lt;wsp:rsid wsp:val=&quot;6ECF755A&quot;/&gt;&lt;wsp:rsid wsp:val=&quot;6F060991&quot;/&gt;&lt;wsp:rsid wsp:val=&quot;6FD1670D&quot;/&gt;&lt;wsp:rsid wsp:val=&quot;73EA2AA9&quot;/&gt;&lt;wsp:rsid wsp:val=&quot;76117BAB&quot;/&gt;&lt;wsp:rsid wsp:val=&quot;76244F59&quot;/&gt;&lt;wsp:rsid wsp:val=&quot;76854E63&quot;/&gt;&lt;wsp:rsid wsp:val=&quot;777E3C5F&quot;/&gt;&lt;wsp:rsid wsp:val=&quot;7A0F70A9&quot;/&gt;&lt;wsp:rsid wsp:val=&quot;7BD70A60&quot;/&gt;&lt;wsp:rsid wsp:val=&quot;7E21356B&quot;/&gt;&lt;wsp:rsid wsp:val=&quot;7EFE0D38&quot;/&gt;&lt;/wsp:rsids&gt;&lt;/w:docPr&gt;&lt;w:body&gt;&lt;wx:sect&gt;&lt;w:p wsp:rsidR=&quot;00000000&quot; wsp:rsidRPr=&quot;00782E9C&quot; wsp:rsidRDefault=&quot;00782E9C&quot; wsp:rsidP=&quot;00782E9C&quot;&gt;&lt;m:oMathPara&gt;&lt;m:oMath&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L&lt;/m:t&gt;&lt;/m:r&gt;&lt;/m:e&gt;&lt;m:sub&gt;&lt;m:r&gt;&lt;m:rPr&gt;&lt;m:nor/&gt;&lt;/m:rPr&gt;&lt;w:rPr&gt;&lt;w:b-cs/&gt;&lt;w:i/&gt;&lt;w:color w:val=&quot;000000&quot;/&gt;&lt;w:sz w:val=&quot;24&quot;/&gt;&lt;w:sz-cs w:val=&quot;24&quot;/&gt;&lt;/w:rPr&gt;&lt;m:t&gt;eqg&lt;/m:t&gt;&lt;/m:r&gt;&lt;/m:sub&gt;&lt;/m:sSub&gt;&lt;m:r&gt;&lt;m:rPr&gt;&lt;m:nor/&gt;&lt;/m:rPr&gt;&lt;w:rPr&gt;&lt;w:b-cs/&gt;&lt;w:i/&gt;&lt;w:color w:val=&quot;000000&quot;/&gt;&lt;w:sz w:val=&quot;24&quot;/&gt;&lt;w:sz-cs w:val=&quot;24&quot;/&gt;&lt;/w:rPr&gt;&lt;m:t&gt;=10lg&lt;/m:t&gt;&lt;/m:r&gt;&lt;m:d&gt;&lt;m:dPr&gt;&lt;m:begChr m:val=&quot;[&quot;/&gt;&lt;m:endChr m:val=&quot;]&quot;/&gt;&lt;m:ctrlPr&gt;&lt;w:rPr&gt;&lt;w:rFonts w:ascii=&quot;Cambria Math&quot; w:h-ansi=&quot;Cambria Math&quot;/&gt;&lt;wx:font wx:val=&quot;Cambria Math&quot;/&gt;&lt;w:b-cs/&gt;&lt;w:i/&gt;&lt;w:color w:val=&quot;000000&quot;/&gt;&lt;w:sz w:val=&quot;24&quot;/&gt;&lt;w:sz-cs w:val=&quot;24&quot;/&gt;&lt;/w:rPr&gt;&lt;/m:ctrlPr&gt;&lt;/m:dPr&gt;&lt;m:e&gt;&lt;m:f&gt;&lt;m:fPr&gt;&lt;m:ctrlPr&gt;&lt;w:rPr&gt;&lt;w:rFonts w:ascii=&quot;Cambria Math&quot; w:h-ansi=&quot;Cambria Math&quot;/&gt;&lt;wx:font wx:val=&quot;Cambria Math&quot;/&gt;&lt;w:b-cs/&gt;&lt;w:i/&gt;&lt;w:color w:val=&quot;000000&quot;/&gt;&lt;w:sz w:val=&quot;24&quot;/&gt;&lt;w:sz-cs w:val=&quot;24&quot;/&gt;&lt;/w:rPr&gt;&lt;/m:ctrlPr&gt;&lt;/m:fPr&gt;&lt;m:num&gt;&lt;m:r&gt;&lt;m:rPr&gt;&lt;m:nor/&gt;&lt;/m:rPr&gt;&lt;w:rPr&gt;&lt;w:b-cs/&gt;&lt;w:i/&gt;&lt;w:color w:val=&quot;000000&quot;/&gt;&lt;w:sz w:val=&quot;24&quot;/&gt;&lt;w:sz-cs w:val=&quot;24&quot;/&gt;&lt;/w:rPr&gt;&lt;m:t&gt;1&lt;/m:t&gt;&lt;/m:r&gt;&lt;/m:num&gt;&lt;m:den&gt;&lt;m:r&gt;&lt;m:rPr&gt;&lt;m:nor/&gt;&lt;/m:rPr&gt;&lt;w:rPr&gt;&lt;w:b-cs/&gt;&lt;w:i/&gt;&lt;w:color w:val=&quot;000000&quot;/&gt;&lt;w:sz w:val=&quot;24&quot;/&gt;&lt;w:sz-cs w:val=&quot;24&quot;/&gt;&lt;/w:rPr&gt;&lt;m:t&gt;T&lt;/m:t&gt;&lt;/m:r&gt;&lt;/m:den&gt;&lt;/m:f&gt;&lt;m:d&gt;&lt;m:dPr&gt;&lt;m:ctrlPr&gt;&lt;w:rPr&gt;&lt;w:rFonts w:ascii=&quot;Cambria Math&quot; w:h-ansi=&quot;Cambria Math&quot;/&gt;&lt;wx:font wx:val=&quot;Cambria Math&quot;/&gt;&lt;w:b-cs/&gt;&lt;w:i/&gt;&lt;w:color w:val=&quot;000000&quot;/&gt;&lt;w:sz w:val=&quot;24&quot;/&gt;&lt;w:sz-cs w:val=&quot;24&quot;/&gt;&lt;/w:rPr&gt;&lt;/m:ctrlPr&gt;&lt;/m:dPr&gt;&lt;m:e&gt;&lt;m:nary&gt;&lt;m:naryPr&gt;&lt;m:chr m:val=&quot;鈭?/&gt;&lt;m:limLoc m:val=&quot;undOvr&quot;/&gt;&lt;m:ctrlPr&gt;&lt;w:rPr&gt;&lt;w:rFonts w:ascii=&quot;Cambria Math&quot; w:h-ansi=&quot;Cambri&quot;CCCCCCCCCCCCCCCCCCCCCCCCCCa Math&quot;/&gt;&lt;wx:font wx:val=&quot;Cambria Math&quot;/&gt;&lt;w:b-cs/&gt;&lt;w:i/&gt;&lt;w:color w:val=&quot;000000&quot;/&gt;&lt;w:sz w:val=&quot;24&quot;/&gt;&lt;w:sz-cs w:val=&quot;24&quot;/&gt;&lt;/w:rPr&gt;&lt;/m:ctrlPr&gt;&lt;/m:naryPr&gt;&lt;m:sub&gt;&lt;m:r&gt;&lt;m:rPr&gt;&lt;m:nor/&gt;&lt;/m:rPr&gt;&lt;w:rPr&gt;&lt;w:b-cs/&gt;&lt;w:i/&gt;&lt;w:color w:val=&quot;000000&quot;/&gt;&lt;w:sz w:val=&quot;24&quot;/&gt;&lt;w:sz-cs w:val=&quot;24&quot;/&gt;&lt;/w:rPr&gt;&lt;m:t&gt;i&lt;/m:t&gt;&lt;/m:r&gt;&lt;/m:sub&gt;&lt;m:sup/&gt;&lt;m:e&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t&lt;/m:t&gt;&lt;/m:r&gt;&lt;/m:e&gt;&lt;m:sub&gt;&lt;m:r&gt;&lt;m:rPr&gt;&lt;m:nor/&gt;&lt;/m:rPr&gt;&lt;w:rPr&gt;&lt;w:b-cs/&gt;&lt;w:i/&gt;&lt;w:color w:val=&quot;000000&quot;/&gt;&lt;w:sz w:val=&quot;24&quot;/&gt;&lt;w:sz-cs w:val=&quot;24&quot;/&gt;&lt;/w:rPr&gt;&lt;m:t&gt;i&lt;/m:t&gt;&lt;/m:r&gt;&lt;/m:sub&gt;&lt;/m:sSub&gt;&lt;m:sSup&gt;&lt;m:sSupPr&gt;&lt;m:ctrlPr&gt;&lt;w:rPr&gt;&lt;w:rFonts w:ascii=&quot;Cambria Math&quot; w:h-ansi=&quot;Cambria Math&quot;/&gt;&lt;wx:font wx:val=&quot;Cambria Math&quot;/&gt;&lt;w:b-cs/&gt;&lt;w:i/&gt;&lt;w:color w:val=&quot;000000&quot;/&gt;&lt;w:sz w:val=&quot;24&quot;/&gt;&lt;w:sz-cs w:val=&quot;24&quot;/&gt;&lt;/w:rPr&gt;&lt;/m:ctrlPr&gt;&lt;/m:sSupPr&gt;&lt;m:e&gt;&lt;m:r&gt;&lt;m:rPr&gt;&lt;m:nor/&gt;&lt;/m:rPr&gt;&lt;w:rPr&gt;&lt;w:b-cs/&gt;&lt;w:i/&gt;&lt;w:color w:val=&quot;000000&quot;/&gt;&lt;w:sz w:val=&quot;24&quot;/&gt;&lt;w:sz-cs w:val=&quot;24&quot;/&gt;&lt;/w:rPr&gt;&lt;m:t&gt;10&lt;/m:t&gt;&lt;/m:r&gt;&lt;/m:e&gt;&lt;m:sup&gt;&lt;m:r&gt;&lt;m:rPr&gt;&lt;m:nor/&gt;&lt;/m:rPr&gt;&lt;w:rPr&gt;&lt;w:b-cs/&gt;&lt;w:i/&gt;&lt;w:color w:val=&quot;000000&quot;/&gt;&lt;w:sz w:val=&quot;24&quot;/&gt;&lt;w:sz-cs w:val=&quot;24&quot;/&gt;&lt;/w:rPr&gt;&lt;m:t&gt;0.1&lt;/m:t&gt;&lt;/m:r&gt;&lt;/m:sup&gt;&lt;/m:sSup&gt;&lt;m:sSub&gt;&lt;m:sSubPr&gt;&lt;m:ctrlPr&gt;&lt;w:rPr&gt;&lt;w:rFonts w:ascii=&quot;Cambria Math&quot; w:h-ansi=&quot;Cambria Math&quot;/&gt;&lt;wx:font wx:val=&quot;Cambria Math&quot;/&gt;&lt;w:b-cs/&gt;&lt;w:i/&gt;&lt;w:color w:val=&quot;000000&quot;/&gt;&lt;w:sz w:val=&quot;24&quot;/&gt;&lt;w:sz-cs w:val=&quot;24&quot;/&gt;&lt;/w:rPr&gt;&lt;/m:ctrlPr&gt;&lt;/m:sSubPr&gt;&lt;m:e&gt;&lt;m:r&gt;&lt;m:rPr&gt;&lt;m:nor/&gt;&lt;/m:rPr&gt;&lt;w:rPr&gt;&lt;w:b-cs/&gt;&lt;w:i/&gt;&lt;w:color w:val=&quot;000000&quot;/&gt;&lt;w:sz w:val=&quot;24&quot;/&gt;&lt;w:sz-cs w:val=&quot;24&quot;/&gt;&lt;/w:rPr&gt;&lt;m:t&gt;L&lt;/m:t&gt;&lt;/m:r&gt;&lt;/m:e&gt;&lt;m:sub&gt;&lt;m:r&gt;&lt;m:rPr&gt;&lt;m:nor/&gt;&lt;/m:rPr&gt;&lt;w:rPr&gt;&lt;w:b-cs/&gt;&lt;w:i/&gt;&lt;w:color w:val=&quot;000000&quot;/&gt;&lt;w:sz w:val=&quot;24&quot;/&gt;&lt;w:sz-cs w:val=&quot;24&quot;/&gt;&lt;/w:rPr&gt;&lt;m:t&gt;Ai&lt;/m:t&gt;&lt;/m:r&gt;&lt;/m:sub&gt;&lt;/m:sSub&gt;&lt;/m:e&gt;&lt;/m:nary&gt;&lt;/m:e&gt;&lt;/m:d&gt;&lt;/m:e&gt;&lt;/m:d&gt;&lt;/m:oMath&gt;&lt;/m:oMathPara&gt;&lt;/w:p&gt;&lt;w:sectPr wsp:rsidR=&quot;00000000&quot; wsp:rsidRPr=&quot;00782E9C&quot;&gt;&lt;w:pgSz w:w=&quot;12240&quot; w:h=&quot;15840&quot;/&gt;&lt;w:pgMar w:top=&quot;1440&quot; w:right=&quot;1800&quot; w:bottom=&quot;1440&quot; w:left=&quot;1800&quot; w:header=&quot;720&quot; w:footer=&quot;720&quot; w:gutter=&quot;0&quot;/&gt;&lt;w:cols w:space=&quot;720&quot;/&gt;&lt;/w:sectPr&gt;&lt;/wx:sect&gt;&lt;/w:body&gt;&lt;/w:wordDocument&gt;">
                  <v:path/>
                  <v:fill on="f" focussize="0,0"/>
                  <v:stroke on="f" joinstyle="miter"/>
                  <v:imagedata r:id="rId21" chromakey="#FFFFFF" o:title=""/>
                  <o:lock v:ext="edit" aspectratio="t"/>
                  <w10:wrap type="none"/>
                  <w10:anchorlock/>
                </v:shape>
              </w:pict>
            </w:r>
          </w:p>
          <w:p w14:paraId="2CB20B20">
            <w:pPr>
              <w:adjustRightInd w:val="0"/>
              <w:snapToGrid w:val="0"/>
              <w:spacing w:line="360" w:lineRule="auto"/>
              <w:ind w:firstLine="480" w:firstLineChars="200"/>
              <w:rPr>
                <w:bCs/>
                <w:color w:val="000000"/>
                <w:sz w:val="24"/>
                <w:szCs w:val="24"/>
              </w:rPr>
            </w:pPr>
            <w:r>
              <w:rPr>
                <w:bCs/>
                <w:color w:val="000000"/>
                <w:sz w:val="24"/>
                <w:szCs w:val="24"/>
              </w:rPr>
              <w:fldChar w:fldCharType="begin"/>
            </w:r>
            <w:r>
              <w:rPr>
                <w:bCs/>
                <w:color w:val="000000"/>
                <w:sz w:val="24"/>
                <w:szCs w:val="24"/>
              </w:rPr>
              <w:instrText xml:space="preserve"> = 5 \* GB3 </w:instrText>
            </w:r>
            <w:r>
              <w:rPr>
                <w:bCs/>
                <w:color w:val="000000"/>
                <w:sz w:val="24"/>
                <w:szCs w:val="24"/>
              </w:rPr>
              <w:fldChar w:fldCharType="separate"/>
            </w:r>
            <w:r>
              <w:rPr>
                <w:rFonts w:hint="eastAsia" w:ascii="宋体" w:hAnsi="宋体" w:cs="宋体"/>
                <w:bCs/>
                <w:color w:val="000000"/>
                <w:sz w:val="24"/>
                <w:szCs w:val="24"/>
              </w:rPr>
              <w:t>⑤</w:t>
            </w:r>
            <w:r>
              <w:rPr>
                <w:bCs/>
                <w:color w:val="000000"/>
                <w:sz w:val="24"/>
                <w:szCs w:val="24"/>
              </w:rPr>
              <w:fldChar w:fldCharType="end"/>
            </w:r>
            <w:r>
              <w:rPr>
                <w:bCs/>
                <w:color w:val="000000"/>
                <w:sz w:val="24"/>
                <w:szCs w:val="24"/>
              </w:rPr>
              <w:t>噪声预测值计算</w:t>
            </w:r>
          </w:p>
          <w:p w14:paraId="456189B7">
            <w:pPr>
              <w:adjustRightInd w:val="0"/>
              <w:snapToGrid w:val="0"/>
              <w:spacing w:line="360" w:lineRule="auto"/>
              <w:ind w:firstLine="480" w:firstLineChars="200"/>
              <w:rPr>
                <w:bCs/>
                <w:color w:val="000000"/>
                <w:sz w:val="24"/>
                <w:szCs w:val="24"/>
              </w:rPr>
            </w:pPr>
            <w:r>
              <w:rPr>
                <w:bCs/>
                <w:color w:val="000000"/>
                <w:sz w:val="24"/>
                <w:szCs w:val="24"/>
              </w:rPr>
              <w:t>预测点的贡献值和背景值按能量叠加方法计算得到的声级。</w:t>
            </w:r>
          </w:p>
          <w:p w14:paraId="49ED0912">
            <w:pPr>
              <w:adjustRightInd w:val="0"/>
              <w:snapToGrid w:val="0"/>
              <w:spacing w:line="360" w:lineRule="auto"/>
              <w:ind w:firstLine="480" w:firstLineChars="200"/>
              <w:rPr>
                <w:bCs/>
                <w:color w:val="000000"/>
                <w:sz w:val="24"/>
                <w:szCs w:val="24"/>
              </w:rPr>
            </w:pPr>
            <w:r>
              <w:rPr>
                <w:bCs/>
                <w:color w:val="000000"/>
                <w:sz w:val="24"/>
                <w:szCs w:val="24"/>
              </w:rPr>
              <w:t>噪声预测值（L</w:t>
            </w:r>
            <w:r>
              <w:rPr>
                <w:bCs/>
                <w:color w:val="000000"/>
                <w:sz w:val="24"/>
                <w:szCs w:val="24"/>
                <w:vertAlign w:val="subscript"/>
              </w:rPr>
              <w:t>eq</w:t>
            </w:r>
            <w:r>
              <w:rPr>
                <w:bCs/>
                <w:color w:val="000000"/>
                <w:sz w:val="24"/>
                <w:szCs w:val="24"/>
              </w:rPr>
              <w:t>）计算公式为：</w:t>
            </w:r>
          </w:p>
          <w:p w14:paraId="2581DE58">
            <w:pPr>
              <w:adjustRightInd w:val="0"/>
              <w:snapToGrid w:val="0"/>
              <w:spacing w:line="360" w:lineRule="auto"/>
              <w:ind w:firstLine="420" w:firstLineChars="200"/>
              <w:rPr>
                <w:bCs/>
                <w:i/>
                <w:color w:val="000000"/>
                <w:sz w:val="24"/>
                <w:szCs w:val="24"/>
              </w:rPr>
            </w:pPr>
            <w:r>
              <w:pict>
                <v:shape id="_x0000_i1032" o:spt="75" type="#_x0000_t75" style="height:15.6pt;width:167.1pt;" filled="f" o:preferrelative="t" stroked="f" coordsize="21600,21600"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80&quot;/&gt;&lt;w:displayBackgroundShape/&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docVars&gt;&lt;w:docVar w:name=&quot;commondata&quot; w:val=&quot;eyJoZGlkIjoiYzYxMTk3NTc1NzI3NTBmNjE3NTg5YTVhYmVmNzdhOWQifQ==&quot;/&gt;&lt;/w:docVars&gt;&lt;wsp:rsids&gt;&lt;wsp:rsidRoot wsp:val=&quot;00172A27&quot;/&gt;&lt;wsp:rsid wsp:val=&quot;000000E1&quot;/&gt;&lt;wsp:rsid wsp:val=&quot;00000384&quot;/&gt;&lt;wsp:rsid wsp:val=&quot;000006AB&quot;/&gt;&lt;wsp:rsid wsp:val=&quot;000009D1&quot;/&gt;&lt;wsp:rsid wsp:val=&quot;00001235&quot;/&gt;&lt;wsp:rsid wsp:val=&quot;000014A9&quot;/&gt;&lt;wsp:rsid wsp:val=&quot;000022C8&quot;/&gt;&lt;wsp:rsid wsp:val=&quot;00002B6D&quot;/&gt;&lt;wsp:rsid wsp:val=&quot;00002DC4&quot;/&gt;&lt;wsp:rsid wsp:val=&quot;000032CD&quot;/&gt;&lt;wsp:rsid wsp:val=&quot;000034AA&quot;/&gt;&lt;wsp:rsid wsp:val=&quot;0000355C&quot;/&gt;&lt;wsp:rsid wsp:val=&quot;00003718&quot;/&gt;&lt;wsp:rsid wsp:val=&quot;000038BB&quot;/&gt;&lt;wsp:rsid wsp:val=&quot;00003FCC&quot;/&gt;&lt;wsp:rsid wsp:val=&quot;00004021&quot;/&gt;&lt;wsp:rsid wsp:val=&quot;00004A8A&quot;/&gt;&lt;wsp:rsid wsp:val=&quot;00005F47&quot;/&gt;&lt;wsp:rsid wsp:val=&quot;00006EB1&quot;/&gt;&lt;wsp:rsid wsp:val=&quot;0000713A&quot;/&gt;&lt;wsp:rsid wsp:val=&quot;000072D5&quot;/&gt;&lt;wsp:rsid wsp:val=&quot;00007BE5&quot;/&gt;&lt;wsp:rsid wsp:val=&quot;0001075F&quot;/&gt;&lt;wsp:rsid wsp:val=&quot;000114A3&quot;/&gt;&lt;wsp:rsid wsp:val=&quot;000122D0&quot;/&gt;&lt;wsp:rsid wsp:val=&quot;00012356&quot;/&gt;&lt;wsp:rsid wsp:val=&quot;000123CF&quot;/&gt;&lt;wsp:rsid wsp:val=&quot;000130F0&quot;/&gt;&lt;wsp:rsid wsp:val=&quot;0001348A&quot;/&gt;&lt;wsp:rsid wsp:val=&quot;00013BF5&quot;/&gt;&lt;wsp:rsid wsp:val=&quot;00013CBF&quot;/&gt;&lt;wsp:rsid wsp:val=&quot;00014340&quot;/&gt;&lt;wsp:rsid wsp:val=&quot;00014DB6&quot;/&gt;&lt;wsp:rsid wsp:val=&quot;0001517C&quot;/&gt;&lt;wsp:rsid wsp:val=&quot;000154A5&quot;/&gt;&lt;wsp:rsid wsp:val=&quot;00015A1F&quot;/&gt;&lt;wsp:rsid wsp:val=&quot;00015BB0&quot;/&gt;&lt;wsp:rsid wsp:val=&quot;00016A81&quot;/&gt;&lt;wsp:rsid wsp:val=&quot;00016EC0&quot;/&gt;&lt;wsp:rsid wsp:val=&quot;0001730A&quot;/&gt;&lt;wsp:rsid wsp:val=&quot;00017469&quot;/&gt;&lt;wsp:rsid wsp:val=&quot;0001755D&quot;/&gt;&lt;wsp:rsid wsp:val=&quot;00017CEA&quot;/&gt;&lt;wsp:rsid wsp:val=&quot;00017F89&quot;/&gt;&lt;wsp:rsid wsp:val=&quot;00020D89&quot;/&gt;&lt;wsp:rsid wsp:val=&quot;00021E12&quot;/&gt;&lt;wsp:rsid wsp:val=&quot;00021E6B&quot;/&gt;&lt;wsp:rsid wsp:val=&quot;000224B7&quot;/&gt;&lt;wsp:rsid wsp:val=&quot;0002338D&quot;/&gt;&lt;wsp:rsid wsp:val=&quot;00023A95&quot;/&gt;&lt;wsp:rsid wsp:val=&quot;000240ED&quot;/&gt;&lt;wsp:rsid wsp:val=&quot;00024481&quot;/&gt;&lt;wsp:rsid wsp:val=&quot;000245B2&quot;/&gt;&lt;wsp:rsid wsp:val=&quot;00024E4C&quot;/&gt;&lt;wsp:rsid wsp:val=&quot;00025204&quot;/&gt;&lt;wsp:rsid wsp:val=&quot;00025A1D&quot;/&gt;&lt;wsp:rsid wsp:val=&quot;00025FDA&quot;/&gt;&lt;wsp:rsid wsp:val=&quot;000261E7&quot;/&gt;&lt;wsp:rsid wsp:val=&quot;00026A7E&quot;/&gt;&lt;wsp:rsid wsp:val=&quot;00026E58&quot;/&gt;&lt;wsp:rsid wsp:val=&quot;000275E4&quot;/&gt;&lt;wsp:rsid wsp:val=&quot;00027BBB&quot;/&gt;&lt;wsp:rsid wsp:val=&quot;00027E5A&quot;/&gt;&lt;wsp:rsid wsp:val=&quot;00027F18&quot;/&gt;&lt;wsp:rsid wsp:val=&quot;0003029B&quot;/&gt;&lt;wsp:rsid wsp:val=&quot;000303DC&quot;/&gt;&lt;wsp:rsid wsp:val=&quot;0003057F&quot;/&gt;&lt;wsp:rsid wsp:val=&quot;00030993&quot;/&gt;&lt;wsp:rsid wsp:val=&quot;00030CCD&quot;/&gt;&lt;wsp:rsid wsp:val=&quot;00032665&quot;/&gt;&lt;wsp:rsid wsp:val=&quot;000327B7&quot;/&gt;&lt;wsp:rsid wsp:val=&quot;00032A9F&quot;/&gt;&lt;wsp:rsid wsp:val=&quot;00032BFA&quot;/&gt;&lt;wsp:rsid wsp:val=&quot;00032D02&quot;/&gt;&lt;wsp:rsid wsp:val=&quot;00032FB9&quot;/&gt;&lt;wsp:rsid wsp:val=&quot;0003314E&quot;/&gt;&lt;wsp:rsid wsp:val=&quot;000332B9&quot;/&gt;&lt;wsp:rsid wsp:val=&quot;00033402&quot;/&gt;&lt;wsp:rsid wsp:val=&quot;00033925&quot;/&gt;&lt;wsp:rsid wsp:val=&quot;000339F8&quot;/&gt;&lt;wsp:rsid wsp:val=&quot;00033EEB&quot;/&gt;&lt;wsp:rsid wsp:val=&quot;000343C9&quot;/&gt;&lt;wsp:rsid wsp:val=&quot;00034E5F&quot;/&gt;&lt;wsp:rsid wsp:val=&quot;00035946&quot;/&gt;&lt;wsp:rsid wsp:val=&quot;00035DBC&quot;/&gt;&lt;wsp:rsid wsp:val=&quot;0003607A&quot;/&gt;&lt;wsp:rsid wsp:val=&quot;000368CA&quot;/&gt;&lt;wsp:rsid wsp:val=&quot;000369B8&quot;/&gt;&lt;wsp:rsid wsp:val=&quot;00036D60&quot;/&gt;&lt;wsp:rsid wsp:val=&quot;00036F18&quot;/&gt;&lt;wsp:rsid wsp:val=&quot;000379E1&quot;/&gt;&lt;wsp:rsid wsp:val=&quot;00037B71&quot;/&gt;&lt;wsp:rsid wsp:val=&quot;00037C97&quot;/&gt;&lt;wsp:rsid wsp:val=&quot;000403A0&quot;/&gt;&lt;wsp:rsid wsp:val=&quot;00040E2F&quot;/&gt;&lt;wsp:rsid wsp:val=&quot;00040FAB&quot;/&gt;&lt;wsp:rsid wsp:val=&quot;0004133E&quot;/&gt;&lt;wsp:rsid wsp:val=&quot;000419F0&quot;/&gt;&lt;wsp:rsid wsp:val=&quot;00041DDD&quot;/&gt;&lt;wsp:rsid wsp:val=&quot;00041DF7&quot;/&gt;&lt;wsp:rsid wsp:val=&quot;0004231E&quot;/&gt;&lt;wsp:rsid wsp:val=&quot;000428F9&quot;/&gt;&lt;wsp:rsid wsp:val=&quot;0004324C&quot;/&gt;&lt;wsp:rsid wsp:val=&quot;00043302&quot;/&gt;&lt;wsp:rsid wsp:val=&quot;00043460&quot;/&gt;&lt;wsp:rsid wsp:val=&quot;0004381A&quot;/&gt;&lt;wsp:rsid wsp:val=&quot;00043A61&quot;/&gt;&lt;wsp:rsid wsp:val=&quot;00044079&quot;/&gt;&lt;wsp:rsid wsp:val=&quot;00044735&quot;/&gt;&lt;wsp:rsid wsp:val=&quot;00044945&quot;/&gt;&lt;wsp:rsid wsp:val=&quot;000451D9&quot;/&gt;&lt;wsp:rsid wsp:val=&quot;00046136&quot;/&gt;&lt;wsp:rsid wsp:val=&quot;00046842&quot;/&gt;&lt;wsp:rsid wsp:val=&quot;00047117&quot;/&gt;&lt;wsp:rsid wsp:val=&quot;00047226&quot;/&gt;&lt;wsp:rsid wsp:val=&quot;0004742D&quot;/&gt;&lt;wsp:rsid wsp:val=&quot;000478BE&quot;/&gt;&lt;wsp:rsid wsp:val=&quot;00047D6E&quot;/&gt;&lt;wsp:rsid wsp:val=&quot;00047DA1&quot;/&gt;&lt;wsp:rsid wsp:val=&quot;0005042F&quot;/&gt;&lt;wsp:rsid wsp:val=&quot;00050A8E&quot;/&gt;&lt;wsp:rsid wsp:val=&quot;00050AF8&quot;/&gt;&lt;wsp:rsid wsp:val=&quot;00050BBA&quot;/&gt;&lt;wsp:rsid wsp:val=&quot;00050E97&quot;/&gt;&lt;wsp:rsid wsp:val=&quot;00050EF2&quot;/&gt;&lt;wsp:rsid wsp:val=&quot;000510FC&quot;/&gt;&lt;wsp:rsid wsp:val=&quot;000513EB&quot;/&gt;&lt;wsp:rsid wsp:val=&quot;0005152E&quot;/&gt;&lt;wsp:rsid wsp:val=&quot;00051CE8&quot;/&gt;&lt;wsp:rsid wsp:val=&quot;00051EC6&quot;/&gt;&lt;wsp:rsid wsp:val=&quot;0005203D&quot;/&gt;&lt;wsp:rsid wsp:val=&quot;000525A1&quot;/&gt;&lt;wsp:rsid wsp:val=&quot;00052790&quot;/&gt;&lt;wsp:rsid wsp:val=&quot;00053ABF&quot;/&gt;&lt;wsp:rsid wsp:val=&quot;00053CC4&quot;/&gt;&lt;wsp:rsid wsp:val=&quot;00053FC8&quot;/&gt;&lt;wsp:rsid wsp:val=&quot;0005435D&quot;/&gt;&lt;wsp:rsid wsp:val=&quot;00054CBF&quot;/&gt;&lt;wsp:rsid wsp:val=&quot;00054CF1&quot;/&gt;&lt;wsp:rsid wsp:val=&quot;00054E06&quot;/&gt;&lt;wsp:rsid wsp:val=&quot;00054E67&quot;/&gt;&lt;wsp:rsid wsp:val=&quot;00056697&quot;/&gt;&lt;wsp:rsid wsp:val=&quot;0005719D&quot;/&gt;&lt;wsp:rsid wsp:val=&quot;00057445&quot;/&gt;&lt;wsp:rsid wsp:val=&quot;000575FC&quot;/&gt;&lt;wsp:rsid wsp:val=&quot;00057AC4&quot;/&gt;&lt;wsp:rsid wsp:val=&quot;00057D9D&quot;/&gt;&lt;wsp:rsid wsp:val=&quot;00060708&quot;/&gt;&lt;wsp:rsid wsp:val=&quot;00060AC3&quot;/&gt;&lt;wsp:rsid wsp:val=&quot;00060BF1&quot;/&gt;&lt;wsp:rsid wsp:val=&quot;00061A2B&quot;/&gt;&lt;wsp:rsid wsp:val=&quot;00062344&quot;/&gt;&lt;wsp:rsid wsp:val=&quot;00062606&quot;/&gt;&lt;wsp:rsid wsp:val=&quot;00062675&quot;/&gt;&lt;wsp:rsid wsp:val=&quot;00062692&quot;/&gt;&lt;wsp:rsid wsp:val=&quot;00062AC1&quot;/&gt;&lt;wsp:rsid wsp:val=&quot;00062FD6&quot;/&gt;&lt;wsp:rsid wsp:val=&quot;00063457&quot;/&gt;&lt;wsp:rsid wsp:val=&quot;000639DD&quot;/&gt;&lt;wsp:rsid wsp:val=&quot;00063BB0&quot;/&gt;&lt;wsp:rsid wsp:val=&quot;00063CDE&quot;/&gt;&lt;wsp:rsid wsp:val=&quot;00063E4C&quot;/&gt;&lt;wsp:rsid wsp:val=&quot;00063F85&quot;/&gt;&lt;wsp:rsid wsp:val=&quot;0006454E&quot;/&gt;&lt;wsp:rsid wsp:val=&quot;00065025&quot;/&gt;&lt;wsp:rsid wsp:val=&quot;0006572B&quot;/&gt;&lt;wsp:rsid wsp:val=&quot;000665A5&quot;/&gt;&lt;wsp:rsid wsp:val=&quot;000672FE&quot;/&gt;&lt;wsp:rsid wsp:val=&quot;00070280&quot;/&gt;&lt;wsp:rsid wsp:val=&quot;00070A32&quot;/&gt;&lt;wsp:rsid wsp:val=&quot;00070F4C&quot;/&gt;&lt;wsp:rsid wsp:val=&quot;000713B5&quot;/&gt;&lt;wsp:rsid wsp:val=&quot;00071AD0&quot;/&gt;&lt;wsp:rsid wsp:val=&quot;00071E2D&quot;/&gt;&lt;wsp:rsid wsp:val=&quot;0007206C&quot;/&gt;&lt;wsp:rsid wsp:val=&quot;00072397&quot;/&gt;&lt;wsp:rsid wsp:val=&quot;00072D6D&quot;/&gt;&lt;wsp:rsid wsp:val=&quot;000731EF&quot;/&gt;&lt;wsp:rsid wsp:val=&quot;00073780&quot;/&gt;&lt;wsp:rsid wsp:val=&quot;00073A88&quot;/&gt;&lt;wsp:rsid wsp:val=&quot;00073B30&quot;/&gt;&lt;wsp:rsid wsp:val=&quot;00074EF3&quot;/&gt;&lt;wsp:rsid wsp:val=&quot;000750CA&quot;/&gt;&lt;wsp:rsid wsp:val=&quot;0007642D&quot;/&gt;&lt;wsp:rsid wsp:val=&quot;00076989&quot;/&gt;&lt;wsp:rsid wsp:val=&quot;00076B05&quot;/&gt;&lt;wsp:rsid wsp:val=&quot;0008046A&quot;/&gt;&lt;wsp:rsid wsp:val=&quot;000820A1&quot;/&gt;&lt;wsp:rsid wsp:val=&quot;00082718&quot;/&gt;&lt;wsp:rsid wsp:val=&quot;00082780&quot;/&gt;&lt;wsp:rsid wsp:val=&quot;00082836&quot;/&gt;&lt;wsp:rsid wsp:val=&quot;00082A7E&quot;/&gt;&lt;wsp:rsid wsp:val=&quot;00082B73&quot;/&gt;&lt;wsp:rsid wsp:val=&quot;00082BB1&quot;/&gt;&lt;wsp:rsid wsp:val=&quot;00082C63&quot;/&gt;&lt;wsp:rsid wsp:val=&quot;00083256&quot;/&gt;&lt;wsp:rsid wsp:val=&quot;00083A9D&quot;/&gt;&lt;wsp:rsid wsp:val=&quot;000847DE&quot;/&gt;&lt;wsp:rsid wsp:val=&quot;00084C61&quot;/&gt;&lt;wsp:rsid wsp:val=&quot;00084E5B&quot;/&gt;&lt;wsp:rsid wsp:val=&quot;0008524B&quot;/&gt;&lt;wsp:rsid wsp:val=&quot;0008557C&quot;/&gt;&lt;wsp:rsid wsp:val=&quot;00085970&quot;/&gt;&lt;wsp:rsid wsp:val=&quot;00085F0E&quot;/&gt;&lt;wsp:rsid wsp:val=&quot;00086DA3&quot;/&gt;&lt;wsp:rsid wsp:val=&quot;00087183&quot;/&gt;&lt;wsp:rsid wsp:val=&quot;00087EB8&quot;/&gt;&lt;wsp:rsid wsp:val=&quot;0009007B&quot;/&gt;&lt;wsp:rsid wsp:val=&quot;00090B2E&quot;/&gt;&lt;wsp:rsid wsp:val=&quot;00090B96&quot;/&gt;&lt;wsp:rsid wsp:val=&quot;00090BE8&quot;/&gt;&lt;wsp:rsid wsp:val=&quot;00090CAD&quot;/&gt;&lt;wsp:rsid wsp:val=&quot;00091336&quot;/&gt;&lt;wsp:rsid wsp:val=&quot;00091435&quot;/&gt;&lt;wsp:rsid wsp:val=&quot;00091EAE&quot;/&gt;&lt;wsp:rsid wsp:val=&quot;00092501&quot;/&gt;&lt;wsp:rsid wsp:val=&quot;00093107&quot;/&gt;&lt;wsp:rsid wsp:val=&quot;000937A1&quot;/&gt;&lt;wsp:rsid wsp:val=&quot;0009433D&quot;/&gt;&lt;wsp:rsid wsp:val=&quot;00095509&quot;/&gt;&lt;wsp:rsid wsp:val=&quot;00095519&quot;/&gt;&lt;wsp:rsid wsp:val=&quot;000957BC&quot;/&gt;&lt;wsp:rsid wsp:val=&quot;00095A1A&quot;/&gt;&lt;wsp:rsid wsp:val=&quot;00095BDC&quot;/&gt;&lt;wsp:rsid wsp:val=&quot;0009632C&quot;/&gt;&lt;wsp:rsid wsp:val=&quot;0009675A&quot;/&gt;&lt;wsp:rsid wsp:val=&quot;00096A33&quot;/&gt;&lt;wsp:rsid wsp:val=&quot;00096C0E&quot;/&gt;&lt;wsp:rsid wsp:val=&quot;00097294&quot;/&gt;&lt;wsp:rsid wsp:val=&quot;00097BBF&quot;/&gt;&lt;wsp:rsid wsp:val=&quot;00097E40&quot;/&gt;&lt;wsp:rsid wsp:val=&quot;000A0A75&quot;/&gt;&lt;wsp:rsid wsp:val=&quot;000A0B0C&quot;/&gt;&lt;wsp:rsid wsp:val=&quot;000A0F15&quot;/&gt;&lt;wsp:rsid wsp:val=&quot;000A1578&quot;/&gt;&lt;wsp:rsid wsp:val=&quot;000A19B5&quot;/&gt;&lt;wsp:rsid wsp:val=&quot;000A19B7&quot;/&gt;&lt;wsp:rsid wsp:val=&quot;000A1DD4&quot;/&gt;&lt;wsp:rsid wsp:val=&quot;000A1EAF&quot;/&gt;&lt;wsp:rsid wsp:val=&quot;000A1EFA&quot;/&gt;&lt;wsp:rsid wsp:val=&quot;000A2DEC&quot;/&gt;&lt;wsp:rsid wsp:val=&quot;000A3147&quot;/&gt;&lt;wsp:rsid wsp:val=&quot;000A3333&quot;/&gt;&lt;wsp:rsid wsp:val=&quot;000A3931&quot;/&gt;&lt;wsp:rsid wsp:val=&quot;000A44C6&quot;/&gt;&lt;wsp:rsid wsp:val=&quot;000A46B2&quot;/&gt;&lt;wsp:rsid wsp:val=&quot;000A4D6D&quot;/&gt;&lt;wsp:rsid wsp:val=&quot;000A61DB&quot;/&gt;&lt;wsp:rsid wsp:val=&quot;000A675B&quot;/&gt;&lt;wsp:rsid wsp:val=&quot;000A7337&quot;/&gt;&lt;wsp:rsid wsp:val=&quot;000A741E&quot;/&gt;&lt;wsp:rsid wsp:val=&quot;000A7CE7&quot;/&gt;&lt;wsp:rsid wsp:val=&quot;000B0216&quot;/&gt;&lt;wsp:rsid wsp:val=&quot;000B03F5&quot;/&gt;&lt;wsp:rsid wsp:val=&quot;000B064B&quot;/&gt;&lt;wsp:rsid wsp:val=&quot;000B0F8E&quot;/&gt;&lt;wsp:rsid wsp:val=&quot;000B0FCB&quot;/&gt;&lt;wsp:rsid wsp:val=&quot;000B1EC8&quot;/&gt;&lt;wsp:rsid wsp:val=&quot;000B264B&quot;/&gt;&lt;wsp:rsid wsp:val=&quot;000B2DAA&quot;/&gt;&lt;wsp:rsid wsp:val=&quot;000B2E4A&quot;/&gt;&lt;wsp:rsid wsp:val=&quot;000B31CA&quot;/&gt;&lt;wsp:rsid wsp:val=&quot;000B31F7&quot;/&gt;&lt;wsp:rsid wsp:val=&quot;000B4062&quot;/&gt;&lt;wsp:rsid wsp:val=&quot;000B45A4&quot;/&gt;&lt;wsp:rsid wsp:val=&quot;000B4AD7&quot;/&gt;&lt;wsp:rsid wsp:val=&quot;000B5458&quot;/&gt;&lt;wsp:rsid wsp:val=&quot;000B55AF&quot;/&gt;&lt;wsp:rsid wsp:val=&quot;000B5B93&quot;/&gt;&lt;wsp:rsid wsp:val=&quot;000B5E06&quot;/&gt;&lt;wsp:rsid wsp:val=&quot;000B6106&quot;/&gt;&lt;wsp:rsid wsp:val=&quot;000B6678&quot;/&gt;&lt;wsp:rsid wsp:val=&quot;000B671F&quot;/&gt;&lt;wsp:rsid wsp:val=&quot;000B70F1&quot;/&gt;&lt;wsp:rsid wsp:val=&quot;000B744B&quot;/&gt;&lt;wsp:rsid wsp:val=&quot;000B7B79&quot;/&gt;&lt;wsp:rsid wsp:val=&quot;000C0B5E&quot;/&gt;&lt;wsp:rsid wsp:val=&quot;000C0C18&quot;/&gt;&lt;wsp:rsid wsp:val=&quot;000C0D66&quot;/&gt;&lt;wsp:rsid wsp:val=&quot;000C1120&quot;/&gt;&lt;wsp:rsid wsp:val=&quot;000C1252&quot;/&gt;&lt;wsp:rsid wsp:val=&quot;000C1AF2&quot;/&gt;&lt;wsp:rsid wsp:val=&quot;000C1EF9&quot;/&gt;&lt;wsp:rsid wsp:val=&quot;000C2262&quot;/&gt;&lt;wsp:rsid wsp:val=&quot;000C235E&quot;/&gt;&lt;wsp:rsid wsp:val=&quot;000C2459&quot;/&gt;&lt;wsp:rsid wsp:val=&quot;000C2967&quot;/&gt;&lt;wsp:rsid wsp:val=&quot;000C2C75&quot;/&gt;&lt;wsp:rsid wsp:val=&quot;000C2F5D&quot;/&gt;&lt;wsp:rsid wsp:val=&quot;000C3017&quot;/&gt;&lt;wsp:rsid wsp:val=&quot;000C316A&quot;/&gt;&lt;wsp:rsid wsp:val=&quot;000C369E&quot;/&gt;&lt;wsp:rsid wsp:val=&quot;000C436C&quot;/&gt;&lt;wsp:rsid wsp:val=&quot;000C47D6&quot;/&gt;&lt;wsp:rsid wsp:val=&quot;000C4E3B&quot;/&gt;&lt;wsp:rsid wsp:val=&quot;000C5CE0&quot;/&gt;&lt;wsp:rsid wsp:val=&quot;000C5E17&quot;/&gt;&lt;wsp:rsid wsp:val=&quot;000C5E29&quot;/&gt;&lt;wsp:rsid wsp:val=&quot;000C5F29&quot;/&gt;&lt;wsp:rsid wsp:val=&quot;000C61E6&quot;/&gt;&lt;wsp:rsid wsp:val=&quot;000C7137&quot;/&gt;&lt;wsp:rsid wsp:val=&quot;000C75A5&quot;/&gt;&lt;wsp:rsid wsp:val=&quot;000C79B7&quot;/&gt;&lt;wsp:rsid wsp:val=&quot;000C7C56&quot;/&gt;&lt;wsp:rsid wsp:val=&quot;000C7C5F&quot;/&gt;&lt;wsp:rsid wsp:val=&quot;000C7DBB&quot;/&gt;&lt;wsp:rsid wsp:val=&quot;000C7E0F&quot;/&gt;&lt;wsp:rsid wsp:val=&quot;000D06E9&quot;/&gt;&lt;wsp:rsid wsp:val=&quot;000D09C4&quot;/&gt;&lt;wsp:rsid wsp:val=&quot;000D0ECA&quot;/&gt;&lt;wsp:rsid wsp:val=&quot;000D22EE&quot;/&gt;&lt;wsp:rsid wsp:val=&quot;000D243F&quot;/&gt;&lt;wsp:rsid wsp:val=&quot;000D24E0&quot;/&gt;&lt;wsp:rsid wsp:val=&quot;000D385C&quot;/&gt;&lt;wsp:rsid wsp:val=&quot;000D4110&quot;/&gt;&lt;wsp:rsid wsp:val=&quot;000D4E93&quot;/&gt;&lt;wsp:rsid wsp:val=&quot;000D51E7&quot;/&gt;&lt;wsp:rsid wsp:val=&quot;000D573D&quot;/&gt;&lt;wsp:rsid wsp:val=&quot;000D5F41&quot;/&gt;&lt;wsp:rsid wsp:val=&quot;000D5F7F&quot;/&gt;&lt;wsp:rsid wsp:val=&quot;000D6463&quot;/&gt;&lt;wsp:rsid wsp:val=&quot;000D6FC9&quot;/&gt;&lt;wsp:rsid wsp:val=&quot;000D78F8&quot;/&gt;&lt;wsp:rsid wsp:val=&quot;000E0B11&quot;/&gt;&lt;wsp:rsid wsp:val=&quot;000E0B9B&quot;/&gt;&lt;wsp:rsid wsp:val=&quot;000E0D49&quot;/&gt;&lt;wsp:rsid wsp:val=&quot;000E0D4F&quot;/&gt;&lt;wsp:rsid wsp:val=&quot;000E1CB4&quot;/&gt;&lt;wsp:rsid wsp:val=&quot;000E1D2A&quot;/&gt;&lt;wsp:rsid wsp:val=&quot;000E24C3&quot;/&gt;&lt;wsp:rsid wsp:val=&quot;000E27B5&quot;/&gt;&lt;wsp:rsid wsp:val=&quot;000E2925&quot;/&gt;&lt;wsp:rsid wsp:val=&quot;000E2E1C&quot;/&gt;&lt;wsp:rsid wsp:val=&quot;000E3485&quot;/&gt;&lt;wsp:rsid wsp:val=&quot;000E34CD&quot;/&gt;&lt;wsp:rsid wsp:val=&quot;000E37E4&quot;/&gt;&lt;wsp:rsid wsp:val=&quot;000E492D&quot;/&gt;&lt;wsp:rsid wsp:val=&quot;000E4957&quot;/&gt;&lt;wsp:rsid wsp:val=&quot;000E4C70&quot;/&gt;&lt;wsp:rsid wsp:val=&quot;000E4D7D&quot;/&gt;&lt;wsp:rsid wsp:val=&quot;000E51C4&quot;/&gt;&lt;wsp:rsid wsp:val=&quot;000E55E2&quot;/&gt;&lt;wsp:rsid wsp:val=&quot;000E5CC4&quot;/&gt;&lt;wsp:rsid wsp:val=&quot;000E5E2A&quot;/&gt;&lt;wsp:rsid wsp:val=&quot;000E6CE0&quot;/&gt;&lt;wsp:rsid wsp:val=&quot;000E71DC&quot;/&gt;&lt;wsp:rsid wsp:val=&quot;000E7850&quot;/&gt;&lt;wsp:rsid wsp:val=&quot;000E7882&quot;/&gt;&lt;wsp:rsid wsp:val=&quot;000F06FB&quot;/&gt;&lt;wsp:rsid wsp:val=&quot;000F15F1&quot;/&gt;&lt;wsp:rsid wsp:val=&quot;000F1A26&quot;/&gt;&lt;wsp:rsid wsp:val=&quot;000F1C34&quot;/&gt;&lt;wsp:rsid wsp:val=&quot;000F1CE3&quot;/&gt;&lt;wsp:rsid wsp:val=&quot;000F2080&quot;/&gt;&lt;wsp:rsid wsp:val=&quot;000F2E83&quot;/&gt;&lt;wsp:rsid wsp:val=&quot;000F3DC7&quot;/&gt;&lt;wsp:rsid wsp:val=&quot;000F3EA9&quot;/&gt;&lt;wsp:rsid wsp:val=&quot;000F3FF0&quot;/&gt;&lt;wsp:rsid wsp:val=&quot;000F401A&quot;/&gt;&lt;wsp:rsid wsp:val=&quot;000F4380&quot;/&gt;&lt;wsp:rsid wsp:val=&quot;000F6629&quot;/&gt;&lt;wsp:rsid wsp:val=&quot;000F66BD&quot;/&gt;&lt;wsp:rsid wsp:val=&quot;000F7BC2&quot;/&gt;&lt;wsp:rsid wsp:val=&quot;001001EC&quot;/&gt;&lt;wsp:rsid wsp:val=&quot;001001ED&quot;/&gt;&lt;wsp:rsid wsp:val=&quot;001003BB&quot;/&gt;&lt;wsp:rsid wsp:val=&quot;00100D34&quot;/&gt;&lt;wsp:rsid wsp:val=&quot;001012DC&quot;/&gt;&lt;wsp:rsid wsp:val=&quot;001016E3&quot;/&gt;&lt;wsp:rsid wsp:val=&quot;0010206A&quot;/&gt;&lt;wsp:rsid wsp:val=&quot;001020EC&quot;/&gt;&lt;wsp:rsid wsp:val=&quot;0010273F&quot;/&gt;&lt;wsp:rsid wsp:val=&quot;00102EDF&quot;/&gt;&lt;wsp:rsid wsp:val=&quot;001034DB&quot;/&gt;&lt;wsp:rsid wsp:val=&quot;00103774&quot;/&gt;&lt;wsp:rsid wsp:val=&quot;0010390E&quot;/&gt;&lt;wsp:rsid wsp:val=&quot;001039C1&quot;/&gt;&lt;wsp:rsid wsp:val=&quot;00103C31&quot;/&gt;&lt;wsp:rsid wsp:val=&quot;0010503D&quot;/&gt;&lt;wsp:rsid wsp:val=&quot;001055E3&quot;/&gt;&lt;wsp:rsid wsp:val=&quot;00105C3A&quot;/&gt;&lt;wsp:rsid wsp:val=&quot;001071B2&quot;/&gt;&lt;wsp:rsid wsp:val=&quot;001073D3&quot;/&gt;&lt;wsp:rsid wsp:val=&quot;001075EA&quot;/&gt;&lt;wsp:rsid wsp:val=&quot;0010772D&quot;/&gt;&lt;wsp:rsid wsp:val=&quot;00107808&quot;/&gt;&lt;wsp:rsid wsp:val=&quot;00107CF3&quot;/&gt;&lt;wsp:rsid wsp:val=&quot;00107D8D&quot;/&gt;&lt;wsp:rsid wsp:val=&quot;00110191&quot;/&gt;&lt;wsp:rsid wsp:val=&quot;001106D8&quot;/&gt;&lt;wsp:rsid wsp:val=&quot;00110D9F&quot;/&gt;&lt;wsp:rsid wsp:val=&quot;00111EF3&quot;/&gt;&lt;wsp:rsid wsp:val=&quot;0011207F&quot;/&gt;&lt;wsp:rsid wsp:val=&quot;001121DC&quot;/&gt;&lt;wsp:rsid wsp:val=&quot;00113030&quot;/&gt;&lt;wsp:rsid wsp:val=&quot;00113291&quot;/&gt;&lt;wsp:rsid wsp:val=&quot;00113E68&quot;/&gt;&lt;wsp:rsid wsp:val=&quot;001147D7&quot;/&gt;&lt;wsp:rsid wsp:val=&quot;001150A9&quot;/&gt;&lt;wsp:rsid wsp:val=&quot;001165B3&quot;/&gt;&lt;wsp:rsid wsp:val=&quot;00117786&quot;/&gt;&lt;wsp:rsid wsp:val=&quot;00117AB9&quot;/&gt;&lt;wsp:rsid wsp:val=&quot;00117AE8&quot;/&gt;&lt;wsp:rsid wsp:val=&quot;001200DF&quot;/&gt;&lt;wsp:rsid wsp:val=&quot;001204F1&quot;/&gt;&lt;wsp:rsid wsp:val=&quot;00120677&quot;/&gt;&lt;wsp:rsid wsp:val=&quot;00120E1C&quot;/&gt;&lt;wsp:rsid wsp:val=&quot;00120EAD&quot;/&gt;&lt;wsp:rsid wsp:val=&quot;001211FD&quot;/&gt;&lt;wsp:rsid wsp:val=&quot;00121875&quot;/&gt;&lt;wsp:rsid wsp:val=&quot;001218B4&quot;/&gt;&lt;wsp:rsid wsp:val=&quot;00121B39&quot;/&gt;&lt;wsp:rsid wsp:val=&quot;00121DA9&quot;/&gt;&lt;wsp:rsid wsp:val=&quot;00122016&quot;/&gt;&lt;wsp:rsid wsp:val=&quot;00122099&quot;/&gt;&lt;wsp:rsid wsp:val=&quot;00122293&quot;/&gt;&lt;wsp:rsid wsp:val=&quot;00122C29&quot;/&gt;&lt;wsp:rsid wsp:val=&quot;00122E6C&quot;/&gt;&lt;wsp:rsid wsp:val=&quot;00123150&quot;/&gt;&lt;wsp:rsid wsp:val=&quot;001239C7&quot;/&gt;&lt;wsp:rsid wsp:val=&quot;00123B28&quot;/&gt;&lt;wsp:rsid wsp:val=&quot;00123B74&quot;/&gt;&lt;wsp:rsid wsp:val=&quot;001240F1&quot;/&gt;&lt;wsp:rsid wsp:val=&quot;00124460&quot;/&gt;&lt;wsp:rsid wsp:val=&quot;00124CF3&quot;/&gt;&lt;wsp:rsid wsp:val=&quot;00124D34&quot;/&gt;&lt;wsp:rsid wsp:val=&quot;00125145&quot;/&gt;&lt;wsp:rsid wsp:val=&quot;00126167&quot;/&gt;&lt;wsp:rsid wsp:val=&quot;00126AD4&quot;/&gt;&lt;wsp:rsid wsp:val=&quot;00127245&quot;/&gt;&lt;wsp:rsid wsp:val=&quot;0012729C&quot;/&gt;&lt;wsp:rsid wsp:val=&quot;001276BE&quot;/&gt;&lt;wsp:rsid wsp:val=&quot;00130AE8&quot;/&gt;&lt;wsp:rsid wsp:val=&quot;00131B56&quot;/&gt;&lt;wsp:rsid wsp:val=&quot;001329E5&quot;/&gt;&lt;wsp:rsid wsp:val=&quot;001330B9&quot;/&gt;&lt;wsp:rsid wsp:val=&quot;00133676&quot;/&gt;&lt;wsp:rsid wsp:val=&quot;00133A41&quot;/&gt;&lt;wsp:rsid wsp:val=&quot;00133C5F&quot;/&gt;&lt;wsp:rsid wsp:val=&quot;00133D0E&quot;/&gt;&lt;wsp:rsid wsp:val=&quot;00134204&quot;/&gt;&lt;wsp:rsid wsp:val=&quot;001345C5&quot;/&gt;&lt;wsp:rsid wsp:val=&quot;00134ED3&quot;/&gt;&lt;wsp:rsid wsp:val=&quot;001351E5&quot;/&gt;&lt;wsp:rsid wsp:val=&quot;00135303&quot;/&gt;&lt;wsp:rsid wsp:val=&quot;00135674&quot;/&gt;&lt;wsp:rsid wsp:val=&quot;001356A6&quot;/&gt;&lt;wsp:rsid wsp:val=&quot;00135733&quot;/&gt;&lt;wsp:rsid wsp:val=&quot;00135791&quot;/&gt;&lt;wsp:rsid wsp:val=&quot;0013585D&quot;/&gt;&lt;wsp:rsid wsp:val=&quot;001359A0&quot;/&gt;&lt;wsp:rsid wsp:val=&quot;0013611F&quot;/&gt;&lt;wsp:rsid wsp:val=&quot;0013619C&quot;/&gt;&lt;wsp:rsid wsp:val=&quot;00136DF3&quot;/&gt;&lt;wsp:rsid wsp:val=&quot;001372FF&quot;/&gt;&lt;wsp:rsid wsp:val=&quot;001378EF&quot;/&gt;&lt;wsp:rsid wsp:val=&quot;00137988&quot;/&gt;&lt;wsp:rsid wsp:val=&quot;00140863&quot;/&gt;&lt;wsp:rsid wsp:val=&quot;001412A7&quot;/&gt;&lt;wsp:rsid wsp:val=&quot;0014131F&quot;/&gt;&lt;wsp:rsid wsp:val=&quot;001420AB&quot;/&gt;&lt;wsp:rsid wsp:val=&quot;001420B8&quot;/&gt;&lt;wsp:rsid wsp:val=&quot;001428CC&quot;/&gt;&lt;wsp:rsid wsp:val=&quot;00142AC5&quot;/&gt;&lt;wsp:rsid wsp:val=&quot;00142E23&quot;/&gt;&lt;wsp:rsid wsp:val=&quot;00143B23&quot;/&gt;&lt;wsp:rsid wsp:val=&quot;001444D2&quot;/&gt;&lt;wsp:rsid wsp:val=&quot;0014466A&quot;/&gt;&lt;wsp:rsid wsp:val=&quot;00144FBB&quot;/&gt;&lt;wsp:rsid wsp:val=&quot;00145316&quot;/&gt;&lt;wsp:rsid wsp:val=&quot;00145633&quot;/&gt;&lt;wsp:rsid wsp:val=&quot;00145DFF&quot;/&gt;&lt;wsp:rsid wsp:val=&quot;00145E35&quot;/&gt;&lt;wsp:rsid wsp:val=&quot;0014641F&quot;/&gt;&lt;wsp:rsid wsp:val=&quot;00146DC1&quot;/&gt;&lt;wsp:rsid wsp:val=&quot;001470EC&quot;/&gt;&lt;wsp:rsid wsp:val=&quot;0014788C&quot;/&gt;&lt;wsp:rsid wsp:val=&quot;001478F2&quot;/&gt;&lt;wsp:rsid wsp:val=&quot;00147EE2&quot;/&gt;&lt;wsp:rsid wsp:val=&quot;00147F6A&quot;/&gt;&lt;wsp:rsid wsp:val=&quot;00150275&quot;/&gt;&lt;wsp:rsid wsp:val=&quot;0015077B&quot;/&gt;&lt;wsp:rsid wsp:val=&quot;001517C2&quot;/&gt;&lt;wsp:rsid wsp:val=&quot;0015180A&quot;/&gt;&lt;wsp:rsid wsp:val=&quot;001519EF&quot;/&gt;&lt;wsp:rsid wsp:val=&quot;00151FF5&quot;/&gt;&lt;wsp:rsid wsp:val=&quot;0015215A&quot;/&gt;&lt;wsp:rsid wsp:val=&quot;001523DF&quot;/&gt;&lt;wsp:rsid wsp:val=&quot;00152B94&quot;/&gt;&lt;wsp:rsid wsp:val=&quot;00152F03&quot;/&gt;&lt;wsp:rsid wsp:val=&quot;00152F47&quot;/&gt;&lt;wsp:rsid wsp:val=&quot;00153BB4&quot;/&gt;&lt;wsp:rsid wsp:val=&quot;00153C79&quot;/&gt;&lt;wsp:rsid wsp:val=&quot;00154095&quot;/&gt;&lt;wsp:rsid wsp:val=&quot;00155276&quot;/&gt;&lt;wsp:rsid wsp:val=&quot;001554AD&quot;/&gt;&lt;wsp:rsid wsp:val=&quot;001555DC&quot;/&gt;&lt;wsp:rsid wsp:val=&quot;001557DB&quot;/&gt;&lt;wsp:rsid wsp:val=&quot;00155B27&quot;/&gt;&lt;wsp:rsid wsp:val=&quot;00155D6E&quot;/&gt;&lt;wsp:rsid wsp:val=&quot;0015638E&quot;/&gt;&lt;wsp:rsid wsp:val=&quot;00156DA3&quot;/&gt;&lt;wsp:rsid wsp:val=&quot;00156EBD&quot;/&gt;&lt;wsp:rsid wsp:val=&quot;001572D2&quot;/&gt;&lt;wsp:rsid wsp:val=&quot;0015752E&quot;/&gt;&lt;wsp:rsid wsp:val=&quot;00160B9A&quot;/&gt;&lt;wsp:rsid wsp:val=&quot;00160EF9&quot;/&gt;&lt;wsp:rsid wsp:val=&quot;00161081&quot;/&gt;&lt;wsp:rsid wsp:val=&quot;00161266&quot;/&gt;&lt;wsp:rsid wsp:val=&quot;001613D9&quot;/&gt;&lt;wsp:rsid wsp:val=&quot;0016151A&quot;/&gt;&lt;wsp:rsid wsp:val=&quot;001619F2&quot;/&gt;&lt;wsp:rsid wsp:val=&quot;00161A19&quot;/&gt;&lt;wsp:rsid wsp:val=&quot;00161A8F&quot;/&gt;&lt;wsp:rsid wsp:val=&quot;00161A90&quot;/&gt;&lt;wsp:rsid wsp:val=&quot;00161FB8&quot;/&gt;&lt;wsp:rsid wsp:val=&quot;00162064&quot;/&gt;&lt;wsp:rsid wsp:val=&quot;00163235&quot;/&gt;&lt;wsp:rsid wsp:val=&quot;00163325&quot;/&gt;&lt;wsp:rsid wsp:val=&quot;00163ED9&quot;/&gt;&lt;wsp:rsid wsp:val=&quot;00164141&quot;/&gt;&lt;wsp:rsid wsp:val=&quot;001642AF&quot;/&gt;&lt;wsp:rsid wsp:val=&quot;00164885&quot;/&gt;&lt;wsp:rsid wsp:val=&quot;00165016&quot;/&gt;&lt;wsp:rsid wsp:val=&quot;001650CD&quot;/&gt;&lt;wsp:rsid wsp:val=&quot;00165397&quot;/&gt;&lt;wsp:rsid wsp:val=&quot;001654CE&quot;/&gt;&lt;wsp:rsid wsp:val=&quot;00165581&quot;/&gt;&lt;wsp:rsid wsp:val=&quot;00165EBF&quot;/&gt;&lt;wsp:rsid wsp:val=&quot;00165F81&quot;/&gt;&lt;wsp:rsid wsp:val=&quot;00166374&quot;/&gt;&lt;wsp:rsid wsp:val=&quot;00166F00&quot;/&gt;&lt;wsp:rsid wsp:val=&quot;001678B3&quot;/&gt;&lt;wsp:rsid wsp:val=&quot;00167D65&quot;/&gt;&lt;wsp:rsid wsp:val=&quot;001700D0&quot;/&gt;&lt;wsp:rsid wsp:val=&quot;001708B9&quot;/&gt;&lt;wsp:rsid wsp:val=&quot;0017099E&quot;/&gt;&lt;wsp:rsid wsp:val=&quot;00170D02&quot;/&gt;&lt;wsp:rsid wsp:val=&quot;00172045&quot;/&gt;&lt;wsp:rsid wsp:val=&quot;0017209E&quot;/&gt;&lt;wsp:rsid wsp:val=&quot;00172DC8&quot;/&gt;&lt;wsp:rsid wsp:val=&quot;00173E3D&quot;/&gt;&lt;wsp:rsid wsp:val=&quot;00173E8F&quot;/&gt;&lt;wsp:rsid wsp:val=&quot;001741D6&quot;/&gt;&lt;wsp:rsid wsp:val=&quot;0017420E&quot;/&gt;&lt;wsp:rsid wsp:val=&quot;0017442B&quot;/&gt;&lt;wsp:rsid wsp:val=&quot;00174C68&quot;/&gt;&lt;wsp:rsid wsp:val=&quot;00174DB9&quot;/&gt;&lt;wsp:rsid wsp:val=&quot;001754BB&quot;/&gt;&lt;wsp:rsid wsp:val=&quot;00175917&quot;/&gt;&lt;wsp:rsid wsp:val=&quot;00175CE5&quot;/&gt;&lt;wsp:rsid wsp:val=&quot;00176593&quot;/&gt;&lt;wsp:rsid wsp:val=&quot;00176D19&quot;/&gt;&lt;wsp:rsid wsp:val=&quot;0017779C&quot;/&gt;&lt;wsp:rsid wsp:val=&quot;00177AAE&quot;/&gt;&lt;wsp:rsid wsp:val=&quot;00177BE0&quot;/&gt;&lt;wsp:rsid wsp:val=&quot;00177EE7&quot;/&gt;&lt;wsp:rsid wsp:val=&quot;00177F06&quot;/&gt;&lt;wsp:rsid wsp:val=&quot;00180278&quot;/&gt;&lt;wsp:rsid wsp:val=&quot;00180B93&quot;/&gt;&lt;wsp:rsid wsp:val=&quot;0018107E&quot;/&gt;&lt;wsp:rsid wsp:val=&quot;001812E7&quot;/&gt;&lt;wsp:rsid wsp:val=&quot;001814EB&quot;/&gt;&lt;wsp:rsid wsp:val=&quot;001828D0&quot;/&gt;&lt;wsp:rsid wsp:val=&quot;00182990&quot;/&gt;&lt;wsp:rsid wsp:val=&quot;00182F4A&quot;/&gt;&lt;wsp:rsid wsp:val=&quot;0018316A&quot;/&gt;&lt;wsp:rsid wsp:val=&quot;001832A3&quot;/&gt;&lt;wsp:rsid wsp:val=&quot;00183651&quot;/&gt;&lt;wsp:rsid wsp:val=&quot;00183FD1&quot;/&gt;&lt;wsp:rsid wsp:val=&quot;001841B4&quot;/&gt;&lt;wsp:rsid wsp:val=&quot;001859F3&quot;/&gt;&lt;wsp:rsid wsp:val=&quot;00185BAB&quot;/&gt;&lt;wsp:rsid wsp:val=&quot;001860DE&quot;/&gt;&lt;wsp:rsid wsp:val=&quot;001860E7&quot;/&gt;&lt;wsp:rsid wsp:val=&quot;00186DFB&quot;/&gt;&lt;wsp:rsid wsp:val=&quot;001871A4&quot;/&gt;&lt;wsp:rsid wsp:val=&quot;00187BE3&quot;/&gt;&lt;wsp:rsid wsp:val=&quot;00190459&quot;/&gt;&lt;wsp:rsid wsp:val=&quot;0019068E&quot;/&gt;&lt;wsp:rsid wsp:val=&quot;00190BF9&quot;/&gt;&lt;wsp:rsid wsp:val=&quot;0019118D&quot;/&gt;&lt;wsp:rsid wsp:val=&quot;001913DC&quot;/&gt;&lt;wsp:rsid wsp:val=&quot;00191BA2&quot;/&gt;&lt;wsp:rsid wsp:val=&quot;00192216&quot;/&gt;&lt;wsp:rsid wsp:val=&quot;00192413&quot;/&gt;&lt;wsp:rsid wsp:val=&quot;00192F23&quot;/&gt;&lt;wsp:rsid wsp:val=&quot;00192F25&quot;/&gt;&lt;wsp:rsid wsp:val=&quot;00193163&quot;/&gt;&lt;wsp:rsid wsp:val=&quot;00193A03&quot;/&gt;&lt;wsp:rsid wsp:val=&quot;00193EA6&quot;/&gt;&lt;wsp:rsid wsp:val=&quot;0019440C&quot;/&gt;&lt;wsp:rsid wsp:val=&quot;00194428&quot;/&gt;&lt;wsp:rsid wsp:val=&quot;0019479F&quot;/&gt;&lt;wsp:rsid wsp:val=&quot;00194B3B&quot;/&gt;&lt;wsp:rsid wsp:val=&quot;0019521E&quot;/&gt;&lt;wsp:rsid wsp:val=&quot;00195362&quot;/&gt;&lt;wsp:rsid wsp:val=&quot;001955CA&quot;/&gt;&lt;wsp:rsid wsp:val=&quot;00195866&quot;/&gt;&lt;wsp:rsid wsp:val=&quot;00195E8E&quot;/&gt;&lt;wsp:rsid wsp:val=&quot;0019613A&quot;/&gt;&lt;wsp:rsid wsp:val=&quot;0019622D&quot;/&gt;&lt;wsp:rsid wsp:val=&quot;00196C46&quot;/&gt;&lt;wsp:rsid wsp:val=&quot;00196FFE&quot;/&gt;&lt;wsp:rsid wsp:val=&quot;0019719C&quot;/&gt;&lt;wsp:rsid wsp:val=&quot;0019731C&quot;/&gt;&lt;wsp:rsid wsp:val=&quot;00197334&quot;/&gt;&lt;wsp:rsid wsp:val=&quot;00197C0E&quot;/&gt;&lt;wsp:rsid wsp:val=&quot;001A02A7&quot;/&gt;&lt;wsp:rsid wsp:val=&quot;001A040F&quot;/&gt;&lt;wsp:rsid wsp:val=&quot;001A05EC&quot;/&gt;&lt;wsp:rsid wsp:val=&quot;001A1261&quot;/&gt;&lt;wsp:rsid wsp:val=&quot;001A1DD3&quot;/&gt;&lt;wsp:rsid wsp:val=&quot;001A26A9&quot;/&gt;&lt;wsp:rsid wsp:val=&quot;001A3997&quot;/&gt;&lt;wsp:rsid wsp:val=&quot;001A3B2C&quot;/&gt;&lt;wsp:rsid wsp:val=&quot;001A4034&quot;/&gt;&lt;wsp:rsid wsp:val=&quot;001A443C&quot;/&gt;&lt;wsp:rsid wsp:val=&quot;001A4BEE&quot;/&gt;&lt;wsp:rsid wsp:val=&quot;001A54C7&quot;/&gt;&lt;wsp:rsid wsp:val=&quot;001A5F6C&quot;/&gt;&lt;wsp:rsid wsp:val=&quot;001A64AD&quot;/&gt;&lt;wsp:rsid wsp:val=&quot;001A68D7&quot;/&gt;&lt;wsp:rsid wsp:val=&quot;001A6E4C&quot;/&gt;&lt;wsp:rsid wsp:val=&quot;001A6FF5&quot;/&gt;&lt;wsp:rsid wsp:val=&quot;001A78BE&quot;/&gt;&lt;wsp:rsid wsp:val=&quot;001A78C4&quot;/&gt;&lt;wsp:rsid wsp:val=&quot;001A790A&quot;/&gt;&lt;wsp:rsid wsp:val=&quot;001A7F5B&quot;/&gt;&lt;wsp:rsid wsp:val=&quot;001B052B&quot;/&gt;&lt;wsp:rsid wsp:val=&quot;001B0909&quot;/&gt;&lt;wsp:rsid wsp:val=&quot;001B1211&quot;/&gt;&lt;wsp:rsid wsp:val=&quot;001B1270&quot;/&gt;&lt;wsp:rsid wsp:val=&quot;001B1EC0&quot;/&gt;&lt;wsp:rsid wsp:val=&quot;001B2290&quot;/&gt;&lt;wsp:rsid wsp:val=&quot;001B27B0&quot;/&gt;&lt;wsp:rsid wsp:val=&quot;001B28D1&quot;/&gt;&lt;wsp:rsid wsp:val=&quot;001B3242&quot;/&gt;&lt;wsp:rsid wsp:val=&quot;001B37D4&quot;/&gt;&lt;wsp:rsid wsp:val=&quot;001B46D0&quot;/&gt;&lt;wsp:rsid wsp:val=&quot;001B4909&quot;/&gt;&lt;wsp:rsid wsp:val=&quot;001B5072&quot;/&gt;&lt;wsp:rsid wsp:val=&quot;001B549A&quot;/&gt;&lt;wsp:rsid wsp:val=&quot;001B5D25&quot;/&gt;&lt;wsp:rsid wsp:val=&quot;001B5F7C&quot;/&gt;&lt;wsp:rsid wsp:val=&quot;001B5F93&quot;/&gt;&lt;wsp:rsid wsp:val=&quot;001B6E22&quot;/&gt;&lt;wsp:rsid wsp:val=&quot;001B71BE&quot;/&gt;&lt;wsp:rsid wsp:val=&quot;001B7310&quot;/&gt;&lt;wsp:rsid wsp:val=&quot;001B78E9&quot;/&gt;&lt;wsp:rsid wsp:val=&quot;001B7DEE&quot;/&gt;&lt;wsp:rsid wsp:val=&quot;001B7FCF&quot;/&gt;&lt;wsp:rsid wsp:val=&quot;001C0540&quot;/&gt;&lt;wsp:rsid wsp:val=&quot;001C0739&quot;/&gt;&lt;wsp:rsid wsp:val=&quot;001C0985&quot;/&gt;&lt;wsp:rsid wsp:val=&quot;001C0A70&quot;/&gt;&lt;wsp:rsid wsp:val=&quot;001C0D50&quot;/&gt;&lt;wsp:rsid wsp:val=&quot;001C19FA&quot;/&gt;&lt;wsp:rsid wsp:val=&quot;001C1A49&quot;/&gt;&lt;wsp:rsid wsp:val=&quot;001C1D4E&quot;/&gt;&lt;wsp:rsid wsp:val=&quot;001C2355&quot;/&gt;&lt;wsp:rsid wsp:val=&quot;001C2781&quot;/&gt;&lt;wsp:rsid wsp:val=&quot;001C2D97&quot;/&gt;&lt;wsp:rsid wsp:val=&quot;001C2F84&quot;/&gt;&lt;wsp:rsid wsp:val=&quot;001C345A&quot;/&gt;&lt;wsp:rsid wsp:val=&quot;001C376E&quot;/&gt;&lt;wsp:rsid wsp:val=&quot;001C3C03&quot;/&gt;&lt;wsp:rsid wsp:val=&quot;001C3D43&quot;/&gt;&lt;wsp:rsid wsp:val=&quot;001C43E7&quot;/&gt;&lt;wsp:rsid wsp:val=&quot;001C4745&quot;/&gt;&lt;wsp:rsid wsp:val=&quot;001C48FB&quot;/&gt;&lt;wsp:rsid wsp:val=&quot;001C49AE&quot;/&gt;&lt;wsp:rsid wsp:val=&quot;001C5049&quot;/&gt;&lt;wsp:rsid wsp:val=&quot;001C50B1&quot;/&gt;&lt;wsp:rsid wsp:val=&quot;001C5F03&quot;/&gt;&lt;wsp:rsid wsp:val=&quot;001C5FE9&quot;/&gt;&lt;wsp:rsid wsp:val=&quot;001C63FE&quot;/&gt;&lt;wsp:rsid wsp:val=&quot;001C66CD&quot;/&gt;&lt;wsp:rsid wsp:val=&quot;001C6A96&quot;/&gt;&lt;wsp:rsid wsp:val=&quot;001C77A1&quot;/&gt;&lt;wsp:rsid wsp:val=&quot;001C7F81&quot;/&gt;&lt;wsp:rsid wsp:val=&quot;001D0B01&quot;/&gt;&lt;wsp:rsid wsp:val=&quot;001D10DA&quot;/&gt;&lt;wsp:rsid wsp:val=&quot;001D1737&quot;/&gt;&lt;wsp:rsid wsp:val=&quot;001D1CCD&quot;/&gt;&lt;wsp:rsid wsp:val=&quot;001D1FBD&quot;/&gt;&lt;wsp:rsid wsp:val=&quot;001D2028&quot;/&gt;&lt;wsp:rsid wsp:val=&quot;001D2652&quot;/&gt;&lt;wsp:rsid wsp:val=&quot;001D2BD8&quot;/&gt;&lt;wsp:rsid wsp:val=&quot;001D3181&quot;/&gt;&lt;wsp:rsid wsp:val=&quot;001D36A8&quot;/&gt;&lt;wsp:rsid wsp:val=&quot;001D36BA&quot;/&gt;&lt;wsp:rsid wsp:val=&quot;001D37A6&quot;/&gt;&lt;wsp:rsid wsp:val=&quot;001D404E&quot;/&gt;&lt;wsp:rsid wsp:val=&quot;001D4BDD&quot;/&gt;&lt;wsp:rsid wsp:val=&quot;001D4FB3&quot;/&gt;&lt;wsp:rsid wsp:val=&quot;001D6332&quot;/&gt;&lt;wsp:rsid wsp:val=&quot;001D78C8&quot;/&gt;&lt;wsp:rsid wsp:val=&quot;001D792C&quot;/&gt;&lt;wsp:rsid wsp:val=&quot;001D7A4C&quot;/&gt;&lt;wsp:rsid wsp:val=&quot;001D7A61&quot;/&gt;&lt;wsp:rsid wsp:val=&quot;001D7E0B&quot;/&gt;&lt;wsp:rsid wsp:val=&quot;001D7F98&quot;/&gt;&lt;wsp:rsid wsp:val=&quot;001E01E7&quot;/&gt;&lt;wsp:rsid wsp:val=&quot;001E05AA&quot;/&gt;&lt;wsp:rsid wsp:val=&quot;001E0AF2&quot;/&gt;&lt;wsp:rsid wsp:val=&quot;001E10F5&quot;/&gt;&lt;wsp:rsid wsp:val=&quot;001E113C&quot;/&gt;&lt;wsp:rsid wsp:val=&quot;001E156A&quot;/&gt;&lt;wsp:rsid wsp:val=&quot;001E1605&quot;/&gt;&lt;wsp:rsid wsp:val=&quot;001E2C32&quot;/&gt;&lt;wsp:rsid wsp:val=&quot;001E3385&quot;/&gt;&lt;wsp:rsid wsp:val=&quot;001E3583&quot;/&gt;&lt;wsp:rsid wsp:val=&quot;001E42B7&quot;/&gt;&lt;wsp:rsid wsp:val=&quot;001E4752&quot;/&gt;&lt;wsp:rsid wsp:val=&quot;001E483C&quot;/&gt;&lt;wsp:rsid wsp:val=&quot;001E4861&quot;/&gt;&lt;wsp:rsid wsp:val=&quot;001E4983&quot;/&gt;&lt;wsp:rsid wsp:val=&quot;001E4B90&quot;/&gt;&lt;wsp:rsid wsp:val=&quot;001E50E3&quot;/&gt;&lt;wsp:rsid wsp:val=&quot;001E523B&quot;/&gt;&lt;wsp:rsid wsp:val=&quot;001E54FA&quot;/&gt;&lt;wsp:rsid wsp:val=&quot;001E5BC7&quot;/&gt;&lt;wsp:rsid wsp:val=&quot;001E664D&quot;/&gt;&lt;wsp:rsid wsp:val=&quot;001E73A7&quot;/&gt;&lt;wsp:rsid wsp:val=&quot;001E74C8&quot;/&gt;&lt;wsp:rsid wsp:val=&quot;001E7E38&quot;/&gt;&lt;wsp:rsid wsp:val=&quot;001F0080&quot;/&gt;&lt;wsp:rsid wsp:val=&quot;001F076E&quot;/&gt;&lt;wsp:rsid wsp:val=&quot;001F19F5&quot;/&gt;&lt;wsp:rsid wsp:val=&quot;001F1DA9&quot;/&gt;&lt;wsp:rsid wsp:val=&quot;001F2588&quot;/&gt;&lt;wsp:rsid wsp:val=&quot;001F31CA&quot;/&gt;&lt;wsp:rsid wsp:val=&quot;001F382C&quot;/&gt;&lt;wsp:rsid wsp:val=&quot;001F38B9&quot;/&gt;&lt;wsp:rsid wsp:val=&quot;001F3AF4&quot;/&gt;&lt;wsp:rsid wsp:val=&quot;001F3B6B&quot;/&gt;&lt;wsp:rsid wsp:val=&quot;001F3F65&quot;/&gt;&lt;wsp:rsid wsp:val=&quot;001F4E7C&quot;/&gt;&lt;wsp:rsid wsp:val=&quot;001F51FB&quot;/&gt;&lt;wsp:rsid wsp:val=&quot;001F5B86&quot;/&gt;&lt;wsp:rsid wsp:val=&quot;001F6C73&quot;/&gt;&lt;wsp:rsid wsp:val=&quot;001F740C&quot;/&gt;&lt;wsp:rsid wsp:val=&quot;001F7BE7&quot;/&gt;&lt;wsp:rsid wsp:val=&quot;002000B6&quot;/&gt;&lt;wsp:rsid wsp:val=&quot;00200526&quot;/&gt;&lt;wsp:rsid wsp:val=&quot;002006AD&quot;/&gt;&lt;wsp:rsid wsp:val=&quot;002013BF&quot;/&gt;&lt;wsp:rsid wsp:val=&quot;002015F9&quot;/&gt;&lt;wsp:rsid wsp:val=&quot;0020218C&quot;/&gt;&lt;wsp:rsid wsp:val=&quot;00202AB5&quot;/&gt;&lt;wsp:rsid wsp:val=&quot;002039D4&quot;/&gt;&lt;wsp:rsid wsp:val=&quot;00203CC6&quot;/&gt;&lt;wsp:rsid wsp:val=&quot;0020466E&quot;/&gt;&lt;wsp:rsid wsp:val=&quot;0020491B&quot;/&gt;&lt;wsp:rsid wsp:val=&quot;00204C9C&quot;/&gt;&lt;wsp:rsid wsp:val=&quot;00204E02&quot;/&gt;&lt;wsp:rsid wsp:val=&quot;00205158&quot;/&gt;&lt;wsp:rsid wsp:val=&quot;00205639&quot;/&gt;&lt;wsp:rsid wsp:val=&quot;00205910&quot;/&gt;&lt;wsp:rsid wsp:val=&quot;00205B6C&quot;/&gt;&lt;wsp:rsid wsp:val=&quot;00205BC4&quot;/&gt;&lt;wsp:rsid wsp:val=&quot;00205D7B&quot;/&gt;&lt;wsp:rsid wsp:val=&quot;00205D82&quot;/&gt;&lt;wsp:rsid wsp:val=&quot;002062DE&quot;/&gt;&lt;wsp:rsid wsp:val=&quot;00206487&quot;/&gt;&lt;wsp:rsid wsp:val=&quot;00206866&quot;/&gt;&lt;wsp:rsid wsp:val=&quot;00206BA0&quot;/&gt;&lt;wsp:rsid wsp:val=&quot;00207A48&quot;/&gt;&lt;wsp:rsid wsp:val=&quot;00210679&quot;/&gt;&lt;wsp:rsid wsp:val=&quot;00210851&quot;/&gt;&lt;wsp:rsid wsp:val=&quot;0021127A&quot;/&gt;&lt;wsp:rsid wsp:val=&quot;0021239D&quot;/&gt;&lt;wsp:rsid wsp:val=&quot;00212513&quot;/&gt;&lt;wsp:rsid wsp:val=&quot;00212659&quot;/&gt;&lt;wsp:rsid wsp:val=&quot;0021275D&quot;/&gt;&lt;wsp:rsid wsp:val=&quot;002128EC&quot;/&gt;&lt;wsp:rsid wsp:val=&quot;0021311B&quot;/&gt;&lt;wsp:rsid wsp:val=&quot;00213745&quot;/&gt;&lt;wsp:rsid wsp:val=&quot;00214702&quot;/&gt;&lt;wsp:rsid wsp:val=&quot;00214AB4&quot;/&gt;&lt;wsp:rsid wsp:val=&quot;002150CC&quot;/&gt;&lt;wsp:rsid wsp:val=&quot;00215361&quot;/&gt;&lt;wsp:rsid wsp:val=&quot;0021553B&quot;/&gt;&lt;wsp:rsid wsp:val=&quot;0021595F&quot;/&gt;&lt;wsp:rsid wsp:val=&quot;0021635E&quot;/&gt;&lt;wsp:rsid wsp:val=&quot;00216563&quot;/&gt;&lt;wsp:rsid wsp:val=&quot;00216C94&quot;/&gt;&lt;wsp:rsid wsp:val=&quot;00216F38&quot;/&gt;&lt;wsp:rsid wsp:val=&quot;00217273&quot;/&gt;&lt;wsp:rsid wsp:val=&quot;00217BF8&quot;/&gt;&lt;wsp:rsid wsp:val=&quot;00217C29&quot;/&gt;&lt;wsp:rsid wsp:val=&quot;00221154&quot;/&gt;&lt;wsp:rsid wsp:val=&quot;00221AFB&quot;/&gt;&lt;wsp:rsid wsp:val=&quot;00221D17&quot;/&gt;&lt;wsp:rsid wsp:val=&quot;00222395&quot;/&gt;&lt;wsp:rsid wsp:val=&quot;002228F0&quot;/&gt;&lt;wsp:rsid wsp:val=&quot;00222950&quot;/&gt;&lt;wsp:rsid wsp:val=&quot;00222C50&quot;/&gt;&lt;wsp:rsid wsp:val=&quot;00222C6E&quot;/&gt;&lt;wsp:rsid wsp:val=&quot;00222FCB&quot;/&gt;&lt;wsp:rsid wsp:val=&quot;00223028&quot;/&gt;&lt;wsp:rsid wsp:val=&quot;00223E06&quot;/&gt;&lt;wsp:rsid wsp:val=&quot;00223EAF&quot;/&gt;&lt;wsp:rsid wsp:val=&quot;00224119&quot;/&gt;&lt;wsp:rsid wsp:val=&quot;00224493&quot;/&gt;&lt;wsp:rsid wsp:val=&quot;002247B1&quot;/&gt;&lt;wsp:rsid wsp:val=&quot;00225162&quot;/&gt;&lt;wsp:rsid wsp:val=&quot;002257A3&quot;/&gt;&lt;wsp:rsid wsp:val=&quot;002267FD&quot;/&gt;&lt;wsp:rsid wsp:val=&quot;00226D86&quot;/&gt;&lt;wsp:rsid wsp:val=&quot;00227EE9&quot;/&gt;&lt;wsp:rsid wsp:val=&quot;00230340&quot;/&gt;&lt;wsp:rsid wsp:val=&quot;002309EE&quot;/&gt;&lt;wsp:rsid wsp:val=&quot;00230BCF&quot;/&gt;&lt;wsp:rsid wsp:val=&quot;00230FD2&quot;/&gt;&lt;wsp:rsid wsp:val=&quot;00231351&quot;/&gt;&lt;wsp:rsid wsp:val=&quot;00231630&quot;/&gt;&lt;wsp:rsid wsp:val=&quot;002339DB&quot;/&gt;&lt;wsp:rsid wsp:val=&quot;00233BA5&quot;/&gt;&lt;wsp:rsid wsp:val=&quot;00233D21&quot;/&gt;&lt;wsp:rsid wsp:val=&quot;002341D5&quot;/&gt;&lt;wsp:rsid wsp:val=&quot;00234C44&quot;/&gt;&lt;wsp:rsid wsp:val=&quot;00234DFB&quot;/&gt;&lt;wsp:rsid wsp:val=&quot;002353DC&quot;/&gt;&lt;wsp:rsid wsp:val=&quot;00235782&quot;/&gt;&lt;wsp:rsid wsp:val=&quot;00235866&quot;/&gt;&lt;wsp:rsid wsp:val=&quot;00235AB4&quot;/&gt;&lt;wsp:rsid wsp:val=&quot;00235F2A&quot;/&gt;&lt;wsp:rsid wsp:val=&quot;00236228&quot;/&gt;&lt;wsp:rsid wsp:val=&quot;00236A1D&quot;/&gt;&lt;wsp:rsid wsp:val=&quot;00237449&quot;/&gt;&lt;wsp:rsid wsp:val=&quot;002377CE&quot;/&gt;&lt;wsp:rsid wsp:val=&quot;002379D2&quot;/&gt;&lt;wsp:rsid wsp:val=&quot;0024042A&quot;/&gt;&lt;wsp:rsid wsp:val=&quot;00240DE0&quot;/&gt;&lt;wsp:rsid wsp:val=&quot;00242432&quot;/&gt;&lt;wsp:rsid wsp:val=&quot;00243004&quot;/&gt;&lt;wsp:rsid wsp:val=&quot;0024302F&quot;/&gt;&lt;wsp:rsid wsp:val=&quot;00243292&quot;/&gt;&lt;wsp:rsid wsp:val=&quot;002433DB&quot;/&gt;&lt;wsp:rsid wsp:val=&quot;00243720&quot;/&gt;&lt;wsp:rsid wsp:val=&quot;00243CDD&quot;/&gt;&lt;wsp:rsid wsp:val=&quot;00243D4F&quot;/&gt;&lt;wsp:rsid wsp:val=&quot;00243FCD&quot;/&gt;&lt;wsp:rsid wsp:val=&quot;002446E6&quot;/&gt;&lt;wsp:rsid wsp:val=&quot;002449E0&quot;/&gt;&lt;wsp:rsid wsp:val=&quot;00244C0C&quot;/&gt;&lt;wsp:rsid wsp:val=&quot;002456AF&quot;/&gt;&lt;wsp:rsid wsp:val=&quot;00245E86&quot;/&gt;&lt;wsp:rsid wsp:val=&quot;002462E6&quot;/&gt;&lt;wsp:rsid wsp:val=&quot;00246627&quot;/&gt;&lt;wsp:rsid wsp:val=&quot;00246C89&quot;/&gt;&lt;wsp:rsid wsp:val=&quot;00250E7A&quot;/&gt;&lt;wsp:rsid wsp:val=&quot;0025166D&quot;/&gt;&lt;wsp:rsid wsp:val=&quot;002517E7&quot;/&gt;&lt;wsp:rsid wsp:val=&quot;0025302B&quot;/&gt;&lt;wsp:rsid wsp:val=&quot;0025388A&quot;/&gt;&lt;wsp:rsid wsp:val=&quot;00253AEC&quot;/&gt;&lt;wsp:rsid wsp:val=&quot;00253C12&quot;/&gt;&lt;wsp:rsid wsp:val=&quot;00253D4F&quot;/&gt;&lt;wsp:rsid wsp:val=&quot;002544FE&quot;/&gt;&lt;wsp:rsid wsp:val=&quot;00254661&quot;/&gt;&lt;wsp:rsid wsp:val=&quot;0025485D&quot;/&gt;&lt;wsp:rsid wsp:val=&quot;00254C9A&quot;/&gt;&lt;wsp:rsid wsp:val=&quot;002572CD&quot;/&gt;&lt;wsp:rsid wsp:val=&quot;002575F1&quot;/&gt;&lt;wsp:rsid wsp:val=&quot;00257E2E&quot;/&gt;&lt;wsp:rsid wsp:val=&quot;00260AFC&quot;/&gt;&lt;wsp:rsid wsp:val=&quot;00260F41&quot;/&gt;&lt;wsp:rsid wsp:val=&quot;002613A9&quot;/&gt;&lt;wsp:rsid wsp:val=&quot;002619BE&quot;/&gt;&lt;wsp:rsid wsp:val=&quot;00261E78&quot;/&gt;&lt;wsp:rsid wsp:val=&quot;00261E93&quot;/&gt;&lt;wsp:rsid wsp:val=&quot;0026212F&quot;/&gt;&lt;wsp:rsid wsp:val=&quot;0026345B&quot;/&gt;&lt;wsp:rsid wsp:val=&quot;0026348E&quot;/&gt;&lt;wsp:rsid wsp:val=&quot;00263A11&quot;/&gt;&lt;wsp:rsid wsp:val=&quot;00263CF2&quot;/&gt;&lt;wsp:rsid wsp:val=&quot;00263D24&quot;/&gt;&lt;wsp:rsid wsp:val=&quot;00264032&quot;/&gt;&lt;wsp:rsid wsp:val=&quot;002644CA&quot;/&gt;&lt;wsp:rsid wsp:val=&quot;0026473B&quot;/&gt;&lt;wsp:rsid wsp:val=&quot;00264EC5&quot;/&gt;&lt;wsp:rsid wsp:val=&quot;002658CC&quot;/&gt;&lt;wsp:rsid wsp:val=&quot;00265A1D&quot;/&gt;&lt;wsp:rsid wsp:val=&quot;00265BC4&quot;/&gt;&lt;wsp:rsid wsp:val=&quot;002660BC&quot;/&gt;&lt;wsp:rsid wsp:val=&quot;00266192&quot;/&gt;&lt;wsp:rsid wsp:val=&quot;002662C8&quot;/&gt;&lt;wsp:rsid wsp:val=&quot;002665FC&quot;/&gt;&lt;wsp:rsid wsp:val=&quot;002669E3&quot;/&gt;&lt;wsp:rsid wsp:val=&quot;002669EA&quot;/&gt;&lt;wsp:rsid wsp:val=&quot;00266B49&quot;/&gt;&lt;wsp:rsid wsp:val=&quot;0026753C&quot;/&gt;&lt;wsp:rsid wsp:val=&quot;00267744&quot;/&gt;&lt;wsp:rsid wsp:val=&quot;00267E2B&quot;/&gt;&lt;wsp:rsid wsp:val=&quot;00270D5B&quot;/&gt;&lt;wsp:rsid wsp:val=&quot;00270F6B&quot;/&gt;&lt;wsp:rsid wsp:val=&quot;0027139C&quot;/&gt;&lt;wsp:rsid wsp:val=&quot;00271CBA&quot;/&gt;&lt;wsp:rsid wsp:val=&quot;002723C7&quot;/&gt;&lt;wsp:rsid wsp:val=&quot;002723C8&quot;/&gt;&lt;wsp:rsid wsp:val=&quot;002725F4&quot;/&gt;&lt;wsp:rsid wsp:val=&quot;00272DF2&quot;/&gt;&lt;wsp:rsid wsp:val=&quot;00273542&quot;/&gt;&lt;wsp:rsid wsp:val=&quot;00273559&quot;/&gt;&lt;wsp:rsid wsp:val=&quot;002738EB&quot;/&gt;&lt;wsp:rsid wsp:val=&quot;00273E72&quot;/&gt;&lt;wsp:rsid wsp:val=&quot;00274817&quot;/&gt;&lt;wsp:rsid wsp:val=&quot;002748BD&quot;/&gt;&lt;wsp:rsid wsp:val=&quot;00275111&quot;/&gt;&lt;wsp:rsid wsp:val=&quot;002753BD&quot;/&gt;&lt;wsp:rsid wsp:val=&quot;002765D3&quot;/&gt;&lt;wsp:rsid wsp:val=&quot;0027667E&quot;/&gt;&lt;wsp:rsid wsp:val=&quot;002769A3&quot;/&gt;&lt;wsp:rsid wsp:val=&quot;00276C8A&quot;/&gt;&lt;wsp:rsid wsp:val=&quot;00276D44&quot;/&gt;&lt;wsp:rsid wsp:val=&quot;00277816&quot;/&gt;&lt;wsp:rsid wsp:val=&quot;0028050E&quot;/&gt;&lt;wsp:rsid wsp:val=&quot;002805AC&quot;/&gt;&lt;wsp:rsid wsp:val=&quot;00280D14&quot;/&gt;&lt;wsp:rsid wsp:val=&quot;00281208&quot;/&gt;&lt;wsp:rsid wsp:val=&quot;002816E1&quot;/&gt;&lt;wsp:rsid wsp:val=&quot;00281B4E&quot;/&gt;&lt;wsp:rsid wsp:val=&quot;00281DCB&quot;/&gt;&lt;wsp:rsid wsp:val=&quot;00282366&quot;/&gt;&lt;wsp:rsid wsp:val=&quot;002836BD&quot;/&gt;&lt;wsp:rsid wsp:val=&quot;00283939&quot;/&gt;&lt;wsp:rsid wsp:val=&quot;00284250&quot;/&gt;&lt;wsp:rsid wsp:val=&quot;002843E1&quot;/&gt;&lt;wsp:rsid wsp:val=&quot;00284D5B&quot;/&gt;&lt;wsp:rsid wsp:val=&quot;00284F7B&quot;/&gt;&lt;wsp:rsid wsp:val=&quot;00285078&quot;/&gt;&lt;wsp:rsid wsp:val=&quot;002851F6&quot;/&gt;&lt;wsp:rsid wsp:val=&quot;00285323&quot;/&gt;&lt;wsp:rsid wsp:val=&quot;002854F3&quot;/&gt;&lt;wsp:rsid wsp:val=&quot;002857D1&quot;/&gt;&lt;wsp:rsid wsp:val=&quot;00285D12&quot;/&gt;&lt;wsp:rsid wsp:val=&quot;002864D5&quot;/&gt;&lt;wsp:rsid wsp:val=&quot;00286967&quot;/&gt;&lt;wsp:rsid wsp:val=&quot;00287612&quot;/&gt;&lt;wsp:rsid wsp:val=&quot;002878C7&quot;/&gt;&lt;wsp:rsid wsp:val=&quot;00287CAD&quot;/&gt;&lt;wsp:rsid wsp:val=&quot;0029021D&quot;/&gt;&lt;wsp:rsid wsp:val=&quot;00290391&quot;/&gt;&lt;wsp:rsid wsp:val=&quot;00290470&quot;/&gt;&lt;wsp:rsid wsp:val=&quot;00290BDC&quot;/&gt;&lt;wsp:rsid wsp:val=&quot;0029181F&quot;/&gt;&lt;wsp:rsid wsp:val=&quot;002918E2&quot;/&gt;&lt;wsp:rsid wsp:val=&quot;00291955&quot;/&gt;&lt;wsp:rsid wsp:val=&quot;00292212&quot;/&gt;&lt;wsp:rsid wsp:val=&quot;002929CC&quot;/&gt;&lt;wsp:rsid wsp:val=&quot;00292CDB&quot;/&gt;&lt;wsp:rsid wsp:val=&quot;00293DD5&quot;/&gt;&lt;wsp:rsid wsp:val=&quot;00293EEF&quot;/&gt;&lt;wsp:rsid wsp:val=&quot;00293F84&quot;/&gt;&lt;wsp:rsid wsp:val=&quot;00293FD5&quot;/&gt;&lt;wsp:rsid wsp:val=&quot;0029445A&quot;/&gt;&lt;wsp:rsid wsp:val=&quot;0029460E&quot;/&gt;&lt;wsp:rsid wsp:val=&quot;0029478B&quot;/&gt;&lt;wsp:rsid wsp:val=&quot;0029543F&quot;/&gt;&lt;wsp:rsid wsp:val=&quot;002959BC&quot;/&gt;&lt;wsp:rsid wsp:val=&quot;00295ABF&quot;/&gt;&lt;wsp:rsid wsp:val=&quot;00295D19&quot;/&gt;&lt;wsp:rsid wsp:val=&quot;00296A75&quot;/&gt;&lt;wsp:rsid wsp:val=&quot;00296A82&quot;/&gt;&lt;wsp:rsid wsp:val=&quot;00296F8E&quot;/&gt;&lt;wsp:rsid wsp:val=&quot;00297267&quot;/&gt;&lt;wsp:rsid wsp:val=&quot;002978D9&quot;/&gt;&lt;wsp:rsid wsp:val=&quot;00297CE4&quot;/&gt;&lt;wsp:rsid wsp:val=&quot;00297F94&quot;/&gt;&lt;wsp:rsid wsp:val=&quot;002A05DB&quot;/&gt;&lt;wsp:rsid wsp:val=&quot;002A0838&quot;/&gt;&lt;wsp:rsid wsp:val=&quot;002A0A67&quot;/&gt;&lt;wsp:rsid wsp:val=&quot;002A0DC1&quot;/&gt;&lt;wsp:rsid wsp:val=&quot;002A15D1&quot;/&gt;&lt;wsp:rsid wsp:val=&quot;002A1F25&quot;/&gt;&lt;wsp:rsid wsp:val=&quot;002A2407&quot;/&gt;&lt;wsp:rsid wsp:val=&quot;002A279A&quot;/&gt;&lt;wsp:rsid wsp:val=&quot;002A37A1&quot;/&gt;&lt;wsp:rsid wsp:val=&quot;002A3F0F&quot;/&gt;&lt;wsp:rsid wsp:val=&quot;002A48DD&quot;/&gt;&lt;wsp:rsid wsp:val=&quot;002A514E&quot;/&gt;&lt;wsp:rsid wsp:val=&quot;002A65CE&quot;/&gt;&lt;wsp:rsid wsp:val=&quot;002A6BE7&quot;/&gt;&lt;wsp:rsid wsp:val=&quot;002A7D1F&quot;/&gt;&lt;wsp:rsid wsp:val=&quot;002A7F68&quot;/&gt;&lt;wsp:rsid wsp:val=&quot;002B0A8F&quot;/&gt;&lt;wsp:rsid wsp:val=&quot;002B0C31&quot;/&gt;&lt;wsp:rsid wsp:val=&quot;002B0D32&quot;/&gt;&lt;wsp:rsid wsp:val=&quot;002B0D51&quot;/&gt;&lt;wsp:rsid wsp:val=&quot;002B1EF8&quot;/&gt;&lt;wsp:rsid wsp:val=&quot;002B2D71&quot;/&gt;&lt;wsp:rsid wsp:val=&quot;002B352F&quot;/&gt;&lt;wsp:rsid wsp:val=&quot;002B37BA&quot;/&gt;&lt;wsp:rsid wsp:val=&quot;002B4B79&quot;/&gt;&lt;wsp:rsid wsp:val=&quot;002B4F66&quot;/&gt;&lt;wsp:rsid wsp:val=&quot;002B5119&quot;/&gt;&lt;wsp:rsid wsp:val=&quot;002B5146&quot;/&gt;&lt;wsp:rsid wsp:val=&quot;002B51B6&quot;/&gt;&lt;wsp:rsid wsp:val=&quot;002B60EF&quot;/&gt;&lt;wsp:rsid wsp:val=&quot;002B749F&quot;/&gt;&lt;wsp:rsid wsp:val=&quot;002B79D1&quot;/&gt;&lt;wsp:rsid wsp:val=&quot;002B7DFF&quot;/&gt;&lt;wsp:rsid wsp:val=&quot;002C00D4&quot;/&gt;&lt;wsp:rsid wsp:val=&quot;002C0824&quot;/&gt;&lt;wsp:rsid wsp:val=&quot;002C09FC&quot;/&gt;&lt;wsp:rsid wsp:val=&quot;002C1FBE&quot;/&gt;&lt;wsp:rsid wsp:val=&quot;002C283B&quot;/&gt;&lt;wsp:rsid wsp:val=&quot;002C33EB&quot;/&gt;&lt;wsp:rsid wsp:val=&quot;002C3771&quot;/&gt;&lt;wsp:rsid wsp:val=&quot;002C3BEA&quot;/&gt;&lt;wsp:rsid wsp:val=&quot;002C4CA6&quot;/&gt;&lt;wsp:rsid wsp:val=&quot;002C526F&quot;/&gt;&lt;wsp:rsid wsp:val=&quot;002C536D&quot;/&gt;&lt;wsp:rsid wsp:val=&quot;002C56F6&quot;/&gt;&lt;wsp:rsid wsp:val=&quot;002C6986&quot;/&gt;&lt;wsp:rsid wsp:val=&quot;002C6A81&quot;/&gt;&lt;wsp:rsid wsp:val=&quot;002C7A4C&quot;/&gt;&lt;wsp:rsid wsp:val=&quot;002C7E90&quot;/&gt;&lt;wsp:rsid wsp:val=&quot;002C7F8F&quot;/&gt;&lt;wsp:rsid wsp:val=&quot;002D10FD&quot;/&gt;&lt;wsp:rsid wsp:val=&quot;002D1407&quot;/&gt;&lt;wsp:rsid wsp:val=&quot;002D1731&quot;/&gt;&lt;wsp:rsid wsp:val=&quot;002D19FB&quot;/&gt;&lt;wsp:rsid wsp:val=&quot;002D1C70&quot;/&gt;&lt;wsp:rsid wsp:val=&quot;002D23CF&quot;/&gt;&lt;wsp:rsid wsp:val=&quot;002D36F2&quot;/&gt;&lt;wsp:rsid wsp:val=&quot;002D3CFE&quot;/&gt;&lt;wsp:rsid wsp:val=&quot;002D444C&quot;/&gt;&lt;wsp:rsid wsp:val=&quot;002D4868&quot;/&gt;&lt;wsp:rsid wsp:val=&quot;002D4DE8&quot;/&gt;&lt;wsp:rsid wsp:val=&quot;002D4E6C&quot;/&gt;&lt;wsp:rsid wsp:val=&quot;002D51C3&quot;/&gt;&lt;wsp:rsid wsp:val=&quot;002D5564&quot;/&gt;&lt;wsp:rsid wsp:val=&quot;002D71DF&quot;/&gt;&lt;wsp:rsid wsp:val=&quot;002D7283&quot;/&gt;&lt;wsp:rsid wsp:val=&quot;002D7641&quot;/&gt;&lt;wsp:rsid wsp:val=&quot;002D7C37&quot;/&gt;&lt;wsp:rsid wsp:val=&quot;002E012D&quot;/&gt;&lt;wsp:rsid wsp:val=&quot;002E0376&quot;/&gt;&lt;wsp:rsid wsp:val=&quot;002E047B&quot;/&gt;&lt;wsp:rsid wsp:val=&quot;002E0A74&quot;/&gt;&lt;wsp:rsid wsp:val=&quot;002E0B7C&quot;/&gt;&lt;wsp:rsid wsp:val=&quot;002E1599&quot;/&gt;&lt;wsp:rsid wsp:val=&quot;002E17EF&quot;/&gt;&lt;wsp:rsid wsp:val=&quot;002E1BA3&quot;/&gt;&lt;wsp:rsid wsp:val=&quot;002E2074&quot;/&gt;&lt;wsp:rsid wsp:val=&quot;002E2610&quot;/&gt;&lt;wsp:rsid wsp:val=&quot;002E2882&quot;/&gt;&lt;wsp:rsid wsp:val=&quot;002E2969&quot;/&gt;&lt;wsp:rsid wsp:val=&quot;002E37B6&quot;/&gt;&lt;wsp:rsid wsp:val=&quot;002E3E87&quot;/&gt;&lt;wsp:rsid wsp:val=&quot;002E41D0&quot;/&gt;&lt;wsp:rsid wsp:val=&quot;002E450F&quot;/&gt;&lt;wsp:rsid wsp:val=&quot;002E46EA&quot;/&gt;&lt;wsp:rsid wsp:val=&quot;002E5927&quot;/&gt;&lt;wsp:rsid wsp:val=&quot;002E593F&quot;/&gt;&lt;wsp:rsid wsp:val=&quot;002E5D1A&quot;/&gt;&lt;wsp:rsid wsp:val=&quot;002E5DEA&quot;/&gt;&lt;wsp:rsid wsp:val=&quot;002E5E90&quot;/&gt;&lt;wsp:rsid wsp:val=&quot;002E6430&quot;/&gt;&lt;wsp:rsid wsp:val=&quot;002E686B&quot;/&gt;&lt;wsp:rsid wsp:val=&quot;002E6D4F&quot;/&gt;&lt;wsp:rsid wsp:val=&quot;002E7AB9&quot;/&gt;&lt;wsp:rsid wsp:val=&quot;002E7CBA&quot;/&gt;&lt;wsp:rsid wsp:val=&quot;002F0AFE&quot;/&gt;&lt;wsp:rsid wsp:val=&quot;002F0C3A&quot;/&gt;&lt;wsp:rsid wsp:val=&quot;002F158D&quot;/&gt;&lt;wsp:rsid wsp:val=&quot;002F1AA6&quot;/&gt;&lt;wsp:rsid wsp:val=&quot;002F27EC&quot;/&gt;&lt;wsp:rsid wsp:val=&quot;002F28A7&quot;/&gt;&lt;wsp:rsid wsp:val=&quot;002F2BEA&quot;/&gt;&lt;wsp:rsid wsp:val=&quot;002F35BA&quot;/&gt;&lt;wsp:rsid wsp:val=&quot;002F35BE&quot;/&gt;&lt;wsp:rsid wsp:val=&quot;002F4A0F&quot;/&gt;&lt;wsp:rsid wsp:val=&quot;002F4F82&quot;/&gt;&lt;wsp:rsid wsp:val=&quot;002F51F7&quot;/&gt;&lt;wsp:rsid wsp:val=&quot;002F54E6&quot;/&gt;&lt;wsp:rsid wsp:val=&quot;002F58EB&quot;/&gt;&lt;wsp:rsid wsp:val=&quot;002F59FB&quot;/&gt;&lt;wsp:rsid wsp:val=&quot;002F5DDF&quot;/&gt;&lt;wsp:rsid wsp:val=&quot;002F5FE1&quot;/&gt;&lt;wsp:rsid wsp:val=&quot;002F672C&quot;/&gt;&lt;wsp:rsid wsp:val=&quot;002F6AB7&quot;/&gt;&lt;wsp:rsid wsp:val=&quot;002F6F33&quot;/&gt;&lt;wsp:rsid wsp:val=&quot;002F7283&quot;/&gt;&lt;wsp:rsid wsp:val=&quot;002F72D0&quot;/&gt;&lt;wsp:rsid wsp:val=&quot;002F775E&quot;/&gt;&lt;wsp:rsid wsp:val=&quot;003006B4&quot;/&gt;&lt;wsp:rsid wsp:val=&quot;00300911&quot;/&gt;&lt;wsp:rsid wsp:val=&quot;00300A0B&quot;/&gt;&lt;wsp:rsid wsp:val=&quot;00300BE9&quot;/&gt;&lt;wsp:rsid wsp:val=&quot;00301DD3&quot;/&gt;&lt;wsp:rsid wsp:val=&quot;003020A5&quot;/&gt;&lt;wsp:rsid wsp:val=&quot;00302F27&quot;/&gt;&lt;wsp:rsid wsp:val=&quot;0030387B&quot;/&gt;&lt;wsp:rsid wsp:val=&quot;00303CD4&quot;/&gt;&lt;wsp:rsid wsp:val=&quot;00303E7E&quot;/&gt;&lt;wsp:rsid wsp:val=&quot;00304903&quot;/&gt;&lt;wsp:rsid wsp:val=&quot;00304B93&quot;/&gt;&lt;wsp:rsid wsp:val=&quot;00304E76&quot;/&gt;&lt;wsp:rsid wsp:val=&quot;00305381&quot;/&gt;&lt;wsp:rsid wsp:val=&quot;003058BB&quot;/&gt;&lt;wsp:rsid wsp:val=&quot;00306096&quot;/&gt;&lt;wsp:rsid wsp:val=&quot;003061F1&quot;/&gt;&lt;wsp:rsid wsp:val=&quot;003064B8&quot;/&gt;&lt;wsp:rsid wsp:val=&quot;003066C9&quot;/&gt;&lt;wsp:rsid wsp:val=&quot;003069ED&quot;/&gt;&lt;wsp:rsid wsp:val=&quot;003070C2&quot;/&gt;&lt;wsp:rsid wsp:val=&quot;00307A1D&quot;/&gt;&lt;wsp:rsid wsp:val=&quot;00307B2A&quot;/&gt;&lt;wsp:rsid wsp:val=&quot;00307E14&quot;/&gt;&lt;wsp:rsid wsp:val=&quot;00311451&quot;/&gt;&lt;wsp:rsid wsp:val=&quot;00311E22&quot;/&gt;&lt;wsp:rsid wsp:val=&quot;00312064&quot;/&gt;&lt;wsp:rsid wsp:val=&quot;0031225F&quot;/&gt;&lt;wsp:rsid wsp:val=&quot;003127A4&quot;/&gt;&lt;wsp:rsid wsp:val=&quot;003129AF&quot;/&gt;&lt;wsp:rsid wsp:val=&quot;00313B90&quot;/&gt;&lt;wsp:rsid wsp:val=&quot;00313D97&quot;/&gt;&lt;wsp:rsid wsp:val=&quot;0031408A&quot;/&gt;&lt;wsp:rsid wsp:val=&quot;00314373&quot;/&gt;&lt;wsp:rsid wsp:val=&quot;00314D50&quot;/&gt;&lt;wsp:rsid wsp:val=&quot;0031534E&quot;/&gt;&lt;wsp:rsid wsp:val=&quot;003153AA&quot;/&gt;&lt;wsp:rsid wsp:val=&quot;00315558&quot;/&gt;&lt;wsp:rsid wsp:val=&quot;0031582E&quot;/&gt;&lt;wsp:rsid wsp:val=&quot;00315C11&quot;/&gt;&lt;wsp:rsid wsp:val=&quot;00316175&quot;/&gt;&lt;wsp:rsid wsp:val=&quot;00316672&quot;/&gt;&lt;wsp:rsid wsp:val=&quot;00316881&quot;/&gt;&lt;wsp:rsid wsp:val=&quot;00316ED2&quot;/&gt;&lt;wsp:rsid wsp:val=&quot;00316F51&quot;/&gt;&lt;wsp:rsid wsp:val=&quot;00317048&quot;/&gt;&lt;wsp:rsid wsp:val=&quot;003170E1&quot;/&gt;&lt;wsp:rsid wsp:val=&quot;00317678&quot;/&gt;&lt;wsp:rsid wsp:val=&quot;0031787C&quot;/&gt;&lt;wsp:rsid wsp:val=&quot;00317A8C&quot;/&gt;&lt;wsp:rsid wsp:val=&quot;00317B4E&quot;/&gt;&lt;wsp:rsid wsp:val=&quot;00317BBD&quot;/&gt;&lt;wsp:rsid wsp:val=&quot;00317C0F&quot;/&gt;&lt;wsp:rsid wsp:val=&quot;00317F2E&quot;/&gt;&lt;wsp:rsid wsp:val=&quot;00320517&quot;/&gt;&lt;wsp:rsid wsp:val=&quot;00320667&quot;/&gt;&lt;wsp:rsid wsp:val=&quot;003206EE&quot;/&gt;&lt;wsp:rsid wsp:val=&quot;003208AB&quot;/&gt;&lt;wsp:rsid wsp:val=&quot;00320E7E&quot;/&gt;&lt;wsp:rsid wsp:val=&quot;00321278&quot;/&gt;&lt;wsp:rsid wsp:val=&quot;00321A74&quot;/&gt;&lt;wsp:rsid wsp:val=&quot;0032297F&quot;/&gt;&lt;wsp:rsid wsp:val=&quot;00322D0E&quot;/&gt;&lt;wsp:rsid wsp:val=&quot;00322E5A&quot;/&gt;&lt;wsp:rsid wsp:val=&quot;0032348E&quot;/&gt;&lt;wsp:rsid wsp:val=&quot;00323875&quot;/&gt;&lt;wsp:rsid wsp:val=&quot;00323EFC&quot;/&gt;&lt;wsp:rsid wsp:val=&quot;00323F72&quot;/&gt;&lt;wsp:rsid wsp:val=&quot;003241A2&quot;/&gt;&lt;wsp:rsid wsp:val=&quot;003245A2&quot;/&gt;&lt;wsp:rsid wsp:val=&quot;00326107&quot;/&gt;&lt;wsp:rsid wsp:val=&quot;00326496&quot;/&gt;&lt;wsp:rsid wsp:val=&quot;00326868&quot;/&gt;&lt;wsp:rsid wsp:val=&quot;00326C51&quot;/&gt;&lt;wsp:rsid wsp:val=&quot;003272C2&quot;/&gt;&lt;wsp:rsid wsp:val=&quot;00327705&quot;/&gt;&lt;wsp:rsid wsp:val=&quot;00327D26&quot;/&gt;&lt;wsp:rsid wsp:val=&quot;00330064&quot;/&gt;&lt;wsp:rsid wsp:val=&quot;003300EF&quot;/&gt;&lt;wsp:rsid wsp:val=&quot;00331760&quot;/&gt;&lt;wsp:rsid wsp:val=&quot;00331956&quot;/&gt;&lt;wsp:rsid wsp:val=&quot;00331F61&quot;/&gt;&lt;wsp:rsid wsp:val=&quot;003324CD&quot;/&gt;&lt;wsp:rsid wsp:val=&quot;0033252B&quot;/&gt;&lt;wsp:rsid wsp:val=&quot;003339D2&quot;/&gt;&lt;wsp:rsid wsp:val=&quot;00333BE7&quot;/&gt;&lt;wsp:rsid wsp:val=&quot;00333D92&quot;/&gt;&lt;wsp:rsid wsp:val=&quot;0033499D&quot;/&gt;&lt;wsp:rsid wsp:val=&quot;00334D17&quot;/&gt;&lt;wsp:rsid wsp:val=&quot;00335407&quot;/&gt;&lt;wsp:rsid wsp:val=&quot;00335AED&quot;/&gt;&lt;wsp:rsid wsp:val=&quot;00336F24&quot;/&gt;&lt;wsp:rsid wsp:val=&quot;00336F60&quot;/&gt;&lt;wsp:rsid wsp:val=&quot;003370CA&quot;/&gt;&lt;wsp:rsid wsp:val=&quot;0033710F&quot;/&gt;&lt;wsp:rsid wsp:val=&quot;003379A2&quot;/&gt;&lt;wsp:rsid wsp:val=&quot;00340DEA&quot;/&gt;&lt;wsp:rsid wsp:val=&quot;003410CC&quot;/&gt;&lt;wsp:rsid wsp:val=&quot;00341338&quot;/&gt;&lt;wsp:rsid wsp:val=&quot;0034169C&quot;/&gt;&lt;wsp:rsid wsp:val=&quot;00342A0B&quot;/&gt;&lt;wsp:rsid wsp:val=&quot;00342B14&quot;/&gt;&lt;wsp:rsid wsp:val=&quot;00343344&quot;/&gt;&lt;wsp:rsid wsp:val=&quot;003436B7&quot;/&gt;&lt;wsp:rsid wsp:val=&quot;00343B2F&quot;/&gt;&lt;wsp:rsid wsp:val=&quot;00343CD2&quot;/&gt;&lt;wsp:rsid wsp:val=&quot;00343F0B&quot;/&gt;&lt;wsp:rsid wsp:val=&quot;003444BC&quot;/&gt;&lt;wsp:rsid wsp:val=&quot;0034468A&quot;/&gt;&lt;wsp:rsid wsp:val=&quot;00344B81&quot;/&gt;&lt;wsp:rsid wsp:val=&quot;0034501A&quot;/&gt;&lt;wsp:rsid wsp:val=&quot;0034503E&quot;/&gt;&lt;wsp:rsid wsp:val=&quot;00345049&quot;/&gt;&lt;wsp:rsid wsp:val=&quot;0034582E&quot;/&gt;&lt;wsp:rsid wsp:val=&quot;003463C4&quot;/&gt;&lt;wsp:rsid wsp:val=&quot;00346C07&quot;/&gt;&lt;wsp:rsid wsp:val=&quot;00346CFA&quot;/&gt;&lt;wsp:rsid wsp:val=&quot;00346DE1&quot;/&gt;&lt;wsp:rsid wsp:val=&quot;00346F8F&quot;/&gt;&lt;wsp:rsid wsp:val=&quot;003472ED&quot;/&gt;&lt;wsp:rsid wsp:val=&quot;00347B4E&quot;/&gt;&lt;wsp:rsid wsp:val=&quot;00347D12&quot;/&gt;&lt;wsp:rsid wsp:val=&quot;00347DD4&quot;/&gt;&lt;wsp:rsid wsp:val=&quot;00347FE0&quot;/&gt;&lt;wsp:rsid wsp:val=&quot;003504FA&quot;/&gt;&lt;wsp:rsid wsp:val=&quot;00350E89&quot;/&gt;&lt;wsp:rsid wsp:val=&quot;00351514&quot;/&gt;&lt;wsp:rsid wsp:val=&quot;00351693&quot;/&gt;&lt;wsp:rsid wsp:val=&quot;0035177A&quot;/&gt;&lt;wsp:rsid wsp:val=&quot;00351797&quot;/&gt;&lt;wsp:rsid wsp:val=&quot;003519DE&quot;/&gt;&lt;wsp:rsid wsp:val=&quot;00351C31&quot;/&gt;&lt;wsp:rsid wsp:val=&quot;003522B5&quot;/&gt;&lt;wsp:rsid wsp:val=&quot;00352472&quot;/&gt;&lt;wsp:rsid wsp:val=&quot;00352A20&quot;/&gt;&lt;wsp:rsid wsp:val=&quot;00352B14&quot;/&gt;&lt;wsp:rsid wsp:val=&quot;00352E27&quot;/&gt;&lt;wsp:rsid wsp:val=&quot;0035415C&quot;/&gt;&lt;wsp:rsid wsp:val=&quot;0035420A&quot;/&gt;&lt;wsp:rsid wsp:val=&quot;00354239&quot;/&gt;&lt;wsp:rsid wsp:val=&quot;00354343&quot;/&gt;&lt;wsp:rsid wsp:val=&quot;003551D7&quot;/&gt;&lt;wsp:rsid wsp:val=&quot;00355B00&quot;/&gt;&lt;wsp:rsid wsp:val=&quot;003561AE&quot;/&gt;&lt;wsp:rsid wsp:val=&quot;0035633E&quot;/&gt;&lt;wsp:rsid wsp:val=&quot;00356DDF&quot;/&gt;&lt;wsp:rsid wsp:val=&quot;00356E78&quot;/&gt;&lt;wsp:rsid wsp:val=&quot;00357020&quot;/&gt;&lt;wsp:rsid wsp:val=&quot;0035728C&quot;/&gt;&lt;wsp:rsid wsp:val=&quot;003576FA&quot;/&gt;&lt;wsp:rsid wsp:val=&quot;00357E2F&quot;/&gt;&lt;wsp:rsid wsp:val=&quot;0036032C&quot;/&gt;&lt;wsp:rsid wsp:val=&quot;003605B7&quot;/&gt;&lt;wsp:rsid wsp:val=&quot;0036062F&quot;/&gt;&lt;wsp:rsid wsp:val=&quot;003611C0&quot;/&gt;&lt;wsp:rsid wsp:val=&quot;0036249D&quot;/&gt;&lt;wsp:rsid wsp:val=&quot;00362758&quot;/&gt;&lt;wsp:rsid wsp:val=&quot;003628FC&quot;/&gt;&lt;wsp:rsid wsp:val=&quot;00362969&quot;/&gt;&lt;wsp:rsid wsp:val=&quot;00362F3B&quot;/&gt;&lt;wsp:rsid wsp:val=&quot;003631AE&quot;/&gt;&lt;wsp:rsid wsp:val=&quot;00363456&quot;/&gt;&lt;wsp:rsid wsp:val=&quot;00363FC6&quot;/&gt;&lt;wsp:rsid wsp:val=&quot;0036456B&quot;/&gt;&lt;wsp:rsid wsp:val=&quot;0036473B&quot;/&gt;&lt;wsp:rsid wsp:val=&quot;00365258&quot;/&gt;&lt;wsp:rsid wsp:val=&quot;003656FE&quot;/&gt;&lt;wsp:rsid wsp:val=&quot;00365884&quot;/&gt;&lt;wsp:rsid wsp:val=&quot;003659BD&quot;/&gt;&lt;wsp:rsid wsp:val=&quot;003659D0&quot;/&gt;&lt;wsp:rsid wsp:val=&quot;00366197&quot;/&gt;&lt;wsp:rsid wsp:val=&quot;00366634&quot;/&gt;&lt;wsp:rsid wsp:val=&quot;00366705&quot;/&gt;&lt;wsp:rsid wsp:val=&quot;003676DA&quot;/&gt;&lt;wsp:rsid wsp:val=&quot;00367787&quot;/&gt;&lt;wsp:rsid wsp:val=&quot;00367AA4&quot;/&gt;&lt;wsp:rsid wsp:val=&quot;00367D8C&quot;/&gt;&lt;wsp:rsid wsp:val=&quot;00367F0D&quot;/&gt;&lt;wsp:rsid wsp:val=&quot;00370A6D&quot;/&gt;&lt;wsp:rsid wsp:val=&quot;003710C6&quot;/&gt;&lt;wsp:rsid wsp:val=&quot;003713C8&quot;/&gt;&lt;wsp:rsid wsp:val=&quot;00371A86&quot;/&gt;&lt;wsp:rsid wsp:val=&quot;003725C6&quot;/&gt;&lt;wsp:rsid wsp:val=&quot;00372944&quot;/&gt;&lt;wsp:rsid wsp:val=&quot;0037295C&quot;/&gt;&lt;wsp:rsid wsp:val=&quot;0037320C&quot;/&gt;&lt;wsp:rsid wsp:val=&quot;0037332E&quot;/&gt;&lt;wsp:rsid wsp:val=&quot;003736A1&quot;/&gt;&lt;wsp:rsid wsp:val=&quot;0037384D&quot;/&gt;&lt;wsp:rsid wsp:val=&quot;0037389B&quot;/&gt;&lt;wsp:rsid wsp:val=&quot;003739E1&quot;/&gt;&lt;wsp:rsid wsp:val=&quot;00374983&quot;/&gt;&lt;wsp:rsid wsp:val=&quot;00374EBA&quot;/&gt;&lt;wsp:rsid wsp:val=&quot;00375523&quot;/&gt;&lt;wsp:rsid wsp:val=&quot;00375E75&quot;/&gt;&lt;wsp:rsid wsp:val=&quot;003762A1&quot;/&gt;&lt;wsp:rsid wsp:val=&quot;00377079&quot;/&gt;&lt;wsp:rsid wsp:val=&quot;003772D7&quot;/&gt;&lt;wsp:rsid wsp:val=&quot;003774A5&quot;/&gt;&lt;wsp:rsid wsp:val=&quot;003775BF&quot;/&gt;&lt;wsp:rsid wsp:val=&quot;003776F6&quot;/&gt;&lt;wsp:rsid wsp:val=&quot;0037774F&quot;/&gt;&lt;wsp:rsid wsp:val=&quot;003777BC&quot;/&gt;&lt;wsp:rsid wsp:val=&quot;00377B7C&quot;/&gt;&lt;wsp:rsid wsp:val=&quot;00377CD1&quot;/&gt;&lt;wsp:rsid wsp:val=&quot;00380B06&quot;/&gt;&lt;wsp:rsid wsp:val=&quot;00380D26&quot;/&gt;&lt;wsp:rsid wsp:val=&quot;00381612&quot;/&gt;&lt;wsp:rsid wsp:val=&quot;003817C1&quot;/&gt;&lt;wsp:rsid wsp:val=&quot;00381B76&quot;/&gt;&lt;wsp:rsid wsp:val=&quot;00381E18&quot;/&gt;&lt;wsp:rsid wsp:val=&quot;003820F1&quot;/&gt;&lt;wsp:rsid wsp:val=&quot;00382F07&quot;/&gt;&lt;wsp:rsid wsp:val=&quot;00383007&quot;/&gt;&lt;wsp:rsid wsp:val=&quot;0038339D&quot;/&gt;&lt;wsp:rsid wsp:val=&quot;0038343F&quot;/&gt;&lt;wsp:rsid wsp:val=&quot;00383A5A&quot;/&gt;&lt;wsp:rsid wsp:val=&quot;00384442&quot;/&gt;&lt;wsp:rsid wsp:val=&quot;003849D9&quot;/&gt;&lt;wsp:rsid wsp:val=&quot;00385364&quot;/&gt;&lt;wsp:rsid wsp:val=&quot;0038682B&quot;/&gt;&lt;wsp:rsid wsp:val=&quot;00386992&quot;/&gt;&lt;wsp:rsid wsp:val=&quot;00386AE5&quot;/&gt;&lt;wsp:rsid wsp:val=&quot;00387BF3&quot;/&gt;&lt;wsp:rsid wsp:val=&quot;00387DCC&quot;/&gt;&lt;wsp:rsid wsp:val=&quot;0039001B&quot;/&gt;&lt;wsp:rsid wsp:val=&quot;0039059B&quot;/&gt;&lt;wsp:rsid wsp:val=&quot;00390F40&quot;/&gt;&lt;wsp:rsid wsp:val=&quot;00390F79&quot;/&gt;&lt;wsp:rsid wsp:val=&quot;00391288&quot;/&gt;&lt;wsp:rsid wsp:val=&quot;0039183A&quot;/&gt;&lt;wsp:rsid wsp:val=&quot;00391A9A&quot;/&gt;&lt;wsp:rsid wsp:val=&quot;0039282C&quot;/&gt;&lt;wsp:rsid wsp:val=&quot;00392980&quot;/&gt;&lt;wsp:rsid wsp:val=&quot;0039326A&quot;/&gt;&lt;wsp:rsid wsp:val=&quot;003933E7&quot;/&gt;&lt;wsp:rsid wsp:val=&quot;00393DD1&quot;/&gt;&lt;wsp:rsid wsp:val=&quot;0039447A&quot;/&gt;&lt;wsp:rsid wsp:val=&quot;0039494A&quot;/&gt;&lt;wsp:rsid wsp:val=&quot;00395164&quot;/&gt;&lt;wsp:rsid wsp:val=&quot;00395536&quot;/&gt;&lt;wsp:rsid wsp:val=&quot;0039585B&quot;/&gt;&lt;wsp:rsid wsp:val=&quot;00396085&quot;/&gt;&lt;wsp:rsid wsp:val=&quot;00396284&quot;/&gt;&lt;wsp:rsid wsp:val=&quot;0039687B&quot;/&gt;&lt;wsp:rsid wsp:val=&quot;0039715F&quot;/&gt;&lt;wsp:rsid wsp:val=&quot;00397161&quot;/&gt;&lt;wsp:rsid wsp:val=&quot;0039727C&quot;/&gt;&lt;wsp:rsid wsp:val=&quot;003A0192&quot;/&gt;&lt;wsp:rsid wsp:val=&quot;003A036B&quot;/&gt;&lt;wsp:rsid wsp:val=&quot;003A03E9&quot;/&gt;&lt;wsp:rsid wsp:val=&quot;003A0410&quot;/&gt;&lt;wsp:rsid wsp:val=&quot;003A0F30&quot;/&gt;&lt;wsp:rsid wsp:val=&quot;003A174D&quot;/&gt;&lt;wsp:rsid wsp:val=&quot;003A2CD6&quot;/&gt;&lt;wsp:rsid wsp:val=&quot;003A2D7A&quot;/&gt;&lt;wsp:rsid wsp:val=&quot;003A2FE4&quot;/&gt;&lt;wsp:rsid wsp:val=&quot;003A3009&quot;/&gt;&lt;wsp:rsid wsp:val=&quot;003A304E&quot;/&gt;&lt;wsp:rsid wsp:val=&quot;003A323F&quot;/&gt;&lt;wsp:rsid wsp:val=&quot;003A34C1&quot;/&gt;&lt;wsp:rsid wsp:val=&quot;003A35A1&quot;/&gt;&lt;wsp:rsid wsp:val=&quot;003A3967&quot;/&gt;&lt;wsp:rsid wsp:val=&quot;003A3FF6&quot;/&gt;&lt;wsp:rsid wsp:val=&quot;003A417D&quot;/&gt;&lt;wsp:rsid wsp:val=&quot;003A5896&quot;/&gt;&lt;wsp:rsid wsp:val=&quot;003A66C7&quot;/&gt;&lt;wsp:rsid wsp:val=&quot;003A6D58&quot;/&gt;&lt;wsp:rsid wsp:val=&quot;003A77AB&quot;/&gt;&lt;wsp:rsid wsp:val=&quot;003A7DC1&quot;/&gt;&lt;wsp:rsid wsp:val=&quot;003A7E7F&quot;/&gt;&lt;wsp:rsid wsp:val=&quot;003B05A7&quot;/&gt;&lt;wsp:rsid wsp:val=&quot;003B05C7&quot;/&gt;&lt;wsp:rsid wsp:val=&quot;003B05DD&quot;/&gt;&lt;wsp:rsid wsp:val=&quot;003B05FF&quot;/&gt;&lt;wsp:rsid wsp:val=&quot;003B07BB&quot;/&gt;&lt;wsp:rsid wsp:val=&quot;003B13D0&quot;/&gt;&lt;wsp:rsid wsp:val=&quot;003B1734&quot;/&gt;&lt;wsp:rsid wsp:val=&quot;003B1E97&quot;/&gt;&lt;wsp:rsid wsp:val=&quot;003B2B22&quot;/&gt;&lt;wsp:rsid wsp:val=&quot;003B2E8E&quot;/&gt;&lt;wsp:rsid wsp:val=&quot;003B3127&quot;/&gt;&lt;wsp:rsid wsp:val=&quot;003B32BA&quot;/&gt;&lt;wsp:rsid wsp:val=&quot;003B32CA&quot;/&gt;&lt;wsp:rsid wsp:val=&quot;003B32FB&quot;/&gt;&lt;wsp:rsid wsp:val=&quot;003B3A53&quot;/&gt;&lt;wsp:rsid wsp:val=&quot;003B4022&quot;/&gt;&lt;wsp:rsid wsp:val=&quot;003B4436&quot;/&gt;&lt;wsp:rsid wsp:val=&quot;003B5136&quot;/&gt;&lt;wsp:rsid wsp:val=&quot;003B60AF&quot;/&gt;&lt;wsp:rsid wsp:val=&quot;003B69F4&quot;/&gt;&lt;wsp:rsid wsp:val=&quot;003B717B&quot;/&gt;&lt;wsp:rsid wsp:val=&quot;003C01FD&quot;/&gt;&lt;wsp:rsid wsp:val=&quot;003C04D5&quot;/&gt;&lt;wsp:rsid wsp:val=&quot;003C0B24&quot;/&gt;&lt;wsp:rsid wsp:val=&quot;003C0D40&quot;/&gt;&lt;wsp:rsid wsp:val=&quot;003C0FB2&quot;/&gt;&lt;wsp:rsid wsp:val=&quot;003C26F8&quot;/&gt;&lt;wsp:rsid wsp:val=&quot;003C353C&quot;/&gt;&lt;wsp:rsid wsp:val=&quot;003C35F7&quot;/&gt;&lt;wsp:rsid wsp:val=&quot;003C3A3A&quot;/&gt;&lt;wsp:rsid wsp:val=&quot;003C49D7&quot;/&gt;&lt;wsp:rsid wsp:val=&quot;003C571C&quot;/&gt;&lt;wsp:rsid wsp:val=&quot;003C57EB&quot;/&gt;&lt;wsp:rsid wsp:val=&quot;003C6407&quot;/&gt;&lt;wsp:rsid wsp:val=&quot;003C6445&quot;/&gt;&lt;wsp:rsid wsp:val=&quot;003C6934&quot;/&gt;&lt;wsp:rsid wsp:val=&quot;003C6D5C&quot;/&gt;&lt;wsp:rsid wsp:val=&quot;003C6DE1&quot;/&gt;&lt;wsp:rsid wsp:val=&quot;003C6E6F&quot;/&gt;&lt;wsp:rsid wsp:val=&quot;003C74C7&quot;/&gt;&lt;wsp:rsid wsp:val=&quot;003C77A8&quot;/&gt;&lt;wsp:rsid wsp:val=&quot;003C78E5&quot;/&gt;&lt;wsp:rsid wsp:val=&quot;003D014A&quot;/&gt;&lt;wsp:rsid wsp:val=&quot;003D0211&quot;/&gt;&lt;wsp:rsid wsp:val=&quot;003D075C&quot;/&gt;&lt;wsp:rsid wsp:val=&quot;003D0854&quot;/&gt;&lt;wsp:rsid wsp:val=&quot;003D0FBF&quot;/&gt;&lt;wsp:rsid wsp:val=&quot;003D1600&quot;/&gt;&lt;wsp:rsid wsp:val=&quot;003D1863&quot;/&gt;&lt;wsp:rsid wsp:val=&quot;003D1A23&quot;/&gt;&lt;wsp:rsid wsp:val=&quot;003D219E&quot;/&gt;&lt;wsp:rsid wsp:val=&quot;003D2D07&quot;/&gt;&lt;wsp:rsid wsp:val=&quot;003D3650&quot;/&gt;&lt;wsp:rsid wsp:val=&quot;003D3931&quot;/&gt;&lt;wsp:rsid wsp:val=&quot;003D3A49&quot;/&gt;&lt;wsp:rsid wsp:val=&quot;003D3A99&quot;/&gt;&lt;wsp:rsid wsp:val=&quot;003D3E89&quot;/&gt;&lt;wsp:rsid wsp:val=&quot;003D42AB&quot;/&gt;&lt;wsp:rsid wsp:val=&quot;003D4410&quot;/&gt;&lt;wsp:rsid wsp:val=&quot;003D4F96&quot;/&gt;&lt;wsp:rsid wsp:val=&quot;003D5F46&quot;/&gt;&lt;wsp:rsid wsp:val=&quot;003D5FD3&quot;/&gt;&lt;wsp:rsid wsp:val=&quot;003D64A3&quot;/&gt;&lt;wsp:rsid wsp:val=&quot;003D65FE&quot;/&gt;&lt;wsp:rsid wsp:val=&quot;003D67D9&quot;/&gt;&lt;wsp:rsid wsp:val=&quot;003D6885&quot;/&gt;&lt;wsp:rsid wsp:val=&quot;003D6D1B&quot;/&gt;&lt;wsp:rsid wsp:val=&quot;003D7B92&quot;/&gt;&lt;wsp:rsid wsp:val=&quot;003E1D3B&quot;/&gt;&lt;wsp:rsid wsp:val=&quot;003E2454&quot;/&gt;&lt;wsp:rsid wsp:val=&quot;003E32FC&quot;/&gt;&lt;wsp:rsid wsp:val=&quot;003E3601&quot;/&gt;&lt;wsp:rsid wsp:val=&quot;003E3BF1&quot;/&gt;&lt;wsp:rsid wsp:val=&quot;003E3E55&quot;/&gt;&lt;wsp:rsid wsp:val=&quot;003E4381&quot;/&gt;&lt;wsp:rsid wsp:val=&quot;003E4415&quot;/&gt;&lt;wsp:rsid wsp:val=&quot;003E444C&quot;/&gt;&lt;wsp:rsid wsp:val=&quot;003E5017&quot;/&gt;&lt;wsp:rsid wsp:val=&quot;003E506C&quot;/&gt;&lt;wsp:rsid wsp:val=&quot;003E60C0&quot;/&gt;&lt;wsp:rsid wsp:val=&quot;003E68D1&quot;/&gt;&lt;wsp:rsid wsp:val=&quot;003E6A7F&quot;/&gt;&lt;wsp:rsid wsp:val=&quot;003E6B0E&quot;/&gt;&lt;wsp:rsid wsp:val=&quot;003E6F73&quot;/&gt;&lt;wsp:rsid wsp:val=&quot;003E6F96&quot;/&gt;&lt;wsp:rsid wsp:val=&quot;003E7AA6&quot;/&gt;&lt;wsp:rsid wsp:val=&quot;003E7B2A&quot;/&gt;&lt;wsp:rsid wsp:val=&quot;003F01DE&quot;/&gt;&lt;wsp:rsid wsp:val=&quot;003F0B5E&quot;/&gt;&lt;wsp:rsid wsp:val=&quot;003F0EB8&quot;/&gt;&lt;wsp:rsid wsp:val=&quot;003F1743&quot;/&gt;&lt;wsp:rsid wsp:val=&quot;003F2061&quot;/&gt;&lt;wsp:rsid wsp:val=&quot;003F216E&quot;/&gt;&lt;wsp:rsid wsp:val=&quot;003F24D8&quot;/&gt;&lt;wsp:rsid wsp:val=&quot;003F2979&quot;/&gt;&lt;wsp:rsid wsp:val=&quot;003F2A72&quot;/&gt;&lt;wsp:rsid wsp:val=&quot;003F3559&quot;/&gt;&lt;wsp:rsid wsp:val=&quot;003F397D&quot;/&gt;&lt;wsp:rsid wsp:val=&quot;003F4446&quot;/&gt;&lt;wsp:rsid wsp:val=&quot;003F4944&quot;/&gt;&lt;wsp:rsid wsp:val=&quot;003F4C02&quot;/&gt;&lt;wsp:rsid wsp:val=&quot;003F4F44&quot;/&gt;&lt;wsp:rsid wsp:val=&quot;003F65CA&quot;/&gt;&lt;wsp:rsid wsp:val=&quot;003F6669&quot;/&gt;&lt;wsp:rsid wsp:val=&quot;003F674E&quot;/&gt;&lt;wsp:rsid wsp:val=&quot;003F6AC2&quot;/&gt;&lt;wsp:rsid wsp:val=&quot;003F6B88&quot;/&gt;&lt;wsp:rsid wsp:val=&quot;003F7323&quot;/&gt;&lt;wsp:rsid wsp:val=&quot;003F7C18&quot;/&gt;&lt;wsp:rsid wsp:val=&quot;003F7E5F&quot;/&gt;&lt;wsp:rsid wsp:val=&quot;00400107&quot;/&gt;&lt;wsp:rsid wsp:val=&quot;004007C2&quot;/&gt;&lt;wsp:rsid wsp:val=&quot;00400835&quot;/&gt;&lt;wsp:rsid wsp:val=&quot;0040096A&quot;/&gt;&lt;wsp:rsid wsp:val=&quot;004009EA&quot;/&gt;&lt;wsp:rsid wsp:val=&quot;00400AF5&quot;/&gt;&lt;wsp:rsid wsp:val=&quot;00400EDC&quot;/&gt;&lt;wsp:rsid wsp:val=&quot;00400EEA&quot;/&gt;&lt;wsp:rsid wsp:val=&quot;0040106C&quot;/&gt;&lt;wsp:rsid wsp:val=&quot;00401D42&quot;/&gt;&lt;wsp:rsid wsp:val=&quot;004024B3&quot;/&gt;&lt;wsp:rsid wsp:val=&quot;00402B99&quot;/&gt;&lt;wsp:rsid wsp:val=&quot;00402C7B&quot;/&gt;&lt;wsp:rsid wsp:val=&quot;00402D5A&quot;/&gt;&lt;wsp:rsid wsp:val=&quot;0040316B&quot;/&gt;&lt;wsp:rsid wsp:val=&quot;00404247&quot;/&gt;&lt;wsp:rsid wsp:val=&quot;00404294&quot;/&gt;&lt;wsp:rsid wsp:val=&quot;004044A1&quot;/&gt;&lt;wsp:rsid wsp:val=&quot;004045B5&quot;/&gt;&lt;wsp:rsid wsp:val=&quot;00404DBD&quot;/&gt;&lt;wsp:rsid wsp:val=&quot;00404DEE&quot;/&gt;&lt;wsp:rsid wsp:val=&quot;00405A4F&quot;/&gt;&lt;wsp:rsid wsp:val=&quot;00405F50&quot;/&gt;&lt;wsp:rsid wsp:val=&quot;004060DB&quot;/&gt;&lt;wsp:rsid wsp:val=&quot;0040704B&quot;/&gt;&lt;wsp:rsid wsp:val=&quot;004079A0&quot;/&gt;&lt;wsp:rsid wsp:val=&quot;00407B0B&quot;/&gt;&lt;wsp:rsid wsp:val=&quot;00407CC0&quot;/&gt;&lt;wsp:rsid wsp:val=&quot;00407DD0&quot;/&gt;&lt;wsp:rsid wsp:val=&quot;00410419&quot;/&gt;&lt;wsp:rsid wsp:val=&quot;00410CAF&quot;/&gt;&lt;wsp:rsid wsp:val=&quot;004112A0&quot;/&gt;&lt;wsp:rsid wsp:val=&quot;00411B52&quot;/&gt;&lt;wsp:rsid wsp:val=&quot;00411CDF&quot;/&gt;&lt;wsp:rsid wsp:val=&quot;00412E0C&quot;/&gt;&lt;wsp:rsid wsp:val=&quot;0041307B&quot;/&gt;&lt;wsp:rsid wsp:val=&quot;004130C9&quot;/&gt;&lt;wsp:rsid wsp:val=&quot;004132EF&quot;/&gt;&lt;wsp:rsid wsp:val=&quot;00413EFC&quot;/&gt;&lt;wsp:rsid wsp:val=&quot;00413F5C&quot;/&gt;&lt;wsp:rsid wsp:val=&quot;00414048&quot;/&gt;&lt;wsp:rsid wsp:val=&quot;0041406F&quot;/&gt;&lt;wsp:rsid wsp:val=&quot;00414321&quot;/&gt;&lt;wsp:rsid wsp:val=&quot;00414916&quot;/&gt;&lt;wsp:rsid wsp:val=&quot;00414D06&quot;/&gt;&lt;wsp:rsid wsp:val=&quot;00415993&quot;/&gt;&lt;wsp:rsid wsp:val=&quot;00415E78&quot;/&gt;&lt;wsp:rsid wsp:val=&quot;0041631E&quot;/&gt;&lt;wsp:rsid wsp:val=&quot;004169AB&quot;/&gt;&lt;wsp:rsid wsp:val=&quot;00417052&quot;/&gt;&lt;wsp:rsid wsp:val=&quot;004201F3&quot;/&gt;&lt;wsp:rsid wsp:val=&quot;00420857&quot;/&gt;&lt;wsp:rsid wsp:val=&quot;00420BC5&quot;/&gt;&lt;wsp:rsid wsp:val=&quot;00420E3B&quot;/&gt;&lt;wsp:rsid wsp:val=&quot;004211FE&quot;/&gt;&lt;wsp:rsid wsp:val=&quot;00422422&quot;/&gt;&lt;wsp:rsid wsp:val=&quot;00422DE0&quot;/&gt;&lt;wsp:rsid wsp:val=&quot;004231C3&quot;/&gt;&lt;wsp:rsid wsp:val=&quot;00423878&quot;/&gt;&lt;wsp:rsid wsp:val=&quot;00423A46&quot;/&gt;&lt;wsp:rsid wsp:val=&quot;00424287&quot;/&gt;&lt;wsp:rsid wsp:val=&quot;0042429D&quot;/&gt;&lt;wsp:rsid wsp:val=&quot;004245FE&quot;/&gt;&lt;wsp:rsid wsp:val=&quot;00424E08&quot;/&gt;&lt;wsp:rsid wsp:val=&quot;00425A5B&quot;/&gt;&lt;wsp:rsid wsp:val=&quot;00425FF7&quot;/&gt;&lt;wsp:rsid wsp:val=&quot;004260EF&quot;/&gt;&lt;wsp:rsid wsp:val=&quot;00426BDC&quot;/&gt;&lt;wsp:rsid wsp:val=&quot;00426F32&quot;/&gt;&lt;wsp:rsid wsp:val=&quot;0042707B&quot;/&gt;&lt;wsp:rsid wsp:val=&quot;0042748E&quot;/&gt;&lt;wsp:rsid wsp:val=&quot;0042773D&quot;/&gt;&lt;wsp:rsid wsp:val=&quot;00427BD8&quot;/&gt;&lt;wsp:rsid wsp:val=&quot;00427F36&quot;/&gt;&lt;wsp:rsid wsp:val=&quot;00430F60&quot;/&gt;&lt;wsp:rsid wsp:val=&quot;00431036&quot;/&gt;&lt;wsp:rsid wsp:val=&quot;004312A0&quot;/&gt;&lt;wsp:rsid wsp:val=&quot;00431608&quot;/&gt;&lt;wsp:rsid wsp:val=&quot;0043197D&quot;/&gt;&lt;wsp:rsid wsp:val=&quot;0043289F&quot;/&gt;&lt;wsp:rsid wsp:val=&quot;00433AE7&quot;/&gt;&lt;wsp:rsid wsp:val=&quot;00433C07&quot;/&gt;&lt;wsp:rsid wsp:val=&quot;004342AB&quot;/&gt;&lt;wsp:rsid wsp:val=&quot;00434C50&quot;/&gt;&lt;wsp:rsid wsp:val=&quot;0043500A&quot;/&gt;&lt;wsp:rsid wsp:val=&quot;004358FD&quot;/&gt;&lt;wsp:rsid wsp:val=&quot;004359FF&quot;/&gt;&lt;wsp:rsid wsp:val=&quot;00435A77&quot;/&gt;&lt;wsp:rsid wsp:val=&quot;00435C7A&quot;/&gt;&lt;wsp:rsid wsp:val=&quot;004360C1&quot;/&gt;&lt;wsp:rsid wsp:val=&quot;004367CE&quot;/&gt;&lt;wsp:rsid wsp:val=&quot;00436BB8&quot;/&gt;&lt;wsp:rsid wsp:val=&quot;004376CD&quot;/&gt;&lt;wsp:rsid wsp:val=&quot;00437A27&quot;/&gt;&lt;wsp:rsid wsp:val=&quot;004400D7&quot;/&gt;&lt;wsp:rsid wsp:val=&quot;00440655&quot;/&gt;&lt;wsp:rsid wsp:val=&quot;0044144F&quot;/&gt;&lt;wsp:rsid wsp:val=&quot;0044173D&quot;/&gt;&lt;wsp:rsid wsp:val=&quot;00441812&quot;/&gt;&lt;wsp:rsid wsp:val=&quot;004421D6&quot;/&gt;&lt;wsp:rsid wsp:val=&quot;0044222C&quot;/&gt;&lt;wsp:rsid wsp:val=&quot;00442560&quot;/&gt;&lt;wsp:rsid wsp:val=&quot;00442E6E&quot;/&gt;&lt;wsp:rsid wsp:val=&quot;0044302C&quot;/&gt;&lt;wsp:rsid wsp:val=&quot;00444528&quot;/&gt;&lt;wsp:rsid wsp:val=&quot;00444B86&quot;/&gt;&lt;wsp:rsid wsp:val=&quot;004459FF&quot;/&gt;&lt;wsp:rsid wsp:val=&quot;00445A7A&quot;/&gt;&lt;wsp:rsid wsp:val=&quot;00446E75&quot;/&gt;&lt;wsp:rsid wsp:val=&quot;00447566&quot;/&gt;&lt;wsp:rsid wsp:val=&quot;004475AE&quot;/&gt;&lt;wsp:rsid wsp:val=&quot;0045054D&quot;/&gt;&lt;wsp:rsid wsp:val=&quot;00450938&quot;/&gt;&lt;wsp:rsid wsp:val=&quot;00450BE8&quot;/&gt;&lt;wsp:rsid wsp:val=&quot;00450F16&quot;/&gt;&lt;wsp:rsid wsp:val=&quot;00451501&quot;/&gt;&lt;wsp:rsid wsp:val=&quot;00451D9B&quot;/&gt;&lt;wsp:rsid wsp:val=&quot;00452229&quot;/&gt;&lt;wsp:rsid wsp:val=&quot;00452FFB&quot;/&gt;&lt;wsp:rsid wsp:val=&quot;00453778&quot;/&gt;&lt;wsp:rsid wsp:val=&quot;0045398A&quot;/&gt;&lt;wsp:rsid wsp:val=&quot;00453A0F&quot;/&gt;&lt;wsp:rsid wsp:val=&quot;004542B8&quot;/&gt;&lt;wsp:rsid wsp:val=&quot;004548D2&quot;/&gt;&lt;wsp:rsid wsp:val=&quot;0045551A&quot;/&gt;&lt;wsp:rsid wsp:val=&quot;00455599&quot;/&gt;&lt;wsp:rsid wsp:val=&quot;0045596A&quot;/&gt;&lt;wsp:rsid wsp:val=&quot;00457ACC&quot;/&gt;&lt;wsp:rsid wsp:val=&quot;00457B62&quot;/&gt;&lt;wsp:rsid wsp:val=&quot;00457B91&quot;/&gt;&lt;wsp:rsid wsp:val=&quot;00457CD6&quot;/&gt;&lt;wsp:rsid wsp:val=&quot;004601BF&quot;/&gt;&lt;wsp:rsid wsp:val=&quot;00460A1E&quot;/&gt;&lt;wsp:rsid wsp:val=&quot;00460D12&quot;/&gt;&lt;wsp:rsid wsp:val=&quot;0046107C&quot;/&gt;&lt;wsp:rsid wsp:val=&quot;00461F86&quot;/&gt;&lt;wsp:rsid wsp:val=&quot;00462000&quot;/&gt;&lt;wsp:rsid wsp:val=&quot;00462157&quot;/&gt;&lt;wsp:rsid wsp:val=&quot;004623EB&quot;/&gt;&lt;wsp:rsid wsp:val=&quot;004627E2&quot;/&gt;&lt;wsp:rsid wsp:val=&quot;0046284B&quot;/&gt;&lt;wsp:rsid wsp:val=&quot;004629E4&quot;/&gt;&lt;wsp:rsid wsp:val=&quot;00462E31&quot;/&gt;&lt;wsp:rsid wsp:val=&quot;00463117&quot;/&gt;&lt;wsp:rsid wsp:val=&quot;004633B6&quot;/&gt;&lt;wsp:rsid wsp:val=&quot;004637AE&quot;/&gt;&lt;wsp:rsid wsp:val=&quot;00463B8A&quot;/&gt;&lt;wsp:rsid wsp:val=&quot;00463C38&quot;/&gt;&lt;wsp:rsid wsp:val=&quot;0046440D&quot;/&gt;&lt;wsp:rsid wsp:val=&quot;00464FE9&quot;/&gt;&lt;wsp:rsid wsp:val=&quot;00465301&quot;/&gt;&lt;wsp:rsid wsp:val=&quot;0046559C&quot;/&gt;&lt;wsp:rsid wsp:val=&quot;004656B8&quot;/&gt;&lt;wsp:rsid wsp:val=&quot;0046588D&quot;/&gt;&lt;wsp:rsid wsp:val=&quot;00465AA1&quot;/&gt;&lt;wsp:rsid wsp:val=&quot;00465CD4&quot;/&gt;&lt;wsp:rsid wsp:val=&quot;004663BE&quot;/&gt;&lt;wsp:rsid wsp:val=&quot;004664CC&quot;/&gt;&lt;wsp:rsid wsp:val=&quot;00466541&quot;/&gt;&lt;wsp:rsid wsp:val=&quot;004665A7&quot;/&gt;&lt;wsp:rsid wsp:val=&quot;00467FDE&quot;/&gt;&lt;wsp:rsid wsp:val=&quot;004703F1&quot;/&gt;&lt;wsp:rsid wsp:val=&quot;0047070C&quot;/&gt;&lt;wsp:rsid wsp:val=&quot;00470C44&quot;/&gt;&lt;wsp:rsid wsp:val=&quot;00470EFE&quot;/&gt;&lt;wsp:rsid wsp:val=&quot;00471041&quot;/&gt;&lt;wsp:rsid wsp:val=&quot;00471351&quot;/&gt;&lt;wsp:rsid wsp:val=&quot;004722FE&quot;/&gt;&lt;wsp:rsid wsp:val=&quot;00472EF7&quot;/&gt;&lt;wsp:rsid wsp:val=&quot;004736C3&quot;/&gt;&lt;wsp:rsid wsp:val=&quot;00473C85&quot;/&gt;&lt;wsp:rsid wsp:val=&quot;0047418C&quot;/&gt;&lt;wsp:rsid wsp:val=&quot;0047449A&quot;/&gt;&lt;wsp:rsid wsp:val=&quot;004748B2&quot;/&gt;&lt;wsp:rsid wsp:val=&quot;00474957&quot;/&gt;&lt;wsp:rsid wsp:val=&quot;00474D9A&quot;/&gt;&lt;wsp:rsid wsp:val=&quot;00474F85&quot;/&gt;&lt;wsp:rsid wsp:val=&quot;00475646&quot;/&gt;&lt;wsp:rsid wsp:val=&quot;0047568C&quot;/&gt;&lt;wsp:rsid wsp:val=&quot;00475CA8&quot;/&gt;&lt;wsp:rsid wsp:val=&quot;00476098&quot;/&gt;&lt;wsp:rsid wsp:val=&quot;004762DA&quot;/&gt;&lt;wsp:rsid wsp:val=&quot;00476FFE&quot;/&gt;&lt;wsp:rsid wsp:val=&quot;00477055&quot;/&gt;&lt;wsp:rsid wsp:val=&quot;004771A3&quot;/&gt;&lt;wsp:rsid wsp:val=&quot;004810D5&quot;/&gt;&lt;wsp:rsid wsp:val=&quot;00481408&quot;/&gt;&lt;wsp:rsid wsp:val=&quot;00481411&quot;/&gt;&lt;wsp:rsid wsp:val=&quot;00481760&quot;/&gt;&lt;wsp:rsid wsp:val=&quot;00481965&quot;/&gt;&lt;wsp:rsid wsp:val=&quot;0048228D&quot;/&gt;&lt;wsp:rsid wsp:val=&quot;00482B2C&quot;/&gt;&lt;wsp:rsid wsp:val=&quot;004836B1&quot;/&gt;&lt;wsp:rsid wsp:val=&quot;004836F5&quot;/&gt;&lt;wsp:rsid wsp:val=&quot;00483B48&quot;/&gt;&lt;wsp:rsid wsp:val=&quot;00483E03&quot;/&gt;&lt;wsp:rsid wsp:val=&quot;00483F7C&quot;/&gt;&lt;wsp:rsid wsp:val=&quot;004840C2&quot;/&gt;&lt;wsp:rsid wsp:val=&quot;004845A7&quot;/&gt;&lt;wsp:rsid wsp:val=&quot;00484959&quot;/&gt;&lt;wsp:rsid wsp:val=&quot;00484987&quot;/&gt;&lt;wsp:rsid wsp:val=&quot;00485136&quot;/&gt;&lt;wsp:rsid wsp:val=&quot;004851EA&quot;/&gt;&lt;wsp:rsid wsp:val=&quot;0048553F&quot;/&gt;&lt;wsp:rsid wsp:val=&quot;004857FC&quot;/&gt;&lt;wsp:rsid wsp:val=&quot;00485E3D&quot;/&gt;&lt;wsp:rsid wsp:val=&quot;004868BD&quot;/&gt;&lt;wsp:rsid wsp:val=&quot;00486A15&quot;/&gt;&lt;wsp:rsid wsp:val=&quot;00486B6F&quot;/&gt;&lt;wsp:rsid wsp:val=&quot;0048710C&quot;/&gt;&lt;wsp:rsid wsp:val=&quot;004871E7&quot;/&gt;&lt;wsp:rsid wsp:val=&quot;004874C5&quot;/&gt;&lt;wsp:rsid wsp:val=&quot;0048767F&quot;/&gt;&lt;wsp:rsid wsp:val=&quot;004900AB&quot;/&gt;&lt;wsp:rsid wsp:val=&quot;004906D9&quot;/&gt;&lt;wsp:rsid wsp:val=&quot;0049164C&quot;/&gt;&lt;wsp:rsid wsp:val=&quot;004919E5&quot;/&gt;&lt;wsp:rsid wsp:val=&quot;00492275&quot;/&gt;&lt;wsp:rsid wsp:val=&quot;00492397&quot;/&gt;&lt;wsp:rsid wsp:val=&quot;0049261E&quot;/&gt;&lt;wsp:rsid wsp:val=&quot;00492792&quot;/&gt;&lt;wsp:rsid wsp:val=&quot;00493815&quot;/&gt;&lt;wsp:rsid wsp:val=&quot;004938AD&quot;/&gt;&lt;wsp:rsid wsp:val=&quot;0049422B&quot;/&gt;&lt;wsp:rsid wsp:val=&quot;004943A8&quot;/&gt;&lt;wsp:rsid wsp:val=&quot;004945C1&quot;/&gt;&lt;wsp:rsid wsp:val=&quot;00494F77&quot;/&gt;&lt;wsp:rsid wsp:val=&quot;00494FDA&quot;/&gt;&lt;wsp:rsid wsp:val=&quot;00495801&quot;/&gt;&lt;wsp:rsid wsp:val=&quot;00495BAC&quot;/&gt;&lt;wsp:rsid wsp:val=&quot;00495D57&quot;/&gt;&lt;wsp:rsid wsp:val=&quot;00496263&quot;/&gt;&lt;wsp:rsid wsp:val=&quot;004962A3&quot;/&gt;&lt;wsp:rsid wsp:val=&quot;0049677D&quot;/&gt;&lt;wsp:rsid wsp:val=&quot;00496B9D&quot;/&gt;&lt;wsp:rsid wsp:val=&quot;00496D28&quot;/&gt;&lt;wsp:rsid wsp:val=&quot;00496DC1&quot;/&gt;&lt;wsp:rsid wsp:val=&quot;00496DD2&quot;/&gt;&lt;wsp:rsid wsp:val=&quot;00497E46&quot;/&gt;&lt;wsp:rsid wsp:val=&quot;004A0279&quot;/&gt;&lt;wsp:rsid wsp:val=&quot;004A0299&quot;/&gt;&lt;wsp:rsid wsp:val=&quot;004A03D4&quot;/&gt;&lt;wsp:rsid wsp:val=&quot;004A159F&quot;/&gt;&lt;wsp:rsid wsp:val=&quot;004A1ED6&quot;/&gt;&lt;wsp:rsid wsp:val=&quot;004A205B&quot;/&gt;&lt;wsp:rsid wsp:val=&quot;004A219D&quot;/&gt;&lt;wsp:rsid wsp:val=&quot;004A248E&quot;/&gt;&lt;wsp:rsid wsp:val=&quot;004A25EB&quot;/&gt;&lt;wsp:rsid wsp:val=&quot;004A26EE&quot;/&gt;&lt;wsp:rsid wsp:val=&quot;004A29AE&quot;/&gt;&lt;wsp:rsid wsp:val=&quot;004A2AB4&quot;/&gt;&lt;wsp:rsid wsp:val=&quot;004A2B6E&quot;/&gt;&lt;wsp:rsid wsp:val=&quot;004A2E58&quot;/&gt;&lt;wsp:rsid wsp:val=&quot;004A2EB8&quot;/&gt;&lt;wsp:rsid wsp:val=&quot;004A31CA&quot;/&gt;&lt;wsp:rsid wsp:val=&quot;004A3387&quot;/&gt;&lt;wsp:rsid wsp:val=&quot;004A38E2&quot;/&gt;&lt;wsp:rsid wsp:val=&quot;004A3B28&quot;/&gt;&lt;wsp:rsid wsp:val=&quot;004A3C38&quot;/&gt;&lt;wsp:rsid wsp:val=&quot;004A427D&quot;/&gt;&lt;wsp:rsid wsp:val=&quot;004A4733&quot;/&gt;&lt;wsp:rsid wsp:val=&quot;004A4ADC&quot;/&gt;&lt;wsp:rsid wsp:val=&quot;004A5023&quot;/&gt;&lt;wsp:rsid wsp:val=&quot;004A5E72&quot;/&gt;&lt;wsp:rsid wsp:val=&quot;004A69A6&quot;/&gt;&lt;wsp:rsid wsp:val=&quot;004A70F9&quot;/&gt;&lt;wsp:rsid wsp:val=&quot;004A75AC&quot;/&gt;&lt;wsp:rsid wsp:val=&quot;004A7983&quot;/&gt;&lt;wsp:rsid wsp:val=&quot;004A7A03&quot;/&gt;&lt;wsp:rsid wsp:val=&quot;004B07DA&quot;/&gt;&lt;wsp:rsid wsp:val=&quot;004B0D95&quot;/&gt;&lt;wsp:rsid wsp:val=&quot;004B0F48&quot;/&gt;&lt;wsp:rsid wsp:val=&quot;004B165E&quot;/&gt;&lt;wsp:rsid wsp:val=&quot;004B1E42&quot;/&gt;&lt;wsp:rsid wsp:val=&quot;004B2259&quot;/&gt;&lt;wsp:rsid wsp:val=&quot;004B24D0&quot;/&gt;&lt;wsp:rsid wsp:val=&quot;004B34A1&quot;/&gt;&lt;wsp:rsid wsp:val=&quot;004B360E&quot;/&gt;&lt;wsp:rsid wsp:val=&quot;004B3A3E&quot;/&gt;&lt;wsp:rsid wsp:val=&quot;004B3B8D&quot;/&gt;&lt;wsp:rsid wsp:val=&quot;004B3F3F&quot;/&gt;&lt;wsp:rsid wsp:val=&quot;004B4092&quot;/&gt;&lt;wsp:rsid wsp:val=&quot;004B4816&quot;/&gt;&lt;wsp:rsid wsp:val=&quot;004B4C8C&quot;/&gt;&lt;wsp:rsid wsp:val=&quot;004B4FC8&quot;/&gt;&lt;wsp:rsid wsp:val=&quot;004B50A9&quot;/&gt;&lt;wsp:rsid wsp:val=&quot;004B58C6&quot;/&gt;&lt;wsp:rsid wsp:val=&quot;004B5994&quot;/&gt;&lt;wsp:rsid wsp:val=&quot;004B6268&quot;/&gt;&lt;wsp:rsid wsp:val=&quot;004B66CF&quot;/&gt;&lt;wsp:rsid wsp:val=&quot;004B6740&quot;/&gt;&lt;wsp:rsid wsp:val=&quot;004B6B04&quot;/&gt;&lt;wsp:rsid wsp:val=&quot;004B6C86&quot;/&gt;&lt;wsp:rsid wsp:val=&quot;004B6E4A&quot;/&gt;&lt;wsp:rsid wsp:val=&quot;004B72C6&quot;/&gt;&lt;wsp:rsid wsp:val=&quot;004B7514&quot;/&gt;&lt;wsp:rsid wsp:val=&quot;004B76F7&quot;/&gt;&lt;wsp:rsid wsp:val=&quot;004B79CF&quot;/&gt;&lt;wsp:rsid wsp:val=&quot;004B7B24&quot;/&gt;&lt;wsp:rsid wsp:val=&quot;004C093C&quot;/&gt;&lt;wsp:rsid wsp:val=&quot;004C0FE3&quot;/&gt;&lt;wsp:rsid wsp:val=&quot;004C105E&quot;/&gt;&lt;wsp:rsid wsp:val=&quot;004C14C3&quot;/&gt;&lt;wsp:rsid wsp:val=&quot;004C176D&quot;/&gt;&lt;wsp:rsid wsp:val=&quot;004C188F&quot;/&gt;&lt;wsp:rsid wsp:val=&quot;004C19B8&quot;/&gt;&lt;wsp:rsid wsp:val=&quot;004C1BE3&quot;/&gt;&lt;wsp:rsid wsp:val=&quot;004C1BEA&quot;/&gt;&lt;wsp:rsid wsp:val=&quot;004C28A8&quot;/&gt;&lt;wsp:rsid wsp:val=&quot;004C2D37&quot;/&gt;&lt;wsp:rsid wsp:val=&quot;004C3374&quot;/&gt;&lt;wsp:rsid wsp:val=&quot;004C37A6&quot;/&gt;&lt;wsp:rsid wsp:val=&quot;004C3D7E&quot;/&gt;&lt;wsp:rsid wsp:val=&quot;004C3E25&quot;/&gt;&lt;wsp:rsid wsp:val=&quot;004C3F60&quot;/&gt;&lt;wsp:rsid wsp:val=&quot;004C42A2&quot;/&gt;&lt;wsp:rsid wsp:val=&quot;004C43C0&quot;/&gt;&lt;wsp:rsid wsp:val=&quot;004C43E8&quot;/&gt;&lt;wsp:rsid wsp:val=&quot;004C4B4E&quot;/&gt;&lt;wsp:rsid wsp:val=&quot;004C4CA8&quot;/&gt;&lt;wsp:rsid wsp:val=&quot;004C4D7D&quot;/&gt;&lt;wsp:rsid wsp:val=&quot;004C4D9F&quot;/&gt;&lt;wsp:rsid wsp:val=&quot;004C507A&quot;/&gt;&lt;wsp:rsid wsp:val=&quot;004C5662&quot;/&gt;&lt;wsp:rsid wsp:val=&quot;004C5A3F&quot;/&gt;&lt;wsp:rsid wsp:val=&quot;004C60DB&quot;/&gt;&lt;wsp:rsid wsp:val=&quot;004C6AFF&quot;/&gt;&lt;wsp:rsid wsp:val=&quot;004C6B82&quot;/&gt;&lt;wsp:rsid wsp:val=&quot;004C71E5&quot;/&gt;&lt;wsp:rsid wsp:val=&quot;004C75F4&quot;/&gt;&lt;wsp:rsid wsp:val=&quot;004C7794&quot;/&gt;&lt;wsp:rsid wsp:val=&quot;004D02DF&quot;/&gt;&lt;wsp:rsid wsp:val=&quot;004D0737&quot;/&gt;&lt;wsp:rsid wsp:val=&quot;004D101C&quot;/&gt;&lt;wsp:rsid wsp:val=&quot;004D1543&quot;/&gt;&lt;wsp:rsid wsp:val=&quot;004D1D7E&quot;/&gt;&lt;wsp:rsid wsp:val=&quot;004D2B4B&quot;/&gt;&lt;wsp:rsid wsp:val=&quot;004D2B67&quot;/&gt;&lt;wsp:rsid wsp:val=&quot;004D2CF9&quot;/&gt;&lt;wsp:rsid wsp:val=&quot;004D30C8&quot;/&gt;&lt;wsp:rsid wsp:val=&quot;004D3191&quot;/&gt;&lt;wsp:rsid wsp:val=&quot;004D31BF&quot;/&gt;&lt;wsp:rsid wsp:val=&quot;004D379D&quot;/&gt;&lt;wsp:rsid wsp:val=&quot;004D397C&quot;/&gt;&lt;wsp:rsid wsp:val=&quot;004D4108&quot;/&gt;&lt;wsp:rsid wsp:val=&quot;004D436C&quot;/&gt;&lt;wsp:rsid wsp:val=&quot;004D4593&quot;/&gt;&lt;wsp:rsid wsp:val=&quot;004D471C&quot;/&gt;&lt;wsp:rsid wsp:val=&quot;004D4725&quot;/&gt;&lt;wsp:rsid wsp:val=&quot;004D4DE8&quot;/&gt;&lt;wsp:rsid wsp:val=&quot;004D579E&quot;/&gt;&lt;wsp:rsid wsp:val=&quot;004D5B0D&quot;/&gt;&lt;wsp:rsid wsp:val=&quot;004D61D6&quot;/&gt;&lt;wsp:rsid wsp:val=&quot;004D68B1&quot;/&gt;&lt;wsp:rsid wsp:val=&quot;004D6DD6&quot;/&gt;&lt;wsp:rsid wsp:val=&quot;004D76BC&quot;/&gt;&lt;wsp:rsid wsp:val=&quot;004D7A0A&quot;/&gt;&lt;wsp:rsid wsp:val=&quot;004D7AE6&quot;/&gt;&lt;wsp:rsid wsp:val=&quot;004E059E&quot;/&gt;&lt;wsp:rsid wsp:val=&quot;004E1531&quot;/&gt;&lt;wsp:rsid wsp:val=&quot;004E1C24&quot;/&gt;&lt;wsp:rsid wsp:val=&quot;004E276C&quot;/&gt;&lt;wsp:rsid wsp:val=&quot;004E2FF3&quot;/&gt;&lt;wsp:rsid wsp:val=&quot;004E3D03&quot;/&gt;&lt;wsp:rsid wsp:val=&quot;004E4BA9&quot;/&gt;&lt;wsp:rsid wsp:val=&quot;004E4D02&quot;/&gt;&lt;wsp:rsid wsp:val=&quot;004E4F9B&quot;/&gt;&lt;wsp:rsid wsp:val=&quot;004E5A94&quot;/&gt;&lt;wsp:rsid wsp:val=&quot;004E5CFB&quot;/&gt;&lt;wsp:rsid wsp:val=&quot;004E5EC6&quot;/&gt;&lt;wsp:rsid wsp:val=&quot;004E618C&quot;/&gt;&lt;wsp:rsid wsp:val=&quot;004E65A0&quot;/&gt;&lt;wsp:rsid wsp:val=&quot;004E6738&quot;/&gt;&lt;wsp:rsid wsp:val=&quot;004E6992&quot;/&gt;&lt;wsp:rsid wsp:val=&quot;004E6E4A&quot;/&gt;&lt;wsp:rsid wsp:val=&quot;004E7563&quot;/&gt;&lt;wsp:rsid wsp:val=&quot;004F0EDA&quot;/&gt;&lt;wsp:rsid wsp:val=&quot;004F110F&quot;/&gt;&lt;wsp:rsid wsp:val=&quot;004F1393&quot;/&gt;&lt;wsp:rsid wsp:val=&quot;004F1B89&quot;/&gt;&lt;wsp:rsid wsp:val=&quot;004F1BA1&quot;/&gt;&lt;wsp:rsid wsp:val=&quot;004F1D14&quot;/&gt;&lt;wsp:rsid wsp:val=&quot;004F2076&quot;/&gt;&lt;wsp:rsid wsp:val=&quot;004F2150&quot;/&gt;&lt;wsp:rsid wsp:val=&quot;004F222D&quot;/&gt;&lt;wsp:rsid wsp:val=&quot;004F252F&quot;/&gt;&lt;wsp:rsid wsp:val=&quot;004F276B&quot;/&gt;&lt;wsp:rsid wsp:val=&quot;004F27EC&quot;/&gt;&lt;wsp:rsid wsp:val=&quot;004F2ED8&quot;/&gt;&lt;wsp:rsid wsp:val=&quot;004F3978&quot;/&gt;&lt;wsp:rsid wsp:val=&quot;004F3A53&quot;/&gt;&lt;wsp:rsid wsp:val=&quot;004F3BA1&quot;/&gt;&lt;wsp:rsid wsp:val=&quot;004F3F3E&quot;/&gt;&lt;wsp:rsid wsp:val=&quot;004F40BC&quot;/&gt;&lt;wsp:rsid wsp:val=&quot;004F431C&quot;/&gt;&lt;wsp:rsid wsp:val=&quot;004F43A0&quot;/&gt;&lt;wsp:rsid wsp:val=&quot;004F447B&quot;/&gt;&lt;wsp:rsid wsp:val=&quot;004F4680&quot;/&gt;&lt;wsp:rsid wsp:val=&quot;004F4787&quot;/&gt;&lt;wsp:rsid wsp:val=&quot;004F50F5&quot;/&gt;&lt;wsp:rsid wsp:val=&quot;004F5246&quot;/&gt;&lt;wsp:rsid wsp:val=&quot;004F53D9&quot;/&gt;&lt;wsp:rsid wsp:val=&quot;004F62C1&quot;/&gt;&lt;wsp:rsid wsp:val=&quot;004F696E&quot;/&gt;&lt;wsp:rsid wsp:val=&quot;004F6A4F&quot;/&gt;&lt;wsp:rsid wsp:val=&quot;004F6FF7&quot;/&gt;&lt;wsp:rsid wsp:val=&quot;004F7309&quot;/&gt;&lt;wsp:rsid wsp:val=&quot;004F73C8&quot;/&gt;&lt;wsp:rsid wsp:val=&quot;004F74B1&quot;/&gt;&lt;wsp:rsid wsp:val=&quot;004F7667&quot;/&gt;&lt;wsp:rsid wsp:val=&quot;004F7691&quot;/&gt;&lt;wsp:rsid wsp:val=&quot;004F76F9&quot;/&gt;&lt;wsp:rsid wsp:val=&quot;004F7802&quot;/&gt;&lt;wsp:rsid wsp:val=&quot;004F7996&quot;/&gt;&lt;wsp:rsid wsp:val=&quot;004F7F5B&quot;/&gt;&lt;wsp:rsid wsp:val=&quot;005008EF&quot;/&gt;&lt;wsp:rsid wsp:val=&quot;00501012&quot;/&gt;&lt;wsp:rsid wsp:val=&quot;005019E2&quot;/&gt;&lt;wsp:rsid wsp:val=&quot;005027B0&quot;/&gt;&lt;wsp:rsid wsp:val=&quot;0050302B&quot;/&gt;&lt;wsp:rsid wsp:val=&quot;005031AE&quot;/&gt;&lt;wsp:rsid wsp:val=&quot;0050343F&quot;/&gt;&lt;wsp:rsid wsp:val=&quot;005036F4&quot;/&gt;&lt;wsp:rsid wsp:val=&quot;00503B2F&quot;/&gt;&lt;wsp:rsid wsp:val=&quot;00503B72&quot;/&gt;&lt;wsp:rsid wsp:val=&quot;005045BE&quot;/&gt;&lt;wsp:rsid wsp:val=&quot;005051E1&quot;/&gt;&lt;wsp:rsid wsp:val=&quot;0050522E&quot;/&gt;&lt;wsp:rsid wsp:val=&quot;005053A7&quot;/&gt;&lt;wsp:rsid wsp:val=&quot;00505475&quot;/&gt;&lt;wsp:rsid wsp:val=&quot;00505697&quot;/&gt;&lt;wsp:rsid wsp:val=&quot;00506956&quot;/&gt;&lt;wsp:rsid wsp:val=&quot;00506B66&quot;/&gt;&lt;wsp:rsid wsp:val=&quot;00506CE7&quot;/&gt;&lt;wsp:rsid wsp:val=&quot;00506EF7&quot;/&gt;&lt;wsp:rsid wsp:val=&quot;00507656&quot;/&gt;&lt;wsp:rsid wsp:val=&quot;0050778C&quot;/&gt;&lt;wsp:rsid wsp:val=&quot;00507A6C&quot;/&gt;&lt;wsp:rsid wsp:val=&quot;00507DB6&quot;/&gt;&lt;wsp:rsid wsp:val=&quot;005106E7&quot;/&gt;&lt;wsp:rsid wsp:val=&quot;00510DB0&quot;/&gt;&lt;wsp:rsid wsp:val=&quot;00512960&quot;/&gt;&lt;wsp:rsid wsp:val=&quot;00512E5E&quot;/&gt;&lt;wsp:rsid wsp:val=&quot;0051337F&quot;/&gt;&lt;wsp:rsid wsp:val=&quot;005147E0&quot;/&gt;&lt;wsp:rsid wsp:val=&quot;00514850&quot;/&gt;&lt;wsp:rsid wsp:val=&quot;005159CF&quot;/&gt;&lt;wsp:rsid wsp:val=&quot;00515B68&quot;/&gt;&lt;wsp:rsid wsp:val=&quot;00515D3F&quot;/&gt;&lt;wsp:rsid wsp:val=&quot;00516458&quot;/&gt;&lt;wsp:rsid wsp:val=&quot;00516CD7&quot;/&gt;&lt;wsp:rsid wsp:val=&quot;00516F53&quot;/&gt;&lt;wsp:rsid wsp:val=&quot;00516FF3&quot;/&gt;&lt;wsp:rsid wsp:val=&quot;00517A02&quot;/&gt;&lt;wsp:rsid wsp:val=&quot;00517B8B&quot;/&gt;&lt;wsp:rsid wsp:val=&quot;00517C72&quot;/&gt;&lt;wsp:rsid wsp:val=&quot;00517D93&quot;/&gt;&lt;wsp:rsid wsp:val=&quot;005202B9&quot;/&gt;&lt;wsp:rsid wsp:val=&quot;005216B0&quot;/&gt;&lt;wsp:rsid wsp:val=&quot;0052175C&quot;/&gt;&lt;wsp:rsid wsp:val=&quot;0052181C&quot;/&gt;&lt;wsp:rsid wsp:val=&quot;00521D97&quot;/&gt;&lt;wsp:rsid wsp:val=&quot;0052200F&quot;/&gt;&lt;wsp:rsid wsp:val=&quot;005221F9&quot;/&gt;&lt;wsp:rsid wsp:val=&quot;00522983&quot;/&gt;&lt;wsp:rsid wsp:val=&quot;005230F3&quot;/&gt;&lt;wsp:rsid wsp:val=&quot;00523498&quot;/&gt;&lt;wsp:rsid wsp:val=&quot;0052377E&quot;/&gt;&lt;wsp:rsid wsp:val=&quot;00524AB8&quot;/&gt;&lt;wsp:rsid wsp:val=&quot;005259A8&quot;/&gt;&lt;wsp:rsid wsp:val=&quot;00525F7C&quot;/&gt;&lt;wsp:rsid wsp:val=&quot;00526402&quot;/&gt;&lt;wsp:rsid wsp:val=&quot;0052708F&quot;/&gt;&lt;wsp:rsid wsp:val=&quot;0052781A&quot;/&gt;&lt;wsp:rsid wsp:val=&quot;00527F6A&quot;/&gt;&lt;wsp:rsid wsp:val=&quot;005305F3&quot;/&gt;&lt;wsp:rsid wsp:val=&quot;00530F44&quot;/&gt;&lt;wsp:rsid wsp:val=&quot;00531050&quot;/&gt;&lt;wsp:rsid wsp:val=&quot;005317FA&quot;/&gt;&lt;wsp:rsid wsp:val=&quot;005319BA&quot;/&gt;&lt;wsp:rsid wsp:val=&quot;00531E19&quot;/&gt;&lt;wsp:rsid wsp:val=&quot;005321B6&quot;/&gt;&lt;wsp:rsid wsp:val=&quot;005324F9&quot;/&gt;&lt;wsp:rsid wsp:val=&quot;00532E48&quot;/&gt;&lt;wsp:rsid wsp:val=&quot;0053307C&quot;/&gt;&lt;wsp:rsid wsp:val=&quot;005331AF&quot;/&gt;&lt;wsp:rsid wsp:val=&quot;005346A7&quot;/&gt;&lt;wsp:rsid wsp:val=&quot;00535054&quot;/&gt;&lt;wsp:rsid wsp:val=&quot;005352AD&quot;/&gt;&lt;wsp:rsid wsp:val=&quot;005352E3&quot;/&gt;&lt;wsp:rsid wsp:val=&quot;0053550D&quot;/&gt;&lt;wsp:rsid wsp:val=&quot;0053579F&quot;/&gt;&lt;wsp:rsid wsp:val=&quot;00535817&quot;/&gt;&lt;wsp:rsid wsp:val=&quot;00535933&quot;/&gt;&lt;wsp:rsid wsp:val=&quot;005365D4&quot;/&gt;&lt;wsp:rsid wsp:val=&quot;00536ABA&quot;/&gt;&lt;wsp:rsid wsp:val=&quot;00536F40&quot;/&gt;&lt;wsp:rsid wsp:val=&quot;005372C1&quot;/&gt;&lt;wsp:rsid wsp:val=&quot;00537E9E&quot;/&gt;&lt;wsp:rsid wsp:val=&quot;00540AD7&quot;/&gt;&lt;wsp:rsid wsp:val=&quot;00541753&quot;/&gt;&lt;wsp:rsid wsp:val=&quot;0054191D&quot;/&gt;&lt;wsp:rsid wsp:val=&quot;00541CCA&quot;/&gt;&lt;wsp:rsid wsp:val=&quot;00541D44&quot;/&gt;&lt;wsp:rsid wsp:val=&quot;0054203D&quot;/&gt;&lt;wsp:rsid wsp:val=&quot;005421D4&quot;/&gt;&lt;wsp:rsid wsp:val=&quot;00542906&quot;/&gt;&lt;wsp:rsid wsp:val=&quot;0054293A&quot;/&gt;&lt;wsp:rsid wsp:val=&quot;00543570&quot;/&gt;&lt;wsp:rsid wsp:val=&quot;005437AD&quot;/&gt;&lt;wsp:rsid wsp:val=&quot;00543924&quot;/&gt;&lt;wsp:rsid wsp:val=&quot;00543E5C&quot;/&gt;&lt;wsp:rsid wsp:val=&quot;00544B40&quot;/&gt;&lt;wsp:rsid wsp:val=&quot;00544C21&quot;/&gt;&lt;wsp:rsid wsp:val=&quot;00544FDD&quot;/&gt;&lt;wsp:rsid wsp:val=&quot;00545153&quot;/&gt;&lt;wsp:rsid wsp:val=&quot;0054538D&quot;/&gt;&lt;wsp:rsid wsp:val=&quot;005457C5&quot;/&gt;&lt;wsp:rsid wsp:val=&quot;005458E3&quot;/&gt;&lt;wsp:rsid wsp:val=&quot;00545A4D&quot;/&gt;&lt;wsp:rsid wsp:val=&quot;00545D67&quot;/&gt;&lt;wsp:rsid wsp:val=&quot;005460C6&quot;/&gt;&lt;wsp:rsid wsp:val=&quot;00547443&quot;/&gt;&lt;wsp:rsid wsp:val=&quot;0055079F&quot;/&gt;&lt;wsp:rsid wsp:val=&quot;00550A3A&quot;/&gt;&lt;wsp:rsid wsp:val=&quot;00550AA3&quot;/&gt;&lt;wsp:rsid wsp:val=&quot;00550BBE&quot;/&gt;&lt;wsp:rsid wsp:val=&quot;005520FD&quot;/&gt;&lt;wsp:rsid wsp:val=&quot;005524F6&quot;/&gt;&lt;wsp:rsid wsp:val=&quot;00552A21&quot;/&gt;&lt;wsp:rsid wsp:val=&quot;005531AB&quot;/&gt;&lt;wsp:rsid wsp:val=&quot;00553A9E&quot;/&gt;&lt;wsp:rsid wsp:val=&quot;00553D22&quot;/&gt;&lt;wsp:rsid wsp:val=&quot;00554258&quot;/&gt;&lt;wsp:rsid wsp:val=&quot;00554C01&quot;/&gt;&lt;wsp:rsid wsp:val=&quot;00554D02&quot;/&gt;&lt;wsp:rsid wsp:val=&quot;00554E4A&quot;/&gt;&lt;wsp:rsid wsp:val=&quot;00554FC9&quot;/&gt;&lt;wsp:rsid wsp:val=&quot;00555518&quot;/&gt;&lt;wsp:rsid wsp:val=&quot;00556818&quot;/&gt;&lt;wsp:rsid wsp:val=&quot;00556EC1&quot;/&gt;&lt;wsp:rsid wsp:val=&quot;00557610&quot;/&gt;&lt;wsp:rsid wsp:val=&quot;00560114&quot;/&gt;&lt;wsp:rsid wsp:val=&quot;005601E8&quot;/&gt;&lt;wsp:rsid wsp:val=&quot;005603EA&quot;/&gt;&lt;wsp:rsid wsp:val=&quot;005607F6&quot;/&gt;&lt;wsp:rsid wsp:val=&quot;00560D2A&quot;/&gt;&lt;wsp:rsid wsp:val=&quot;00560DCA&quot;/&gt;&lt;wsp:rsid wsp:val=&quot;005611AD&quot;/&gt;&lt;wsp:rsid wsp:val=&quot;0056141B&quot;/&gt;&lt;wsp:rsid wsp:val=&quot;0056154E&quot;/&gt;&lt;wsp:rsid wsp:val=&quot;00561B3E&quot;/&gt;&lt;wsp:rsid wsp:val=&quot;00562285&quot;/&gt;&lt;wsp:rsid wsp:val=&quot;00562517&quot;/&gt;&lt;wsp:rsid wsp:val=&quot;00562DCF&quot;/&gt;&lt;wsp:rsid wsp:val=&quot;00562E0A&quot;/&gt;&lt;wsp:rsid wsp:val=&quot;00563556&quot;/&gt;&lt;wsp:rsid wsp:val=&quot;005635FC&quot;/&gt;&lt;wsp:rsid wsp:val=&quot;005642B8&quot;/&gt;&lt;wsp:rsid wsp:val=&quot;0056495D&quot;/&gt;&lt;wsp:rsid wsp:val=&quot;00565A79&quot;/&gt;&lt;wsp:rsid wsp:val=&quot;00565BBE&quot;/&gt;&lt;wsp:rsid wsp:val=&quot;00565FA9&quot;/&gt;&lt;wsp:rsid wsp:val=&quot;0056629C&quot;/&gt;&lt;wsp:rsid wsp:val=&quot;00566519&quot;/&gt;&lt;wsp:rsid wsp:val=&quot;0056657E&quot;/&gt;&lt;wsp:rsid wsp:val=&quot;005665EB&quot;/&gt;&lt;wsp:rsid wsp:val=&quot;005668BE&quot;/&gt;&lt;wsp:rsid wsp:val=&quot;00566AFF&quot;/&gt;&lt;wsp:rsid wsp:val=&quot;00566E6F&quot;/&gt;&lt;wsp:rsid wsp:val=&quot;005670E9&quot;/&gt;&lt;wsp:rsid wsp:val=&quot;00567866&quot;/&gt;&lt;wsp:rsid wsp:val=&quot;00567BFA&quot;/&gt;&lt;wsp:rsid wsp:val=&quot;00570BAD&quot;/&gt;&lt;wsp:rsid wsp:val=&quot;0057107A&quot;/&gt;&lt;wsp:rsid wsp:val=&quot;00571514&quot;/&gt;&lt;wsp:rsid wsp:val=&quot;005717D4&quot;/&gt;&lt;wsp:rsid wsp:val=&quot;00571C4D&quot;/&gt;&lt;wsp:rsid wsp:val=&quot;00571E47&quot;/&gt;&lt;wsp:rsid wsp:val=&quot;0057286F&quot;/&gt;&lt;wsp:rsid wsp:val=&quot;00572C6A&quot;/&gt;&lt;wsp:rsid wsp:val=&quot;00573012&quot;/&gt;&lt;wsp:rsid wsp:val=&quot;0057339E&quot;/&gt;&lt;wsp:rsid wsp:val=&quot;00573AD0&quot;/&gt;&lt;wsp:rsid wsp:val=&quot;0057411E&quot;/&gt;&lt;wsp:rsid wsp:val=&quot;005742D4&quot;/&gt;&lt;wsp:rsid wsp:val=&quot;0057470E&quot;/&gt;&lt;wsp:rsid wsp:val=&quot;00574D29&quot;/&gt;&lt;wsp:rsid wsp:val=&quot;00575651&quot;/&gt;&lt;wsp:rsid wsp:val=&quot;00575868&quot;/&gt;&lt;wsp:rsid wsp:val=&quot;00575972&quot;/&gt;&lt;wsp:rsid wsp:val=&quot;00575F99&quot;/&gt;&lt;wsp:rsid wsp:val=&quot;00576218&quot;/&gt;&lt;wsp:rsid wsp:val=&quot;00576268&quot;/&gt;&lt;wsp:rsid wsp:val=&quot;00576451&quot;/&gt;&lt;wsp:rsid wsp:val=&quot;005766E8&quot;/&gt;&lt;wsp:rsid wsp:val=&quot;00576796&quot;/&gt;&lt;wsp:rsid wsp:val=&quot;0057719D&quot;/&gt;&lt;wsp:rsid wsp:val=&quot;005774D2&quot;/&gt;&lt;wsp:rsid wsp:val=&quot;00577EA7&quot;/&gt;&lt;wsp:rsid wsp:val=&quot;00577F89&quot;/&gt;&lt;wsp:rsid wsp:val=&quot;00577FD4&quot;/&gt;&lt;wsp:rsid wsp:val=&quot;00580470&quot;/&gt;&lt;wsp:rsid wsp:val=&quot;005816D8&quot;/&gt;&lt;wsp:rsid wsp:val=&quot;005817B6&quot;/&gt;&lt;wsp:rsid wsp:val=&quot;005817B8&quot;/&gt;&lt;wsp:rsid wsp:val=&quot;005818E2&quot;/&gt;&lt;wsp:rsid wsp:val=&quot;00581A75&quot;/&gt;&lt;wsp:rsid wsp:val=&quot;00581B4F&quot;/&gt;&lt;wsp:rsid wsp:val=&quot;00581DE5&quot;/&gt;&lt;wsp:rsid wsp:val=&quot;00581E6B&quot;/&gt;&lt;wsp:rsid wsp:val=&quot;005823AA&quot;/&gt;&lt;wsp:rsid wsp:val=&quot;00582A71&quot;/&gt;&lt;wsp:rsid wsp:val=&quot;00582C4F&quot;/&gt;&lt;wsp:rsid wsp:val=&quot;00583071&quot;/&gt;&lt;wsp:rsid wsp:val=&quot;00583413&quot;/&gt;&lt;wsp:rsid wsp:val=&quot;0058389D&quot;/&gt;&lt;wsp:rsid wsp:val=&quot;00583E01&quot;/&gt;&lt;wsp:rsid wsp:val=&quot;00585962&quot;/&gt;&lt;wsp:rsid wsp:val=&quot;00586086&quot;/&gt;&lt;wsp:rsid wsp:val=&quot;0058640B&quot;/&gt;&lt;wsp:rsid wsp:val=&quot;0058677E&quot;/&gt;&lt;wsp:rsid wsp:val=&quot;00586F7A&quot;/&gt;&lt;wsp:rsid wsp:val=&quot;005871B8&quot;/&gt;&lt;wsp:rsid wsp:val=&quot;00587DF9&quot;/&gt;&lt;wsp:rsid wsp:val=&quot;00587F78&quot;/&gt;&lt;wsp:rsid wsp:val=&quot;00590569&quot;/&gt;&lt;wsp:rsid wsp:val=&quot;0059124A&quot;/&gt;&lt;wsp:rsid wsp:val=&quot;00591A3B&quot;/&gt;&lt;wsp:rsid wsp:val=&quot;00592339&quot;/&gt;&lt;wsp:rsid wsp:val=&quot;005925F4&quot;/&gt;&lt;wsp:rsid wsp:val=&quot;0059300F&quot;/&gt;&lt;wsp:rsid wsp:val=&quot;005935B8&quot;/&gt;&lt;wsp:rsid wsp:val=&quot;00593CFA&quot;/&gt;&lt;wsp:rsid wsp:val=&quot;00594064&quot;/&gt;&lt;wsp:rsid wsp:val=&quot;0059440B&quot;/&gt;&lt;wsp:rsid wsp:val=&quot;00594884&quot;/&gt;&lt;wsp:rsid wsp:val=&quot;00594B7A&quot;/&gt;&lt;wsp:rsid wsp:val=&quot;00594BF4&quot;/&gt;&lt;wsp:rsid wsp:val=&quot;00594CBB&quot;/&gt;&lt;wsp:rsid wsp:val=&quot;00594EAE&quot;/&gt;&lt;wsp:rsid wsp:val=&quot;0059523E&quot;/&gt;&lt;wsp:rsid wsp:val=&quot;00595548&quot;/&gt;&lt;wsp:rsid wsp:val=&quot;0059560F&quot;/&gt;&lt;wsp:rsid wsp:val=&quot;00596318&quot;/&gt;&lt;wsp:rsid wsp:val=&quot;00596BE2&quot;/&gt;&lt;wsp:rsid wsp:val=&quot;00596D1A&quot;/&gt;&lt;wsp:rsid wsp:val=&quot;005A06DB&quot;/&gt;&lt;wsp:rsid wsp:val=&quot;005A0A75&quot;/&gt;&lt;wsp:rsid wsp:val=&quot;005A0D74&quot;/&gt;&lt;wsp:rsid wsp:val=&quot;005A14CF&quot;/&gt;&lt;wsp:rsid wsp:val=&quot;005A1548&quot;/&gt;&lt;wsp:rsid wsp:val=&quot;005A1AC0&quot;/&gt;&lt;wsp:rsid wsp:val=&quot;005A1D93&quot;/&gt;&lt;wsp:rsid wsp:val=&quot;005A2037&quot;/&gt;&lt;wsp:rsid wsp:val=&quot;005A3930&quot;/&gt;&lt;wsp:rsid wsp:val=&quot;005A3B0B&quot;/&gt;&lt;wsp:rsid wsp:val=&quot;005A3B5D&quot;/&gt;&lt;wsp:rsid wsp:val=&quot;005A40AF&quot;/&gt;&lt;wsp:rsid wsp:val=&quot;005A447C&quot;/&gt;&lt;wsp:rsid wsp:val=&quot;005A4666&quot;/&gt;&lt;wsp:rsid wsp:val=&quot;005A4C97&quot;/&gt;&lt;wsp:rsid wsp:val=&quot;005A5539&quot;/&gt;&lt;wsp:rsid wsp:val=&quot;005A556D&quot;/&gt;&lt;wsp:rsid wsp:val=&quot;005A59C2&quot;/&gt;&lt;wsp:rsid wsp:val=&quot;005A62CC&quot;/&gt;&lt;wsp:rsid wsp:val=&quot;005A66D5&quot;/&gt;&lt;wsp:rsid wsp:val=&quot;005A73E7&quot;/&gt;&lt;wsp:rsid wsp:val=&quot;005A74C1&quot;/&gt;&lt;wsp:rsid wsp:val=&quot;005A78DC&quot;/&gt;&lt;wsp:rsid wsp:val=&quot;005A798B&quot;/&gt;&lt;wsp:rsid wsp:val=&quot;005A7C61&quot;/&gt;&lt;wsp:rsid wsp:val=&quot;005B0151&quot;/&gt;&lt;wsp:rsid wsp:val=&quot;005B0161&quot;/&gt;&lt;wsp:rsid wsp:val=&quot;005B0666&quot;/&gt;&lt;wsp:rsid wsp:val=&quot;005B0A12&quot;/&gt;&lt;wsp:rsid wsp:val=&quot;005B0BCC&quot;/&gt;&lt;wsp:rsid wsp:val=&quot;005B0F41&quot;/&gt;&lt;wsp:rsid wsp:val=&quot;005B16F8&quot;/&gt;&lt;wsp:rsid wsp:val=&quot;005B183A&quot;/&gt;&lt;wsp:rsid wsp:val=&quot;005B1FC4&quot;/&gt;&lt;wsp:rsid wsp:val=&quot;005B24F7&quot;/&gt;&lt;wsp:rsid wsp:val=&quot;005B2E38&quot;/&gt;&lt;wsp:rsid wsp:val=&quot;005B2F22&quot;/&gt;&lt;wsp:rsid wsp:val=&quot;005B30B5&quot;/&gt;&lt;wsp:rsid wsp:val=&quot;005B35EC&quot;/&gt;&lt;wsp:rsid wsp:val=&quot;005B388D&quot;/&gt;&lt;wsp:rsid wsp:val=&quot;005B3F5E&quot;/&gt;&lt;wsp:rsid wsp:val=&quot;005B405E&quot;/&gt;&lt;wsp:rsid wsp:val=&quot;005B4E94&quot;/&gt;&lt;wsp:rsid wsp:val=&quot;005B502B&quot;/&gt;&lt;wsp:rsid wsp:val=&quot;005B50D3&quot;/&gt;&lt;wsp:rsid wsp:val=&quot;005B5E70&quot;/&gt;&lt;wsp:rsid wsp:val=&quot;005B5F2B&quot;/&gt;&lt;wsp:rsid wsp:val=&quot;005B60B8&quot;/&gt;&lt;wsp:rsid wsp:val=&quot;005B68AE&quot;/&gt;&lt;wsp:rsid wsp:val=&quot;005B68EA&quot;/&gt;&lt;wsp:rsid wsp:val=&quot;005B6BF2&quot;/&gt;&lt;wsp:rsid wsp:val=&quot;005B6D8C&quot;/&gt;&lt;wsp:rsid wsp:val=&quot;005B7923&quot;/&gt;&lt;wsp:rsid wsp:val=&quot;005B7F18&quot;/&gt;&lt;wsp:rsid wsp:val=&quot;005C0526&quot;/&gt;&lt;wsp:rsid wsp:val=&quot;005C053C&quot;/&gt;&lt;wsp:rsid wsp:val=&quot;005C0982&quot;/&gt;&lt;wsp:rsid wsp:val=&quot;005C09B0&quot;/&gt;&lt;wsp:rsid wsp:val=&quot;005C0AB6&quot;/&gt;&lt;wsp:rsid wsp:val=&quot;005C0E12&quot;/&gt;&lt;wsp:rsid wsp:val=&quot;005C10B7&quot;/&gt;&lt;wsp:rsid wsp:val=&quot;005C1BBF&quot;/&gt;&lt;wsp:rsid wsp:val=&quot;005C225B&quot;/&gt;&lt;wsp:rsid wsp:val=&quot;005C2A6B&quot;/&gt;&lt;wsp:rsid wsp:val=&quot;005C2C66&quot;/&gt;&lt;wsp:rsid wsp:val=&quot;005C2E45&quot;/&gt;&lt;wsp:rsid wsp:val=&quot;005C3437&quot;/&gt;&lt;wsp:rsid wsp:val=&quot;005C3869&quot;/&gt;&lt;wsp:rsid wsp:val=&quot;005C38A4&quot;/&gt;&lt;wsp:rsid wsp:val=&quot;005C3B1B&quot;/&gt;&lt;wsp:rsid wsp:val=&quot;005C462D&quot;/&gt;&lt;wsp:rsid wsp:val=&quot;005C4F55&quot;/&gt;&lt;wsp:rsid wsp:val=&quot;005C68CB&quot;/&gt;&lt;wsp:rsid wsp:val=&quot;005C6901&quot;/&gt;&lt;wsp:rsid wsp:val=&quot;005C6A0A&quot;/&gt;&lt;wsp:rsid wsp:val=&quot;005C6FC8&quot;/&gt;&lt;wsp:rsid wsp:val=&quot;005C71C8&quot;/&gt;&lt;wsp:rsid wsp:val=&quot;005C787D&quot;/&gt;&lt;wsp:rsid wsp:val=&quot;005C7C25&quot;/&gt;&lt;wsp:rsid wsp:val=&quot;005C7ED2&quot;/&gt;&lt;wsp:rsid wsp:val=&quot;005D0099&quot;/&gt;&lt;wsp:rsid wsp:val=&quot;005D038D&quot;/&gt;&lt;wsp:rsid wsp:val=&quot;005D14BF&quot;/&gt;&lt;wsp:rsid wsp:val=&quot;005D18DE&quot;/&gt;&lt;wsp:rsid wsp:val=&quot;005D1910&quot;/&gt;&lt;wsp:rsid wsp:val=&quot;005D24D5&quot;/&gt;&lt;wsp:rsid wsp:val=&quot;005D344E&quot;/&gt;&lt;wsp:rsid wsp:val=&quot;005D4699&quot;/&gt;&lt;wsp:rsid wsp:val=&quot;005D46C1&quot;/&gt;&lt;wsp:rsid wsp:val=&quot;005D4DB4&quot;/&gt;&lt;wsp:rsid wsp:val=&quot;005D5123&quot;/&gt;&lt;wsp:rsid wsp:val=&quot;005D5961&quot;/&gt;&lt;wsp:rsid wsp:val=&quot;005D5BB0&quot;/&gt;&lt;wsp:rsid wsp:val=&quot;005D5C9C&quot;/&gt;&lt;wsp:rsid wsp:val=&quot;005D5F1D&quot;/&gt;&lt;wsp:rsid wsp:val=&quot;005D6BA8&quot;/&gt;&lt;wsp:rsid wsp:val=&quot;005D710E&quot;/&gt;&lt;wsp:rsid wsp:val=&quot;005D7793&quot;/&gt;&lt;wsp:rsid wsp:val=&quot;005D7A29&quot;/&gt;&lt;wsp:rsid wsp:val=&quot;005E00EA&quot;/&gt;&lt;wsp:rsid wsp:val=&quot;005E03C5&quot;/&gt;&lt;wsp:rsid wsp:val=&quot;005E04D6&quot;/&gt;&lt;wsp:rsid wsp:val=&quot;005E062B&quot;/&gt;&lt;wsp:rsid wsp:val=&quot;005E08F1&quot;/&gt;&lt;wsp:rsid wsp:val=&quot;005E0A65&quot;/&gt;&lt;wsp:rsid wsp:val=&quot;005E1779&quot;/&gt;&lt;wsp:rsid wsp:val=&quot;005E1782&quot;/&gt;&lt;wsp:rsid wsp:val=&quot;005E1930&quot;/&gt;&lt;wsp:rsid wsp:val=&quot;005E194B&quot;/&gt;&lt;wsp:rsid wsp:val=&quot;005E1F27&quot;/&gt;&lt;wsp:rsid wsp:val=&quot;005E2307&quot;/&gt;&lt;wsp:rsid wsp:val=&quot;005E241D&quot;/&gt;&lt;wsp:rsid wsp:val=&quot;005E2846&quot;/&gt;&lt;wsp:rsid wsp:val=&quot;005E2AB3&quot;/&gt;&lt;wsp:rsid wsp:val=&quot;005E3228&quot;/&gt;&lt;wsp:rsid wsp:val=&quot;005E3AB2&quot;/&gt;&lt;wsp:rsid wsp:val=&quot;005E3DC5&quot;/&gt;&lt;wsp:rsid wsp:val=&quot;005E3F50&quot;/&gt;&lt;wsp:rsid wsp:val=&quot;005E3FBA&quot;/&gt;&lt;wsp:rsid wsp:val=&quot;005E4E35&quot;/&gt;&lt;wsp:rsid wsp:val=&quot;005E505C&quot;/&gt;&lt;wsp:rsid wsp:val=&quot;005E5167&quot;/&gt;&lt;wsp:rsid wsp:val=&quot;005E59C4&quot;/&gt;&lt;wsp:rsid wsp:val=&quot;005E734E&quot;/&gt;&lt;wsp:rsid wsp:val=&quot;005E7354&quot;/&gt;&lt;wsp:rsid wsp:val=&quot;005E76EC&quot;/&gt;&lt;wsp:rsid wsp:val=&quot;005E7DC1&quot;/&gt;&lt;wsp:rsid wsp:val=&quot;005F0A42&quot;/&gt;&lt;wsp:rsid wsp:val=&quot;005F0B58&quot;/&gt;&lt;wsp:rsid wsp:val=&quot;005F15DD&quot;/&gt;&lt;wsp:rsid wsp:val=&quot;005F18DF&quot;/&gt;&lt;wsp:rsid wsp:val=&quot;005F202C&quot;/&gt;&lt;wsp:rsid wsp:val=&quot;005F24C6&quot;/&gt;&lt;wsp:rsid wsp:val=&quot;005F2F1B&quot;/&gt;&lt;wsp:rsid wsp:val=&quot;005F3032&quot;/&gt;&lt;wsp:rsid wsp:val=&quot;005F3269&quot;/&gt;&lt;wsp:rsid wsp:val=&quot;005F3283&quot;/&gt;&lt;wsp:rsid wsp:val=&quot;005F3949&quot;/&gt;&lt;wsp:rsid wsp:val=&quot;005F496E&quot;/&gt;&lt;wsp:rsid wsp:val=&quot;005F4ABE&quot;/&gt;&lt;wsp:rsid wsp:val=&quot;005F5820&quot;/&gt;&lt;wsp:rsid wsp:val=&quot;005F65BC&quot;/&gt;&lt;wsp:rsid wsp:val=&quot;005F65D2&quot;/&gt;&lt;wsp:rsid wsp:val=&quot;005F7634&quot;/&gt;&lt;wsp:rsid wsp:val=&quot;005F77A7&quot;/&gt;&lt;wsp:rsid wsp:val=&quot;005F7D6F&quot;/&gt;&lt;wsp:rsid wsp:val=&quot;00600A64&quot;/&gt;&lt;wsp:rsid wsp:val=&quot;00600C27&quot;/&gt;&lt;wsp:rsid wsp:val=&quot;0060130D&quot;/&gt;&lt;wsp:rsid wsp:val=&quot;00601614&quot;/&gt;&lt;wsp:rsid wsp:val=&quot;00601D88&quot;/&gt;&lt;wsp:rsid wsp:val=&quot;00602218&quot;/&gt;&lt;wsp:rsid wsp:val=&quot;00602ED0&quot;/&gt;&lt;wsp:rsid wsp:val=&quot;00603052&quot;/&gt;&lt;wsp:rsid wsp:val=&quot;00603101&quot;/&gt;&lt;wsp:rsid wsp:val=&quot;006033D9&quot;/&gt;&lt;wsp:rsid wsp:val=&quot;00603637&quot;/&gt;&lt;wsp:rsid wsp:val=&quot;00603650&quot;/&gt;&lt;wsp:rsid wsp:val=&quot;00603886&quot;/&gt;&lt;wsp:rsid wsp:val=&quot;00603C5D&quot;/&gt;&lt;wsp:rsid wsp:val=&quot;00603FBB&quot;/&gt;&lt;wsp:rsid wsp:val=&quot;00604425&quot;/&gt;&lt;wsp:rsid wsp:val=&quot;00604E8A&quot;/&gt;&lt;wsp:rsid wsp:val=&quot;00605C71&quot;/&gt;&lt;wsp:rsid wsp:val=&quot;006071D1&quot;/&gt;&lt;wsp:rsid wsp:val=&quot;006073D9&quot;/&gt;&lt;wsp:rsid wsp:val=&quot;00607844&quot;/&gt;&lt;wsp:rsid wsp:val=&quot;0060796C&quot;/&gt;&lt;wsp:rsid wsp:val=&quot;00610556&quot;/&gt;&lt;wsp:rsid wsp:val=&quot;00610894&quot;/&gt;&lt;wsp:rsid wsp:val=&quot;00610F60&quot;/&gt;&lt;wsp:rsid wsp:val=&quot;00611100&quot;/&gt;&lt;wsp:rsid wsp:val=&quot;00611194&quot;/&gt;&lt;wsp:rsid wsp:val=&quot;006113DE&quot;/&gt;&lt;wsp:rsid wsp:val=&quot;006115EF&quot;/&gt;&lt;wsp:rsid wsp:val=&quot;0061163E&quot;/&gt;&lt;wsp:rsid wsp:val=&quot;0061172C&quot;/&gt;&lt;wsp:rsid wsp:val=&quot;006118E9&quot;/&gt;&lt;wsp:rsid wsp:val=&quot;00612316&quot;/&gt;&lt;wsp:rsid wsp:val=&quot;006124C1&quot;/&gt;&lt;wsp:rsid wsp:val=&quot;00612CB0&quot;/&gt;&lt;wsp:rsid wsp:val=&quot;00612EF3&quot;/&gt;&lt;wsp:rsid wsp:val=&quot;00613D92&quot;/&gt;&lt;wsp:rsid wsp:val=&quot;00615592&quot;/&gt;&lt;wsp:rsid wsp:val=&quot;006155AA&quot;/&gt;&lt;wsp:rsid wsp:val=&quot;00615DC5&quot;/&gt;&lt;wsp:rsid wsp:val=&quot;00615F90&quot;/&gt;&lt;wsp:rsid wsp:val=&quot;0061709E&quot;/&gt;&lt;wsp:rsid wsp:val=&quot;006174DC&quot;/&gt;&lt;wsp:rsid wsp:val=&quot;00617790&quot;/&gt;&lt;wsp:rsid wsp:val=&quot;0062097F&quot;/&gt;&lt;wsp:rsid wsp:val=&quot;00621165&quot;/&gt;&lt;wsp:rsid wsp:val=&quot;00621DB5&quot;/&gt;&lt;wsp:rsid wsp:val=&quot;00624500&quot;/&gt;&lt;wsp:rsid wsp:val=&quot;00624644&quot;/&gt;&lt;wsp:rsid wsp:val=&quot;00624808&quot;/&gt;&lt;wsp:rsid wsp:val=&quot;0062487B&quot;/&gt;&lt;wsp:rsid wsp:val=&quot;00624934&quot;/&gt;&lt;wsp:rsid wsp:val=&quot;00624EB0&quot;/&gt;&lt;wsp:rsid wsp:val=&quot;006250EE&quot;/&gt;&lt;wsp:rsid wsp:val=&quot;0062562C&quot;/&gt;&lt;wsp:rsid wsp:val=&quot;00625A38&quot;/&gt;&lt;wsp:rsid wsp:val=&quot;00625BFE&quot;/&gt;&lt;wsp:rsid wsp:val=&quot;00625D28&quot;/&gt;&lt;wsp:rsid wsp:val=&quot;00626211&quot;/&gt;&lt;wsp:rsid wsp:val=&quot;006269F9&quot;/&gt;&lt;wsp:rsid wsp:val=&quot;00626B45&quot;/&gt;&lt;wsp:rsid wsp:val=&quot;0062714E&quot;/&gt;&lt;wsp:rsid wsp:val=&quot;00627295&quot;/&gt;&lt;wsp:rsid wsp:val=&quot;00627DE3&quot;/&gt;&lt;wsp:rsid wsp:val=&quot;0063024B&quot;/&gt;&lt;wsp:rsid wsp:val=&quot;00630691&quot;/&gt;&lt;wsp:rsid wsp:val=&quot;00631A79&quot;/&gt;&lt;wsp:rsid wsp:val=&quot;00631D1B&quot;/&gt;&lt;wsp:rsid wsp:val=&quot;00631DA6&quot;/&gt;&lt;wsp:rsid wsp:val=&quot;00631E2A&quot;/&gt;&lt;wsp:rsid wsp:val=&quot;006320DF&quot;/&gt;&lt;wsp:rsid wsp:val=&quot;00632161&quot;/&gt;&lt;wsp:rsid wsp:val=&quot;006329BD&quot;/&gt;&lt;wsp:rsid wsp:val=&quot;00632BF7&quot;/&gt;&lt;wsp:rsid wsp:val=&quot;00634445&quot;/&gt;&lt;wsp:rsid wsp:val=&quot;00634E2A&quot;/&gt;&lt;wsp:rsid wsp:val=&quot;00634E7D&quot;/&gt;&lt;wsp:rsid wsp:val=&quot;00635927&quot;/&gt;&lt;wsp:rsid wsp:val=&quot;006365B8&quot;/&gt;&lt;wsp:rsid wsp:val=&quot;00637394&quot;/&gt;&lt;wsp:rsid wsp:val=&quot;00637814&quot;/&gt;&lt;wsp:rsid wsp:val=&quot;0064044E&quot;/&gt;&lt;wsp:rsid wsp:val=&quot;006406A3&quot;/&gt;&lt;wsp:rsid wsp:val=&quot;006406B8&quot;/&gt;&lt;wsp:rsid wsp:val=&quot;0064130E&quot;/&gt;&lt;wsp:rsid wsp:val=&quot;00641735&quot;/&gt;&lt;wsp:rsid wsp:val=&quot;00641905&quot;/&gt;&lt;wsp:rsid wsp:val=&quot;00641A19&quot;/&gt;&lt;wsp:rsid wsp:val=&quot;00641D4B&quot;/&gt;&lt;wsp:rsid wsp:val=&quot;00642177&quot;/&gt;&lt;wsp:rsid wsp:val=&quot;00642443&quot;/&gt;&lt;wsp:rsid wsp:val=&quot;00642BF8&quot;/&gt;&lt;wsp:rsid wsp:val=&quot;00642FD5&quot;/&gt;&lt;wsp:rsid wsp:val=&quot;006430AA&quot;/&gt;&lt;wsp:rsid wsp:val=&quot;0064370D&quot;/&gt;&lt;wsp:rsid wsp:val=&quot;006448A0&quot;/&gt;&lt;wsp:rsid wsp:val=&quot;00645BC7&quot;/&gt;&lt;wsp:rsid wsp:val=&quot;00645E22&quot;/&gt;&lt;wsp:rsid wsp:val=&quot;006460FA&quot;/&gt;&lt;wsp:rsid wsp:val=&quot;0064619C&quot;/&gt;&lt;wsp:rsid wsp:val=&quot;00646522&quot;/&gt;&lt;wsp:rsid wsp:val=&quot;00646AB1&quot;/&gt;&lt;wsp:rsid wsp:val=&quot;00646EE5&quot;/&gt;&lt;wsp:rsid wsp:val=&quot;006470B4&quot;/&gt;&lt;wsp:rsid wsp:val=&quot;006473E8&quot;/&gt;&lt;wsp:rsid wsp:val=&quot;006479D9&quot;/&gt;&lt;wsp:rsid wsp:val=&quot;00647E03&quot;/&gt;&lt;wsp:rsid wsp:val=&quot;0065025D&quot;/&gt;&lt;wsp:rsid wsp:val=&quot;006505D0&quot;/&gt;&lt;wsp:rsid wsp:val=&quot;006509E8&quot;/&gt;&lt;wsp:rsid wsp:val=&quot;006510CF&quot;/&gt;&lt;wsp:rsid wsp:val=&quot;006513F0&quot;/&gt;&lt;wsp:rsid wsp:val=&quot;006515B2&quot;/&gt;&lt;wsp:rsid wsp:val=&quot;0065172D&quot;/&gt;&lt;wsp:rsid wsp:val=&quot;00651751&quot;/&gt;&lt;wsp:rsid wsp:val=&quot;00651F99&quot;/&gt;&lt;wsp:rsid wsp:val=&quot;006523C3&quot;/&gt;&lt;wsp:rsid wsp:val=&quot;0065244B&quot;/&gt;&lt;wsp:rsid wsp:val=&quot;006536C5&quot;/&gt;&lt;wsp:rsid wsp:val=&quot;00653B23&quot;/&gt;&lt;wsp:rsid wsp:val=&quot;00653F22&quot;/&gt;&lt;wsp:rsid wsp:val=&quot;00654420&quot;/&gt;&lt;wsp:rsid wsp:val=&quot;00654EDC&quot;/&gt;&lt;wsp:rsid wsp:val=&quot;006550A8&quot;/&gt;&lt;wsp:rsid wsp:val=&quot;00655EB9&quot;/&gt;&lt;wsp:rsid wsp:val=&quot;00655FE2&quot;/&gt;&lt;wsp:rsid wsp:val=&quot;00656CBE&quot;/&gt;&lt;wsp:rsid wsp:val=&quot;00656E2E&quot;/&gt;&lt;wsp:rsid wsp:val=&quot;00656F10&quot;/&gt;&lt;wsp:rsid wsp:val=&quot;00657066&quot;/&gt;&lt;wsp:rsid wsp:val=&quot;00657094&quot;/&gt;&lt;wsp:rsid wsp:val=&quot;006570F7&quot;/&gt;&lt;wsp:rsid wsp:val=&quot;0065725F&quot;/&gt;&lt;wsp:rsid wsp:val=&quot;006577D2&quot;/&gt;&lt;wsp:rsid wsp:val=&quot;00657AEE&quot;/&gt;&lt;wsp:rsid wsp:val=&quot;00657CDB&quot;/&gt;&lt;wsp:rsid wsp:val=&quot;00660094&quot;/&gt;&lt;wsp:rsid wsp:val=&quot;00660DCE&quot;/&gt;&lt;wsp:rsid wsp:val=&quot;006615D0&quot;/&gt;&lt;wsp:rsid wsp:val=&quot;00661890&quot;/&gt;&lt;wsp:rsid wsp:val=&quot;00662A17&quot;/&gt;&lt;wsp:rsid wsp:val=&quot;00662D05&quot;/&gt;&lt;wsp:rsid wsp:val=&quot;00662D0A&quot;/&gt;&lt;wsp:rsid wsp:val=&quot;00662D7A&quot;/&gt;&lt;wsp:rsid wsp:val=&quot;006645B4&quot;/&gt;&lt;wsp:rsid wsp:val=&quot;0066492E&quot;/&gt;&lt;wsp:rsid wsp:val=&quot;006660AD&quot;/&gt;&lt;wsp:rsid wsp:val=&quot;0066697E&quot;/&gt;&lt;wsp:rsid wsp:val=&quot;00670026&quot;/&gt;&lt;wsp:rsid wsp:val=&quot;00670384&quot;/&gt;&lt;wsp:rsid wsp:val=&quot;006704FA&quot;/&gt;&lt;wsp:rsid wsp:val=&quot;00672BE5&quot;/&gt;&lt;wsp:rsid wsp:val=&quot;00672C94&quot;/&gt;&lt;wsp:rsid wsp:val=&quot;00672E5D&quot;/&gt;&lt;wsp:rsid wsp:val=&quot;0067363C&quot;/&gt;&lt;wsp:rsid wsp:val=&quot;006736CD&quot;/&gt;&lt;wsp:rsid wsp:val=&quot;0067372B&quot;/&gt;&lt;wsp:rsid wsp:val=&quot;0067383B&quot;/&gt;&lt;wsp:rsid wsp:val=&quot;006739E3&quot;/&gt;&lt;wsp:rsid wsp:val=&quot;00673C9F&quot;/&gt;&lt;wsp:rsid wsp:val=&quot;00674788&quot;/&gt;&lt;wsp:rsid wsp:val=&quot;006748EE&quot;/&gt;&lt;wsp:rsid wsp:val=&quot;0067492D&quot;/&gt;&lt;wsp:rsid wsp:val=&quot;00674AC1&quot;/&gt;&lt;wsp:rsid wsp:val=&quot;00674B99&quot;/&gt;&lt;wsp:rsid wsp:val=&quot;0067611F&quot;/&gt;&lt;wsp:rsid wsp:val=&quot;00676315&quot;/&gt;&lt;wsp:rsid wsp:val=&quot;0067664A&quot;/&gt;&lt;wsp:rsid wsp:val=&quot;00676E91&quot;/&gt;&lt;wsp:rsid wsp:val=&quot;00677708&quot;/&gt;&lt;wsp:rsid wsp:val=&quot;006779FD&quot;/&gt;&lt;wsp:rsid wsp:val=&quot;006804DF&quot;/&gt;&lt;wsp:rsid wsp:val=&quot;0068089A&quot;/&gt;&lt;wsp:rsid wsp:val=&quot;0068148B&quot;/&gt;&lt;wsp:rsid wsp:val=&quot;006817E6&quot;/&gt;&lt;wsp:rsid wsp:val=&quot;006819DC&quot;/&gt;&lt;wsp:rsid wsp:val=&quot;00681A31&quot;/&gt;&lt;wsp:rsid wsp:val=&quot;00681B59&quot;/&gt;&lt;wsp:rsid wsp:val=&quot;00682161&quot;/&gt;&lt;wsp:rsid wsp:val=&quot;006821DF&quot;/&gt;&lt;wsp:rsid wsp:val=&quot;006825B7&quot;/&gt;&lt;wsp:rsid wsp:val=&quot;00682B51&quot;/&gt;&lt;wsp:rsid wsp:val=&quot;00683718&quot;/&gt;&lt;wsp:rsid wsp:val=&quot;00684582&quot;/&gt;&lt;wsp:rsid wsp:val=&quot;0068495E&quot;/&gt;&lt;wsp:rsid wsp:val=&quot;00684BA4&quot;/&gt;&lt;wsp:rsid wsp:val=&quot;00686A5B&quot;/&gt;&lt;wsp:rsid wsp:val=&quot;00686B56&quot;/&gt;&lt;wsp:rsid wsp:val=&quot;00686C09&quot;/&gt;&lt;wsp:rsid wsp:val=&quot;00687115&quot;/&gt;&lt;wsp:rsid wsp:val=&quot;006902FC&quot;/&gt;&lt;wsp:rsid wsp:val=&quot;006906B5&quot;/&gt;&lt;wsp:rsid wsp:val=&quot;0069086E&quot;/&gt;&lt;wsp:rsid wsp:val=&quot;0069107C&quot;/&gt;&lt;wsp:rsid wsp:val=&quot;00691891&quot;/&gt;&lt;wsp:rsid wsp:val=&quot;006920D9&quot;/&gt;&lt;wsp:rsid wsp:val=&quot;0069245F&quot;/&gt;&lt;wsp:rsid wsp:val=&quot;0069282B&quot;/&gt;&lt;wsp:rsid wsp:val=&quot;00692DFC&quot;/&gt;&lt;wsp:rsid wsp:val=&quot;00693CAA&quot;/&gt;&lt;wsp:rsid wsp:val=&quot;00693F24&quot;/&gt;&lt;wsp:rsid wsp:val=&quot;006940EC&quot;/&gt;&lt;wsp:rsid wsp:val=&quot;006944F8&quot;/&gt;&lt;wsp:rsid wsp:val=&quot;00694571&quot;/&gt;&lt;wsp:rsid wsp:val=&quot;00694D83&quot;/&gt;&lt;wsp:rsid wsp:val=&quot;0069513E&quot;/&gt;&lt;wsp:rsid wsp:val=&quot;00695276&quot;/&gt;&lt;wsp:rsid wsp:val=&quot;00695B7E&quot;/&gt;&lt;wsp:rsid wsp:val=&quot;00695F61&quot;/&gt;&lt;wsp:rsid wsp:val=&quot;006960FA&quot;/&gt;&lt;wsp:rsid wsp:val=&quot;0069632B&quot;/&gt;&lt;wsp:rsid wsp:val=&quot;006967F2&quot;/&gt;&lt;wsp:rsid wsp:val=&quot;00696B3C&quot;/&gt;&lt;wsp:rsid wsp:val=&quot;00697C4C&quot;/&gt;&lt;wsp:rsid wsp:val=&quot;006A01E7&quot;/&gt;&lt;wsp:rsid wsp:val=&quot;006A0BD1&quot;/&gt;&lt;wsp:rsid wsp:val=&quot;006A0EBB&quot;/&gt;&lt;wsp:rsid wsp:val=&quot;006A30C8&quot;/&gt;&lt;wsp:rsid wsp:val=&quot;006A3427&quot;/&gt;&lt;wsp:rsid wsp:val=&quot;006A3DC7&quot;/&gt;&lt;wsp:rsid wsp:val=&quot;006A3FCD&quot;/&gt;&lt;wsp:rsid wsp:val=&quot;006A400B&quot;/&gt;&lt;wsp:rsid wsp:val=&quot;006A411C&quot;/&gt;&lt;wsp:rsid wsp:val=&quot;006A44DA&quot;/&gt;&lt;wsp:rsid wsp:val=&quot;006A4773&quot;/&gt;&lt;wsp:rsid wsp:val=&quot;006A4934&quot;/&gt;&lt;wsp:rsid wsp:val=&quot;006A4B21&quot;/&gt;&lt;wsp:rsid wsp:val=&quot;006A4FBD&quot;/&gt;&lt;wsp:rsid wsp:val=&quot;006A5395&quot;/&gt;&lt;wsp:rsid wsp:val=&quot;006A5624&quot;/&gt;&lt;wsp:rsid wsp:val=&quot;006A5CC9&quot;/&gt;&lt;wsp:rsid wsp:val=&quot;006A6372&quot;/&gt;&lt;wsp:rsid wsp:val=&quot;006A6EBB&quot;/&gt;&lt;wsp:rsid wsp:val=&quot;006A7DA9&quot;/&gt;&lt;wsp:rsid wsp:val=&quot;006B02AF&quot;/&gt;&lt;wsp:rsid wsp:val=&quot;006B0CA2&quot;/&gt;&lt;wsp:rsid wsp:val=&quot;006B0F37&quot;/&gt;&lt;wsp:rsid wsp:val=&quot;006B1081&quot;/&gt;&lt;wsp:rsid wsp:val=&quot;006B15B7&quot;/&gt;&lt;wsp:rsid wsp:val=&quot;006B2BDA&quot;/&gt;&lt;wsp:rsid wsp:val=&quot;006B3754&quot;/&gt;&lt;wsp:rsid wsp:val=&quot;006B3B32&quot;/&gt;&lt;wsp:rsid wsp:val=&quot;006B3EA0&quot;/&gt;&lt;wsp:rsid wsp:val=&quot;006B4ADB&quot;/&gt;&lt;wsp:rsid wsp:val=&quot;006B4B58&quot;/&gt;&lt;wsp:rsid wsp:val=&quot;006B4B7F&quot;/&gt;&lt;wsp:rsid wsp:val=&quot;006B4CD9&quot;/&gt;&lt;wsp:rsid wsp:val=&quot;006B531E&quot;/&gt;&lt;wsp:rsid wsp:val=&quot;006B570F&quot;/&gt;&lt;wsp:rsid wsp:val=&quot;006B603E&quot;/&gt;&lt;wsp:rsid wsp:val=&quot;006B6382&quot;/&gt;&lt;wsp:rsid wsp:val=&quot;006B689E&quot;/&gt;&lt;wsp:rsid wsp:val=&quot;006B7EB3&quot;/&gt;&lt;wsp:rsid wsp:val=&quot;006C00B1&quot;/&gt;&lt;wsp:rsid wsp:val=&quot;006C0539&quot;/&gt;&lt;wsp:rsid wsp:val=&quot;006C14FE&quot;/&gt;&lt;wsp:rsid wsp:val=&quot;006C15D5&quot;/&gt;&lt;wsp:rsid wsp:val=&quot;006C20D2&quot;/&gt;&lt;wsp:rsid wsp:val=&quot;006C21D0&quot;/&gt;&lt;wsp:rsid wsp:val=&quot;006C24A6&quot;/&gt;&lt;wsp:rsid wsp:val=&quot;006C2543&quot;/&gt;&lt;wsp:rsid wsp:val=&quot;006C2608&quot;/&gt;&lt;wsp:rsid wsp:val=&quot;006C2DCE&quot;/&gt;&lt;wsp:rsid wsp:val=&quot;006C3631&quot;/&gt;&lt;wsp:rsid wsp:val=&quot;006C3650&quot;/&gt;&lt;wsp:rsid wsp:val=&quot;006C378A&quot;/&gt;&lt;wsp:rsid wsp:val=&quot;006C3B1B&quot;/&gt;&lt;wsp:rsid wsp:val=&quot;006C3B1C&quot;/&gt;&lt;wsp:rsid wsp:val=&quot;006C3F7B&quot;/&gt;&lt;wsp:rsid wsp:val=&quot;006C4BDE&quot;/&gt;&lt;wsp:rsid wsp:val=&quot;006C4C32&quot;/&gt;&lt;wsp:rsid wsp:val=&quot;006C4C72&quot;/&gt;&lt;wsp:rsid wsp:val=&quot;006C536F&quot;/&gt;&lt;wsp:rsid wsp:val=&quot;006C5D9B&quot;/&gt;&lt;wsp:rsid wsp:val=&quot;006C5FDA&quot;/&gt;&lt;wsp:rsid wsp:val=&quot;006C60F5&quot;/&gt;&lt;wsp:rsid wsp:val=&quot;006C6586&quot;/&gt;&lt;wsp:rsid wsp:val=&quot;006C69F0&quot;/&gt;&lt;wsp:rsid wsp:val=&quot;006C6A68&quot;/&gt;&lt;wsp:rsid wsp:val=&quot;006C6B68&quot;/&gt;&lt;wsp:rsid wsp:val=&quot;006C6BDB&quot;/&gt;&lt;wsp:rsid wsp:val=&quot;006C75E9&quot;/&gt;&lt;wsp:rsid wsp:val=&quot;006D01E9&quot;/&gt;&lt;wsp:rsid wsp:val=&quot;006D0522&quot;/&gt;&lt;wsp:rsid wsp:val=&quot;006D11FA&quot;/&gt;&lt;wsp:rsid wsp:val=&quot;006D1707&quot;/&gt;&lt;wsp:rsid wsp:val=&quot;006D1901&quot;/&gt;&lt;wsp:rsid wsp:val=&quot;006D1A02&quot;/&gt;&lt;wsp:rsid wsp:val=&quot;006D1EE2&quot;/&gt;&lt;wsp:rsid wsp:val=&quot;006D1FCF&quot;/&gt;&lt;wsp:rsid wsp:val=&quot;006D2C03&quot;/&gt;&lt;wsp:rsid wsp:val=&quot;006D2EB4&quot;/&gt;&lt;wsp:rsid wsp:val=&quot;006D306F&quot;/&gt;&lt;wsp:rsid wsp:val=&quot;006D3645&quot;/&gt;&lt;wsp:rsid wsp:val=&quot;006D36F9&quot;/&gt;&lt;wsp:rsid wsp:val=&quot;006D3D81&quot;/&gt;&lt;wsp:rsid wsp:val=&quot;006D3F33&quot;/&gt;&lt;wsp:rsid wsp:val=&quot;006D5822&quot;/&gt;&lt;wsp:rsid wsp:val=&quot;006D619D&quot;/&gt;&lt;wsp:rsid wsp:val=&quot;006D64FD&quot;/&gt;&lt;wsp:rsid wsp:val=&quot;006D65ED&quot;/&gt;&lt;wsp:rsid wsp:val=&quot;006D6A30&quot;/&gt;&lt;wsp:rsid wsp:val=&quot;006D6A61&quot;/&gt;&lt;wsp:rsid wsp:val=&quot;006D6A73&quot;/&gt;&lt;wsp:rsid wsp:val=&quot;006D73E7&quot;/&gt;&lt;wsp:rsid wsp:val=&quot;006D7654&quot;/&gt;&lt;wsp:rsid wsp:val=&quot;006D7701&quot;/&gt;&lt;wsp:rsid wsp:val=&quot;006D7DC8&quot;/&gt;&lt;wsp:rsid wsp:val=&quot;006E0753&quot;/&gt;&lt;wsp:rsid wsp:val=&quot;006E0B65&quot;/&gt;&lt;wsp:rsid wsp:val=&quot;006E0E67&quot;/&gt;&lt;wsp:rsid wsp:val=&quot;006E1492&quot;/&gt;&lt;wsp:rsid wsp:val=&quot;006E230D&quot;/&gt;&lt;wsp:rsid wsp:val=&quot;006E2C90&quot;/&gt;&lt;wsp:rsid wsp:val=&quot;006E30F4&quot;/&gt;&lt;wsp:rsid wsp:val=&quot;006E3D0F&quot;/&gt;&lt;wsp:rsid wsp:val=&quot;006E3F75&quot;/&gt;&lt;wsp:rsid wsp:val=&quot;006E426D&quot;/&gt;&lt;wsp:rsid wsp:val=&quot;006E4432&quot;/&gt;&lt;wsp:rsid wsp:val=&quot;006E458B&quot;/&gt;&lt;wsp:rsid wsp:val=&quot;006E5EBA&quot;/&gt;&lt;wsp:rsid wsp:val=&quot;006E644C&quot;/&gt;&lt;wsp:rsid wsp:val=&quot;006E6490&quot;/&gt;&lt;wsp:rsid wsp:val=&quot;006E6741&quot;/&gt;&lt;wsp:rsid wsp:val=&quot;006E694E&quot;/&gt;&lt;wsp:rsid wsp:val=&quot;006E6A4E&quot;/&gt;&lt;wsp:rsid wsp:val=&quot;006E6DCF&quot;/&gt;&lt;wsp:rsid wsp:val=&quot;006E6F11&quot;/&gt;&lt;wsp:rsid wsp:val=&quot;006E7211&quot;/&gt;&lt;wsp:rsid wsp:val=&quot;006F08D6&quot;/&gt;&lt;wsp:rsid wsp:val=&quot;006F0F8B&quot;/&gt;&lt;wsp:rsid wsp:val=&quot;006F1010&quot;/&gt;&lt;wsp:rsid wsp:val=&quot;006F11E6&quot;/&gt;&lt;wsp:rsid wsp:val=&quot;006F1AB9&quot;/&gt;&lt;wsp:rsid wsp:val=&quot;006F1D6B&quot;/&gt;&lt;wsp:rsid wsp:val=&quot;006F1E8C&quot;/&gt;&lt;wsp:rsid wsp:val=&quot;006F2B78&quot;/&gt;&lt;wsp:rsid wsp:val=&quot;006F3877&quot;/&gt;&lt;wsp:rsid wsp:val=&quot;006F38C5&quot;/&gt;&lt;wsp:rsid wsp:val=&quot;006F3B68&quot;/&gt;&lt;wsp:rsid wsp:val=&quot;006F3E3C&quot;/&gt;&lt;wsp:rsid wsp:val=&quot;006F4065&quot;/&gt;&lt;wsp:rsid wsp:val=&quot;006F4066&quot;/&gt;&lt;wsp:rsid wsp:val=&quot;006F4227&quot;/&gt;&lt;wsp:rsid wsp:val=&quot;006F43FF&quot;/&gt;&lt;wsp:rsid wsp:val=&quot;006F4493&quot;/&gt;&lt;wsp:rsid wsp:val=&quot;006F4674&quot;/&gt;&lt;wsp:rsid wsp:val=&quot;006F4832&quot;/&gt;&lt;wsp:rsid wsp:val=&quot;006F4DFB&quot;/&gt;&lt;wsp:rsid wsp:val=&quot;006F51BD&quot;/&gt;&lt;wsp:rsid wsp:val=&quot;006F56B3&quot;/&gt;&lt;wsp:rsid wsp:val=&quot;006F5D1F&quot;/&gt;&lt;wsp:rsid wsp:val=&quot;006F68A2&quot;/&gt;&lt;wsp:rsid wsp:val=&quot;006F6D48&quot;/&gt;&lt;wsp:rsid wsp:val=&quot;006F6DE0&quot;/&gt;&lt;wsp:rsid wsp:val=&quot;00700170&quot;/&gt;&lt;wsp:rsid wsp:val=&quot;00700335&quot;/&gt;&lt;wsp:rsid wsp:val=&quot;0070061E&quot;/&gt;&lt;wsp:rsid wsp:val=&quot;00700626&quot;/&gt;&lt;wsp:rsid wsp:val=&quot;00700A96&quot;/&gt;&lt;wsp:rsid wsp:val=&quot;00700CD7&quot;/&gt;&lt;wsp:rsid wsp:val=&quot;00702E49&quot;/&gt;&lt;wsp:rsid wsp:val=&quot;00703329&quot;/&gt;&lt;wsp:rsid wsp:val=&quot;00703565&quot;/&gt;&lt;wsp:rsid wsp:val=&quot;007039E8&quot;/&gt;&lt;wsp:rsid wsp:val=&quot;007040D8&quot;/&gt;&lt;wsp:rsid wsp:val=&quot;0070560C&quot;/&gt;&lt;wsp:rsid wsp:val=&quot;00705CC4&quot;/&gt;&lt;wsp:rsid wsp:val=&quot;00705F12&quot;/&gt;&lt;wsp:rsid wsp:val=&quot;00705FA2&quot;/&gt;&lt;wsp:rsid wsp:val=&quot;0070626C&quot;/&gt;&lt;wsp:rsid wsp:val=&quot;007065BA&quot;/&gt;&lt;wsp:rsid wsp:val=&quot;00706857&quot;/&gt;&lt;wsp:rsid wsp:val=&quot;00706B68&quot;/&gt;&lt;wsp:rsid wsp:val=&quot;00706BBA&quot;/&gt;&lt;wsp:rsid wsp:val=&quot;007075B5&quot;/&gt;&lt;wsp:rsid wsp:val=&quot;00707989&quot;/&gt;&lt;wsp:rsid wsp:val=&quot;00710277&quot;/&gt;&lt;wsp:rsid wsp:val=&quot;00710633&quot;/&gt;&lt;wsp:rsid wsp:val=&quot;00710E8C&quot;/&gt;&lt;wsp:rsid wsp:val=&quot;00710F1E&quot;/&gt;&lt;wsp:rsid wsp:val=&quot;00711B4E&quot;/&gt;&lt;wsp:rsid wsp:val=&quot;0071388B&quot;/&gt;&lt;wsp:rsid wsp:val=&quot;00713930&quot;/&gt;&lt;wsp:rsid wsp:val=&quot;007140C0&quot;/&gt;&lt;wsp:rsid wsp:val=&quot;00714710&quot;/&gt;&lt;wsp:rsid wsp:val=&quot;007147CB&quot;/&gt;&lt;wsp:rsid wsp:val=&quot;00714CA2&quot;/&gt;&lt;wsp:rsid wsp:val=&quot;00715174&quot;/&gt;&lt;wsp:rsid wsp:val=&quot;00715267&quot;/&gt;&lt;wsp:rsid wsp:val=&quot;00715720&quot;/&gt;&lt;wsp:rsid wsp:val=&quot;00715A65&quot;/&gt;&lt;wsp:rsid wsp:val=&quot;00715DC5&quot;/&gt;&lt;wsp:rsid wsp:val=&quot;00716492&quot;/&gt;&lt;wsp:rsid wsp:val=&quot;00716583&quot;/&gt;&lt;wsp:rsid wsp:val=&quot;0071683B&quot;/&gt;&lt;wsp:rsid wsp:val=&quot;00716EC1&quot;/&gt;&lt;wsp:rsid wsp:val=&quot;00717936&quot;/&gt;&lt;wsp:rsid wsp:val=&quot;00717F9A&quot;/&gt;&lt;wsp:rsid wsp:val=&quot;007200F1&quot;/&gt;&lt;wsp:rsid wsp:val=&quot;00720217&quot;/&gt;&lt;wsp:rsid wsp:val=&quot;00720386&quot;/&gt;&lt;wsp:rsid wsp:val=&quot;007206FD&quot;/&gt;&lt;wsp:rsid wsp:val=&quot;007209C1&quot;/&gt;&lt;wsp:rsid wsp:val=&quot;00720C9F&quot;/&gt;&lt;wsp:rsid wsp:val=&quot;00720D41&quot;/&gt;&lt;wsp:rsid wsp:val=&quot;0072101D&quot;/&gt;&lt;wsp:rsid wsp:val=&quot;007211CB&quot;/&gt;&lt;wsp:rsid wsp:val=&quot;00721499&quot;/&gt;&lt;wsp:rsid wsp:val=&quot;00721797&quot;/&gt;&lt;wsp:rsid wsp:val=&quot;007218AE&quot;/&gt;&lt;wsp:rsid wsp:val=&quot;007222A1&quot;/&gt;&lt;wsp:rsid wsp:val=&quot;0072350B&quot;/&gt;&lt;wsp:rsid wsp:val=&quot;00723ABC&quot;/&gt;&lt;wsp:rsid wsp:val=&quot;00723B64&quot;/&gt;&lt;wsp:rsid wsp:val=&quot;00724F55&quot;/&gt;&lt;wsp:rsid wsp:val=&quot;00724FB9&quot;/&gt;&lt;wsp:rsid wsp:val=&quot;00726304&quot;/&gt;&lt;wsp:rsid wsp:val=&quot;0072633F&quot;/&gt;&lt;wsp:rsid wsp:val=&quot;00726EDE&quot;/&gt;&lt;wsp:rsid wsp:val=&quot;00727422&quot;/&gt;&lt;wsp:rsid wsp:val=&quot;00727E66&quot;/&gt;&lt;wsp:rsid wsp:val=&quot;00730572&quot;/&gt;&lt;wsp:rsid wsp:val=&quot;00730768&quot;/&gt;&lt;wsp:rsid wsp:val=&quot;00730974&quot;/&gt;&lt;wsp:rsid wsp:val=&quot;00730F4A&quot;/&gt;&lt;wsp:rsid wsp:val=&quot;007322D7&quot;/&gt;&lt;wsp:rsid wsp:val=&quot;0073238C&quot;/&gt;&lt;wsp:rsid wsp:val=&quot;007328B9&quot;/&gt;&lt;wsp:rsid wsp:val=&quot;00733112&quot;/&gt;&lt;wsp:rsid wsp:val=&quot;00733117&quot;/&gt;&lt;wsp:rsid wsp:val=&quot;0073349A&quot;/&gt;&lt;wsp:rsid wsp:val=&quot;00733D5D&quot;/&gt;&lt;wsp:rsid wsp:val=&quot;0073407E&quot;/&gt;&lt;wsp:rsid wsp:val=&quot;0073416A&quot;/&gt;&lt;wsp:rsid wsp:val=&quot;0073485F&quot;/&gt;&lt;wsp:rsid wsp:val=&quot;00734929&quot;/&gt;&lt;wsp:rsid wsp:val=&quot;007352F1&quot;/&gt;&lt;wsp:rsid wsp:val=&quot;00736558&quot;/&gt;&lt;wsp:rsid wsp:val=&quot;00736875&quot;/&gt;&lt;wsp:rsid wsp:val=&quot;00737146&quot;/&gt;&lt;wsp:rsid wsp:val=&quot;007371D0&quot;/&gt;&lt;wsp:rsid wsp:val=&quot;00737223&quot;/&gt;&lt;wsp:rsid wsp:val=&quot;0073724A&quot;/&gt;&lt;wsp:rsid wsp:val=&quot;00737424&quot;/&gt;&lt;wsp:rsid wsp:val=&quot;007402CA&quot;/&gt;&lt;wsp:rsid wsp:val=&quot;00740530&quot;/&gt;&lt;wsp:rsid wsp:val=&quot;007405D4&quot;/&gt;&lt;wsp:rsid wsp:val=&quot;00740699&quot;/&gt;&lt;wsp:rsid wsp:val=&quot;00740786&quot;/&gt;&lt;wsp:rsid wsp:val=&quot;007409C8&quot;/&gt;&lt;wsp:rsid wsp:val=&quot;00741206&quot;/&gt;&lt;wsp:rsid wsp:val=&quot;00741281&quot;/&gt;&lt;wsp:rsid wsp:val=&quot;007420EA&quot;/&gt;&lt;wsp:rsid wsp:val=&quot;007427FD&quot;/&gt;&lt;wsp:rsid wsp:val=&quot;00742B7E&quot;/&gt;&lt;wsp:rsid wsp:val=&quot;00742CBC&quot;/&gt;&lt;wsp:rsid wsp:val=&quot;00742D39&quot;/&gt;&lt;wsp:rsid wsp:val=&quot;0074331D&quot;/&gt;&lt;wsp:rsid wsp:val=&quot;0074348C&quot;/&gt;&lt;wsp:rsid wsp:val=&quot;0074363D&quot;/&gt;&lt;wsp:rsid wsp:val=&quot;00743987&quot;/&gt;&lt;wsp:rsid wsp:val=&quot;007439DC&quot;/&gt;&lt;wsp:rsid wsp:val=&quot;00743D4F&quot;/&gt;&lt;wsp:rsid wsp:val=&quot;00743EB2&quot;/&gt;&lt;wsp:rsid wsp:val=&quot;0074462E&quot;/&gt;&lt;wsp:rsid wsp:val=&quot;0074558B&quot;/&gt;&lt;wsp:rsid wsp:val=&quot;00745775&quot;/&gt;&lt;wsp:rsid wsp:val=&quot;00745AA5&quot;/&gt;&lt;wsp:rsid wsp:val=&quot;00745CCA&quot;/&gt;&lt;wsp:rsid wsp:val=&quot;00745D2A&quot;/&gt;&lt;wsp:rsid wsp:val=&quot;00746362&quot;/&gt;&lt;wsp:rsid wsp:val=&quot;007464C4&quot;/&gt;&lt;wsp:rsid wsp:val=&quot;00746C01&quot;/&gt;&lt;wsp:rsid wsp:val=&quot;00746D6D&quot;/&gt;&lt;wsp:rsid wsp:val=&quot;00747251&quot;/&gt;&lt;wsp:rsid wsp:val=&quot;007475BF&quot;/&gt;&lt;wsp:rsid wsp:val=&quot;007477F7&quot;/&gt;&lt;wsp:rsid wsp:val=&quot;0075007B&quot;/&gt;&lt;wsp:rsid wsp:val=&quot;00750248&quot;/&gt;&lt;wsp:rsid wsp:val=&quot;0075062D&quot;/&gt;&lt;wsp:rsid wsp:val=&quot;00750959&quot;/&gt;&lt;wsp:rsid wsp:val=&quot;00750A43&quot;/&gt;&lt;wsp:rsid wsp:val=&quot;00750CB2&quot;/&gt;&lt;wsp:rsid wsp:val=&quot;00751FE8&quot;/&gt;&lt;wsp:rsid wsp:val=&quot;00752625&quot;/&gt;&lt;wsp:rsid wsp:val=&quot;0075268C&quot;/&gt;&lt;wsp:rsid wsp:val=&quot;00752910&quot;/&gt;&lt;wsp:rsid wsp:val=&quot;00752DE4&quot;/&gt;&lt;wsp:rsid wsp:val=&quot;0075306C&quot;/&gt;&lt;wsp:rsid wsp:val=&quot;007532D2&quot;/&gt;&lt;wsp:rsid wsp:val=&quot;00753402&quot;/&gt;&lt;wsp:rsid wsp:val=&quot;00753614&quot;/&gt;&lt;wsp:rsid wsp:val=&quot;00753655&quot;/&gt;&lt;wsp:rsid wsp:val=&quot;0075388F&quot;/&gt;&lt;wsp:rsid wsp:val=&quot;00753CEE&quot;/&gt;&lt;wsp:rsid wsp:val=&quot;00753EA4&quot;/&gt;&lt;wsp:rsid wsp:val=&quot;007545E6&quot;/&gt;&lt;wsp:rsid wsp:val=&quot;0075468F&quot;/&gt;&lt;wsp:rsid wsp:val=&quot;00754729&quot;/&gt;&lt;wsp:rsid wsp:val=&quot;00754C1C&quot;/&gt;&lt;wsp:rsid wsp:val=&quot;0075504B&quot;/&gt;&lt;wsp:rsid wsp:val=&quot;0075551B&quot;/&gt;&lt;wsp:rsid wsp:val=&quot;0075580D&quot;/&gt;&lt;wsp:rsid wsp:val=&quot;00756C14&quot;/&gt;&lt;wsp:rsid wsp:val=&quot;00756F68&quot;/&gt;&lt;wsp:rsid wsp:val=&quot;00757199&quot;/&gt;&lt;wsp:rsid wsp:val=&quot;00757547&quot;/&gt;&lt;wsp:rsid wsp:val=&quot;0075778C&quot;/&gt;&lt;wsp:rsid wsp:val=&quot;007578F9&quot;/&gt;&lt;wsp:rsid wsp:val=&quot;0076018F&quot;/&gt;&lt;wsp:rsid wsp:val=&quot;00760351&quot;/&gt;&lt;wsp:rsid wsp:val=&quot;007604A5&quot;/&gt;&lt;wsp:rsid wsp:val=&quot;0076063B&quot;/&gt;&lt;wsp:rsid wsp:val=&quot;007606FA&quot;/&gt;&lt;wsp:rsid wsp:val=&quot;0076098B&quot;/&gt;&lt;wsp:rsid wsp:val=&quot;00760BCB&quot;/&gt;&lt;wsp:rsid wsp:val=&quot;007611D4&quot;/&gt;&lt;wsp:rsid wsp:val=&quot;00761534&quot;/&gt;&lt;wsp:rsid wsp:val=&quot;00761572&quot;/&gt;&lt;wsp:rsid wsp:val=&quot;00761C2D&quot;/&gt;&lt;wsp:rsid wsp:val=&quot;007627FD&quot;/&gt;&lt;wsp:rsid wsp:val=&quot;00762AB0&quot;/&gt;&lt;wsp:rsid wsp:val=&quot;00762D84&quot;/&gt;&lt;wsp:rsid wsp:val=&quot;00762D9D&quot;/&gt;&lt;wsp:rsid wsp:val=&quot;00762E4B&quot;/&gt;&lt;wsp:rsid wsp:val=&quot;00762E8E&quot;/&gt;&lt;wsp:rsid wsp:val=&quot;007631EC&quot;/&gt;&lt;wsp:rsid wsp:val=&quot;0076353D&quot;/&gt;&lt;wsp:rsid wsp:val=&quot;00764536&quot;/&gt;&lt;wsp:rsid wsp:val=&quot;00764751&quot;/&gt;&lt;wsp:rsid wsp:val=&quot;00764BCB&quot;/&gt;&lt;wsp:rsid wsp:val=&quot;00764D18&quot;/&gt;&lt;wsp:rsid wsp:val=&quot;00764DC2&quot;/&gt;&lt;wsp:rsid wsp:val=&quot;00764EF2&quot;/&gt;&lt;wsp:rsid wsp:val=&quot;0076519B&quot;/&gt;&lt;wsp:rsid wsp:val=&quot;007657E2&quot;/&gt;&lt;wsp:rsid wsp:val=&quot;00765A5F&quot;/&gt;&lt;wsp:rsid wsp:val=&quot;0076653B&quot;/&gt;&lt;wsp:rsid wsp:val=&quot;00767D54&quot;/&gt;&lt;wsp:rsid wsp:val=&quot;00770061&quot;/&gt;&lt;wsp:rsid wsp:val=&quot;00770980&quot;/&gt;&lt;wsp:rsid wsp:val=&quot;00770A68&quot;/&gt;&lt;wsp:rsid wsp:val=&quot;00770CDD&quot;/&gt;&lt;wsp:rsid wsp:val=&quot;00771027&quot;/&gt;&lt;wsp:rsid wsp:val=&quot;00771143&quot;/&gt;&lt;wsp:rsid wsp:val=&quot;007711B8&quot;/&gt;&lt;wsp:rsid wsp:val=&quot;00771650&quot;/&gt;&lt;wsp:rsid wsp:val=&quot;00772309&quot;/&gt;&lt;wsp:rsid wsp:val=&quot;007724D1&quot;/&gt;&lt;wsp:rsid wsp:val=&quot;007732EA&quot;/&gt;&lt;wsp:rsid wsp:val=&quot;00773507&quot;/&gt;&lt;wsp:rsid wsp:val=&quot;00773A8D&quot;/&gt;&lt;wsp:rsid wsp:val=&quot;00773DB2&quot;/&gt;&lt;wsp:rsid wsp:val=&quot;00773E3B&quot;/&gt;&lt;wsp:rsid wsp:val=&quot;00774369&quot;/&gt;&lt;wsp:rsid wsp:val=&quot;007747DF&quot;/&gt;&lt;wsp:rsid wsp:val=&quot;0077544F&quot;/&gt;&lt;wsp:rsid wsp:val=&quot;007762EA&quot;/&gt;&lt;wsp:rsid wsp:val=&quot;00776503&quot;/&gt;&lt;wsp:rsid wsp:val=&quot;00776A5F&quot;/&gt;&lt;wsp:rsid wsp:val=&quot;00776AF4&quot;/&gt;&lt;wsp:rsid wsp:val=&quot;00776D36&quot;/&gt;&lt;wsp:rsid wsp:val=&quot;00776DC4&quot;/&gt;&lt;wsp:rsid wsp:val=&quot;00776E16&quot;/&gt;&lt;wsp:rsid wsp:val=&quot;00777113&quot;/&gt;&lt;wsp:rsid wsp:val=&quot;0077735E&quot;/&gt;&lt;wsp:rsid wsp:val=&quot;0077742E&quot;/&gt;&lt;wsp:rsid wsp:val=&quot;00777976&quot;/&gt;&lt;wsp:rsid wsp:val=&quot;00777AB3&quot;/&gt;&lt;wsp:rsid wsp:val=&quot;00780BA9&quot;/&gt;&lt;wsp:rsid wsp:val=&quot;00780DE7&quot;/&gt;&lt;wsp:rsid wsp:val=&quot;00781370&quot;/&gt;&lt;wsp:rsid wsp:val=&quot;00781ACF&quot;/&gt;&lt;wsp:rsid wsp:val=&quot;00781B93&quot;/&gt;&lt;wsp:rsid wsp:val=&quot;00782022&quot;/&gt;&lt;wsp:rsid wsp:val=&quot;00782939&quot;/&gt;&lt;wsp:rsid wsp:val=&quot;00782D9F&quot;/&gt;&lt;wsp:rsid wsp:val=&quot;00782DCE&quot;/&gt;&lt;wsp:rsid wsp:val=&quot;00782ECE&quot;/&gt;&lt;wsp:rsid wsp:val=&quot;00783BBE&quot;/&gt;&lt;wsp:rsid wsp:val=&quot;00783FEC&quot;/&gt;&lt;wsp:rsid wsp:val=&quot;007850A0&quot;/&gt;&lt;wsp:rsid wsp:val=&quot;00785739&quot;/&gt;&lt;wsp:rsid wsp:val=&quot;00785C34&quot;/&gt;&lt;wsp:rsid wsp:val=&quot;00785CCD&quot;/&gt;&lt;wsp:rsid wsp:val=&quot;00785DC6&quot;/&gt;&lt;wsp:rsid wsp:val=&quot;00785F23&quot;/&gt;&lt;wsp:rsid wsp:val=&quot;007864D2&quot;/&gt;&lt;wsp:rsid wsp:val=&quot;00786CE7&quot;/&gt;&lt;wsp:rsid wsp:val=&quot;00786DA6&quot;/&gt;&lt;wsp:rsid wsp:val=&quot;00786EDB&quot;/&gt;&lt;wsp:rsid wsp:val=&quot;007875D7&quot;/&gt;&lt;wsp:rsid wsp:val=&quot;0079015B&quot;/&gt;&lt;wsp:rsid wsp:val=&quot;00790556&quot;/&gt;&lt;wsp:rsid wsp:val=&quot;00790768&quot;/&gt;&lt;wsp:rsid wsp:val=&quot;00790D81&quot;/&gt;&lt;wsp:rsid wsp:val=&quot;0079107E&quot;/&gt;&lt;wsp:rsid wsp:val=&quot;007913D2&quot;/&gt;&lt;wsp:rsid wsp:val=&quot;007914FE&quot;/&gt;&lt;wsp:rsid wsp:val=&quot;00791FE1&quot;/&gt;&lt;wsp:rsid wsp:val=&quot;0079216B&quot;/&gt;&lt;wsp:rsid wsp:val=&quot;0079216D&quot;/&gt;&lt;wsp:rsid wsp:val=&quot;00792A32&quot;/&gt;&lt;wsp:rsid wsp:val=&quot;00792D20&quot;/&gt;&lt;wsp:rsid wsp:val=&quot;00793617&quot;/&gt;&lt;wsp:rsid wsp:val=&quot;00793880&quot;/&gt;&lt;wsp:rsid wsp:val=&quot;00794699&quot;/&gt;&lt;wsp:rsid wsp:val=&quot;00794D71&quot;/&gt;&lt;wsp:rsid wsp:val=&quot;00794DE3&quot;/&gt;&lt;wsp:rsid wsp:val=&quot;00795052&quot;/&gt;&lt;wsp:rsid wsp:val=&quot;00795238&quot;/&gt;&lt;wsp:rsid wsp:val=&quot;007958EE&quot;/&gt;&lt;wsp:rsid wsp:val=&quot;007959F3&quot;/&gt;&lt;wsp:rsid wsp:val=&quot;00795A34&quot;/&gt;&lt;wsp:rsid wsp:val=&quot;00795AD0&quot;/&gt;&lt;wsp:rsid wsp:val=&quot;00795E11&quot;/&gt;&lt;wsp:rsid wsp:val=&quot;00796D53&quot;/&gt;&lt;wsp:rsid wsp:val=&quot;007977ED&quot;/&gt;&lt;wsp:rsid wsp:val=&quot;007A14BD&quot;/&gt;&lt;wsp:rsid wsp:val=&quot;007A1716&quot;/&gt;&lt;wsp:rsid wsp:val=&quot;007A1C8B&quot;/&gt;&lt;wsp:rsid wsp:val=&quot;007A1D6C&quot;/&gt;&lt;wsp:rsid wsp:val=&quot;007A2A17&quot;/&gt;&lt;wsp:rsid wsp:val=&quot;007A2FAF&quot;/&gt;&lt;wsp:rsid wsp:val=&quot;007A38CA&quot;/&gt;&lt;wsp:rsid wsp:val=&quot;007A3D3A&quot;/&gt;&lt;wsp:rsid wsp:val=&quot;007A4742&quot;/&gt;&lt;wsp:rsid wsp:val=&quot;007A5596&quot;/&gt;&lt;wsp:rsid wsp:val=&quot;007A5677&quot;/&gt;&lt;wsp:rsid wsp:val=&quot;007A60E5&quot;/&gt;&lt;wsp:rsid wsp:val=&quot;007A614E&quot;/&gt;&lt;wsp:rsid wsp:val=&quot;007A6482&quot;/&gt;&lt;wsp:rsid wsp:val=&quot;007A6C9F&quot;/&gt;&lt;wsp:rsid wsp:val=&quot;007A70A7&quot;/&gt;&lt;wsp:rsid wsp:val=&quot;007A73B1&quot;/&gt;&lt;wsp:rsid wsp:val=&quot;007A7877&quot;/&gt;&lt;wsp:rsid wsp:val=&quot;007A7DAA&quot;/&gt;&lt;wsp:rsid wsp:val=&quot;007B04C9&quot;/&gt;&lt;wsp:rsid wsp:val=&quot;007B10F2&quot;/&gt;&lt;wsp:rsid wsp:val=&quot;007B1277&quot;/&gt;&lt;wsp:rsid wsp:val=&quot;007B18CE&quot;/&gt;&lt;wsp:rsid wsp:val=&quot;007B1D9C&quot;/&gt;&lt;wsp:rsid wsp:val=&quot;007B2314&quot;/&gt;&lt;wsp:rsid wsp:val=&quot;007B31FB&quot;/&gt;&lt;wsp:rsid wsp:val=&quot;007B3459&quot;/&gt;&lt;wsp:rsid wsp:val=&quot;007B348D&quot;/&gt;&lt;wsp:rsid wsp:val=&quot;007B3D68&quot;/&gt;&lt;wsp:rsid wsp:val=&quot;007B3FA8&quot;/&gt;&lt;wsp:rsid wsp:val=&quot;007B4E3B&quot;/&gt;&lt;wsp:rsid wsp:val=&quot;007B4ED2&quot;/&gt;&lt;wsp:rsid wsp:val=&quot;007B508B&quot;/&gt;&lt;wsp:rsid wsp:val=&quot;007B56B9&quot;/&gt;&lt;wsp:rsid wsp:val=&quot;007B5E99&quot;/&gt;&lt;wsp:rsid wsp:val=&quot;007B64C2&quot;/&gt;&lt;wsp:rsid wsp:val=&quot;007B65F1&quot;/&gt;&lt;wsp:rsid wsp:val=&quot;007B726A&quot;/&gt;&lt;wsp:rsid wsp:val=&quot;007B7712&quot;/&gt;&lt;wsp:rsid wsp:val=&quot;007B7ADD&quot;/&gt;&lt;wsp:rsid wsp:val=&quot;007B7E8B&quot;/&gt;&lt;wsp:rsid wsp:val=&quot;007C03C7&quot;/&gt;&lt;wsp:rsid wsp:val=&quot;007C1BD6&quot;/&gt;&lt;wsp:rsid wsp:val=&quot;007C1BD9&quot;/&gt;&lt;wsp:rsid wsp:val=&quot;007C1EC9&quot;/&gt;&lt;wsp:rsid wsp:val=&quot;007C2226&quot;/&gt;&lt;wsp:rsid wsp:val=&quot;007C2374&quot;/&gt;&lt;wsp:rsid wsp:val=&quot;007C2F48&quot;/&gt;&lt;wsp:rsid wsp:val=&quot;007C3403&quot;/&gt;&lt;wsp:rsid wsp:val=&quot;007C36C6&quot;/&gt;&lt;wsp:rsid wsp:val=&quot;007C3BA4&quot;/&gt;&lt;wsp:rsid wsp:val=&quot;007C3E91&quot;/&gt;&lt;wsp:rsid wsp:val=&quot;007C5333&quot;/&gt;&lt;wsp:rsid wsp:val=&quot;007C53C3&quot;/&gt;&lt;wsp:rsid wsp:val=&quot;007C573F&quot;/&gt;&lt;wsp:rsid wsp:val=&quot;007C5BB3&quot;/&gt;&lt;wsp:rsid wsp:val=&quot;007C5D02&quot;/&gt;&lt;wsp:rsid wsp:val=&quot;007C5F06&quot;/&gt;&lt;wsp:rsid wsp:val=&quot;007C6CD3&quot;/&gt;&lt;wsp:rsid wsp:val=&quot;007C74B5&quot;/&gt;&lt;wsp:rsid wsp:val=&quot;007C75D9&quot;/&gt;&lt;wsp:rsid wsp:val=&quot;007C781A&quot;/&gt;&lt;wsp:rsid wsp:val=&quot;007D03C7&quot;/&gt;&lt;wsp:rsid wsp:val=&quot;007D0568&quot;/&gt;&lt;wsp:rsid wsp:val=&quot;007D07D5&quot;/&gt;&lt;wsp:rsid wsp:val=&quot;007D0895&quot;/&gt;&lt;wsp:rsid wsp:val=&quot;007D1075&quot;/&gt;&lt;wsp:rsid wsp:val=&quot;007D1990&quot;/&gt;&lt;wsp:rsid wsp:val=&quot;007D1CFD&quot;/&gt;&lt;wsp:rsid wsp:val=&quot;007D1F75&quot;/&gt;&lt;wsp:rsid wsp:val=&quot;007D2CAB&quot;/&gt;&lt;wsp:rsid wsp:val=&quot;007D38BA&quot;/&gt;&lt;wsp:rsid wsp:val=&quot;007D3CC2&quot;/&gt;&lt;wsp:rsid wsp:val=&quot;007D4FF9&quot;/&gt;&lt;wsp:rsid wsp:val=&quot;007D512B&quot;/&gt;&lt;wsp:rsid wsp:val=&quot;007D51B6&quot;/&gt;&lt;wsp:rsid wsp:val=&quot;007D52D0&quot;/&gt;&lt;wsp:rsid wsp:val=&quot;007D53B3&quot;/&gt;&lt;wsp:rsid wsp:val=&quot;007D550E&quot;/&gt;&lt;wsp:rsid wsp:val=&quot;007D653B&quot;/&gt;&lt;wsp:rsid wsp:val=&quot;007D731F&quot;/&gt;&lt;wsp:rsid wsp:val=&quot;007D7DF0&quot;/&gt;&lt;wsp:rsid wsp:val=&quot;007E00E3&quot;/&gt;&lt;wsp:rsid wsp:val=&quot;007E048A&quot;/&gt;&lt;wsp:rsid wsp:val=&quot;007E0621&quot;/&gt;&lt;wsp:rsid wsp:val=&quot;007E06BF&quot;/&gt;&lt;wsp:rsid wsp:val=&quot;007E09E5&quot;/&gt;&lt;wsp:rsid wsp:val=&quot;007E0A06&quot;/&gt;&lt;wsp:rsid wsp:val=&quot;007E113B&quot;/&gt;&lt;wsp:rsid wsp:val=&quot;007E116E&quot;/&gt;&lt;wsp:rsid wsp:val=&quot;007E1A18&quot;/&gt;&lt;wsp:rsid wsp:val=&quot;007E1B4D&quot;/&gt;&lt;wsp:rsid wsp:val=&quot;007E1DED&quot;/&gt;&lt;wsp:rsid wsp:val=&quot;007E1F59&quot;/&gt;&lt;wsp:rsid wsp:val=&quot;007E220C&quot;/&gt;&lt;wsp:rsid wsp:val=&quot;007E22C5&quot;/&gt;&lt;wsp:rsid wsp:val=&quot;007E2984&quot;/&gt;&lt;wsp:rsid wsp:val=&quot;007E2BEC&quot;/&gt;&lt;wsp:rsid wsp:val=&quot;007E2CC1&quot;/&gt;&lt;wsp:rsid wsp:val=&quot;007E444F&quot;/&gt;&lt;wsp:rsid wsp:val=&quot;007E6187&quot;/&gt;&lt;wsp:rsid wsp:val=&quot;007E6B0D&quot;/&gt;&lt;wsp:rsid wsp:val=&quot;007E6EBB&quot;/&gt;&lt;wsp:rsid wsp:val=&quot;007E79FE&quot;/&gt;&lt;wsp:rsid wsp:val=&quot;007E7D24&quot;/&gt;&lt;wsp:rsid wsp:val=&quot;007F07A1&quot;/&gt;&lt;wsp:rsid wsp:val=&quot;007F08B7&quot;/&gt;&lt;wsp:rsid wsp:val=&quot;007F0918&quot;/&gt;&lt;wsp:rsid wsp:val=&quot;007F09BD&quot;/&gt;&lt;wsp:rsid wsp:val=&quot;007F1418&quot;/&gt;&lt;wsp:rsid wsp:val=&quot;007F2F14&quot;/&gt;&lt;wsp:rsid wsp:val=&quot;007F3041&quot;/&gt;&lt;wsp:rsid wsp:val=&quot;007F3062&quot;/&gt;&lt;wsp:rsid wsp:val=&quot;007F319D&quot;/&gt;&lt;wsp:rsid wsp:val=&quot;007F3826&quot;/&gt;&lt;wsp:rsid wsp:val=&quot;007F3979&quot;/&gt;&lt;wsp:rsid wsp:val=&quot;007F3C99&quot;/&gt;&lt;wsp:rsid wsp:val=&quot;007F3CCB&quot;/&gt;&lt;wsp:rsid wsp:val=&quot;007F3E7C&quot;/&gt;&lt;wsp:rsid wsp:val=&quot;007F4025&quot;/&gt;&lt;wsp:rsid wsp:val=&quot;007F408C&quot;/&gt;&lt;wsp:rsid wsp:val=&quot;007F483F&quot;/&gt;&lt;wsp:rsid wsp:val=&quot;007F4A71&quot;/&gt;&lt;wsp:rsid wsp:val=&quot;007F4AC4&quot;/&gt;&lt;wsp:rsid wsp:val=&quot;007F509B&quot;/&gt;&lt;wsp:rsid wsp:val=&quot;007F5130&quot;/&gt;&lt;wsp:rsid wsp:val=&quot;007F541C&quot;/&gt;&lt;wsp:rsid wsp:val=&quot;007F5445&quot;/&gt;&lt;wsp:rsid wsp:val=&quot;007F5718&quot;/&gt;&lt;wsp:rsid wsp:val=&quot;007F58B6&quot;/&gt;&lt;wsp:rsid wsp:val=&quot;007F60CF&quot;/&gt;&lt;wsp:rsid wsp:val=&quot;007F6179&quot;/&gt;&lt;wsp:rsid wsp:val=&quot;007F6AB3&quot;/&gt;&lt;wsp:rsid wsp:val=&quot;007F6AEF&quot;/&gt;&lt;wsp:rsid wsp:val=&quot;007F70F9&quot;/&gt;&lt;wsp:rsid wsp:val=&quot;007F7248&quot;/&gt;&lt;wsp:rsid wsp:val=&quot;00800E28&quot;/&gt;&lt;wsp:rsid wsp:val=&quot;00801D8E&quot;/&gt;&lt;wsp:rsid wsp:val=&quot;0080306C&quot;/&gt;&lt;wsp:rsid wsp:val=&quot;0080321F&quot;/&gt;&lt;wsp:rsid wsp:val=&quot;00803C27&quot;/&gt;&lt;wsp:rsid wsp:val=&quot;00803DEF&quot;/&gt;&lt;wsp:rsid wsp:val=&quot;00803EAB&quot;/&gt;&lt;wsp:rsid wsp:val=&quot;00804F26&quot;/&gt;&lt;wsp:rsid wsp:val=&quot;0080516C&quot;/&gt;&lt;wsp:rsid wsp:val=&quot;00805832&quot;/&gt;&lt;wsp:rsid wsp:val=&quot;00805C24&quot;/&gt;&lt;wsp:rsid wsp:val=&quot;00805CF3&quot;/&gt;&lt;wsp:rsid wsp:val=&quot;00805D54&quot;/&gt;&lt;wsp:rsid wsp:val=&quot;008065F8&quot;/&gt;&lt;wsp:rsid wsp:val=&quot;008066FD&quot;/&gt;&lt;wsp:rsid wsp:val=&quot;0080680A&quot;/&gt;&lt;wsp:rsid wsp:val=&quot;00806937&quot;/&gt;&lt;wsp:rsid wsp:val=&quot;00806E17&quot;/&gt;&lt;wsp:rsid wsp:val=&quot;00807128&quot;/&gt;&lt;wsp:rsid wsp:val=&quot;008072AE&quot;/&gt;&lt;wsp:rsid wsp:val=&quot;0080735D&quot;/&gt;&lt;wsp:rsid wsp:val=&quot;00807749&quot;/&gt;&lt;wsp:rsid wsp:val=&quot;008077E7&quot;/&gt;&lt;wsp:rsid wsp:val=&quot;0081012F&quot;/&gt;&lt;wsp:rsid wsp:val=&quot;00810424&quot;/&gt;&lt;wsp:rsid wsp:val=&quot;00810CC9&quot;/&gt;&lt;wsp:rsid wsp:val=&quot;008111BF&quot;/&gt;&lt;wsp:rsid wsp:val=&quot;0081135F&quot;/&gt;&lt;wsp:rsid wsp:val=&quot;00811826&quot;/&gt;&lt;wsp:rsid wsp:val=&quot;00811A4F&quot;/&gt;&lt;wsp:rsid wsp:val=&quot;00812488&quot;/&gt;&lt;wsp:rsid wsp:val=&quot;008127B7&quot;/&gt;&lt;wsp:rsid wsp:val=&quot;00812823&quot;/&gt;&lt;wsp:rsid wsp:val=&quot;00812CFC&quot;/&gt;&lt;wsp:rsid wsp:val=&quot;00813D17&quot;/&gt;&lt;wsp:rsid wsp:val=&quot;008141F4&quot;/&gt;&lt;wsp:rsid wsp:val=&quot;00814442&quot;/&gt;&lt;wsp:rsid wsp:val=&quot;008146D7&quot;/&gt;&lt;wsp:rsid wsp:val=&quot;00814904&quot;/&gt;&lt;wsp:rsid wsp:val=&quot;0081495C&quot;/&gt;&lt;wsp:rsid wsp:val=&quot;00816769&quot;/&gt;&lt;wsp:rsid wsp:val=&quot;00816F12&quot;/&gt;&lt;wsp:rsid wsp:val=&quot;0081754C&quot;/&gt;&lt;wsp:rsid wsp:val=&quot;0081783D&quot;/&gt;&lt;wsp:rsid wsp:val=&quot;00817C9E&quot;/&gt;&lt;wsp:rsid wsp:val=&quot;00820495&quot;/&gt;&lt;wsp:rsid wsp:val=&quot;00820B66&quot;/&gt;&lt;wsp:rsid wsp:val=&quot;00820BAE&quot;/&gt;&lt;wsp:rsid wsp:val=&quot;00820CFD&quot;/&gt;&lt;wsp:rsid wsp:val=&quot;008210F0&quot;/&gt;&lt;wsp:rsid wsp:val=&quot;0082123F&quot;/&gt;&lt;wsp:rsid wsp:val=&quot;0082181E&quot;/&gt;&lt;wsp:rsid wsp:val=&quot;00821F14&quot;/&gt;&lt;wsp:rsid wsp:val=&quot;00821FBA&quot;/&gt;&lt;wsp:rsid wsp:val=&quot;00822033&quot;/&gt;&lt;wsp:rsid wsp:val=&quot;00822B49&quot;/&gt;&lt;wsp:rsid wsp:val=&quot;00823678&quot;/&gt;&lt;wsp:rsid wsp:val=&quot;00823758&quot;/&gt;&lt;wsp:rsid wsp:val=&quot;00823EB3&quot;/&gt;&lt;wsp:rsid wsp:val=&quot;00824302&quot;/&gt;&lt;wsp:rsid wsp:val=&quot;00824963&quot;/&gt;&lt;wsp:rsid wsp:val=&quot;00824A35&quot;/&gt;&lt;wsp:rsid wsp:val=&quot;0082547F&quot;/&gt;&lt;wsp:rsid wsp:val=&quot;0082597A&quot;/&gt;&lt;wsp:rsid wsp:val=&quot;00825E72&quot;/&gt;&lt;wsp:rsid wsp:val=&quot;00826273&quot;/&gt;&lt;wsp:rsid wsp:val=&quot;008263BB&quot;/&gt;&lt;wsp:rsid wsp:val=&quot;00826C7B&quot;/&gt;&lt;wsp:rsid wsp:val=&quot;00827091&quot;/&gt;&lt;wsp:rsid wsp:val=&quot;0082713B&quot;/&gt;&lt;wsp:rsid wsp:val=&quot;00827205&quot;/&gt;&lt;wsp:rsid wsp:val=&quot;0082759B&quot;/&gt;&lt;wsp:rsid wsp:val=&quot;0082778C&quot;/&gt;&lt;wsp:rsid wsp:val=&quot;00827A84&quot;/&gt;&lt;wsp:rsid wsp:val=&quot;00827D12&quot;/&gt;&lt;wsp:rsid wsp:val=&quot;00830A9D&quot;/&gt;&lt;wsp:rsid wsp:val=&quot;00831607&quot;/&gt;&lt;wsp:rsid wsp:val=&quot;008316AE&quot;/&gt;&lt;wsp:rsid wsp:val=&quot;00832740&quot;/&gt;&lt;wsp:rsid wsp:val=&quot;00832901&quot;/&gt;&lt;wsp:rsid wsp:val=&quot;00832B5F&quot;/&gt;&lt;wsp:rsid wsp:val=&quot;00832E50&quot;/&gt;&lt;wsp:rsid wsp:val=&quot;00832E66&quot;/&gt;&lt;wsp:rsid wsp:val=&quot;00832F69&quot;/&gt;&lt;wsp:rsid wsp:val=&quot;008334D8&quot;/&gt;&lt;wsp:rsid wsp:val=&quot;00833529&quot;/&gt;&lt;wsp:rsid wsp:val=&quot;008335D0&quot;/&gt;&lt;wsp:rsid wsp:val=&quot;00834221&quot;/&gt;&lt;wsp:rsid wsp:val=&quot;0083443F&quot;/&gt;&lt;wsp:rsid wsp:val=&quot;00834769&quot;/&gt;&lt;wsp:rsid wsp:val=&quot;00834A94&quot;/&gt;&lt;wsp:rsid wsp:val=&quot;0083594A&quot;/&gt;&lt;wsp:rsid wsp:val=&quot;00835F46&quot;/&gt;&lt;wsp:rsid wsp:val=&quot;00836207&quot;/&gt;&lt;wsp:rsid wsp:val=&quot;008362F7&quot;/&gt;&lt;wsp:rsid wsp:val=&quot;00836410&quot;/&gt;&lt;wsp:rsid wsp:val=&quot;008364C8&quot;/&gt;&lt;wsp:rsid wsp:val=&quot;0083681B&quot;/&gt;&lt;wsp:rsid wsp:val=&quot;00836C39&quot;/&gt;&lt;wsp:rsid wsp:val=&quot;00836D90&quot;/&gt;&lt;wsp:rsid wsp:val=&quot;00837964&quot;/&gt;&lt;wsp:rsid wsp:val=&quot;00837BEB&quot;/&gt;&lt;wsp:rsid wsp:val=&quot;00837C72&quot;/&gt;&lt;wsp:rsid wsp:val=&quot;00840CFB&quot;/&gt;&lt;wsp:rsid wsp:val=&quot;008411D9&quot;/&gt;&lt;wsp:rsid wsp:val=&quot;00841747&quot;/&gt;&lt;wsp:rsid wsp:val=&quot;00842E02&quot;/&gt;&lt;wsp:rsid wsp:val=&quot;00842E1C&quot;/&gt;&lt;wsp:rsid wsp:val=&quot;0084311D&quot;/&gt;&lt;wsp:rsid wsp:val=&quot;00843359&quot;/&gt;&lt;wsp:rsid wsp:val=&quot;00843DF1&quot;/&gt;&lt;wsp:rsid wsp:val=&quot;00844792&quot;/&gt;&lt;wsp:rsid wsp:val=&quot;00844FF9&quot;/&gt;&lt;wsp:rsid wsp:val=&quot;0084518F&quot;/&gt;&lt;wsp:rsid wsp:val=&quot;0084538F&quot;/&gt;&lt;wsp:rsid wsp:val=&quot;00845EAA&quot;/&gt;&lt;wsp:rsid wsp:val=&quot;008462BF&quot;/&gt;&lt;wsp:rsid wsp:val=&quot;008467F6&quot;/&gt;&lt;wsp:rsid wsp:val=&quot;00846F8A&quot;/&gt;&lt;wsp:rsid wsp:val=&quot;008472D7&quot;/&gt;&lt;wsp:rsid wsp:val=&quot;00847D9C&quot;/&gt;&lt;wsp:rsid wsp:val=&quot;00847F43&quot;/&gt;&lt;wsp:rsid wsp:val=&quot;00850059&quot;/&gt;&lt;wsp:rsid wsp:val=&quot;00850B2A&quot;/&gt;&lt;wsp:rsid wsp:val=&quot;00850E0C&quot;/&gt;&lt;wsp:rsid wsp:val=&quot;008513CC&quot;/&gt;&lt;wsp:rsid wsp:val=&quot;0085180A&quot;/&gt;&lt;wsp:rsid wsp:val=&quot;00851AEF&quot;/&gt;&lt;wsp:rsid wsp:val=&quot;00851CB6&quot;/&gt;&lt;wsp:rsid wsp:val=&quot;00851E31&quot;/&gt;&lt;wsp:rsid wsp:val=&quot;008521D0&quot;/&gt;&lt;wsp:rsid wsp:val=&quot;008523B4&quot;/&gt;&lt;wsp:rsid wsp:val=&quot;00852499&quot;/&gt;&lt;wsp:rsid wsp:val=&quot;0085275C&quot;/&gt;&lt;wsp:rsid wsp:val=&quot;00852A49&quot;/&gt;&lt;wsp:rsid wsp:val=&quot;00852B78&quot;/&gt;&lt;wsp:rsid wsp:val=&quot;00853607&quot;/&gt;&lt;wsp:rsid wsp:val=&quot;008536B9&quot;/&gt;&lt;wsp:rsid wsp:val=&quot;008537F4&quot;/&gt;&lt;wsp:rsid wsp:val=&quot;00853890&quot;/&gt;&lt;wsp:rsid wsp:val=&quot;008541F7&quot;/&gt;&lt;wsp:rsid wsp:val=&quot;00854848&quot;/&gt;&lt;wsp:rsid wsp:val=&quot;00854AED&quot;/&gt;&lt;wsp:rsid wsp:val=&quot;00855BE0&quot;/&gt;&lt;wsp:rsid wsp:val=&quot;00856A07&quot;/&gt;&lt;wsp:rsid wsp:val=&quot;00856E24&quot;/&gt;&lt;wsp:rsid wsp:val=&quot;008573AC&quot;/&gt;&lt;wsp:rsid wsp:val=&quot;008577D1&quot;/&gt;&lt;wsp:rsid wsp:val=&quot;00857822&quot;/&gt;&lt;wsp:rsid wsp:val=&quot;008579E5&quot;/&gt;&lt;wsp:rsid wsp:val=&quot;00860366&quot;/&gt;&lt;wsp:rsid wsp:val=&quot;00860B15&quot;/&gt;&lt;wsp:rsid wsp:val=&quot;008615A8&quot;/&gt;&lt;wsp:rsid wsp:val=&quot;00861723&quot;/&gt;&lt;wsp:rsid wsp:val=&quot;00862156&quot;/&gt;&lt;wsp:rsid wsp:val=&quot;008621E7&quot;/&gt;&lt;wsp:rsid wsp:val=&quot;00863000&quot;/&gt;&lt;wsp:rsid wsp:val=&quot;008634AF&quot;/&gt;&lt;wsp:rsid wsp:val=&quot;00864477&quot;/&gt;&lt;wsp:rsid wsp:val=&quot;0086482D&quot;/&gt;&lt;wsp:rsid wsp:val=&quot;00865179&quot;/&gt;&lt;wsp:rsid wsp:val=&quot;008652E2&quot;/&gt;&lt;wsp:rsid wsp:val=&quot;00865671&quot;/&gt;&lt;wsp:rsid wsp:val=&quot;00865BE0&quot;/&gt;&lt;wsp:rsid wsp:val=&quot;00865C69&quot;/&gt;&lt;wsp:rsid wsp:val=&quot;00866095&quot;/&gt;&lt;wsp:rsid wsp:val=&quot;008666B3&quot;/&gt;&lt;wsp:rsid wsp:val=&quot;00866A08&quot;/&gt;&lt;wsp:rsid wsp:val=&quot;008673C3&quot;/&gt;&lt;wsp:rsid wsp:val=&quot;008673EA&quot;/&gt;&lt;wsp:rsid wsp:val=&quot;008675E4&quot;/&gt;&lt;wsp:rsid wsp:val=&quot;00867968&quot;/&gt;&lt;wsp:rsid wsp:val=&quot;00867A7C&quot;/&gt;&lt;wsp:rsid wsp:val=&quot;00870008&quot;/&gt;&lt;wsp:rsid wsp:val=&quot;00870BC4&quot;/&gt;&lt;wsp:rsid wsp:val=&quot;00871C6F&quot;/&gt;&lt;wsp:rsid wsp:val=&quot;00871EEE&quot;/&gt;&lt;wsp:rsid wsp:val=&quot;00872023&quot;/&gt;&lt;wsp:rsid wsp:val=&quot;00872339&quot;/&gt;&lt;wsp:rsid wsp:val=&quot;00872391&quot;/&gt;&lt;wsp:rsid wsp:val=&quot;008725BE&quot;/&gt;&lt;wsp:rsid wsp:val=&quot;00872A3A&quot;/&gt;&lt;wsp:rsid wsp:val=&quot;00873854&quot;/&gt;&lt;wsp:rsid wsp:val=&quot;00873C34&quot;/&gt;&lt;wsp:rsid wsp:val=&quot;008746AC&quot;/&gt;&lt;wsp:rsid wsp:val=&quot;00874A63&quot;/&gt;&lt;wsp:rsid wsp:val=&quot;00875713&quot;/&gt;&lt;wsp:rsid wsp:val=&quot;00876076&quot;/&gt;&lt;wsp:rsid wsp:val=&quot;008760F3&quot;/&gt;&lt;wsp:rsid wsp:val=&quot;0087629B&quot;/&gt;&lt;wsp:rsid wsp:val=&quot;00876318&quot;/&gt;&lt;wsp:rsid wsp:val=&quot;00876776&quot;/&gt;&lt;wsp:rsid wsp:val=&quot;00876AC9&quot;/&gt;&lt;wsp:rsid wsp:val=&quot;008774C3&quot;/&gt;&lt;wsp:rsid wsp:val=&quot;008802DC&quot;/&gt;&lt;wsp:rsid wsp:val=&quot;008803BC&quot;/&gt;&lt;wsp:rsid wsp:val=&quot;00880632&quot;/&gt;&lt;wsp:rsid wsp:val=&quot;008807DD&quot;/&gt;&lt;wsp:rsid wsp:val=&quot;00880D4B&quot;/&gt;&lt;wsp:rsid wsp:val=&quot;008811C8&quot;/&gt;&lt;wsp:rsid wsp:val=&quot;0088135C&quot;/&gt;&lt;wsp:rsid wsp:val=&quot;0088170C&quot;/&gt;&lt;wsp:rsid wsp:val=&quot;00881D0D&quot;/&gt;&lt;wsp:rsid wsp:val=&quot;00881EEF&quot;/&gt;&lt;wsp:rsid wsp:val=&quot;00882406&quot;/&gt;&lt;wsp:rsid wsp:val=&quot;00882A96&quot;/&gt;&lt;wsp:rsid wsp:val=&quot;0088354E&quot;/&gt;&lt;wsp:rsid wsp:val=&quot;0088460A&quot;/&gt;&lt;wsp:rsid wsp:val=&quot;00884C5D&quot;/&gt;&lt;wsp:rsid wsp:val=&quot;00884DF1&quot;/&gt;&lt;wsp:rsid wsp:val=&quot;00885CD7&quot;/&gt;&lt;wsp:rsid wsp:val=&quot;00885EE6&quot;/&gt;&lt;wsp:rsid wsp:val=&quot;008865B3&quot;/&gt;&lt;wsp:rsid wsp:val=&quot;00886747&quot;/&gt;&lt;wsp:rsid wsp:val=&quot;00886BD9&quot;/&gt;&lt;wsp:rsid wsp:val=&quot;008875B5&quot;/&gt;&lt;wsp:rsid wsp:val=&quot;008875C5&quot;/&gt;&lt;wsp:rsid wsp:val=&quot;00887F43&quot;/&gt;&lt;wsp:rsid wsp:val=&quot;00890769&quot;/&gt;&lt;wsp:rsid wsp:val=&quot;00891C43&quot;/&gt;&lt;wsp:rsid wsp:val=&quot;00891DF4&quot;/&gt;&lt;wsp:rsid wsp:val=&quot;0089216F&quot;/&gt;&lt;wsp:rsid wsp:val=&quot;00892B9D&quot;/&gt;&lt;wsp:rsid wsp:val=&quot;00892CEF&quot;/&gt;&lt;wsp:rsid wsp:val=&quot;00892D09&quot;/&gt;&lt;wsp:rsid wsp:val=&quot;0089303A&quot;/&gt;&lt;wsp:rsid wsp:val=&quot;008936D6&quot;/&gt;&lt;wsp:rsid wsp:val=&quot;00893862&quot;/&gt;&lt;wsp:rsid wsp:val=&quot;00893DFD&quot;/&gt;&lt;wsp:rsid wsp:val=&quot;00894212&quot;/&gt;&lt;wsp:rsid wsp:val=&quot;008944A6&quot;/&gt;&lt;wsp:rsid wsp:val=&quot;00894AA7&quot;/&gt;&lt;wsp:rsid wsp:val=&quot;00894B43&quot;/&gt;&lt;wsp:rsid wsp:val=&quot;00894D96&quot;/&gt;&lt;wsp:rsid wsp:val=&quot;00895459&quot;/&gt;&lt;wsp:rsid wsp:val=&quot;008960B8&quot;/&gt;&lt;wsp:rsid wsp:val=&quot;008962EC&quot;/&gt;&lt;wsp:rsid wsp:val=&quot;008964D2&quot;/&gt;&lt;wsp:rsid wsp:val=&quot;008968DA&quot;/&gt;&lt;wsp:rsid wsp:val=&quot;00896C10&quot;/&gt;&lt;wsp:rsid wsp:val=&quot;00897388&quot;/&gt;&lt;wsp:rsid wsp:val=&quot;008979EA&quot;/&gt;&lt;wsp:rsid wsp:val=&quot;008A0389&quot;/&gt;&lt;wsp:rsid wsp:val=&quot;008A0C8D&quot;/&gt;&lt;wsp:rsid wsp:val=&quot;008A153F&quot;/&gt;&lt;wsp:rsid wsp:val=&quot;008A15C6&quot;/&gt;&lt;wsp:rsid wsp:val=&quot;008A17D5&quot;/&gt;&lt;wsp:rsid wsp:val=&quot;008A2159&quot;/&gt;&lt;wsp:rsid wsp:val=&quot;008A252E&quot;/&gt;&lt;wsp:rsid wsp:val=&quot;008A28C4&quot;/&gt;&lt;wsp:rsid wsp:val=&quot;008A2944&quot;/&gt;&lt;wsp:rsid wsp:val=&quot;008A2EA3&quot;/&gt;&lt;wsp:rsid wsp:val=&quot;008A32AB&quot;/&gt;&lt;wsp:rsid wsp:val=&quot;008A33FD&quot;/&gt;&lt;wsp:rsid wsp:val=&quot;008A34F0&quot;/&gt;&lt;wsp:rsid wsp:val=&quot;008A3DAD&quot;/&gt;&lt;wsp:rsid wsp:val=&quot;008A43E5&quot;/&gt;&lt;wsp:rsid wsp:val=&quot;008A51F3&quot;/&gt;&lt;wsp:rsid wsp:val=&quot;008A5283&quot;/&gt;&lt;wsp:rsid wsp:val=&quot;008A5469&quot;/&gt;&lt;wsp:rsid wsp:val=&quot;008A55A5&quot;/&gt;&lt;wsp:rsid wsp:val=&quot;008A56DD&quot;/&gt;&lt;wsp:rsid wsp:val=&quot;008A5894&quot;/&gt;&lt;wsp:rsid wsp:val=&quot;008A5CAD&quot;/&gt;&lt;wsp:rsid wsp:val=&quot;008A646C&quot;/&gt;&lt;wsp:rsid wsp:val=&quot;008A65DB&quot;/&gt;&lt;wsp:rsid wsp:val=&quot;008A689A&quot;/&gt;&lt;wsp:rsid wsp:val=&quot;008A7705&quot;/&gt;&lt;wsp:rsid wsp:val=&quot;008B0635&quot;/&gt;&lt;wsp:rsid wsp:val=&quot;008B0A4D&quot;/&gt;&lt;wsp:rsid wsp:val=&quot;008B182F&quot;/&gt;&lt;wsp:rsid wsp:val=&quot;008B1C96&quot;/&gt;&lt;wsp:rsid wsp:val=&quot;008B233F&quot;/&gt;&lt;wsp:rsid wsp:val=&quot;008B2689&quot;/&gt;&lt;wsp:rsid wsp:val=&quot;008B2911&quot;/&gt;&lt;wsp:rsid wsp:val=&quot;008B2EBE&quot;/&gt;&lt;wsp:rsid wsp:val=&quot;008B3653&quot;/&gt;&lt;wsp:rsid wsp:val=&quot;008B3C9E&quot;/&gt;&lt;wsp:rsid wsp:val=&quot;008B408F&quot;/&gt;&lt;wsp:rsid wsp:val=&quot;008B42FF&quot;/&gt;&lt;wsp:rsid wsp:val=&quot;008B430F&quot;/&gt;&lt;wsp:rsid wsp:val=&quot;008B49E9&quot;/&gt;&lt;wsp:rsid wsp:val=&quot;008B4A2F&quot;/&gt;&lt;wsp:rsid wsp:val=&quot;008B547C&quot;/&gt;&lt;wsp:rsid wsp:val=&quot;008B5605&quot;/&gt;&lt;wsp:rsid wsp:val=&quot;008B610F&quot;/&gt;&lt;wsp:rsid wsp:val=&quot;008B64DE&quot;/&gt;&lt;wsp:rsid wsp:val=&quot;008B650C&quot;/&gt;&lt;wsp:rsid wsp:val=&quot;008B6A7D&quot;/&gt;&lt;wsp:rsid wsp:val=&quot;008B78FD&quot;/&gt;&lt;wsp:rsid wsp:val=&quot;008B7940&quot;/&gt;&lt;wsp:rsid wsp:val=&quot;008B7B36&quot;/&gt;&lt;wsp:rsid wsp:val=&quot;008C0060&quot;/&gt;&lt;wsp:rsid wsp:val=&quot;008C0847&quot;/&gt;&lt;wsp:rsid wsp:val=&quot;008C1494&quot;/&gt;&lt;wsp:rsid wsp:val=&quot;008C1739&quot;/&gt;&lt;wsp:rsid wsp:val=&quot;008C205F&quot;/&gt;&lt;wsp:rsid wsp:val=&quot;008C22A4&quot;/&gt;&lt;wsp:rsid wsp:val=&quot;008C23EE&quot;/&gt;&lt;wsp:rsid wsp:val=&quot;008C2593&quot;/&gt;&lt;wsp:rsid wsp:val=&quot;008C265A&quot;/&gt;&lt;wsp:rsid wsp:val=&quot;008C37BA&quot;/&gt;&lt;wsp:rsid wsp:val=&quot;008C3B9E&quot;/&gt;&lt;wsp:rsid wsp:val=&quot;008C3CC2&quot;/&gt;&lt;wsp:rsid wsp:val=&quot;008C3E8D&quot;/&gt;&lt;wsp:rsid wsp:val=&quot;008C418A&quot;/&gt;&lt;wsp:rsid wsp:val=&quot;008C4D22&quot;/&gt;&lt;wsp:rsid wsp:val=&quot;008C4D83&quot;/&gt;&lt;wsp:rsid wsp:val=&quot;008C631B&quot;/&gt;&lt;wsp:rsid wsp:val=&quot;008C66A9&quot;/&gt;&lt;wsp:rsid wsp:val=&quot;008C6A82&quot;/&gt;&lt;wsp:rsid wsp:val=&quot;008C6BF6&quot;/&gt;&lt;wsp:rsid wsp:val=&quot;008C7B47&quot;/&gt;&lt;wsp:rsid wsp:val=&quot;008C7C9C&quot;/&gt;&lt;wsp:rsid wsp:val=&quot;008D0E02&quot;/&gt;&lt;wsp:rsid wsp:val=&quot;008D13B0&quot;/&gt;&lt;wsp:rsid wsp:val=&quot;008D1555&quot;/&gt;&lt;wsp:rsid wsp:val=&quot;008D232B&quot;/&gt;&lt;wsp:rsid wsp:val=&quot;008D2AEE&quot;/&gt;&lt;wsp:rsid wsp:val=&quot;008D2C87&quot;/&gt;&lt;wsp:rsid wsp:val=&quot;008D4B8F&quot;/&gt;&lt;wsp:rsid wsp:val=&quot;008D5D94&quot;/&gt;&lt;wsp:rsid wsp:val=&quot;008D6077&quot;/&gt;&lt;wsp:rsid wsp:val=&quot;008D67BC&quot;/&gt;&lt;wsp:rsid wsp:val=&quot;008D67FB&quot;/&gt;&lt;wsp:rsid wsp:val=&quot;008D690E&quot;/&gt;&lt;wsp:rsid wsp:val=&quot;008D6C92&quot;/&gt;&lt;wsp:rsid wsp:val=&quot;008D74CE&quot;/&gt;&lt;wsp:rsid wsp:val=&quot;008D7686&quot;/&gt;&lt;wsp:rsid wsp:val=&quot;008D76B1&quot;/&gt;&lt;wsp:rsid wsp:val=&quot;008D7B2D&quot;/&gt;&lt;wsp:rsid wsp:val=&quot;008D7E49&quot;/&gt;&lt;wsp:rsid wsp:val=&quot;008D7FAB&quot;/&gt;&lt;wsp:rsid wsp:val=&quot;008E0051&quot;/&gt;&lt;wsp:rsid wsp:val=&quot;008E036D&quot;/&gt;&lt;wsp:rsid wsp:val=&quot;008E05BA&quot;/&gt;&lt;wsp:rsid wsp:val=&quot;008E0A04&quot;/&gt;&lt;wsp:rsid wsp:val=&quot;008E170B&quot;/&gt;&lt;wsp:rsid wsp:val=&quot;008E1D26&quot;/&gt;&lt;wsp:rsid wsp:val=&quot;008E1E2E&quot;/&gt;&lt;wsp:rsid wsp:val=&quot;008E2BB2&quot;/&gt;&lt;wsp:rsid wsp:val=&quot;008E2E5F&quot;/&gt;&lt;wsp:rsid wsp:val=&quot;008E3141&quot;/&gt;&lt;wsp:rsid wsp:val=&quot;008E43F6&quot;/&gt;&lt;wsp:rsid wsp:val=&quot;008E4F6C&quot;/&gt;&lt;wsp:rsid wsp:val=&quot;008E5349&quot;/&gt;&lt;wsp:rsid wsp:val=&quot;008E53B6&quot;/&gt;&lt;wsp:rsid wsp:val=&quot;008E53FC&quot;/&gt;&lt;wsp:rsid wsp:val=&quot;008E568F&quot;/&gt;&lt;wsp:rsid wsp:val=&quot;008E571B&quot;/&gt;&lt;wsp:rsid wsp:val=&quot;008E66FD&quot;/&gt;&lt;wsp:rsid wsp:val=&quot;008E69DE&quot;/&gt;&lt;wsp:rsid wsp:val=&quot;008E6DF1&quot;/&gt;&lt;wsp:rsid wsp:val=&quot;008E7195&quot;/&gt;&lt;wsp:rsid wsp:val=&quot;008E757C&quot;/&gt;&lt;wsp:rsid wsp:val=&quot;008E7DAA&quot;/&gt;&lt;wsp:rsid wsp:val=&quot;008F04FB&quot;/&gt;&lt;wsp:rsid wsp:val=&quot;008F1F35&quot;/&gt;&lt;wsp:rsid wsp:val=&quot;008F214D&quot;/&gt;&lt;wsp:rsid wsp:val=&quot;008F221C&quot;/&gt;&lt;wsp:rsid wsp:val=&quot;008F25F4&quot;/&gt;&lt;wsp:rsid wsp:val=&quot;008F2960&quot;/&gt;&lt;wsp:rsid wsp:val=&quot;008F35A4&quot;/&gt;&lt;wsp:rsid wsp:val=&quot;008F3832&quot;/&gt;&lt;wsp:rsid wsp:val=&quot;008F3833&quot;/&gt;&lt;wsp:rsid wsp:val=&quot;008F3975&quot;/&gt;&lt;wsp:rsid wsp:val=&quot;008F3D49&quot;/&gt;&lt;wsp:rsid wsp:val=&quot;008F4295&quot;/&gt;&lt;wsp:rsid wsp:val=&quot;008F4374&quot;/&gt;&lt;wsp:rsid wsp:val=&quot;008F4603&quot;/&gt;&lt;wsp:rsid wsp:val=&quot;008F52E6&quot;/&gt;&lt;wsp:rsid wsp:val=&quot;008F541B&quot;/&gt;&lt;wsp:rsid wsp:val=&quot;008F57D0&quot;/&gt;&lt;wsp:rsid wsp:val=&quot;008F6F57&quot;/&gt;&lt;wsp:rsid wsp:val=&quot;008F78DD&quot;/&gt;&lt;wsp:rsid wsp:val=&quot;008F7918&quot;/&gt;&lt;wsp:rsid wsp:val=&quot;008F7CD6&quot;/&gt;&lt;wsp:rsid wsp:val=&quot;00900083&quot;/&gt;&lt;wsp:rsid wsp:val=&quot;0090076C&quot;/&gt;&lt;wsp:rsid wsp:val=&quot;00900D65&quot;/&gt;&lt;wsp:rsid wsp:val=&quot;0090119D&quot;/&gt;&lt;wsp:rsid wsp:val=&quot;009011D1&quot;/&gt;&lt;wsp:rsid wsp:val=&quot;00901A00&quot;/&gt;&lt;wsp:rsid wsp:val=&quot;00902522&quot;/&gt;&lt;wsp:rsid wsp:val=&quot;00902588&quot;/&gt;&lt;wsp:rsid wsp:val=&quot;009032A3&quot;/&gt;&lt;wsp:rsid wsp:val=&quot;00903341&quot;/&gt;&lt;wsp:rsid wsp:val=&quot;00903C48&quot;/&gt;&lt;wsp:rsid wsp:val=&quot;00904670&quot;/&gt;&lt;wsp:rsid wsp:val=&quot;009046E9&quot;/&gt;&lt;wsp:rsid wsp:val=&quot;009049BC&quot;/&gt;&lt;wsp:rsid wsp:val=&quot;009060D5&quot;/&gt;&lt;wsp:rsid wsp:val=&quot;009066D8&quot;/&gt;&lt;wsp:rsid wsp:val=&quot;00906D8D&quot;/&gt;&lt;wsp:rsid wsp:val=&quot;00906FD8&quot;/&gt;&lt;wsp:rsid wsp:val=&quot;009073A0&quot;/&gt;&lt;wsp:rsid wsp:val=&quot;00907E2E&quot;/&gt;&lt;wsp:rsid wsp:val=&quot;00907E53&quot;/&gt;&lt;wsp:rsid wsp:val=&quot;0091054F&quot;/&gt;&lt;wsp:rsid wsp:val=&quot;00910D1F&quot;/&gt;&lt;wsp:rsid wsp:val=&quot;00911433&quot;/&gt;&lt;wsp:rsid wsp:val=&quot;00911452&quot;/&gt;&lt;wsp:rsid wsp:val=&quot;009124A0&quot;/&gt;&lt;wsp:rsid wsp:val=&quot;009125D3&quot;/&gt;&lt;wsp:rsid wsp:val=&quot;00912813&quot;/&gt;&lt;wsp:rsid wsp:val=&quot;00912A13&quot;/&gt;&lt;wsp:rsid wsp:val=&quot;00912A89&quot;/&gt;&lt;wsp:rsid wsp:val=&quot;0091350B&quot;/&gt;&lt;wsp:rsid wsp:val=&quot;009135F4&quot;/&gt;&lt;wsp:rsid wsp:val=&quot;00913747&quot;/&gt;&lt;wsp:rsid wsp:val=&quot;0091377D&quot;/&gt;&lt;wsp:rsid wsp:val=&quot;00913ABD&quot;/&gt;&lt;wsp:rsid wsp:val=&quot;00914080&quot;/&gt;&lt;wsp:rsid wsp:val=&quot;009146FA&quot;/&gt;&lt;wsp:rsid wsp:val=&quot;0091474F&quot;/&gt;&lt;wsp:rsid wsp:val=&quot;00914955&quot;/&gt;&lt;wsp:rsid wsp:val=&quot;00914E7B&quot;/&gt;&lt;wsp:rsid wsp:val=&quot;00914ED0&quot;/&gt;&lt;wsp:rsid wsp:val=&quot;0091515D&quot;/&gt;&lt;wsp:rsid wsp:val=&quot;00915348&quot;/&gt;&lt;wsp:rsid wsp:val=&quot;00915569&quot;/&gt;&lt;wsp:rsid wsp:val=&quot;00916AAB&quot;/&gt;&lt;wsp:rsid wsp:val=&quot;0091703F&quot;/&gt;&lt;wsp:rsid wsp:val=&quot;0091749D&quot;/&gt;&lt;wsp:rsid wsp:val=&quot;00917526&quot;/&gt;&lt;wsp:rsid wsp:val=&quot;0092017A&quot;/&gt;&lt;wsp:rsid wsp:val=&quot;00920880&quot;/&gt;&lt;wsp:rsid wsp:val=&quot;00920C5C&quot;/&gt;&lt;wsp:rsid wsp:val=&quot;00921F48&quot;/&gt;&lt;wsp:rsid wsp:val=&quot;0092201D&quot;/&gt;&lt;wsp:rsid wsp:val=&quot;009222A2&quot;/&gt;&lt;wsp:rsid wsp:val=&quot;009224A8&quot;/&gt;&lt;wsp:rsid wsp:val=&quot;00922C80&quot;/&gt;&lt;wsp:rsid wsp:val=&quot;00922D74&quot;/&gt;&lt;wsp:rsid wsp:val=&quot;00923A47&quot;/&gt;&lt;wsp:rsid wsp:val=&quot;00923BF4&quot;/&gt;&lt;wsp:rsid wsp:val=&quot;00923D09&quot;/&gt;&lt;wsp:rsid wsp:val=&quot;00923E79&quot;/&gt;&lt;wsp:rsid wsp:val=&quot;00923FA1&quot;/&gt;&lt;wsp:rsid wsp:val=&quot;00924C08&quot;/&gt;&lt;wsp:rsid wsp:val=&quot;00924F6E&quot;/&gt;&lt;wsp:rsid wsp:val=&quot;00925090&quot;/&gt;&lt;wsp:rsid wsp:val=&quot;009254A4&quot;/&gt;&lt;wsp:rsid wsp:val=&quot;00926A90&quot;/&gt;&lt;wsp:rsid wsp:val=&quot;00926C76&quot;/&gt;&lt;wsp:rsid wsp:val=&quot;00926DC2&quot;/&gt;&lt;wsp:rsid wsp:val=&quot;00926E78&quot;/&gt;&lt;wsp:rsid wsp:val=&quot;00926F68&quot;/&gt;&lt;wsp:rsid wsp:val=&quot;009279C8&quot;/&gt;&lt;wsp:rsid wsp:val=&quot;00927A5A&quot;/&gt;&lt;wsp:rsid wsp:val=&quot;00927B17&quot;/&gt;&lt;wsp:rsid wsp:val=&quot;00927BD8&quot;/&gt;&lt;wsp:rsid wsp:val=&quot;0093074A&quot;/&gt;&lt;wsp:rsid wsp:val=&quot;00930825&quot;/&gt;&lt;wsp:rsid wsp:val=&quot;0093087E&quot;/&gt;&lt;wsp:rsid wsp:val=&quot;00930D82&quot;/&gt;&lt;wsp:rsid wsp:val=&quot;00931D4E&quot;/&gt;&lt;wsp:rsid wsp:val=&quot;009324CB&quot;/&gt;&lt;wsp:rsid wsp:val=&quot;00932615&quot;/&gt;&lt;wsp:rsid wsp:val=&quot;009327A9&quot;/&gt;&lt;wsp:rsid wsp:val=&quot;00932C77&quot;/&gt;&lt;wsp:rsid wsp:val=&quot;00932E6F&quot;/&gt;&lt;wsp:rsid wsp:val=&quot;009331E6&quot;/&gt;&lt;wsp:rsid wsp:val=&quot;00933590&quot;/&gt;&lt;wsp:rsid wsp:val=&quot;0093416B&quot;/&gt;&lt;wsp:rsid wsp:val=&quot;00934387&quot;/&gt;&lt;wsp:rsid wsp:val=&quot;0093444B&quot;/&gt;&lt;wsp:rsid wsp:val=&quot;0093491F&quot;/&gt;&lt;wsp:rsid wsp:val=&quot;00934AC8&quot;/&gt;&lt;wsp:rsid wsp:val=&quot;00934B83&quot;/&gt;&lt;wsp:rsid wsp:val=&quot;009357D2&quot;/&gt;&lt;wsp:rsid wsp:val=&quot;00936C4D&quot;/&gt;&lt;wsp:rsid wsp:val=&quot;00936D45&quot;/&gt;&lt;wsp:rsid wsp:val=&quot;00936DDC&quot;/&gt;&lt;wsp:rsid wsp:val=&quot;00936E00&quot;/&gt;&lt;wsp:rsid wsp:val=&quot;0093702E&quot;/&gt;&lt;wsp:rsid wsp:val=&quot;009370F3&quot;/&gt;&lt;wsp:rsid wsp:val=&quot;0093719A&quot;/&gt;&lt;wsp:rsid wsp:val=&quot;00937415&quot;/&gt;&lt;wsp:rsid wsp:val=&quot;00937BB8&quot;/&gt;&lt;wsp:rsid wsp:val=&quot;00937D0F&quot;/&gt;&lt;wsp:rsid wsp:val=&quot;009403FB&quot;/&gt;&lt;wsp:rsid wsp:val=&quot;0094095F&quot;/&gt;&lt;wsp:rsid wsp:val=&quot;00940B71&quot;/&gt;&lt;wsp:rsid wsp:val=&quot;00940B84&quot;/&gt;&lt;wsp:rsid wsp:val=&quot;0094146B&quot;/&gt;&lt;wsp:rsid wsp:val=&quot;009417C7&quot;/&gt;&lt;wsp:rsid wsp:val=&quot;0094187F&quot;/&gt;&lt;wsp:rsid wsp:val=&quot;00941BAC&quot;/&gt;&lt;wsp:rsid wsp:val=&quot;00941D1F&quot;/&gt;&lt;wsp:rsid wsp:val=&quot;00942134&quot;/&gt;&lt;wsp:rsid wsp:val=&quot;0094249A&quot;/&gt;&lt;wsp:rsid wsp:val=&quot;0094268E&quot;/&gt;&lt;wsp:rsid wsp:val=&quot;009432A6&quot;/&gt;&lt;wsp:rsid wsp:val=&quot;009439A1&quot;/&gt;&lt;wsp:rsid wsp:val=&quot;00943C4B&quot;/&gt;&lt;wsp:rsid wsp:val=&quot;00945046&quot;/&gt;&lt;wsp:rsid wsp:val=&quot;00945610&quot;/&gt;&lt;wsp:rsid wsp:val=&quot;009458A3&quot;/&gt;&lt;wsp:rsid wsp:val=&quot;00945DC5&quot;/&gt;&lt;wsp:rsid wsp:val=&quot;0094633C&quot;/&gt;&lt;wsp:rsid wsp:val=&quot;00946514&quot;/&gt;&lt;wsp:rsid wsp:val=&quot;00946F3D&quot;/&gt;&lt;wsp:rsid wsp:val=&quot;00947281&quot;/&gt;&lt;wsp:rsid wsp:val=&quot;00947457&quot;/&gt;&lt;wsp:rsid wsp:val=&quot;00947A20&quot;/&gt;&lt;wsp:rsid wsp:val=&quot;00947E31&quot;/&gt;&lt;wsp:rsid wsp:val=&quot;0095005A&quot;/&gt;&lt;wsp:rsid wsp:val=&quot;00950599&quot;/&gt;&lt;wsp:rsid wsp:val=&quot;009506A9&quot;/&gt;&lt;wsp:rsid wsp:val=&quot;00950EAB&quot;/&gt;&lt;wsp:rsid wsp:val=&quot;00950FEF&quot;/&gt;&lt;wsp:rsid wsp:val=&quot;0095132C&quot;/&gt;&lt;wsp:rsid wsp:val=&quot;009518BC&quot;/&gt;&lt;wsp:rsid wsp:val=&quot;00951C4E&quot;/&gt;&lt;wsp:rsid wsp:val=&quot;00952075&quot;/&gt;&lt;wsp:rsid wsp:val=&quot;0095235F&quot;/&gt;&lt;wsp:rsid wsp:val=&quot;009527CD&quot;/&gt;&lt;wsp:rsid wsp:val=&quot;009532BC&quot;/&gt;&lt;wsp:rsid wsp:val=&quot;009537BF&quot;/&gt;&lt;wsp:rsid wsp:val=&quot;009544B2&quot;/&gt;&lt;wsp:rsid wsp:val=&quot;009548CD&quot;/&gt;&lt;wsp:rsid wsp:val=&quot;0095527C&quot;/&gt;&lt;wsp:rsid wsp:val=&quot;009555AD&quot;/&gt;&lt;wsp:rsid wsp:val=&quot;009560D0&quot;/&gt;&lt;wsp:rsid wsp:val=&quot;00956B16&quot;/&gt;&lt;wsp:rsid wsp:val=&quot;00957D5D&quot;/&gt;&lt;wsp:rsid wsp:val=&quot;00960245&quot;/&gt;&lt;wsp:rsid wsp:val=&quot;00960F2F&quot;/&gt;&lt;wsp:rsid wsp:val=&quot;0096142E&quot;/&gt;&lt;wsp:rsid wsp:val=&quot;00962288&quot;/&gt;&lt;wsp:rsid wsp:val=&quot;00962651&quot;/&gt;&lt;wsp:rsid wsp:val=&quot;00962BAB&quot;/&gt;&lt;wsp:rsid wsp:val=&quot;00962E54&quot;/&gt;&lt;wsp:rsid wsp:val=&quot;00963021&quot;/&gt;&lt;wsp:rsid wsp:val=&quot;0096303F&quot;/&gt;&lt;wsp:rsid wsp:val=&quot;00963E42&quot;/&gt;&lt;wsp:rsid wsp:val=&quot;00963F3D&quot;/&gt;&lt;wsp:rsid wsp:val=&quot;009642F0&quot;/&gt;&lt;wsp:rsid wsp:val=&quot;009647F5&quot;/&gt;&lt;wsp:rsid wsp:val=&quot;0096491B&quot;/&gt;&lt;wsp:rsid wsp:val=&quot;009651CB&quot;/&gt;&lt;wsp:rsid wsp:val=&quot;009652AD&quot;/&gt;&lt;wsp:rsid wsp:val=&quot;00965F01&quot;/&gt;&lt;wsp:rsid wsp:val=&quot;00967787&quot;/&gt;&lt;wsp:rsid wsp:val=&quot;00970100&quot;/&gt;&lt;wsp:rsid wsp:val=&quot;0097091C&quot;/&gt;&lt;wsp:rsid wsp:val=&quot;009709D1&quot;/&gt;&lt;wsp:rsid wsp:val=&quot;00972499&quot;/&gt;&lt;wsp:rsid wsp:val=&quot;00972D2C&quot;/&gt;&lt;wsp:rsid wsp:val=&quot;00972D34&quot;/&gt;&lt;wsp:rsid wsp:val=&quot;00972D90&quot;/&gt;&lt;wsp:rsid wsp:val=&quot;009733DA&quot;/&gt;&lt;wsp:rsid wsp:val=&quot;009735B1&quot;/&gt;&lt;wsp:rsid wsp:val=&quot;0097365E&quot;/&gt;&lt;wsp:rsid wsp:val=&quot;00973846&quot;/&gt;&lt;wsp:rsid wsp:val=&quot;00973B1E&quot;/&gt;&lt;wsp:rsid wsp:val=&quot;0097413C&quot;/&gt;&lt;wsp:rsid wsp:val=&quot;0097442D&quot;/&gt;&lt;wsp:rsid wsp:val=&quot;00974932&quot;/&gt;&lt;wsp:rsid wsp:val=&quot;009751ED&quot;/&gt;&lt;wsp:rsid wsp:val=&quot;0097525A&quot;/&gt;&lt;wsp:rsid wsp:val=&quot;00975661&quot;/&gt;&lt;wsp:rsid wsp:val=&quot;00975AA8&quot;/&gt;&lt;wsp:rsid wsp:val=&quot;00976239&quot;/&gt;&lt;wsp:rsid wsp:val=&quot;00976597&quot;/&gt;&lt;wsp:rsid wsp:val=&quot;00976603&quot;/&gt;&lt;wsp:rsid wsp:val=&quot;00976F3B&quot;/&gt;&lt;wsp:rsid wsp:val=&quot;00976FB4&quot;/&gt;&lt;wsp:rsid wsp:val=&quot;00977664&quot;/&gt;&lt;wsp:rsid wsp:val=&quot;00977742&quot;/&gt;&lt;wsp:rsid wsp:val=&quot;00977A5D&quot;/&gt;&lt;wsp:rsid wsp:val=&quot;00977EF5&quot;/&gt;&lt;wsp:rsid wsp:val=&quot;00980A67&quot;/&gt;&lt;wsp:rsid wsp:val=&quot;00980EC4&quot;/&gt;&lt;wsp:rsid wsp:val=&quot;009812CB&quot;/&gt;&lt;wsp:rsid wsp:val=&quot;009816B5&quot;/&gt;&lt;wsp:rsid wsp:val=&quot;00981C11&quot;/&gt;&lt;wsp:rsid wsp:val=&quot;009823B8&quot;/&gt;&lt;wsp:rsid wsp:val=&quot;0098267B&quot;/&gt;&lt;wsp:rsid wsp:val=&quot;00982939&quot;/&gt;&lt;wsp:rsid wsp:val=&quot;00982A36&quot;/&gt;&lt;wsp:rsid wsp:val=&quot;00982AD9&quot;/&gt;&lt;wsp:rsid wsp:val=&quot;009831E9&quot;/&gt;&lt;wsp:rsid wsp:val=&quot;0098377F&quot;/&gt;&lt;wsp:rsid wsp:val=&quot;00983E6A&quot;/&gt;&lt;wsp:rsid wsp:val=&quot;00983EFF&quot;/&gt;&lt;wsp:rsid wsp:val=&quot;009841E7&quot;/&gt;&lt;wsp:rsid wsp:val=&quot;00984982&quot;/&gt;&lt;wsp:rsid wsp:val=&quot;00984988&quot;/&gt;&lt;wsp:rsid wsp:val=&quot;009849E9&quot;/&gt;&lt;wsp:rsid wsp:val=&quot;00985309&quot;/&gt;&lt;wsp:rsid wsp:val=&quot;0098565C&quot;/&gt;&lt;wsp:rsid wsp:val=&quot;00985AA0&quot;/&gt;&lt;wsp:rsid wsp:val=&quot;009861CA&quot;/&gt;&lt;wsp:rsid wsp:val=&quot;00986BDB&quot;/&gt;&lt;wsp:rsid wsp:val=&quot;00986E0C&quot;/&gt;&lt;wsp:rsid wsp:val=&quot;009872F2&quot;/&gt;&lt;wsp:rsid wsp:val=&quot;009873EA&quot;/&gt;&lt;wsp:rsid wsp:val=&quot;00987926&quot;/&gt;&lt;wsp:rsid wsp:val=&quot;009900E4&quot;/&gt;&lt;wsp:rsid wsp:val=&quot;00990137&quot;/&gt;&lt;wsp:rsid wsp:val=&quot;00990178&quot;/&gt;&lt;wsp:rsid wsp:val=&quot;009905DA&quot;/&gt;&lt;wsp:rsid wsp:val=&quot;00990715&quot;/&gt;&lt;wsp:rsid wsp:val=&quot;00990DD8&quot;/&gt;&lt;wsp:rsid wsp:val=&quot;00991528&quot;/&gt;&lt;wsp:rsid wsp:val=&quot;00991B7E&quot;/&gt;&lt;wsp:rsid wsp:val=&quot;00991CBB&quot;/&gt;&lt;wsp:rsid wsp:val=&quot;00991DE3&quot;/&gt;&lt;wsp:rsid wsp:val=&quot;00992096&quot;/&gt;&lt;wsp:rsid wsp:val=&quot;00993370&quot;/&gt;&lt;wsp:rsid wsp:val=&quot;00993CA9&quot;/&gt;&lt;wsp:rsid wsp:val=&quot;00995115&quot;/&gt;&lt;wsp:rsid wsp:val=&quot;00995423&quot;/&gt;&lt;wsp:rsid wsp:val=&quot;0099588C&quot;/&gt;&lt;wsp:rsid wsp:val=&quot;009962D6&quot;/&gt;&lt;wsp:rsid wsp:val=&quot;00996AEF&quot;/&gt;&lt;wsp:rsid wsp:val=&quot;00996D2D&quot;/&gt;&lt;wsp:rsid wsp:val=&quot;00997116&quot;/&gt;&lt;wsp:rsid wsp:val=&quot;009975D6&quot;/&gt;&lt;wsp:rsid wsp:val=&quot;00997800&quot;/&gt;&lt;wsp:rsid wsp:val=&quot;009A0232&quot;/&gt;&lt;wsp:rsid wsp:val=&quot;009A04F9&quot;/&gt;&lt;wsp:rsid wsp:val=&quot;009A095C&quot;/&gt;&lt;wsp:rsid wsp:val=&quot;009A0AA3&quot;/&gt;&lt;wsp:rsid wsp:val=&quot;009A0C64&quot;/&gt;&lt;wsp:rsid wsp:val=&quot;009A1A68&quot;/&gt;&lt;wsp:rsid wsp:val=&quot;009A1C98&quot;/&gt;&lt;wsp:rsid wsp:val=&quot;009A1FD5&quot;/&gt;&lt;wsp:rsid wsp:val=&quot;009A20A4&quot;/&gt;&lt;wsp:rsid wsp:val=&quot;009A25FF&quot;/&gt;&lt;wsp:rsid wsp:val=&quot;009A2836&quot;/&gt;&lt;wsp:rsid wsp:val=&quot;009A31C6&quot;/&gt;&lt;wsp:rsid wsp:val=&quot;009A31E9&quot;/&gt;&lt;wsp:rsid wsp:val=&quot;009A3203&quot;/&gt;&lt;wsp:rsid wsp:val=&quot;009A367C&quot;/&gt;&lt;wsp:rsid wsp:val=&quot;009A3823&quot;/&gt;&lt;wsp:rsid wsp:val=&quot;009A3BCF&quot;/&gt;&lt;wsp:rsid wsp:val=&quot;009A472E&quot;/&gt;&lt;wsp:rsid wsp:val=&quot;009A506C&quot;/&gt;&lt;wsp:rsid wsp:val=&quot;009A5655&quot;/&gt;&lt;wsp:rsid wsp:val=&quot;009A577C&quot;/&gt;&lt;wsp:rsid wsp:val=&quot;009A57DD&quot;/&gt;&lt;wsp:rsid wsp:val=&quot;009A586D&quot;/&gt;&lt;wsp:rsid wsp:val=&quot;009A5C08&quot;/&gt;&lt;wsp:rsid wsp:val=&quot;009A63AE&quot;/&gt;&lt;wsp:rsid wsp:val=&quot;009A711E&quot;/&gt;&lt;wsp:rsid wsp:val=&quot;009A781C&quot;/&gt;&lt;wsp:rsid wsp:val=&quot;009A7BD6&quot;/&gt;&lt;wsp:rsid wsp:val=&quot;009B0409&quot;/&gt;&lt;wsp:rsid wsp:val=&quot;009B06E3&quot;/&gt;&lt;wsp:rsid wsp:val=&quot;009B0A27&quot;/&gt;&lt;wsp:rsid wsp:val=&quot;009B0EE3&quot;/&gt;&lt;wsp:rsid wsp:val=&quot;009B1178&quot;/&gt;&lt;wsp:rsid wsp:val=&quot;009B18E9&quot;/&gt;&lt;wsp:rsid wsp:val=&quot;009B2565&quot;/&gt;&lt;wsp:rsid wsp:val=&quot;009B2C77&quot;/&gt;&lt;wsp:rsid wsp:val=&quot;009B3545&quot;/&gt;&lt;wsp:rsid wsp:val=&quot;009B42A1&quot;/&gt;&lt;wsp:rsid wsp:val=&quot;009B5125&quot;/&gt;&lt;wsp:rsid wsp:val=&quot;009B5132&quot;/&gt;&lt;wsp:rsid wsp:val=&quot;009B5B0F&quot;/&gt;&lt;wsp:rsid wsp:val=&quot;009B5CD0&quot;/&gt;&lt;wsp:rsid wsp:val=&quot;009B74B7&quot;/&gt;&lt;wsp:rsid wsp:val=&quot;009B7CA8&quot;/&gt;&lt;wsp:rsid wsp:val=&quot;009C0053&quot;/&gt;&lt;wsp:rsid wsp:val=&quot;009C0181&quot;/&gt;&lt;wsp:rsid wsp:val=&quot;009C0ECD&quot;/&gt;&lt;wsp:rsid wsp:val=&quot;009C15C2&quot;/&gt;&lt;wsp:rsid wsp:val=&quot;009C2217&quot;/&gt;&lt;wsp:rsid wsp:val=&quot;009C2ECC&quot;/&gt;&lt;wsp:rsid wsp:val=&quot;009C369F&quot;/&gt;&lt;wsp:rsid wsp:val=&quot;009C3F12&quot;/&gt;&lt;wsp:rsid wsp:val=&quot;009C42FA&quot;/&gt;&lt;wsp:rsid wsp:val=&quot;009C4A18&quot;/&gt;&lt;wsp:rsid wsp:val=&quot;009C4C3D&quot;/&gt;&lt;wsp:rsid wsp:val=&quot;009C4E2C&quot;/&gt;&lt;wsp:rsid wsp:val=&quot;009C5BD2&quot;/&gt;&lt;wsp:rsid wsp:val=&quot;009C6618&quot;/&gt;&lt;wsp:rsid wsp:val=&quot;009C661A&quot;/&gt;&lt;wsp:rsid wsp:val=&quot;009C73E0&quot;/&gt;&lt;wsp:rsid wsp:val=&quot;009D02B7&quot;/&gt;&lt;wsp:rsid wsp:val=&quot;009D0508&quot;/&gt;&lt;wsp:rsid wsp:val=&quot;009D0A84&quot;/&gt;&lt;wsp:rsid wsp:val=&quot;009D1163&quot;/&gt;&lt;wsp:rsid wsp:val=&quot;009D2233&quot;/&gt;&lt;wsp:rsid wsp:val=&quot;009D2743&quot;/&gt;&lt;wsp:rsid wsp:val=&quot;009D30F4&quot;/&gt;&lt;wsp:rsid wsp:val=&quot;009D330A&quot;/&gt;&lt;wsp:rsid wsp:val=&quot;009D34F0&quot;/&gt;&lt;wsp:rsid wsp:val=&quot;009D35E3&quot;/&gt;&lt;wsp:rsid wsp:val=&quot;009D419B&quot;/&gt;&lt;wsp:rsid wsp:val=&quot;009D41C4&quot;/&gt;&lt;wsp:rsid wsp:val=&quot;009D4DA2&quot;/&gt;&lt;wsp:rsid wsp:val=&quot;009D582B&quot;/&gt;&lt;wsp:rsid wsp:val=&quot;009D58F2&quot;/&gt;&lt;wsp:rsid wsp:val=&quot;009D5E64&quot;/&gt;&lt;wsp:rsid wsp:val=&quot;009D5E7E&quot;/&gt;&lt;wsp:rsid wsp:val=&quot;009D5F68&quot;/&gt;&lt;wsp:rsid wsp:val=&quot;009D6112&quot;/&gt;&lt;wsp:rsid wsp:val=&quot;009D6223&quot;/&gt;&lt;wsp:rsid wsp:val=&quot;009D653D&quot;/&gt;&lt;wsp:rsid wsp:val=&quot;009D73F3&quot;/&gt;&lt;wsp:rsid wsp:val=&quot;009D7EA6&quot;/&gt;&lt;wsp:rsid wsp:val=&quot;009E08CA&quot;/&gt;&lt;wsp:rsid wsp:val=&quot;009E0B6E&quot;/&gt;&lt;wsp:rsid wsp:val=&quot;009E1431&quot;/&gt;&lt;wsp:rsid wsp:val=&quot;009E197F&quot;/&gt;&lt;wsp:rsid wsp:val=&quot;009E19C3&quot;/&gt;&lt;wsp:rsid wsp:val=&quot;009E2097&quot;/&gt;&lt;wsp:rsid wsp:val=&quot;009E25A5&quot;/&gt;&lt;wsp:rsid wsp:val=&quot;009E2A76&quot;/&gt;&lt;wsp:rsid wsp:val=&quot;009E2B4D&quot;/&gt;&lt;wsp:rsid wsp:val=&quot;009E2BC1&quot;/&gt;&lt;wsp:rsid wsp:val=&quot;009E2C84&quot;/&gt;&lt;wsp:rsid wsp:val=&quot;009E2D05&quot;/&gt;&lt;wsp:rsid wsp:val=&quot;009E3079&quot;/&gt;&lt;wsp:rsid wsp:val=&quot;009E3FB9&quot;/&gt;&lt;wsp:rsid wsp:val=&quot;009E3FEE&quot;/&gt;&lt;wsp:rsid wsp:val=&quot;009E4093&quot;/&gt;&lt;wsp:rsid wsp:val=&quot;009E4131&quot;/&gt;&lt;wsp:rsid wsp:val=&quot;009E4163&quot;/&gt;&lt;wsp:rsid wsp:val=&quot;009E4813&quot;/&gt;&lt;wsp:rsid wsp:val=&quot;009E4827&quot;/&gt;&lt;wsp:rsid wsp:val=&quot;009E5A1F&quot;/&gt;&lt;wsp:rsid wsp:val=&quot;009E62C0&quot;/&gt;&lt;wsp:rsid wsp:val=&quot;009E6E51&quot;/&gt;&lt;wsp:rsid wsp:val=&quot;009E71C6&quot;/&gt;&lt;wsp:rsid wsp:val=&quot;009E764A&quot;/&gt;&lt;wsp:rsid wsp:val=&quot;009F0C00&quot;/&gt;&lt;wsp:rsid wsp:val=&quot;009F0C4A&quot;/&gt;&lt;wsp:rsid wsp:val=&quot;009F0EDC&quot;/&gt;&lt;wsp:rsid wsp:val=&quot;009F0F8E&quot;/&gt;&lt;wsp:rsid wsp:val=&quot;009F1093&quot;/&gt;&lt;wsp:rsid wsp:val=&quot;009F1822&quot;/&gt;&lt;wsp:rsid wsp:val=&quot;009F1CB4&quot;/&gt;&lt;wsp:rsid wsp:val=&quot;009F24DC&quot;/&gt;&lt;wsp:rsid wsp:val=&quot;009F2873&quot;/&gt;&lt;wsp:rsid wsp:val=&quot;009F2944&quot;/&gt;&lt;wsp:rsid wsp:val=&quot;009F2D93&quot;/&gt;&lt;wsp:rsid wsp:val=&quot;009F34EA&quot;/&gt;&lt;wsp:rsid wsp:val=&quot;009F363E&quot;/&gt;&lt;wsp:rsid wsp:val=&quot;009F4063&quot;/&gt;&lt;wsp:rsid wsp:val=&quot;009F4599&quot;/&gt;&lt;wsp:rsid wsp:val=&quot;009F4942&quot;/&gt;&lt;wsp:rsid wsp:val=&quot;009F4ACD&quot;/&gt;&lt;wsp:rsid wsp:val=&quot;009F567C&quot;/&gt;&lt;wsp:rsid wsp:val=&quot;009F62EC&quot;/&gt;&lt;wsp:rsid wsp:val=&quot;009F64AF&quot;/&gt;&lt;wsp:rsid wsp:val=&quot;009F7634&quot;/&gt;&lt;wsp:rsid wsp:val=&quot;009F7C62&quot;/&gt;&lt;wsp:rsid wsp:val=&quot;00A00FDF&quot;/&gt;&lt;wsp:rsid wsp:val=&quot;00A01107&quot;/&gt;&lt;wsp:rsid wsp:val=&quot;00A0161D&quot;/&gt;&lt;wsp:rsid wsp:val=&quot;00A01E7F&quot;/&gt;&lt;wsp:rsid wsp:val=&quot;00A0230C&quot;/&gt;&lt;wsp:rsid wsp:val=&quot;00A04B6A&quot;/&gt;&lt;wsp:rsid wsp:val=&quot;00A04B9D&quot;/&gt;&lt;wsp:rsid wsp:val=&quot;00A05279&quot;/&gt;&lt;wsp:rsid wsp:val=&quot;00A052A7&quot;/&gt;&lt;wsp:rsid wsp:val=&quot;00A0539E&quot;/&gt;&lt;wsp:rsid wsp:val=&quot;00A056A6&quot;/&gt;&lt;wsp:rsid wsp:val=&quot;00A0587D&quot;/&gt;&lt;wsp:rsid wsp:val=&quot;00A05F02&quot;/&gt;&lt;wsp:rsid wsp:val=&quot;00A06840&quot;/&gt;&lt;wsp:rsid wsp:val=&quot;00A074AE&quot;/&gt;&lt;wsp:rsid wsp:val=&quot;00A07915&quot;/&gt;&lt;wsp:rsid wsp:val=&quot;00A0797B&quot;/&gt;&lt;wsp:rsid wsp:val=&quot;00A07D66&quot;/&gt;&lt;wsp:rsid wsp:val=&quot;00A10799&quot;/&gt;&lt;wsp:rsid wsp:val=&quot;00A10937&quot;/&gt;&lt;wsp:rsid wsp:val=&quot;00A10B2A&quot;/&gt;&lt;wsp:rsid wsp:val=&quot;00A11CAE&quot;/&gt;&lt;wsp:rsid wsp:val=&quot;00A12065&quot;/&gt;&lt;wsp:rsid wsp:val=&quot;00A12793&quot;/&gt;&lt;wsp:rsid wsp:val=&quot;00A127C7&quot;/&gt;&lt;wsp:rsid wsp:val=&quot;00A13C94&quot;/&gt;&lt;wsp:rsid wsp:val=&quot;00A14079&quot;/&gt;&lt;wsp:rsid wsp:val=&quot;00A14229&quot;/&gt;&lt;wsp:rsid wsp:val=&quot;00A146E2&quot;/&gt;&lt;wsp:rsid wsp:val=&quot;00A14C9B&quot;/&gt;&lt;wsp:rsid wsp:val=&quot;00A153F0&quot;/&gt;&lt;wsp:rsid wsp:val=&quot;00A15748&quot;/&gt;&lt;wsp:rsid wsp:val=&quot;00A16195&quot;/&gt;&lt;wsp:rsid wsp:val=&quot;00A16206&quot;/&gt;&lt;wsp:rsid wsp:val=&quot;00A16D6B&quot;/&gt;&lt;wsp:rsid wsp:val=&quot;00A17385&quot;/&gt;&lt;wsp:rsid wsp:val=&quot;00A17EAE&quot;/&gt;&lt;wsp:rsid wsp:val=&quot;00A206A3&quot;/&gt;&lt;wsp:rsid wsp:val=&quot;00A206B4&quot;/&gt;&lt;wsp:rsid wsp:val=&quot;00A20A5F&quot;/&gt;&lt;wsp:rsid wsp:val=&quot;00A2103E&quot;/&gt;&lt;wsp:rsid wsp:val=&quot;00A21579&quot;/&gt;&lt;wsp:rsid wsp:val=&quot;00A218E3&quot;/&gt;&lt;wsp:rsid wsp:val=&quot;00A2251B&quot;/&gt;&lt;wsp:rsid wsp:val=&quot;00A2278D&quot;/&gt;&lt;wsp:rsid wsp:val=&quot;00A227EC&quot;/&gt;&lt;wsp:rsid wsp:val=&quot;00A22A9D&quot;/&gt;&lt;wsp:rsid wsp:val=&quot;00A22CAD&quot;/&gt;&lt;wsp:rsid wsp:val=&quot;00A22CFB&quot;/&gt;&lt;wsp:rsid wsp:val=&quot;00A230A6&quot;/&gt;&lt;wsp:rsid wsp:val=&quot;00A24EB5&quot;/&gt;&lt;wsp:rsid wsp:val=&quot;00A250E8&quot;/&gt;&lt;wsp:rsid wsp:val=&quot;00A25506&quot;/&gt;&lt;wsp:rsid wsp:val=&quot;00A2685F&quot;/&gt;&lt;wsp:rsid wsp:val=&quot;00A2686B&quot;/&gt;&lt;wsp:rsid wsp:val=&quot;00A26FA0&quot;/&gt;&lt;wsp:rsid wsp:val=&quot;00A27246&quot;/&gt;&lt;wsp:rsid wsp:val=&quot;00A27C88&quot;/&gt;&lt;wsp:rsid wsp:val=&quot;00A301A0&quot;/&gt;&lt;wsp:rsid wsp:val=&quot;00A30845&quot;/&gt;&lt;wsp:rsid wsp:val=&quot;00A30C41&quot;/&gt;&lt;wsp:rsid wsp:val=&quot;00A30E99&quot;/&gt;&lt;wsp:rsid wsp:val=&quot;00A31689&quot;/&gt;&lt;wsp:rsid wsp:val=&quot;00A3177A&quot;/&gt;&lt;wsp:rsid wsp:val=&quot;00A32233&quot;/&gt;&lt;wsp:rsid wsp:val=&quot;00A3266E&quot;/&gt;&lt;wsp:rsid wsp:val=&quot;00A327C1&quot;/&gt;&lt;wsp:rsid wsp:val=&quot;00A32BDB&quot;/&gt;&lt;wsp:rsid wsp:val=&quot;00A32EDD&quot;/&gt;&lt;wsp:rsid wsp:val=&quot;00A32F29&quot;/&gt;&lt;wsp:rsid wsp:val=&quot;00A32FC8&quot;/&gt;&lt;wsp:rsid wsp:val=&quot;00A33DE9&quot;/&gt;&lt;wsp:rsid wsp:val=&quot;00A33FCA&quot;/&gt;&lt;wsp:rsid wsp:val=&quot;00A34E55&quot;/&gt;&lt;wsp:rsid wsp:val=&quot;00A350E6&quot;/&gt;&lt;wsp:rsid wsp:val=&quot;00A351BE&quot;/&gt;&lt;wsp:rsid wsp:val=&quot;00A3543C&quot;/&gt;&lt;wsp:rsid wsp:val=&quot;00A356FC&quot;/&gt;&lt;wsp:rsid wsp:val=&quot;00A3599E&quot;/&gt;&lt;wsp:rsid wsp:val=&quot;00A35DA0&quot;/&gt;&lt;wsp:rsid wsp:val=&quot;00A36085&quot;/&gt;&lt;wsp:rsid wsp:val=&quot;00A362E8&quot;/&gt;&lt;wsp:rsid wsp:val=&quot;00A370C3&quot;/&gt;&lt;wsp:rsid wsp:val=&quot;00A37625&quot;/&gt;&lt;wsp:rsid wsp:val=&quot;00A378CA&quot;/&gt;&lt;wsp:rsid wsp:val=&quot;00A37FA2&quot;/&gt;&lt;wsp:rsid wsp:val=&quot;00A4088D&quot;/&gt;&lt;wsp:rsid wsp:val=&quot;00A40A37&quot;/&gt;&lt;wsp:rsid wsp:val=&quot;00A40B75&quot;/&gt;&lt;wsp:rsid wsp:val=&quot;00A424AB&quot;/&gt;&lt;wsp:rsid wsp:val=&quot;00A42538&quot;/&gt;&lt;wsp:rsid wsp:val=&quot;00A42CC6&quot;/&gt;&lt;wsp:rsid wsp:val=&quot;00A433AA&quot;/&gt;&lt;wsp:rsid wsp:val=&quot;00A43773&quot;/&gt;&lt;wsp:rsid wsp:val=&quot;00A44050&quot;/&gt;&lt;wsp:rsid wsp:val=&quot;00A4457A&quot;/&gt;&lt;wsp:rsid wsp:val=&quot;00A44584&quot;/&gt;&lt;wsp:rsid wsp:val=&quot;00A447A1&quot;/&gt;&lt;wsp:rsid wsp:val=&quot;00A44AE5&quot;/&gt;&lt;wsp:rsid wsp:val=&quot;00A45E04&quot;/&gt;&lt;wsp:rsid wsp:val=&quot;00A461AC&quot;/&gt;&lt;wsp:rsid wsp:val=&quot;00A4698B&quot;/&gt;&lt;wsp:rsid wsp:val=&quot;00A46C90&quot;/&gt;&lt;wsp:rsid wsp:val=&quot;00A46DDC&quot;/&gt;&lt;wsp:rsid wsp:val=&quot;00A47A52&quot;/&gt;&lt;wsp:rsid wsp:val=&quot;00A47DA8&quot;/&gt;&lt;wsp:rsid wsp:val=&quot;00A5109E&quot;/&gt;&lt;wsp:rsid wsp:val=&quot;00A51AEC&quot;/&gt;&lt;wsp:rsid wsp:val=&quot;00A51C39&quot;/&gt;&lt;wsp:rsid wsp:val=&quot;00A51CDF&quot;/&gt;&lt;wsp:rsid wsp:val=&quot;00A52ACF&quot;/&gt;&lt;wsp:rsid wsp:val=&quot;00A52CA5&quot;/&gt;&lt;wsp:rsid wsp:val=&quot;00A52EF7&quot;/&gt;&lt;wsp:rsid wsp:val=&quot;00A530EE&quot;/&gt;&lt;wsp:rsid wsp:val=&quot;00A53AED&quot;/&gt;&lt;wsp:rsid wsp:val=&quot;00A53B5C&quot;/&gt;&lt;wsp:rsid wsp:val=&quot;00A53C3F&quot;/&gt;&lt;wsp:rsid wsp:val=&quot;00A53C90&quot;/&gt;&lt;wsp:rsid wsp:val=&quot;00A53C91&quot;/&gt;&lt;wsp:rsid wsp:val=&quot;00A543F1&quot;/&gt;&lt;wsp:rsid wsp:val=&quot;00A544D2&quot;/&gt;&lt;wsp:rsid wsp:val=&quot;00A548A9&quot;/&gt;&lt;wsp:rsid wsp:val=&quot;00A54AD6&quot;/&gt;&lt;wsp:rsid wsp:val=&quot;00A54C67&quot;/&gt;&lt;wsp:rsid wsp:val=&quot;00A55096&quot;/&gt;&lt;wsp:rsid wsp:val=&quot;00A551EF&quot;/&gt;&lt;wsp:rsid wsp:val=&quot;00A556A6&quot;/&gt;&lt;wsp:rsid wsp:val=&quot;00A556AD&quot;/&gt;&lt;wsp:rsid wsp:val=&quot;00A55DB8&quot;/&gt;&lt;wsp:rsid wsp:val=&quot;00A5612F&quot;/&gt;&lt;wsp:rsid wsp:val=&quot;00A56A19&quot;/&gt;&lt;wsp:rsid wsp:val=&quot;00A56EC5&quot;/&gt;&lt;wsp:rsid wsp:val=&quot;00A57792&quot;/&gt;&lt;wsp:rsid wsp:val=&quot;00A57A3B&quot;/&gt;&lt;wsp:rsid wsp:val=&quot;00A57E5F&quot;/&gt;&lt;wsp:rsid wsp:val=&quot;00A603DF&quot;/&gt;&lt;wsp:rsid wsp:val=&quot;00A607AA&quot;/&gt;&lt;wsp:rsid wsp:val=&quot;00A60C87&quot;/&gt;&lt;wsp:rsid wsp:val=&quot;00A610BF&quot;/&gt;&lt;wsp:rsid wsp:val=&quot;00A610D2&quot;/&gt;&lt;wsp:rsid wsp:val=&quot;00A611F0&quot;/&gt;&lt;wsp:rsid wsp:val=&quot;00A611F3&quot;/&gt;&lt;wsp:rsid wsp:val=&quot;00A61D2C&quot;/&gt;&lt;wsp:rsid wsp:val=&quot;00A62015&quot;/&gt;&lt;wsp:rsid wsp:val=&quot;00A622F5&quot;/&gt;&lt;wsp:rsid wsp:val=&quot;00A62374&quot;/&gt;&lt;wsp:rsid wsp:val=&quot;00A623FA&quot;/&gt;&lt;wsp:rsid wsp:val=&quot;00A62611&quot;/&gt;&lt;wsp:rsid wsp:val=&quot;00A62652&quot;/&gt;&lt;wsp:rsid wsp:val=&quot;00A62835&quot;/&gt;&lt;wsp:rsid wsp:val=&quot;00A63415&quot;/&gt;&lt;wsp:rsid wsp:val=&quot;00A63503&quot;/&gt;&lt;wsp:rsid wsp:val=&quot;00A635DC&quot;/&gt;&lt;wsp:rsid wsp:val=&quot;00A63AE5&quot;/&gt;&lt;wsp:rsid wsp:val=&quot;00A63C2A&quot;/&gt;&lt;wsp:rsid wsp:val=&quot;00A63CC8&quot;/&gt;&lt;wsp:rsid wsp:val=&quot;00A6537F&quot;/&gt;&lt;wsp:rsid wsp:val=&quot;00A6552A&quot;/&gt;&lt;wsp:rsid wsp:val=&quot;00A655FD&quot;/&gt;&lt;wsp:rsid wsp:val=&quot;00A65722&quot;/&gt;&lt;wsp:rsid wsp:val=&quot;00A66582&quot;/&gt;&lt;wsp:rsid wsp:val=&quot;00A669B3&quot;/&gt;&lt;wsp:rsid wsp:val=&quot;00A66E32&quot;/&gt;&lt;wsp:rsid wsp:val=&quot;00A672FE&quot;/&gt;&lt;wsp:rsid wsp:val=&quot;00A67372&quot;/&gt;&lt;wsp:rsid wsp:val=&quot;00A67759&quot;/&gt;&lt;wsp:rsid wsp:val=&quot;00A677E5&quot;/&gt;&lt;wsp:rsid wsp:val=&quot;00A6784F&quot;/&gt;&lt;wsp:rsid wsp:val=&quot;00A709BF&quot;/&gt;&lt;wsp:rsid wsp:val=&quot;00A71092&quot;/&gt;&lt;wsp:rsid wsp:val=&quot;00A71167&quot;/&gt;&lt;wsp:rsid wsp:val=&quot;00A7131D&quot;/&gt;&lt;wsp:rsid wsp:val=&quot;00A71320&quot;/&gt;&lt;wsp:rsid wsp:val=&quot;00A7178B&quot;/&gt;&lt;wsp:rsid wsp:val=&quot;00A71F04&quot;/&gt;&lt;wsp:rsid wsp:val=&quot;00A72686&quot;/&gt;&lt;wsp:rsid wsp:val=&quot;00A7291A&quot;/&gt;&lt;wsp:rsid wsp:val=&quot;00A72EEC&quot;/&gt;&lt;wsp:rsid wsp:val=&quot;00A735C9&quot;/&gt;&lt;wsp:rsid wsp:val=&quot;00A7517C&quot;/&gt;&lt;wsp:rsid wsp:val=&quot;00A75649&quot;/&gt;&lt;wsp:rsid wsp:val=&quot;00A7575D&quot;/&gt;&lt;wsp:rsid wsp:val=&quot;00A75838&quot;/&gt;&lt;wsp:rsid wsp:val=&quot;00A75D46&quot;/&gt;&lt;wsp:rsid wsp:val=&quot;00A75F3C&quot;/&gt;&lt;wsp:rsid wsp:val=&quot;00A7675C&quot;/&gt;&lt;wsp:rsid wsp:val=&quot;00A77762&quot;/&gt;&lt;wsp:rsid wsp:val=&quot;00A77BB6&quot;/&gt;&lt;wsp:rsid wsp:val=&quot;00A8034A&quot;/&gt;&lt;wsp:rsid wsp:val=&quot;00A80846&quot;/&gt;&lt;wsp:rsid wsp:val=&quot;00A80889&quot;/&gt;&lt;wsp:rsid wsp:val=&quot;00A8145B&quot;/&gt;&lt;wsp:rsid wsp:val=&quot;00A81DE3&quot;/&gt;&lt;wsp:rsid wsp:val=&quot;00A81EB8&quot;/&gt;&lt;wsp:rsid wsp:val=&quot;00A8207D&quot;/&gt;&lt;wsp:rsid wsp:val=&quot;00A82408&quot;/&gt;&lt;wsp:rsid wsp:val=&quot;00A82649&quot;/&gt;&lt;wsp:rsid wsp:val=&quot;00A82E06&quot;/&gt;&lt;wsp:rsid wsp:val=&quot;00A82E87&quot;/&gt;&lt;wsp:rsid wsp:val=&quot;00A83BBD&quot;/&gt;&lt;wsp:rsid wsp:val=&quot;00A84240&quot;/&gt;&lt;wsp:rsid wsp:val=&quot;00A84730&quot;/&gt;&lt;wsp:rsid wsp:val=&quot;00A8566B&quot;/&gt;&lt;wsp:rsid wsp:val=&quot;00A856D6&quot;/&gt;&lt;wsp:rsid wsp:val=&quot;00A860F7&quot;/&gt;&lt;wsp:rsid wsp:val=&quot;00A865C9&quot;/&gt;&lt;wsp:rsid wsp:val=&quot;00A86DB7&quot;/&gt;&lt;wsp:rsid wsp:val=&quot;00A87186&quot;/&gt;&lt;wsp:rsid wsp:val=&quot;00A87FDE&quot;/&gt;&lt;wsp:rsid wsp:val=&quot;00A90286&quot;/&gt;&lt;wsp:rsid wsp:val=&quot;00A906C6&quot;/&gt;&lt;wsp:rsid wsp:val=&quot;00A912C0&quot;/&gt;&lt;wsp:rsid wsp:val=&quot;00A913D0&quot;/&gt;&lt;wsp:rsid wsp:val=&quot;00A91E57&quot;/&gt;&lt;wsp:rsid wsp:val=&quot;00A92023&quot;/&gt;&lt;wsp:rsid wsp:val=&quot;00A92353&quot;/&gt;&lt;wsp:rsid wsp:val=&quot;00A92822&quot;/&gt;&lt;wsp:rsid wsp:val=&quot;00A92C52&quot;/&gt;&lt;wsp:rsid wsp:val=&quot;00A9314A&quot;/&gt;&lt;wsp:rsid wsp:val=&quot;00A9480D&quot;/&gt;&lt;wsp:rsid wsp:val=&quot;00A94B38&quot;/&gt;&lt;wsp:rsid wsp:val=&quot;00A95029&quot;/&gt;&lt;wsp:rsid wsp:val=&quot;00A9535D&quot;/&gt;&lt;wsp:rsid wsp:val=&quot;00A955DF&quot;/&gt;&lt;wsp:rsid wsp:val=&quot;00A957CB&quot;/&gt;&lt;wsp:rsid wsp:val=&quot;00A95EF7&quot;/&gt;&lt;wsp:rsid wsp:val=&quot;00A965F2&quot;/&gt;&lt;wsp:rsid wsp:val=&quot;00A96638&quot;/&gt;&lt;wsp:rsid wsp:val=&quot;00A9689B&quot;/&gt;&lt;wsp:rsid wsp:val=&quot;00A969C9&quot;/&gt;&lt;wsp:rsid wsp:val=&quot;00A96EFF&quot;/&gt;&lt;wsp:rsid wsp:val=&quot;00A97442&quot;/&gt;&lt;wsp:rsid wsp:val=&quot;00A9788C&quot;/&gt;&lt;wsp:rsid wsp:val=&quot;00A97E5E&quot;/&gt;&lt;wsp:rsid wsp:val=&quot;00AA0B5A&quot;/&gt;&lt;wsp:rsid wsp:val=&quot;00AA0C29&quot;/&gt;&lt;wsp:rsid wsp:val=&quot;00AA111C&quot;/&gt;&lt;wsp:rsid wsp:val=&quot;00AA11F3&quot;/&gt;&lt;wsp:rsid wsp:val=&quot;00AA1993&quot;/&gt;&lt;wsp:rsid wsp:val=&quot;00AA2021&quot;/&gt;&lt;wsp:rsid wsp:val=&quot;00AA21BA&quot;/&gt;&lt;wsp:rsid wsp:val=&quot;00AA22B1&quot;/&gt;&lt;wsp:rsid wsp:val=&quot;00AA2300&quot;/&gt;&lt;wsp:rsid wsp:val=&quot;00AA2D16&quot;/&gt;&lt;wsp:rsid wsp:val=&quot;00AA2DBF&quot;/&gt;&lt;wsp:rsid wsp:val=&quot;00AA3060&quot;/&gt;&lt;wsp:rsid wsp:val=&quot;00AA3826&quot;/&gt;&lt;wsp:rsid wsp:val=&quot;00AA383D&quot;/&gt;&lt;wsp:rsid wsp:val=&quot;00AA392C&quot;/&gt;&lt;wsp:rsid wsp:val=&quot;00AA3E54&quot;/&gt;&lt;wsp:rsid wsp:val=&quot;00AA466C&quot;/&gt;&lt;wsp:rsid wsp:val=&quot;00AA471B&quot;/&gt;&lt;wsp:rsid wsp:val=&quot;00AA4788&quot;/&gt;&lt;wsp:rsid wsp:val=&quot;00AA4D8F&quot;/&gt;&lt;wsp:rsid wsp:val=&quot;00AA4E26&quot;/&gt;&lt;wsp:rsid wsp:val=&quot;00AA627B&quot;/&gt;&lt;wsp:rsid wsp:val=&quot;00AA6AE8&quot;/&gt;&lt;wsp:rsid wsp:val=&quot;00AA6B9B&quot;/&gt;&lt;wsp:rsid wsp:val=&quot;00AA7874&quot;/&gt;&lt;wsp:rsid wsp:val=&quot;00AA7CC3&quot;/&gt;&lt;wsp:rsid wsp:val=&quot;00AB03A3&quot;/&gt;&lt;wsp:rsid wsp:val=&quot;00AB04A8&quot;/&gt;&lt;wsp:rsid wsp:val=&quot;00AB0626&quot;/&gt;&lt;wsp:rsid wsp:val=&quot;00AB0AA6&quot;/&gt;&lt;wsp:rsid wsp:val=&quot;00AB0AE1&quot;/&gt;&lt;wsp:rsid wsp:val=&quot;00AB0B08&quot;/&gt;&lt;wsp:rsid wsp:val=&quot;00AB0E89&quot;/&gt;&lt;wsp:rsid wsp:val=&quot;00AB1424&quot;/&gt;&lt;wsp:rsid wsp:val=&quot;00AB189A&quot;/&gt;&lt;wsp:rsid wsp:val=&quot;00AB1BD7&quot;/&gt;&lt;wsp:rsid wsp:val=&quot;00AB1D8F&quot;/&gt;&lt;wsp:rsid wsp:val=&quot;00AB2AF6&quot;/&gt;&lt;wsp:rsid wsp:val=&quot;00AB34D4&quot;/&gt;&lt;wsp:rsid wsp:val=&quot;00AB36FA&quot;/&gt;&lt;wsp:rsid wsp:val=&quot;00AB3A02&quot;/&gt;&lt;wsp:rsid wsp:val=&quot;00AB3DF3&quot;/&gt;&lt;wsp:rsid wsp:val=&quot;00AB3EE0&quot;/&gt;&lt;wsp:rsid wsp:val=&quot;00AB3F14&quot;/&gt;&lt;wsp:rsid wsp:val=&quot;00AB40E4&quot;/&gt;&lt;wsp:rsid wsp:val=&quot;00AB4416&quot;/&gt;&lt;wsp:rsid wsp:val=&quot;00AB4914&quot;/&gt;&lt;wsp:rsid wsp:val=&quot;00AB4A82&quot;/&gt;&lt;wsp:rsid wsp:val=&quot;00AB509D&quot;/&gt;&lt;wsp:rsid wsp:val=&quot;00AB5286&quot;/&gt;&lt;wsp:rsid wsp:val=&quot;00AB541C&quot;/&gt;&lt;wsp:rsid wsp:val=&quot;00AB567E&quot;/&gt;&lt;wsp:rsid wsp:val=&quot;00AB56A3&quot;/&gt;&lt;wsp:rsid wsp:val=&quot;00AB69D1&quot;/&gt;&lt;wsp:rsid wsp:val=&quot;00AB6A1E&quot;/&gt;&lt;wsp:rsid wsp:val=&quot;00AB6D52&quot;/&gt;&lt;wsp:rsid wsp:val=&quot;00AB6E87&quot;/&gt;&lt;wsp:rsid wsp:val=&quot;00AB7A0F&quot;/&gt;&lt;wsp:rsid wsp:val=&quot;00AB7B8A&quot;/&gt;&lt;wsp:rsid wsp:val=&quot;00AB7F12&quot;/&gt;&lt;wsp:rsid wsp:val=&quot;00AB7FD0&quot;/&gt;&lt;wsp:rsid wsp:val=&quot;00AC034E&quot;/&gt;&lt;wsp:rsid wsp:val=&quot;00AC0E84&quot;/&gt;&lt;wsp:rsid wsp:val=&quot;00AC0FB4&quot;/&gt;&lt;wsp:rsid wsp:val=&quot;00AC1098&quot;/&gt;&lt;wsp:rsid wsp:val=&quot;00AC1296&quot;/&gt;&lt;wsp:rsid wsp:val=&quot;00AC16B2&quot;/&gt;&lt;wsp:rsid wsp:val=&quot;00AC175B&quot;/&gt;&lt;wsp:rsid wsp:val=&quot;00AC1928&quot;/&gt;&lt;wsp:rsid wsp:val=&quot;00AC2056&quot;/&gt;&lt;wsp:rsid wsp:val=&quot;00AC21A7&quot;/&gt;&lt;wsp:rsid wsp:val=&quot;00AC21BF&quot;/&gt;&lt;wsp:rsid wsp:val=&quot;00AC230B&quot;/&gt;&lt;wsp:rsid wsp:val=&quot;00AC320A&quot;/&gt;&lt;wsp:rsid wsp:val=&quot;00AC33E1&quot;/&gt;&lt;wsp:rsid wsp:val=&quot;00AC3435&quot;/&gt;&lt;wsp:rsid wsp:val=&quot;00AC3479&quot;/&gt;&lt;wsp:rsid wsp:val=&quot;00AC36AB&quot;/&gt;&lt;wsp:rsid wsp:val=&quot;00AC36EC&quot;/&gt;&lt;wsp:rsid wsp:val=&quot;00AC3911&quot;/&gt;&lt;wsp:rsid wsp:val=&quot;00AC3A7F&quot;/&gt;&lt;wsp:rsid wsp:val=&quot;00AC3E57&quot;/&gt;&lt;wsp:rsid wsp:val=&quot;00AC4001&quot;/&gt;&lt;wsp:rsid wsp:val=&quot;00AC40D0&quot;/&gt;&lt;wsp:rsid wsp:val=&quot;00AC466F&quot;/&gt;&lt;wsp:rsid wsp:val=&quot;00AC4A56&quot;/&gt;&lt;wsp:rsid wsp:val=&quot;00AC4B16&quot;/&gt;&lt;wsp:rsid wsp:val=&quot;00AC5022&quot;/&gt;&lt;wsp:rsid wsp:val=&quot;00AC5143&quot;/&gt;&lt;wsp:rsid wsp:val=&quot;00AC54F6&quot;/&gt;&lt;wsp:rsid wsp:val=&quot;00AC66F2&quot;/&gt;&lt;wsp:rsid wsp:val=&quot;00AC683D&quot;/&gt;&lt;wsp:rsid wsp:val=&quot;00AC6841&quot;/&gt;&lt;wsp:rsid wsp:val=&quot;00AC6B20&quot;/&gt;&lt;wsp:rsid wsp:val=&quot;00AC6BA4&quot;/&gt;&lt;wsp:rsid wsp:val=&quot;00AC6C5B&quot;/&gt;&lt;wsp:rsid wsp:val=&quot;00AC6C5C&quot;/&gt;&lt;wsp:rsid wsp:val=&quot;00AC7324&quot;/&gt;&lt;wsp:rsid wsp:val=&quot;00AC7C2A&quot;/&gt;&lt;wsp:rsid wsp:val=&quot;00AD0509&quot;/&gt;&lt;wsp:rsid wsp:val=&quot;00AD08A3&quot;/&gt;&lt;wsp:rsid wsp:val=&quot;00AD0C6F&quot;/&gt;&lt;wsp:rsid wsp:val=&quot;00AD0E6D&quot;/&gt;&lt;wsp:rsid wsp:val=&quot;00AD1D70&quot;/&gt;&lt;wsp:rsid wsp:val=&quot;00AD1ED6&quot;/&gt;&lt;wsp:rsid wsp:val=&quot;00AD2158&quot;/&gt;&lt;wsp:rsid wsp:val=&quot;00AD2494&quot;/&gt;&lt;wsp:rsid wsp:val=&quot;00AD2C1B&quot;/&gt;&lt;wsp:rsid wsp:val=&quot;00AD2D00&quot;/&gt;&lt;wsp:rsid wsp:val=&quot;00AD2F3C&quot;/&gt;&lt;wsp:rsid wsp:val=&quot;00AD30D9&quot;/&gt;&lt;wsp:rsid wsp:val=&quot;00AD3BDD&quot;/&gt;&lt;wsp:rsid wsp:val=&quot;00AD4987&quot;/&gt;&lt;wsp:rsid wsp:val=&quot;00AD4F18&quot;/&gt;&lt;wsp:rsid wsp:val=&quot;00AD532E&quot;/&gt;&lt;wsp:rsid wsp:val=&quot;00AD5574&quot;/&gt;&lt;wsp:rsid wsp:val=&quot;00AD5F2A&quot;/&gt;&lt;wsp:rsid wsp:val=&quot;00AD60BB&quot;/&gt;&lt;wsp:rsid wsp:val=&quot;00AD6123&quot;/&gt;&lt;wsp:rsid wsp:val=&quot;00AE0557&quot;/&gt;&lt;wsp:rsid wsp:val=&quot;00AE0B29&quot;/&gt;&lt;wsp:rsid wsp:val=&quot;00AE0B9B&quot;/&gt;&lt;wsp:rsid wsp:val=&quot;00AE0E47&quot;/&gt;&lt;wsp:rsid wsp:val=&quot;00AE0EED&quot;/&gt;&lt;wsp:rsid wsp:val=&quot;00AE11CA&quot;/&gt;&lt;wsp:rsid wsp:val=&quot;00AE17FB&quot;/&gt;&lt;wsp:rsid wsp:val=&quot;00AE1BD7&quot;/&gt;&lt;wsp:rsid wsp:val=&quot;00AE1FF4&quot;/&gt;&lt;wsp:rsid wsp:val=&quot;00AE222B&quot;/&gt;&lt;wsp:rsid wsp:val=&quot;00AE26F2&quot;/&gt;&lt;wsp:rsid wsp:val=&quot;00AE2F6A&quot;/&gt;&lt;wsp:rsid wsp:val=&quot;00AE32B0&quot;/&gt;&lt;wsp:rsid wsp:val=&quot;00AE36C1&quot;/&gt;&lt;wsp:rsid wsp:val=&quot;00AE3A8E&quot;/&gt;&lt;wsp:rsid wsp:val=&quot;00AE3C03&quot;/&gt;&lt;wsp:rsid wsp:val=&quot;00AE3CA4&quot;/&gt;&lt;wsp:rsid wsp:val=&quot;00AE3EB9&quot;/&gt;&lt;wsp:rsid wsp:val=&quot;00AE4590&quot;/&gt;&lt;wsp:rsid wsp:val=&quot;00AE46E5&quot;/&gt;&lt;wsp:rsid wsp:val=&quot;00AE4E83&quot;/&gt;&lt;wsp:rsid wsp:val=&quot;00AE5175&quot;/&gt;&lt;wsp:rsid wsp:val=&quot;00AE524C&quot;/&gt;&lt;wsp:rsid wsp:val=&quot;00AE5404&quot;/&gt;&lt;wsp:rsid wsp:val=&quot;00AE602B&quot;/&gt;&lt;wsp:rsid wsp:val=&quot;00AE7592&quot;/&gt;&lt;wsp:rsid wsp:val=&quot;00AE7D9A&quot;/&gt;&lt;wsp:rsid wsp:val=&quot;00AE7DAD&quot;/&gt;&lt;wsp:rsid wsp:val=&quot;00AE7DCF&quot;/&gt;&lt;wsp:rsid wsp:val=&quot;00AE7E23&quot;/&gt;&lt;wsp:rsid wsp:val=&quot;00AE7F29&quot;/&gt;&lt;wsp:rsid wsp:val=&quot;00AF04FE&quot;/&gt;&lt;wsp:rsid wsp:val=&quot;00AF080A&quot;/&gt;&lt;wsp:rsid wsp:val=&quot;00AF09FC&quot;/&gt;&lt;wsp:rsid wsp:val=&quot;00AF0A43&quot;/&gt;&lt;wsp:rsid wsp:val=&quot;00AF0E70&quot;/&gt;&lt;wsp:rsid wsp:val=&quot;00AF0F10&quot;/&gt;&lt;wsp:rsid wsp:val=&quot;00AF1249&quot;/&gt;&lt;wsp:rsid wsp:val=&quot;00AF167F&quot;/&gt;&lt;wsp:rsid wsp:val=&quot;00AF16F5&quot;/&gt;&lt;wsp:rsid wsp:val=&quot;00AF18B7&quot;/&gt;&lt;wsp:rsid wsp:val=&quot;00AF1D35&quot;/&gt;&lt;wsp:rsid wsp:val=&quot;00AF1E8F&quot;/&gt;&lt;wsp:rsid wsp:val=&quot;00AF1EE5&quot;/&gt;&lt;wsp:rsid wsp:val=&quot;00AF24A3&quot;/&gt;&lt;wsp:rsid wsp:val=&quot;00AF26D9&quot;/&gt;&lt;wsp:rsid wsp:val=&quot;00AF26F7&quot;/&gt;&lt;wsp:rsid wsp:val=&quot;00AF2FBD&quot;/&gt;&lt;wsp:rsid wsp:val=&quot;00AF330A&quot;/&gt;&lt;wsp:rsid wsp:val=&quot;00AF347F&quot;/&gt;&lt;wsp:rsid wsp:val=&quot;00AF35FB&quot;/&gt;&lt;wsp:rsid wsp:val=&quot;00AF391E&quot;/&gt;&lt;wsp:rsid wsp:val=&quot;00AF3E6B&quot;/&gt;&lt;wsp:rsid wsp:val=&quot;00AF3F63&quot;/&gt;&lt;wsp:rsid wsp:val=&quot;00AF3FFB&quot;/&gt;&lt;wsp:rsid wsp:val=&quot;00AF4507&quot;/&gt;&lt;wsp:rsid wsp:val=&quot;00AF453B&quot;/&gt;&lt;wsp:rsid wsp:val=&quot;00AF5859&quot;/&gt;&lt;wsp:rsid wsp:val=&quot;00AF5B41&quot;/&gt;&lt;wsp:rsid wsp:val=&quot;00AF63C0&quot;/&gt;&lt;wsp:rsid wsp:val=&quot;00AF68EB&quot;/&gt;&lt;wsp:rsid wsp:val=&quot;00AF732B&quot;/&gt;&lt;wsp:rsid wsp:val=&quot;00AF749A&quot;/&gt;&lt;wsp:rsid wsp:val=&quot;00AF7ED5&quot;/&gt;&lt;wsp:rsid wsp:val=&quot;00B000A3&quot;/&gt;&lt;wsp:rsid wsp:val=&quot;00B00341&quot;/&gt;&lt;wsp:rsid wsp:val=&quot;00B00644&quot;/&gt;&lt;wsp:rsid wsp:val=&quot;00B00680&quot;/&gt;&lt;wsp:rsid wsp:val=&quot;00B00E0F&quot;/&gt;&lt;wsp:rsid wsp:val=&quot;00B01791&quot;/&gt;&lt;wsp:rsid wsp:val=&quot;00B01851&quot;/&gt;&lt;wsp:rsid wsp:val=&quot;00B025DB&quot;/&gt;&lt;wsp:rsid wsp:val=&quot;00B02A43&quot;/&gt;&lt;wsp:rsid wsp:val=&quot;00B02C15&quot;/&gt;&lt;wsp:rsid wsp:val=&quot;00B03367&quot;/&gt;&lt;wsp:rsid wsp:val=&quot;00B037AB&quot;/&gt;&lt;wsp:rsid wsp:val=&quot;00B038D6&quot;/&gt;&lt;wsp:rsid wsp:val=&quot;00B0410F&quot;/&gt;&lt;wsp:rsid wsp:val=&quot;00B042E0&quot;/&gt;&lt;wsp:rsid wsp:val=&quot;00B04331&quot;/&gt;&lt;wsp:rsid wsp:val=&quot;00B04826&quot;/&gt;&lt;wsp:rsid wsp:val=&quot;00B0482D&quot;/&gt;&lt;wsp:rsid wsp:val=&quot;00B04E26&quot;/&gt;&lt;wsp:rsid wsp:val=&quot;00B05326&quot;/&gt;&lt;wsp:rsid wsp:val=&quot;00B05C3C&quot;/&gt;&lt;wsp:rsid wsp:val=&quot;00B0632D&quot;/&gt;&lt;wsp:rsid wsp:val=&quot;00B06456&quot;/&gt;&lt;wsp:rsid wsp:val=&quot;00B06ECC&quot;/&gt;&lt;wsp:rsid wsp:val=&quot;00B07562&quot;/&gt;&lt;wsp:rsid wsp:val=&quot;00B07A28&quot;/&gt;&lt;wsp:rsid wsp:val=&quot;00B07C76&quot;/&gt;&lt;wsp:rsid wsp:val=&quot;00B1003F&quot;/&gt;&lt;wsp:rsid wsp:val=&quot;00B1034C&quot;/&gt;&lt;wsp:rsid wsp:val=&quot;00B10350&quot;/&gt;&lt;wsp:rsid wsp:val=&quot;00B105DF&quot;/&gt;&lt;wsp:rsid wsp:val=&quot;00B1087F&quot;/&gt;&lt;wsp:rsid wsp:val=&quot;00B1094B&quot;/&gt;&lt;wsp:rsid wsp:val=&quot;00B10A5E&quot;/&gt;&lt;wsp:rsid wsp:val=&quot;00B10DF9&quot;/&gt;&lt;wsp:rsid wsp:val=&quot;00B11335&quot;/&gt;&lt;wsp:rsid wsp:val=&quot;00B11515&quot;/&gt;&lt;wsp:rsid wsp:val=&quot;00B12640&quot;/&gt;&lt;wsp:rsid wsp:val=&quot;00B128C1&quot;/&gt;&lt;wsp:rsid wsp:val=&quot;00B13361&quot;/&gt;&lt;wsp:rsid wsp:val=&quot;00B1377C&quot;/&gt;&lt;wsp:rsid wsp:val=&quot;00B13AAF&quot;/&gt;&lt;wsp:rsid wsp:val=&quot;00B14157&quot;/&gt;&lt;wsp:rsid wsp:val=&quot;00B141C7&quot;/&gt;&lt;wsp:rsid wsp:val=&quot;00B14577&quot;/&gt;&lt;wsp:rsid wsp:val=&quot;00B145E0&quot;/&gt;&lt;wsp:rsid wsp:val=&quot;00B14B90&quot;/&gt;&lt;wsp:rsid wsp:val=&quot;00B14D6F&quot;/&gt;&lt;wsp:rsid wsp:val=&quot;00B154D1&quot;/&gt;&lt;wsp:rsid wsp:val=&quot;00B15541&quot;/&gt;&lt;wsp:rsid wsp:val=&quot;00B1683F&quot;/&gt;&lt;wsp:rsid wsp:val=&quot;00B16EF0&quot;/&gt;&lt;wsp:rsid wsp:val=&quot;00B177CE&quot;/&gt;&lt;wsp:rsid wsp:val=&quot;00B20331&quot;/&gt;&lt;wsp:rsid wsp:val=&quot;00B206F2&quot;/&gt;&lt;wsp:rsid wsp:val=&quot;00B20C63&quot;/&gt;&lt;wsp:rsid wsp:val=&quot;00B20FBC&quot;/&gt;&lt;wsp:rsid wsp:val=&quot;00B2148D&quot;/&gt;&lt;wsp:rsid wsp:val=&quot;00B21A1D&quot;/&gt;&lt;wsp:rsid wsp:val=&quot;00B21C14&quot;/&gt;&lt;wsp:rsid wsp:val=&quot;00B21F6D&quot;/&gt;&lt;wsp:rsid wsp:val=&quot;00B221A9&quot;/&gt;&lt;wsp:rsid wsp:val=&quot;00B23336&quot;/&gt;&lt;wsp:rsid wsp:val=&quot;00B236AC&quot;/&gt;&lt;wsp:rsid wsp:val=&quot;00B23B96&quot;/&gt;&lt;wsp:rsid wsp:val=&quot;00B23EF4&quot;/&gt;&lt;wsp:rsid wsp:val=&quot;00B24A59&quot;/&gt;&lt;wsp:rsid wsp:val=&quot;00B24BC2&quot;/&gt;&lt;wsp:rsid wsp:val=&quot;00B24CC4&quot;/&gt;&lt;wsp:rsid wsp:val=&quot;00B257A9&quot;/&gt;&lt;wsp:rsid wsp:val=&quot;00B25EF5&quot;/&gt;&lt;wsp:rsid wsp:val=&quot;00B25F8F&quot;/&gt;&lt;wsp:rsid wsp:val=&quot;00B25FA4&quot;/&gt;&lt;wsp:rsid wsp:val=&quot;00B270E8&quot;/&gt;&lt;wsp:rsid wsp:val=&quot;00B27B91&quot;/&gt;&lt;wsp:rsid wsp:val=&quot;00B27D6A&quot;/&gt;&lt;wsp:rsid wsp:val=&quot;00B30472&quot;/&gt;&lt;wsp:rsid wsp:val=&quot;00B3056F&quot;/&gt;&lt;wsp:rsid wsp:val=&quot;00B314E9&quot;/&gt;&lt;wsp:rsid wsp:val=&quot;00B316A1&quot;/&gt;&lt;wsp:rsid wsp:val=&quot;00B31BB6&quot;/&gt;&lt;wsp:rsid wsp:val=&quot;00B31E15&quot;/&gt;&lt;wsp:rsid wsp:val=&quot;00B32938&quot;/&gt;&lt;wsp:rsid wsp:val=&quot;00B32D18&quot;/&gt;&lt;wsp:rsid wsp:val=&quot;00B336F0&quot;/&gt;&lt;wsp:rsid wsp:val=&quot;00B337D6&quot;/&gt;&lt;wsp:rsid wsp:val=&quot;00B3414D&quot;/&gt;&lt;wsp:rsid wsp:val=&quot;00B34A12&quot;/&gt;&lt;wsp:rsid wsp:val=&quot;00B353E8&quot;/&gt;&lt;wsp:rsid wsp:val=&quot;00B360F6&quot;/&gt;&lt;wsp:rsid wsp:val=&quot;00B361B9&quot;/&gt;&lt;wsp:rsid wsp:val=&quot;00B3662E&quot;/&gt;&lt;wsp:rsid wsp:val=&quot;00B37094&quot;/&gt;&lt;wsp:rsid wsp:val=&quot;00B3713C&quot;/&gt;&lt;wsp:rsid wsp:val=&quot;00B37550&quot;/&gt;&lt;wsp:rsid wsp:val=&quot;00B377DA&quot;/&gt;&lt;wsp:rsid wsp:val=&quot;00B37D2B&quot;/&gt;&lt;wsp:rsid wsp:val=&quot;00B40158&quot;/&gt;&lt;wsp:rsid wsp:val=&quot;00B40214&quot;/&gt;&lt;wsp:rsid wsp:val=&quot;00B40EC7&quot;/&gt;&lt;wsp:rsid wsp:val=&quot;00B4100B&quot;/&gt;&lt;wsp:rsid wsp:val=&quot;00B417E8&quot;/&gt;&lt;wsp:rsid wsp:val=&quot;00B4182A&quot;/&gt;&lt;wsp:rsid wsp:val=&quot;00B41BE6&quot;/&gt;&lt;wsp:rsid wsp:val=&quot;00B41EDE&quot;/&gt;&lt;wsp:rsid wsp:val=&quot;00B42386&quot;/&gt;&lt;wsp:rsid wsp:val=&quot;00B4245F&quot;/&gt;&lt;wsp:rsid wsp:val=&quot;00B42A3D&quot;/&gt;&lt;wsp:rsid wsp:val=&quot;00B43367&quot;/&gt;&lt;wsp:rsid wsp:val=&quot;00B4358C&quot;/&gt;&lt;wsp:rsid wsp:val=&quot;00B43B33&quot;/&gt;&lt;wsp:rsid wsp:val=&quot;00B43CE2&quot;/&gt;&lt;wsp:rsid wsp:val=&quot;00B44CA5&quot;/&gt;&lt;wsp:rsid wsp:val=&quot;00B45390&quot;/&gt;&lt;wsp:rsid wsp:val=&quot;00B453A4&quot;/&gt;&lt;wsp:rsid wsp:val=&quot;00B4544B&quot;/&gt;&lt;wsp:rsid wsp:val=&quot;00B45ADF&quot;/&gt;&lt;wsp:rsid wsp:val=&quot;00B45C15&quot;/&gt;&lt;wsp:rsid wsp:val=&quot;00B45F93&quot;/&gt;&lt;wsp:rsid wsp:val=&quot;00B4603D&quot;/&gt;&lt;wsp:rsid wsp:val=&quot;00B462E1&quot;/&gt;&lt;wsp:rsid wsp:val=&quot;00B46497&quot;/&gt;&lt;wsp:rsid wsp:val=&quot;00B46AEF&quot;/&gt;&lt;wsp:rsid wsp:val=&quot;00B4799A&quot;/&gt;&lt;wsp:rsid wsp:val=&quot;00B47E2C&quot;/&gt;&lt;wsp:rsid wsp:val=&quot;00B47FF3&quot;/&gt;&lt;wsp:rsid wsp:val=&quot;00B503C0&quot;/&gt;&lt;wsp:rsid wsp:val=&quot;00B50C28&quot;/&gt;&lt;wsp:rsid wsp:val=&quot;00B50C6C&quot;/&gt;&lt;wsp:rsid wsp:val=&quot;00B51E5D&quot;/&gt;&lt;wsp:rsid wsp:val=&quot;00B529D3&quot;/&gt;&lt;wsp:rsid wsp:val=&quot;00B53580&quot;/&gt;&lt;wsp:rsid wsp:val=&quot;00B535BC&quot;/&gt;&lt;wsp:rsid wsp:val=&quot;00B54423&quot;/&gt;&lt;wsp:rsid wsp:val=&quot;00B54CC4&quot;/&gt;&lt;wsp:rsid wsp:val=&quot;00B54D5F&quot;/&gt;&lt;wsp:rsid wsp:val=&quot;00B550CE&quot;/&gt;&lt;wsp:rsid wsp:val=&quot;00B55402&quot;/&gt;&lt;wsp:rsid wsp:val=&quot;00B55853&quot;/&gt;&lt;wsp:rsid wsp:val=&quot;00B55BC9&quot;/&gt;&lt;wsp:rsid wsp:val=&quot;00B55F75&quot;/&gt;&lt;wsp:rsid wsp:val=&quot;00B56247&quot;/&gt;&lt;wsp:rsid wsp:val=&quot;00B5681D&quot;/&gt;&lt;wsp:rsid wsp:val=&quot;00B56FA7&quot;/&gt;&lt;wsp:rsid wsp:val=&quot;00B5742A&quot;/&gt;&lt;wsp:rsid wsp:val=&quot;00B576D4&quot;/&gt;&lt;wsp:rsid wsp:val=&quot;00B577E5&quot;/&gt;&lt;wsp:rsid wsp:val=&quot;00B57D37&quot;/&gt;&lt;wsp:rsid wsp:val=&quot;00B57FD8&quot;/&gt;&lt;wsp:rsid wsp:val=&quot;00B6010B&quot;/&gt;&lt;wsp:rsid wsp:val=&quot;00B60248&quot;/&gt;&lt;wsp:rsid wsp:val=&quot;00B61459&quot;/&gt;&lt;wsp:rsid wsp:val=&quot;00B615F5&quot;/&gt;&lt;wsp:rsid wsp:val=&quot;00B61668&quot;/&gt;&lt;wsp:rsid wsp:val=&quot;00B622E5&quot;/&gt;&lt;wsp:rsid wsp:val=&quot;00B62AE8&quot;/&gt;&lt;wsp:rsid wsp:val=&quot;00B62D1A&quot;/&gt;&lt;wsp:rsid wsp:val=&quot;00B632A3&quot;/&gt;&lt;wsp:rsid wsp:val=&quot;00B63B45&quot;/&gt;&lt;wsp:rsid wsp:val=&quot;00B642F8&quot;/&gt;&lt;wsp:rsid wsp:val=&quot;00B644E8&quot;/&gt;&lt;wsp:rsid wsp:val=&quot;00B647F7&quot;/&gt;&lt;wsp:rsid wsp:val=&quot;00B6491D&quot;/&gt;&lt;wsp:rsid wsp:val=&quot;00B64F91&quot;/&gt;&lt;wsp:rsid wsp:val=&quot;00B65389&quot;/&gt;&lt;wsp:rsid wsp:val=&quot;00B657AD&quot;/&gt;&lt;wsp:rsid wsp:val=&quot;00B65C1D&quot;/&gt;&lt;wsp:rsid wsp:val=&quot;00B65CE9&quot;/&gt;&lt;wsp:rsid wsp:val=&quot;00B65D8F&quot;/&gt;&lt;wsp:rsid wsp:val=&quot;00B65EA8&quot;/&gt;&lt;wsp:rsid wsp:val=&quot;00B65F62&quot;/&gt;&lt;wsp:rsid wsp:val=&quot;00B66190&quot;/&gt;&lt;wsp:rsid wsp:val=&quot;00B66240&quot;/&gt;&lt;wsp:rsid wsp:val=&quot;00B66372&quot;/&gt;&lt;wsp:rsid wsp:val=&quot;00B6746F&quot;/&gt;&lt;wsp:rsid wsp:val=&quot;00B674A3&quot;/&gt;&lt;wsp:rsid wsp:val=&quot;00B678DD&quot;/&gt;&lt;wsp:rsid wsp:val=&quot;00B67B30&quot;/&gt;&lt;wsp:rsid wsp:val=&quot;00B7012B&quot;/&gt;&lt;wsp:rsid wsp:val=&quot;00B70B23&quot;/&gt;&lt;wsp:rsid wsp:val=&quot;00B70F58&quot;/&gt;&lt;wsp:rsid wsp:val=&quot;00B71419&quot;/&gt;&lt;wsp:rsid wsp:val=&quot;00B7155D&quot;/&gt;&lt;wsp:rsid wsp:val=&quot;00B716D3&quot;/&gt;&lt;wsp:rsid wsp:val=&quot;00B71B53&quot;/&gt;&lt;wsp:rsid wsp:val=&quot;00B73386&quot;/&gt;&lt;wsp:rsid wsp:val=&quot;00B73915&quot;/&gt;&lt;wsp:rsid wsp:val=&quot;00B73994&quot;/&gt;&lt;wsp:rsid wsp:val=&quot;00B741EE&quot;/&gt;&lt;wsp:rsid wsp:val=&quot;00B744EF&quot;/&gt;&lt;wsp:rsid wsp:val=&quot;00B74CB2&quot;/&gt;&lt;wsp:rsid wsp:val=&quot;00B74FD6&quot;/&gt;&lt;wsp:rsid wsp:val=&quot;00B7511A&quot;/&gt;&lt;wsp:rsid wsp:val=&quot;00B75661&quot;/&gt;&lt;wsp:rsid wsp:val=&quot;00B76588&quot;/&gt;&lt;wsp:rsid wsp:val=&quot;00B77617&quot;/&gt;&lt;wsp:rsid wsp:val=&quot;00B776BD&quot;/&gt;&lt;wsp:rsid wsp:val=&quot;00B7775B&quot;/&gt;&lt;wsp:rsid wsp:val=&quot;00B77B17&quot;/&gt;&lt;wsp:rsid wsp:val=&quot;00B77B98&quot;/&gt;&lt;wsp:rsid wsp:val=&quot;00B77E04&quot;/&gt;&lt;wsp:rsid wsp:val=&quot;00B8032E&quot;/&gt;&lt;wsp:rsid wsp:val=&quot;00B80F49&quot;/&gt;&lt;wsp:rsid wsp:val=&quot;00B8101D&quot;/&gt;&lt;wsp:rsid wsp:val=&quot;00B81543&quot;/&gt;&lt;wsp:rsid wsp:val=&quot;00B81E7F&quot;/&gt;&lt;wsp:rsid wsp:val=&quot;00B8284A&quot;/&gt;&lt;wsp:rsid wsp:val=&quot;00B828B0&quot;/&gt;&lt;wsp:rsid wsp:val=&quot;00B83130&quot;/&gt;&lt;wsp:rsid wsp:val=&quot;00B83551&quot;/&gt;&lt;wsp:rsid wsp:val=&quot;00B837BF&quot;/&gt;&lt;wsp:rsid wsp:val=&quot;00B84006&quot;/&gt;&lt;wsp:rsid wsp:val=&quot;00B84172&quot;/&gt;&lt;wsp:rsid wsp:val=&quot;00B84A64&quot;/&gt;&lt;wsp:rsid wsp:val=&quot;00B84DB3&quot;/&gt;&lt;wsp:rsid wsp:val=&quot;00B85AD2&quot;/&gt;&lt;wsp:rsid wsp:val=&quot;00B85BFC&quot;/&gt;&lt;wsp:rsid wsp:val=&quot;00B85CF1&quot;/&gt;&lt;wsp:rsid wsp:val=&quot;00B867B6&quot;/&gt;&lt;wsp:rsid wsp:val=&quot;00B86F6D&quot;/&gt;&lt;wsp:rsid wsp:val=&quot;00B874DB&quot;/&gt;&lt;wsp:rsid wsp:val=&quot;00B876BE&quot;/&gt;&lt;wsp:rsid wsp:val=&quot;00B877B9&quot;/&gt;&lt;wsp:rsid wsp:val=&quot;00B90129&quot;/&gt;&lt;wsp:rsid wsp:val=&quot;00B909DC&quot;/&gt;&lt;wsp:rsid wsp:val=&quot;00B90BF1&quot;/&gt;&lt;wsp:rsid wsp:val=&quot;00B91396&quot;/&gt;&lt;wsp:rsid wsp:val=&quot;00B91627&quot;/&gt;&lt;wsp:rsid wsp:val=&quot;00B91C99&quot;/&gt;&lt;wsp:rsid wsp:val=&quot;00B91E72&quot;/&gt;&lt;wsp:rsid wsp:val=&quot;00B920C6&quot;/&gt;&lt;wsp:rsid wsp:val=&quot;00B92161&quot;/&gt;&lt;wsp:rsid wsp:val=&quot;00B925DE&quot;/&gt;&lt;wsp:rsid wsp:val=&quot;00B926DB&quot;/&gt;&lt;wsp:rsid wsp:val=&quot;00B9280A&quot;/&gt;&lt;wsp:rsid wsp:val=&quot;00B9284D&quot;/&gt;&lt;wsp:rsid wsp:val=&quot;00B9338F&quot;/&gt;&lt;wsp:rsid wsp:val=&quot;00B937E3&quot;/&gt;&lt;wsp:rsid wsp:val=&quot;00B93A94&quot;/&gt;&lt;wsp:rsid wsp:val=&quot;00B94018&quot;/&gt;&lt;wsp:rsid wsp:val=&quot;00B94B59&quot;/&gt;&lt;wsp:rsid wsp:val=&quot;00B952A3&quot;/&gt;&lt;wsp:rsid wsp:val=&quot;00B9568B&quot;/&gt;&lt;wsp:rsid wsp:val=&quot;00B95CBF&quot;/&gt;&lt;wsp:rsid wsp:val=&quot;00B95D07&quot;/&gt;&lt;wsp:rsid wsp:val=&quot;00B95DE1&quot;/&gt;&lt;wsp:rsid wsp:val=&quot;00B95FBA&quot;/&gt;&lt;wsp:rsid wsp:val=&quot;00B96559&quot;/&gt;&lt;wsp:rsid wsp:val=&quot;00B97BE2&quot;/&gt;&lt;wsp:rsid wsp:val=&quot;00B97FEE&quot;/&gt;&lt;wsp:rsid wsp:val=&quot;00BA0187&quot;/&gt;&lt;wsp:rsid wsp:val=&quot;00BA0DE5&quot;/&gt;&lt;wsp:rsid wsp:val=&quot;00BA0EC1&quot;/&gt;&lt;wsp:rsid wsp:val=&quot;00BA10DD&quot;/&gt;&lt;wsp:rsid wsp:val=&quot;00BA1532&quot;/&gt;&lt;wsp:rsid wsp:val=&quot;00BA19A5&quot;/&gt;&lt;wsp:rsid wsp:val=&quot;00BA2F5F&quot;/&gt;&lt;wsp:rsid wsp:val=&quot;00BA3015&quot;/&gt;&lt;wsp:rsid wsp:val=&quot;00BA30A8&quot;/&gt;&lt;wsp:rsid wsp:val=&quot;00BA31A3&quot;/&gt;&lt;wsp:rsid wsp:val=&quot;00BA32E4&quot;/&gt;&lt;wsp:rsid wsp:val=&quot;00BA3A65&quot;/&gt;&lt;wsp:rsid wsp:val=&quot;00BA3C1F&quot;/&gt;&lt;wsp:rsid wsp:val=&quot;00BA3FA4&quot;/&gt;&lt;wsp:rsid wsp:val=&quot;00BA430C&quot;/&gt;&lt;wsp:rsid wsp:val=&quot;00BA4A71&quot;/&gt;&lt;wsp:rsid wsp:val=&quot;00BA4E6E&quot;/&gt;&lt;wsp:rsid wsp:val=&quot;00BA582E&quot;/&gt;&lt;wsp:rsid wsp:val=&quot;00BA5B1D&quot;/&gt;&lt;wsp:rsid wsp:val=&quot;00BA61AC&quot;/&gt;&lt;wsp:rsid wsp:val=&quot;00BA61EA&quot;/&gt;&lt;wsp:rsid wsp:val=&quot;00BA6209&quot;/&gt;&lt;wsp:rsid wsp:val=&quot;00BA6520&quot;/&gt;&lt;wsp:rsid wsp:val=&quot;00BA6FF1&quot;/&gt;&lt;wsp:rsid wsp:val=&quot;00BA7289&quot;/&gt;&lt;wsp:rsid wsp:val=&quot;00BA76C8&quot;/&gt;&lt;wsp:rsid wsp:val=&quot;00BA775A&quot;/&gt;&lt;wsp:rsid wsp:val=&quot;00BA7952&quot;/&gt;&lt;wsp:rsid wsp:val=&quot;00BA7A65&quot;/&gt;&lt;wsp:rsid wsp:val=&quot;00BA7C9B&quot;/&gt;&lt;wsp:rsid wsp:val=&quot;00BB0BFB&quot;/&gt;&lt;wsp:rsid wsp:val=&quot;00BB1645&quot;/&gt;&lt;wsp:rsid wsp:val=&quot;00BB1DCD&quot;/&gt;&lt;wsp:rsid wsp:val=&quot;00BB1E4A&quot;/&gt;&lt;wsp:rsid wsp:val=&quot;00BB1F9C&quot;/&gt;&lt;wsp:rsid wsp:val=&quot;00BB23AD&quot;/&gt;&lt;wsp:rsid wsp:val=&quot;00BB2D92&quot;/&gt;&lt;wsp:rsid wsp:val=&quot;00BB2E89&quot;/&gt;&lt;wsp:rsid wsp:val=&quot;00BB3635&quot;/&gt;&lt;wsp:rsid wsp:val=&quot;00BB408B&quot;/&gt;&lt;wsp:rsid wsp:val=&quot;00BB40D6&quot;/&gt;&lt;wsp:rsid wsp:val=&quot;00BB422B&quot;/&gt;&lt;wsp:rsid wsp:val=&quot;00BB4671&quot;/&gt;&lt;wsp:rsid wsp:val=&quot;00BB46A7&quot;/&gt;&lt;wsp:rsid wsp:val=&quot;00BB4F48&quot;/&gt;&lt;wsp:rsid wsp:val=&quot;00BB5023&quot;/&gt;&lt;wsp:rsid wsp:val=&quot;00BB56CC&quot;/&gt;&lt;wsp:rsid wsp:val=&quot;00BB57A1&quot;/&gt;&lt;wsp:rsid wsp:val=&quot;00BB593B&quot;/&gt;&lt;wsp:rsid wsp:val=&quot;00BB593D&quot;/&gt;&lt;wsp:rsid wsp:val=&quot;00BB5D3F&quot;/&gt;&lt;wsp:rsid wsp:val=&quot;00BB6547&quot;/&gt;&lt;wsp:rsid wsp:val=&quot;00BB711F&quot;/&gt;&lt;wsp:rsid wsp:val=&quot;00BB73A3&quot;/&gt;&lt;wsp:rsid wsp:val=&quot;00BB73EF&quot;/&gt;&lt;wsp:rsid wsp:val=&quot;00BB7B99&quot;/&gt;&lt;wsp:rsid wsp:val=&quot;00BB7C18&quot;/&gt;&lt;wsp:rsid wsp:val=&quot;00BC000B&quot;/&gt;&lt;wsp:rsid wsp:val=&quot;00BC013E&quot;/&gt;&lt;wsp:rsid wsp:val=&quot;00BC0376&quot;/&gt;&lt;wsp:rsid wsp:val=&quot;00BC0399&quot;/&gt;&lt;wsp:rsid wsp:val=&quot;00BC058D&quot;/&gt;&lt;wsp:rsid wsp:val=&quot;00BC1335&quot;/&gt;&lt;wsp:rsid wsp:val=&quot;00BC20F2&quot;/&gt;&lt;wsp:rsid wsp:val=&quot;00BC28F8&quot;/&gt;&lt;wsp:rsid wsp:val=&quot;00BC2F59&quot;/&gt;&lt;wsp:rsid wsp:val=&quot;00BC354B&quot;/&gt;&lt;wsp:rsid wsp:val=&quot;00BC3CFB&quot;/&gt;&lt;wsp:rsid wsp:val=&quot;00BC43C5&quot;/&gt;&lt;wsp:rsid wsp:val=&quot;00BC444F&quot;/&gt;&lt;wsp:rsid wsp:val=&quot;00BC458A&quot;/&gt;&lt;wsp:rsid wsp:val=&quot;00BC4A43&quot;/&gt;&lt;wsp:rsid wsp:val=&quot;00BC4C23&quot;/&gt;&lt;wsp:rsid wsp:val=&quot;00BC4DB5&quot;/&gt;&lt;wsp:rsid wsp:val=&quot;00BC4FDF&quot;/&gt;&lt;wsp:rsid wsp:val=&quot;00BC665F&quot;/&gt;&lt;wsp:rsid wsp:val=&quot;00BC70DE&quot;/&gt;&lt;wsp:rsid wsp:val=&quot;00BC7316&quot;/&gt;&lt;wsp:rsid wsp:val=&quot;00BC7445&quot;/&gt;&lt;wsp:rsid wsp:val=&quot;00BC78CD&quot;/&gt;&lt;wsp:rsid wsp:val=&quot;00BC7909&quot;/&gt;&lt;wsp:rsid wsp:val=&quot;00BD0D07&quot;/&gt;&lt;wsp:rsid wsp:val=&quot;00BD0DF4&quot;/&gt;&lt;wsp:rsid wsp:val=&quot;00BD186B&quot;/&gt;&lt;wsp:rsid wsp:val=&quot;00BD1A7C&quot;/&gt;&lt;wsp:rsid wsp:val=&quot;00BD2560&quot;/&gt;&lt;wsp:rsid wsp:val=&quot;00BD25A3&quot;/&gt;&lt;wsp:rsid wsp:val=&quot;00BD2671&quot;/&gt;&lt;wsp:rsid wsp:val=&quot;00BD2B45&quot;/&gt;&lt;wsp:rsid wsp:val=&quot;00BD2B74&quot;/&gt;&lt;wsp:rsid wsp:val=&quot;00BD36BD&quot;/&gt;&lt;wsp:rsid wsp:val=&quot;00BD44FB&quot;/&gt;&lt;wsp:rsid wsp:val=&quot;00BD4531&quot;/&gt;&lt;wsp:rsid wsp:val=&quot;00BD4676&quot;/&gt;&lt;wsp:rsid wsp:val=&quot;00BD4D93&quot;/&gt;&lt;wsp:rsid wsp:val=&quot;00BD4E74&quot;/&gt;&lt;wsp:rsid wsp:val=&quot;00BD5046&quot;/&gt;&lt;wsp:rsid wsp:val=&quot;00BD5313&quot;/&gt;&lt;wsp:rsid wsp:val=&quot;00BD5437&quot;/&gt;&lt;wsp:rsid wsp:val=&quot;00BD5F90&quot;/&gt;&lt;wsp:rsid wsp:val=&quot;00BD61BB&quot;/&gt;&lt;wsp:rsid wsp:val=&quot;00BD6624&quot;/&gt;&lt;wsp:rsid wsp:val=&quot;00BD6F2F&quot;/&gt;&lt;wsp:rsid wsp:val=&quot;00BD7086&quot;/&gt;&lt;wsp:rsid wsp:val=&quot;00BD7F8F&quot;/&gt;&lt;wsp:rsid wsp:val=&quot;00BE003F&quot;/&gt;&lt;wsp:rsid wsp:val=&quot;00BE020E&quot;/&gt;&lt;wsp:rsid wsp:val=&quot;00BE06D2&quot;/&gt;&lt;wsp:rsid wsp:val=&quot;00BE0E2C&quot;/&gt;&lt;wsp:rsid wsp:val=&quot;00BE1EFA&quot;/&gt;&lt;wsp:rsid wsp:val=&quot;00BE21BC&quot;/&gt;&lt;wsp:rsid wsp:val=&quot;00BE23FF&quot;/&gt;&lt;wsp:rsid wsp:val=&quot;00BE3124&quot;/&gt;&lt;wsp:rsid wsp:val=&quot;00BE371A&quot;/&gt;&lt;wsp:rsid wsp:val=&quot;00BE3921&quot;/&gt;&lt;wsp:rsid wsp:val=&quot;00BE4355&quot;/&gt;&lt;wsp:rsid wsp:val=&quot;00BE5156&quot;/&gt;&lt;wsp:rsid wsp:val=&quot;00BE5165&quot;/&gt;&lt;wsp:rsid wsp:val=&quot;00BE59D7&quot;/&gt;&lt;wsp:rsid wsp:val=&quot;00BE5A94&quot;/&gt;&lt;wsp:rsid wsp:val=&quot;00BE5C24&quot;/&gt;&lt;wsp:rsid wsp:val=&quot;00BE604F&quot;/&gt;&lt;wsp:rsid wsp:val=&quot;00BE63CC&quot;/&gt;&lt;wsp:rsid wsp:val=&quot;00BE6414&quot;/&gt;&lt;wsp:rsid wsp:val=&quot;00BE6840&quot;/&gt;&lt;wsp:rsid wsp:val=&quot;00BE6B3D&quot;/&gt;&lt;wsp:rsid wsp:val=&quot;00BE7026&quot;/&gt;&lt;wsp:rsid wsp:val=&quot;00BE70D6&quot;/&gt;&lt;wsp:rsid wsp:val=&quot;00BE74A9&quot;/&gt;&lt;wsp:rsid wsp:val=&quot;00BE7C5D&quot;/&gt;&lt;wsp:rsid wsp:val=&quot;00BF0D61&quot;/&gt;&lt;wsp:rsid wsp:val=&quot;00BF12EC&quot;/&gt;&lt;wsp:rsid wsp:val=&quot;00BF1572&quot;/&gt;&lt;wsp:rsid wsp:val=&quot;00BF1C5F&quot;/&gt;&lt;wsp:rsid wsp:val=&quot;00BF2102&quot;/&gt;&lt;wsp:rsid wsp:val=&quot;00BF21D2&quot;/&gt;&lt;wsp:rsid wsp:val=&quot;00BF26F8&quot;/&gt;&lt;wsp:rsid wsp:val=&quot;00BF2CD7&quot;/&gt;&lt;wsp:rsid wsp:val=&quot;00BF30BD&quot;/&gt;&lt;wsp:rsid wsp:val=&quot;00BF361C&quot;/&gt;&lt;wsp:rsid wsp:val=&quot;00BF365B&quot;/&gt;&lt;wsp:rsid wsp:val=&quot;00BF3753&quot;/&gt;&lt;wsp:rsid wsp:val=&quot;00BF37A1&quot;/&gt;&lt;wsp:rsid wsp:val=&quot;00BF37D8&quot;/&gt;&lt;wsp:rsid wsp:val=&quot;00BF3888&quot;/&gt;&lt;wsp:rsid wsp:val=&quot;00BF39A4&quot;/&gt;&lt;wsp:rsid wsp:val=&quot;00BF3A3B&quot;/&gt;&lt;wsp:rsid wsp:val=&quot;00BF5394&quot;/&gt;&lt;wsp:rsid wsp:val=&quot;00BF5541&quot;/&gt;&lt;wsp:rsid wsp:val=&quot;00BF60BC&quot;/&gt;&lt;wsp:rsid wsp:val=&quot;00BF6A75&quot;/&gt;&lt;wsp:rsid wsp:val=&quot;00BF6DDA&quot;/&gt;&lt;wsp:rsid wsp:val=&quot;00BF73D9&quot;/&gt;&lt;wsp:rsid wsp:val=&quot;00BF7413&quot;/&gt;&lt;wsp:rsid wsp:val=&quot;00BF7B6A&quot;/&gt;&lt;wsp:rsid wsp:val=&quot;00C00484&quot;/&gt;&lt;wsp:rsid wsp:val=&quot;00C008C3&quot;/&gt;&lt;wsp:rsid wsp:val=&quot;00C00B4C&quot;/&gt;&lt;wsp:rsid wsp:val=&quot;00C00BFF&quot;/&gt;&lt;wsp:rsid wsp:val=&quot;00C02003&quot;/&gt;&lt;wsp:rsid wsp:val=&quot;00C02161&quot;/&gt;&lt;wsp:rsid wsp:val=&quot;00C022B9&quot;/&gt;&lt;wsp:rsid wsp:val=&quot;00C02375&quot;/&gt;&lt;wsp:rsid wsp:val=&quot;00C0265F&quot;/&gt;&lt;wsp:rsid wsp:val=&quot;00C02AE7&quot;/&gt;&lt;wsp:rsid wsp:val=&quot;00C02E71&quot;/&gt;&lt;wsp:rsid wsp:val=&quot;00C0311F&quot;/&gt;&lt;wsp:rsid wsp:val=&quot;00C03BF3&quot;/&gt;&lt;wsp:rsid wsp:val=&quot;00C03FEF&quot;/&gt;&lt;wsp:rsid wsp:val=&quot;00C0426A&quot;/&gt;&lt;wsp:rsid wsp:val=&quot;00C042AC&quot;/&gt;&lt;wsp:rsid wsp:val=&quot;00C0441E&quot;/&gt;&lt;wsp:rsid wsp:val=&quot;00C0474E&quot;/&gt;&lt;wsp:rsid wsp:val=&quot;00C049DE&quot;/&gt;&lt;wsp:rsid wsp:val=&quot;00C04BC7&quot;/&gt;&lt;wsp:rsid wsp:val=&quot;00C053FD&quot;/&gt;&lt;wsp:rsid wsp:val=&quot;00C05A3B&quot;/&gt;&lt;wsp:rsid wsp:val=&quot;00C06230&quot;/&gt;&lt;wsp:rsid wsp:val=&quot;00C065C5&quot;/&gt;&lt;wsp:rsid wsp:val=&quot;00C0695B&quot;/&gt;&lt;wsp:rsid wsp:val=&quot;00C06BC5&quot;/&gt;&lt;wsp:rsid wsp:val=&quot;00C078DF&quot;/&gt;&lt;wsp:rsid wsp:val=&quot;00C100B4&quot;/&gt;&lt;wsp:rsid wsp:val=&quot;00C108B2&quot;/&gt;&lt;wsp:rsid wsp:val=&quot;00C109B6&quot;/&gt;&lt;wsp:rsid wsp:val=&quot;00C10E53&quot;/&gt;&lt;wsp:rsid wsp:val=&quot;00C1141F&quot;/&gt;&lt;wsp:rsid wsp:val=&quot;00C11C4E&quot;/&gt;&lt;wsp:rsid wsp:val=&quot;00C11D4C&quot;/&gt;&lt;wsp:rsid wsp:val=&quot;00C12034&quot;/&gt;&lt;wsp:rsid wsp:val=&quot;00C12624&quot;/&gt;&lt;wsp:rsid wsp:val=&quot;00C130EF&quot;/&gt;&lt;wsp:rsid wsp:val=&quot;00C13FA2&quot;/&gt;&lt;wsp:rsid wsp:val=&quot;00C147EF&quot;/&gt;&lt;wsp:rsid wsp:val=&quot;00C148CA&quot;/&gt;&lt;wsp:rsid wsp:val=&quot;00C14AA6&quot;/&gt;&lt;wsp:rsid wsp:val=&quot;00C1549C&quot;/&gt;&lt;wsp:rsid wsp:val=&quot;00C16C58&quot;/&gt;&lt;wsp:rsid wsp:val=&quot;00C16D80&quot;/&gt;&lt;wsp:rsid wsp:val=&quot;00C16F86&quot;/&gt;&lt;wsp:rsid wsp:val=&quot;00C173EC&quot;/&gt;&lt;wsp:rsid wsp:val=&quot;00C17561&quot;/&gt;&lt;wsp:rsid wsp:val=&quot;00C1789B&quot;/&gt;&lt;wsp:rsid wsp:val=&quot;00C203A0&quot;/&gt;&lt;wsp:rsid wsp:val=&quot;00C2112F&quot;/&gt;&lt;wsp:rsid wsp:val=&quot;00C21EF6&quot;/&gt;&lt;wsp:rsid wsp:val=&quot;00C2208E&quot;/&gt;&lt;wsp:rsid wsp:val=&quot;00C2213E&quot;/&gt;&lt;wsp:rsid wsp:val=&quot;00C221E2&quot;/&gt;&lt;wsp:rsid wsp:val=&quot;00C2222E&quot;/&gt;&lt;wsp:rsid wsp:val=&quot;00C22757&quot;/&gt;&lt;wsp:rsid wsp:val=&quot;00C23478&quot;/&gt;&lt;wsp:rsid wsp:val=&quot;00C23CC8&quot;/&gt;&lt;wsp:rsid wsp:val=&quot;00C241B0&quot;/&gt;&lt;wsp:rsid wsp:val=&quot;00C2470C&quot;/&gt;&lt;wsp:rsid wsp:val=&quot;00C247EE&quot;/&gt;&lt;wsp:rsid wsp:val=&quot;00C25377&quot;/&gt;&lt;wsp:rsid wsp:val=&quot;00C25945&quot;/&gt;&lt;wsp:rsid wsp:val=&quot;00C266B5&quot;/&gt;&lt;wsp:rsid wsp:val=&quot;00C266C5&quot;/&gt;&lt;wsp:rsid wsp:val=&quot;00C26715&quot;/&gt;&lt;wsp:rsid wsp:val=&quot;00C26954&quot;/&gt;&lt;wsp:rsid wsp:val=&quot;00C26BE7&quot;/&gt;&lt;wsp:rsid wsp:val=&quot;00C26F7E&quot;/&gt;&lt;wsp:rsid wsp:val=&quot;00C270ED&quot;/&gt;&lt;wsp:rsid wsp:val=&quot;00C278E3&quot;/&gt;&lt;wsp:rsid wsp:val=&quot;00C3177F&quot;/&gt;&lt;wsp:rsid wsp:val=&quot;00C31781&quot;/&gt;&lt;wsp:rsid wsp:val=&quot;00C317F6&quot;/&gt;&lt;wsp:rsid wsp:val=&quot;00C318BC&quot;/&gt;&lt;wsp:rsid wsp:val=&quot;00C319CB&quot;/&gt;&lt;wsp:rsid wsp:val=&quot;00C31DB9&quot;/&gt;&lt;wsp:rsid wsp:val=&quot;00C31DC4&quot;/&gt;&lt;wsp:rsid wsp:val=&quot;00C31E52&quot;/&gt;&lt;wsp:rsid wsp:val=&quot;00C32B45&quot;/&gt;&lt;wsp:rsid wsp:val=&quot;00C335FB&quot;/&gt;&lt;wsp:rsid wsp:val=&quot;00C33EE4&quot;/&gt;&lt;wsp:rsid wsp:val=&quot;00C346F8&quot;/&gt;&lt;wsp:rsid wsp:val=&quot;00C35066&quot;/&gt;&lt;wsp:rsid wsp:val=&quot;00C350CA&quot;/&gt;&lt;wsp:rsid wsp:val=&quot;00C354E3&quot;/&gt;&lt;wsp:rsid wsp:val=&quot;00C35631&quot;/&gt;&lt;wsp:rsid wsp:val=&quot;00C35AFA&quot;/&gt;&lt;wsp:rsid wsp:val=&quot;00C35C0D&quot;/&gt;&lt;wsp:rsid wsp:val=&quot;00C35E9C&quot;/&gt;&lt;wsp:rsid wsp:val=&quot;00C362E1&quot;/&gt;&lt;wsp:rsid wsp:val=&quot;00C3682A&quot;/&gt;&lt;wsp:rsid wsp:val=&quot;00C36DC1&quot;/&gt;&lt;wsp:rsid wsp:val=&quot;00C37A89&quot;/&gt;&lt;wsp:rsid wsp:val=&quot;00C37BF5&quot;/&gt;&lt;wsp:rsid wsp:val=&quot;00C37CEB&quot;/&gt;&lt;wsp:rsid wsp:val=&quot;00C37E52&quot;/&gt;&lt;wsp:rsid wsp:val=&quot;00C37FEE&quot;/&gt;&lt;wsp:rsid wsp:val=&quot;00C403D6&quot;/&gt;&lt;wsp:rsid wsp:val=&quot;00C40479&quot;/&gt;&lt;wsp:rsid wsp:val=&quot;00C4091F&quot;/&gt;&lt;wsp:rsid wsp:val=&quot;00C412CF&quot;/&gt;&lt;wsp:rsid wsp:val=&quot;00C427A0&quot;/&gt;&lt;wsp:rsid wsp:val=&quot;00C427D7&quot;/&gt;&lt;wsp:rsid wsp:val=&quot;00C42B67&quot;/&gt;&lt;wsp:rsid wsp:val=&quot;00C42F34&quot;/&gt;&lt;wsp:rsid wsp:val=&quot;00C42F4B&quot;/&gt;&lt;wsp:rsid wsp:val=&quot;00C43755&quot;/&gt;&lt;wsp:rsid wsp:val=&quot;00C440D4&quot;/&gt;&lt;wsp:rsid wsp:val=&quot;00C4459F&quot;/&gt;&lt;wsp:rsid wsp:val=&quot;00C44E92&quot;/&gt;&lt;wsp:rsid wsp:val=&quot;00C452E8&quot;/&gt;&lt;wsp:rsid wsp:val=&quot;00C45379&quot;/&gt;&lt;wsp:rsid wsp:val=&quot;00C45646&quot;/&gt;&lt;wsp:rsid wsp:val=&quot;00C45BD0&quot;/&gt;&lt;wsp:rsid wsp:val=&quot;00C45BD4&quot;/&gt;&lt;wsp:rsid wsp:val=&quot;00C45C8F&quot;/&gt;&lt;wsp:rsid wsp:val=&quot;00C45E52&quot;/&gt;&lt;wsp:rsid wsp:val=&quot;00C4629D&quot;/&gt;&lt;wsp:rsid wsp:val=&quot;00C46442&quot;/&gt;&lt;wsp:rsid wsp:val=&quot;00C46D02&quot;/&gt;&lt;wsp:rsid wsp:val=&quot;00C50005&quot;/&gt;&lt;wsp:rsid wsp:val=&quot;00C50331&quot;/&gt;&lt;wsp:rsid wsp:val=&quot;00C50E5F&quot;/&gt;&lt;wsp:rsid wsp:val=&quot;00C50F8D&quot;/&gt;&lt;wsp:rsid wsp:val=&quot;00C51ABA&quot;/&gt;&lt;wsp:rsid wsp:val=&quot;00C51EDF&quot;/&gt;&lt;wsp:rsid wsp:val=&quot;00C528EA&quot;/&gt;&lt;wsp:rsid wsp:val=&quot;00C52D39&quot;/&gt;&lt;wsp:rsid wsp:val=&quot;00C54194&quot;/&gt;&lt;wsp:rsid wsp:val=&quot;00C55066&quot;/&gt;&lt;wsp:rsid wsp:val=&quot;00C5618C&quot;/&gt;&lt;wsp:rsid wsp:val=&quot;00C568DD&quot;/&gt;&lt;wsp:rsid wsp:val=&quot;00C56B84&quot;/&gt;&lt;wsp:rsid wsp:val=&quot;00C57541&quot;/&gt;&lt;wsp:rsid wsp:val=&quot;00C57A64&quot;/&gt;&lt;wsp:rsid wsp:val=&quot;00C57D53&quot;/&gt;&lt;wsp:rsid wsp:val=&quot;00C57F28&quot;/&gt;&lt;wsp:rsid wsp:val=&quot;00C60740&quot;/&gt;&lt;wsp:rsid wsp:val=&quot;00C60A71&quot;/&gt;&lt;wsp:rsid wsp:val=&quot;00C60B3A&quot;/&gt;&lt;wsp:rsid wsp:val=&quot;00C62055&quot;/&gt;&lt;wsp:rsid wsp:val=&quot;00C6224C&quot;/&gt;&lt;wsp:rsid wsp:val=&quot;00C62734&quot;/&gt;&lt;wsp:rsid wsp:val=&quot;00C62846&quot;/&gt;&lt;wsp:rsid wsp:val=&quot;00C62F47&quot;/&gt;&lt;wsp:rsid wsp:val=&quot;00C63021&quot;/&gt;&lt;wsp:rsid wsp:val=&quot;00C638E5&quot;/&gt;&lt;wsp:rsid wsp:val=&quot;00C63B14&quot;/&gt;&lt;wsp:rsid wsp:val=&quot;00C64768&quot;/&gt;&lt;wsp:rsid wsp:val=&quot;00C64A76&quot;/&gt;&lt;wsp:rsid wsp:val=&quot;00C64BFD&quot;/&gt;&lt;wsp:rsid wsp:val=&quot;00C65BEF&quot;/&gt;&lt;wsp:rsid wsp:val=&quot;00C66281&quot;/&gt;&lt;wsp:rsid wsp:val=&quot;00C670A4&quot;/&gt;&lt;wsp:rsid wsp:val=&quot;00C675B8&quot;/&gt;&lt;wsp:rsid wsp:val=&quot;00C703BB&quot;/&gt;&lt;wsp:rsid wsp:val=&quot;00C70DBF&quot;/&gt;&lt;wsp:rsid wsp:val=&quot;00C70E15&quot;/&gt;&lt;wsp:rsid wsp:val=&quot;00C70F56&quot;/&gt;&lt;wsp:rsid wsp:val=&quot;00C70FFA&quot;/&gt;&lt;wsp:rsid wsp:val=&quot;00C713CD&quot;/&gt;&lt;wsp:rsid wsp:val=&quot;00C71440&quot;/&gt;&lt;wsp:rsid wsp:val=&quot;00C71935&quot;/&gt;&lt;wsp:rsid wsp:val=&quot;00C71BA5&quot;/&gt;&lt;wsp:rsid wsp:val=&quot;00C71CDB&quot;/&gt;&lt;wsp:rsid wsp:val=&quot;00C71EBE&quot;/&gt;&lt;wsp:rsid wsp:val=&quot;00C73BAB&quot;/&gt;&lt;wsp:rsid wsp:val=&quot;00C748B0&quot;/&gt;&lt;wsp:rsid wsp:val=&quot;00C75170&quot;/&gt;&lt;wsp:rsid wsp:val=&quot;00C752ED&quot;/&gt;&lt;wsp:rsid wsp:val=&quot;00C75502&quot;/&gt;&lt;wsp:rsid wsp:val=&quot;00C75742&quot;/&gt;&lt;wsp:rsid wsp:val=&quot;00C75D72&quot;/&gt;&lt;wsp:rsid wsp:val=&quot;00C76366&quot;/&gt;&lt;wsp:rsid wsp:val=&quot;00C7773C&quot;/&gt;&lt;wsp:rsid wsp:val=&quot;00C778BF&quot;/&gt;&lt;wsp:rsid wsp:val=&quot;00C779F6&quot;/&gt;&lt;wsp:rsid wsp:val=&quot;00C77C87&quot;/&gt;&lt;wsp:rsid wsp:val=&quot;00C80421&quot;/&gt;&lt;wsp:rsid wsp:val=&quot;00C8073C&quot;/&gt;&lt;wsp:rsid wsp:val=&quot;00C80CD9&quot;/&gt;&lt;wsp:rsid wsp:val=&quot;00C81B60&quot;/&gt;&lt;wsp:rsid wsp:val=&quot;00C82117&quot;/&gt;&lt;wsp:rsid wsp:val=&quot;00C82465&quot;/&gt;&lt;wsp:rsid wsp:val=&quot;00C83328&quot;/&gt;&lt;wsp:rsid wsp:val=&quot;00C836F7&quot;/&gt;&lt;wsp:rsid wsp:val=&quot;00C84624&quot;/&gt;&lt;wsp:rsid wsp:val=&quot;00C849B6&quot;/&gt;&lt;wsp:rsid wsp:val=&quot;00C853D1&quot;/&gt;&lt;wsp:rsid wsp:val=&quot;00C8599B&quot;/&gt;&lt;wsp:rsid wsp:val=&quot;00C859E1&quot;/&gt;&lt;wsp:rsid wsp:val=&quot;00C85F5E&quot;/&gt;&lt;wsp:rsid wsp:val=&quot;00C86033&quot;/&gt;&lt;wsp:rsid wsp:val=&quot;00C862C9&quot;/&gt;&lt;wsp:rsid wsp:val=&quot;00C86773&quot;/&gt;&lt;wsp:rsid wsp:val=&quot;00C86BA9&quot;/&gt;&lt;wsp:rsid wsp:val=&quot;00C86FEE&quot;/&gt;&lt;wsp:rsid wsp:val=&quot;00C87282&quot;/&gt;&lt;wsp:rsid wsp:val=&quot;00C87364&quot;/&gt;&lt;wsp:rsid wsp:val=&quot;00C874B2&quot;/&gt;&lt;wsp:rsid wsp:val=&quot;00C87C59&quot;/&gt;&lt;wsp:rsid wsp:val=&quot;00C87F36&quot;/&gt;&lt;wsp:rsid wsp:val=&quot;00C90651&quot;/&gt;&lt;wsp:rsid wsp:val=&quot;00C90BFE&quot;/&gt;&lt;wsp:rsid wsp:val=&quot;00C90CD5&quot;/&gt;&lt;wsp:rsid wsp:val=&quot;00C92252&quot;/&gt;&lt;wsp:rsid wsp:val=&quot;00C926DB&quot;/&gt;&lt;wsp:rsid wsp:val=&quot;00C933C3&quot;/&gt;&lt;wsp:rsid wsp:val=&quot;00C93799&quot;/&gt;&lt;wsp:rsid wsp:val=&quot;00C93EA8&quot;/&gt;&lt;wsp:rsid wsp:val=&quot;00C943DA&quot;/&gt;&lt;wsp:rsid wsp:val=&quot;00C94934&quot;/&gt;&lt;wsp:rsid wsp:val=&quot;00C94B0F&quot;/&gt;&lt;wsp:rsid wsp:val=&quot;00C94BE7&quot;/&gt;&lt;wsp:rsid wsp:val=&quot;00C94DD4&quot;/&gt;&lt;wsp:rsid wsp:val=&quot;00C9550B&quot;/&gt;&lt;wsp:rsid wsp:val=&quot;00C9632B&quot;/&gt;&lt;wsp:rsid wsp:val=&quot;00C9685B&quot;/&gt;&lt;wsp:rsid wsp:val=&quot;00C96CED&quot;/&gt;&lt;wsp:rsid wsp:val=&quot;00C9783D&quot;/&gt;&lt;wsp:rsid wsp:val=&quot;00CA05DF&quot;/&gt;&lt;wsp:rsid wsp:val=&quot;00CA0F68&quot;/&gt;&lt;wsp:rsid wsp:val=&quot;00CA1F83&quot;/&gt;&lt;wsp:rsid wsp:val=&quot;00CA2993&quot;/&gt;&lt;wsp:rsid wsp:val=&quot;00CA2D15&quot;/&gt;&lt;wsp:rsid wsp:val=&quot;00CA2F69&quot;/&gt;&lt;wsp:rsid wsp:val=&quot;00CA3291&quot;/&gt;&lt;wsp:rsid wsp:val=&quot;00CA332A&quot;/&gt;&lt;wsp:rsid wsp:val=&quot;00CA3BC0&quot;/&gt;&lt;wsp:rsid wsp:val=&quot;00CA3BD8&quot;/&gt;&lt;wsp:rsid wsp:val=&quot;00CA3CD1&quot;/&gt;&lt;wsp:rsid wsp:val=&quot;00CA5425&quot;/&gt;&lt;wsp:rsid wsp:val=&quot;00CA5489&quot;/&gt;&lt;wsp:rsid wsp:val=&quot;00CA5978&quot;/&gt;&lt;wsp:rsid wsp:val=&quot;00CA6036&quot;/&gt;&lt;wsp:rsid wsp:val=&quot;00CA6141&quot;/&gt;&lt;wsp:rsid wsp:val=&quot;00CA634D&quot;/&gt;&lt;wsp:rsid wsp:val=&quot;00CA65E8&quot;/&gt;&lt;wsp:rsid wsp:val=&quot;00CA6BCF&quot;/&gt;&lt;wsp:rsid wsp:val=&quot;00CA6F82&quot;/&gt;&lt;wsp:rsid wsp:val=&quot;00CA712E&quot;/&gt;&lt;wsp:rsid wsp:val=&quot;00CA749A&quot;/&gt;&lt;wsp:rsid wsp:val=&quot;00CA7985&quot;/&gt;&lt;wsp:rsid wsp:val=&quot;00CB0B0A&quot;/&gt;&lt;wsp:rsid wsp:val=&quot;00CB0B4B&quot;/&gt;&lt;wsp:rsid wsp:val=&quot;00CB0DA8&quot;/&gt;&lt;wsp:rsid wsp:val=&quot;00CB1FC3&quot;/&gt;&lt;wsp:rsid wsp:val=&quot;00CB274D&quot;/&gt;&lt;wsp:rsid wsp:val=&quot;00CB31BA&quot;/&gt;&lt;wsp:rsid wsp:val=&quot;00CB32BE&quot;/&gt;&lt;wsp:rsid wsp:val=&quot;00CB3D5A&quot;/&gt;&lt;wsp:rsid wsp:val=&quot;00CB401B&quot;/&gt;&lt;wsp:rsid wsp:val=&quot;00CB42B6&quot;/&gt;&lt;wsp:rsid wsp:val=&quot;00CB491B&quot;/&gt;&lt;wsp:rsid wsp:val=&quot;00CB55FC&quot;/&gt;&lt;wsp:rsid wsp:val=&quot;00CB5816&quot;/&gt;&lt;wsp:rsid wsp:val=&quot;00CB6917&quot;/&gt;&lt;wsp:rsid wsp:val=&quot;00CB6A3E&quot;/&gt;&lt;wsp:rsid wsp:val=&quot;00CB7170&quot;/&gt;&lt;wsp:rsid wsp:val=&quot;00CB73FF&quot;/&gt;&lt;wsp:rsid wsp:val=&quot;00CB77ED&quot;/&gt;&lt;wsp:rsid wsp:val=&quot;00CC0244&quot;/&gt;&lt;wsp:rsid wsp:val=&quot;00CC0403&quot;/&gt;&lt;wsp:rsid wsp:val=&quot;00CC0FFF&quot;/&gt;&lt;wsp:rsid wsp:val=&quot;00CC1610&quot;/&gt;&lt;wsp:rsid wsp:val=&quot;00CC22D3&quot;/&gt;&lt;wsp:rsid wsp:val=&quot;00CC2652&quot;/&gt;&lt;wsp:rsid wsp:val=&quot;00CC2C41&quot;/&gt;&lt;wsp:rsid wsp:val=&quot;00CC2C7B&quot;/&gt;&lt;wsp:rsid wsp:val=&quot;00CC2E66&quot;/&gt;&lt;wsp:rsid wsp:val=&quot;00CC3896&quot;/&gt;&lt;wsp:rsid wsp:val=&quot;00CC3F9E&quot;/&gt;&lt;wsp:rsid wsp:val=&quot;00CC4E98&quot;/&gt;&lt;wsp:rsid wsp:val=&quot;00CC512B&quot;/&gt;&lt;wsp:rsid wsp:val=&quot;00CC53E6&quot;/&gt;&lt;wsp:rsid wsp:val=&quot;00CC54D7&quot;/&gt;&lt;wsp:rsid wsp:val=&quot;00CC55B5&quot;/&gt;&lt;wsp:rsid wsp:val=&quot;00CC5E40&quot;/&gt;&lt;wsp:rsid wsp:val=&quot;00CC5E62&quot;/&gt;&lt;wsp:rsid wsp:val=&quot;00CC5EE5&quot;/&gt;&lt;wsp:rsid wsp:val=&quot;00CC6576&quot;/&gt;&lt;wsp:rsid wsp:val=&quot;00CC696E&quot;/&gt;&lt;wsp:rsid wsp:val=&quot;00CC6A69&quot;/&gt;&lt;wsp:rsid wsp:val=&quot;00CC6C54&quot;/&gt;&lt;wsp:rsid wsp:val=&quot;00CC7030&quot;/&gt;&lt;wsp:rsid wsp:val=&quot;00CC741B&quot;/&gt;&lt;wsp:rsid wsp:val=&quot;00CC7926&quot;/&gt;&lt;wsp:rsid wsp:val=&quot;00CD0A29&quot;/&gt;&lt;wsp:rsid wsp:val=&quot;00CD1281&quot;/&gt;&lt;wsp:rsid wsp:val=&quot;00CD19ED&quot;/&gt;&lt;wsp:rsid wsp:val=&quot;00CD1CE3&quot;/&gt;&lt;wsp:rsid wsp:val=&quot;00CD2074&quot;/&gt;&lt;wsp:rsid wsp:val=&quot;00CD213E&quot;/&gt;&lt;wsp:rsid wsp:val=&quot;00CD218F&quot;/&gt;&lt;wsp:rsid wsp:val=&quot;00CD2288&quot;/&gt;&lt;wsp:rsid wsp:val=&quot;00CD2DF9&quot;/&gt;&lt;wsp:rsid wsp:val=&quot;00CD3084&quot;/&gt;&lt;wsp:rsid wsp:val=&quot;00CD30FE&quot;/&gt;&lt;wsp:rsid wsp:val=&quot;00CD3692&quot;/&gt;&lt;wsp:rsid wsp:val=&quot;00CD3774&quot;/&gt;&lt;wsp:rsid wsp:val=&quot;00CD37CD&quot;/&gt;&lt;wsp:rsid wsp:val=&quot;00CD3B71&quot;/&gt;&lt;wsp:rsid wsp:val=&quot;00CD51CA&quot;/&gt;&lt;wsp:rsid wsp:val=&quot;00CD52E8&quot;/&gt;&lt;wsp:rsid wsp:val=&quot;00CD5CCE&quot;/&gt;&lt;wsp:rsid wsp:val=&quot;00CD5EED&quot;/&gt;&lt;wsp:rsid wsp:val=&quot;00CD6514&quot;/&gt;&lt;wsp:rsid wsp:val=&quot;00CD65A2&quot;/&gt;&lt;wsp:rsid wsp:val=&quot;00CD6637&quot;/&gt;&lt;wsp:rsid wsp:val=&quot;00CD66A4&quot;/&gt;&lt;wsp:rsid wsp:val=&quot;00CD694B&quot;/&gt;&lt;wsp:rsid wsp:val=&quot;00CD69E7&quot;/&gt;&lt;wsp:rsid wsp:val=&quot;00CD69E9&quot;/&gt;&lt;wsp:rsid wsp:val=&quot;00CD6A70&quot;/&gt;&lt;wsp:rsid wsp:val=&quot;00CD74D8&quot;/&gt;&lt;wsp:rsid wsp:val=&quot;00CD7999&quot;/&gt;&lt;wsp:rsid wsp:val=&quot;00CD7BF1&quot;/&gt;&lt;wsp:rsid wsp:val=&quot;00CE0AB2&quot;/&gt;&lt;wsp:rsid wsp:val=&quot;00CE0C16&quot;/&gt;&lt;wsp:rsid wsp:val=&quot;00CE0CA0&quot;/&gt;&lt;wsp:rsid wsp:val=&quot;00CE1CCE&quot;/&gt;&lt;wsp:rsid wsp:val=&quot;00CE21FB&quot;/&gt;&lt;wsp:rsid wsp:val=&quot;00CE376E&quot;/&gt;&lt;wsp:rsid wsp:val=&quot;00CE3866&quot;/&gt;&lt;wsp:rsid wsp:val=&quot;00CE399C&quot;/&gt;&lt;wsp:rsid wsp:val=&quot;00CE4C8A&quot;/&gt;&lt;wsp:rsid wsp:val=&quot;00CE4FD3&quot;/&gt;&lt;wsp:rsid wsp:val=&quot;00CE576A&quot;/&gt;&lt;wsp:rsid wsp:val=&quot;00CE5853&quot;/&gt;&lt;wsp:rsid wsp:val=&quot;00CE5BD9&quot;/&gt;&lt;wsp:rsid wsp:val=&quot;00CE5D8F&quot;/&gt;&lt;wsp:rsid wsp:val=&quot;00CE6025&quot;/&gt;&lt;wsp:rsid wsp:val=&quot;00CE6071&quot;/&gt;&lt;wsp:rsid wsp:val=&quot;00CE611F&quot;/&gt;&lt;wsp:rsid wsp:val=&quot;00CE61F5&quot;/&gt;&lt;wsp:rsid wsp:val=&quot;00CE6ABF&quot;/&gt;&lt;wsp:rsid wsp:val=&quot;00CE6BA9&quot;/&gt;&lt;wsp:rsid wsp:val=&quot;00CE6F0E&quot;/&gt;&lt;wsp:rsid wsp:val=&quot;00CE7151&quot;/&gt;&lt;wsp:rsid wsp:val=&quot;00CF09BF&quot;/&gt;&lt;wsp:rsid wsp:val=&quot;00CF1B2A&quot;/&gt;&lt;wsp:rsid wsp:val=&quot;00CF1CFA&quot;/&gt;&lt;wsp:rsid wsp:val=&quot;00CF22DE&quot;/&gt;&lt;wsp:rsid wsp:val=&quot;00CF2B49&quot;/&gt;&lt;wsp:rsid wsp:val=&quot;00CF2EA1&quot;/&gt;&lt;wsp:rsid wsp:val=&quot;00CF2FB9&quot;/&gt;&lt;wsp:rsid wsp:val=&quot;00CF31DC&quot;/&gt;&lt;wsp:rsid wsp:val=&quot;00CF3F30&quot;/&gt;&lt;wsp:rsid wsp:val=&quot;00CF3FEF&quot;/&gt;&lt;wsp:rsid wsp:val=&quot;00CF4B77&quot;/&gt;&lt;wsp:rsid wsp:val=&quot;00CF51DB&quot;/&gt;&lt;wsp:rsid wsp:val=&quot;00CF5B2E&quot;/&gt;&lt;wsp:rsid wsp:val=&quot;00CF5BDF&quot;/&gt;&lt;wsp:rsid wsp:val=&quot;00CF5D64&quot;/&gt;&lt;wsp:rsid wsp:val=&quot;00CF6B2C&quot;/&gt;&lt;wsp:rsid wsp:val=&quot;00CF7115&quot;/&gt;&lt;wsp:rsid wsp:val=&quot;00CF7996&quot;/&gt;&lt;wsp:rsid wsp:val=&quot;00D00238&quot;/&gt;&lt;wsp:rsid wsp:val=&quot;00D00DC6&quot;/&gt;&lt;wsp:rsid wsp:val=&quot;00D00EF3&quot;/&gt;&lt;wsp:rsid wsp:val=&quot;00D01224&quot;/&gt;&lt;wsp:rsid wsp:val=&quot;00D01783&quot;/&gt;&lt;wsp:rsid wsp:val=&quot;00D01B32&quot;/&gt;&lt;wsp:rsid wsp:val=&quot;00D01C6C&quot;/&gt;&lt;wsp:rsid wsp:val=&quot;00D01F24&quot;/&gt;&lt;wsp:rsid wsp:val=&quot;00D02011&quot;/&gt;&lt;wsp:rsid wsp:val=&quot;00D02109&quot;/&gt;&lt;wsp:rsid wsp:val=&quot;00D029A1&quot;/&gt;&lt;wsp:rsid wsp:val=&quot;00D02EE9&quot;/&gt;&lt;wsp:rsid wsp:val=&quot;00D0360E&quot;/&gt;&lt;wsp:rsid wsp:val=&quot;00D03C5C&quot;/&gt;&lt;wsp:rsid wsp:val=&quot;00D0458F&quot;/&gt;&lt;wsp:rsid wsp:val=&quot;00D0461D&quot;/&gt;&lt;wsp:rsid wsp:val=&quot;00D04749&quot;/&gt;&lt;wsp:rsid wsp:val=&quot;00D04A59&quot;/&gt;&lt;wsp:rsid wsp:val=&quot;00D0500A&quot;/&gt;&lt;wsp:rsid wsp:val=&quot;00D05301&quot;/&gt;&lt;wsp:rsid wsp:val=&quot;00D06BB5&quot;/&gt;&lt;wsp:rsid wsp:val=&quot;00D06C66&quot;/&gt;&lt;wsp:rsid wsp:val=&quot;00D0705E&quot;/&gt;&lt;wsp:rsid wsp:val=&quot;00D072B4&quot;/&gt;&lt;wsp:rsid wsp:val=&quot;00D07CA7&quot;/&gt;&lt;wsp:rsid wsp:val=&quot;00D1001E&quot;/&gt;&lt;wsp:rsid wsp:val=&quot;00D10129&quot;/&gt;&lt;wsp:rsid wsp:val=&quot;00D103C2&quot;/&gt;&lt;wsp:rsid wsp:val=&quot;00D1040B&quot;/&gt;&lt;wsp:rsid wsp:val=&quot;00D10740&quot;/&gt;&lt;wsp:rsid wsp:val=&quot;00D109E2&quot;/&gt;&lt;wsp:rsid wsp:val=&quot;00D10DD5&quot;/&gt;&lt;wsp:rsid wsp:val=&quot;00D10EA0&quot;/&gt;&lt;wsp:rsid wsp:val=&quot;00D10F30&quot;/&gt;&lt;wsp:rsid wsp:val=&quot;00D10F73&quot;/&gt;&lt;wsp:rsid wsp:val=&quot;00D12115&quot;/&gt;&lt;wsp:rsid wsp:val=&quot;00D1261E&quot;/&gt;&lt;wsp:rsid wsp:val=&quot;00D12AE5&quot;/&gt;&lt;wsp:rsid wsp:val=&quot;00D13184&quot;/&gt;&lt;wsp:rsid wsp:val=&quot;00D13CF7&quot;/&gt;&lt;wsp:rsid wsp:val=&quot;00D14195&quot;/&gt;&lt;wsp:rsid wsp:val=&quot;00D14A38&quot;/&gt;&lt;wsp:rsid wsp:val=&quot;00D14FDD&quot;/&gt;&lt;wsp:rsid wsp:val=&quot;00D1586E&quot;/&gt;&lt;wsp:rsid wsp:val=&quot;00D158B9&quot;/&gt;&lt;wsp:rsid wsp:val=&quot;00D15EFE&quot;/&gt;&lt;wsp:rsid wsp:val=&quot;00D1676A&quot;/&gt;&lt;wsp:rsid wsp:val=&quot;00D168FF&quot;/&gt;&lt;wsp:rsid wsp:val=&quot;00D16E18&quot;/&gt;&lt;wsp:rsid wsp:val=&quot;00D17550&quot;/&gt;&lt;wsp:rsid wsp:val=&quot;00D17560&quot;/&gt;&lt;wsp:rsid wsp:val=&quot;00D20CCA&quot;/&gt;&lt;wsp:rsid wsp:val=&quot;00D2117D&quot;/&gt;&lt;wsp:rsid wsp:val=&quot;00D21199&quot;/&gt;&lt;wsp:rsid wsp:val=&quot;00D215AC&quot;/&gt;&lt;wsp:rsid wsp:val=&quot;00D2209F&quot;/&gt;&lt;wsp:rsid wsp:val=&quot;00D222AA&quot;/&gt;&lt;wsp:rsid wsp:val=&quot;00D223CB&quot;/&gt;&lt;wsp:rsid wsp:val=&quot;00D228B5&quot;/&gt;&lt;wsp:rsid wsp:val=&quot;00D22C6A&quot;/&gt;&lt;wsp:rsid wsp:val=&quot;00D230DE&quot;/&gt;&lt;wsp:rsid wsp:val=&quot;00D23301&quot;/&gt;&lt;wsp:rsid wsp:val=&quot;00D238BE&quot;/&gt;&lt;wsp:rsid wsp:val=&quot;00D23DD5&quot;/&gt;&lt;wsp:rsid wsp:val=&quot;00D2415B&quot;/&gt;&lt;wsp:rsid wsp:val=&quot;00D249B8&quot;/&gt;&lt;wsp:rsid wsp:val=&quot;00D258A2&quot;/&gt;&lt;wsp:rsid wsp:val=&quot;00D262DE&quot;/&gt;&lt;wsp:rsid wsp:val=&quot;00D2643A&quot;/&gt;&lt;wsp:rsid wsp:val=&quot;00D268A0&quot;/&gt;&lt;wsp:rsid wsp:val=&quot;00D26C6B&quot;/&gt;&lt;wsp:rsid wsp:val=&quot;00D26E1A&quot;/&gt;&lt;wsp:rsid wsp:val=&quot;00D271FF&quot;/&gt;&lt;wsp:rsid wsp:val=&quot;00D27EA4&quot;/&gt;&lt;wsp:rsid wsp:val=&quot;00D30019&quot;/&gt;&lt;wsp:rsid wsp:val=&quot;00D306A9&quot;/&gt;&lt;wsp:rsid wsp:val=&quot;00D30D67&quot;/&gt;&lt;wsp:rsid wsp:val=&quot;00D31279&quot;/&gt;&lt;wsp:rsid wsp:val=&quot;00D31676&quot;/&gt;&lt;wsp:rsid wsp:val=&quot;00D321F1&quot;/&gt;&lt;wsp:rsid wsp:val=&quot;00D333CA&quot;/&gt;&lt;wsp:rsid wsp:val=&quot;00D33F76&quot;/&gt;&lt;wsp:rsid wsp:val=&quot;00D342D5&quot;/&gt;&lt;wsp:rsid wsp:val=&quot;00D3449C&quot;/&gt;&lt;wsp:rsid wsp:val=&quot;00D34AE0&quot;/&gt;&lt;wsp:rsid wsp:val=&quot;00D34C28&quot;/&gt;&lt;wsp:rsid wsp:val=&quot;00D34F95&quot;/&gt;&lt;wsp:rsid wsp:val=&quot;00D35492&quot;/&gt;&lt;wsp:rsid wsp:val=&quot;00D35C79&quot;/&gt;&lt;wsp:rsid wsp:val=&quot;00D3664E&quot;/&gt;&lt;wsp:rsid wsp:val=&quot;00D366C3&quot;/&gt;&lt;wsp:rsid wsp:val=&quot;00D36E16&quot;/&gt;&lt;wsp:rsid wsp:val=&quot;00D3707F&quot;/&gt;&lt;wsp:rsid wsp:val=&quot;00D371F3&quot;/&gt;&lt;wsp:rsid wsp:val=&quot;00D3739A&quot;/&gt;&lt;wsp:rsid wsp:val=&quot;00D375D0&quot;/&gt;&lt;wsp:rsid wsp:val=&quot;00D37749&quot;/&gt;&lt;wsp:rsid wsp:val=&quot;00D378EA&quot;/&gt;&lt;wsp:rsid wsp:val=&quot;00D405DB&quot;/&gt;&lt;wsp:rsid wsp:val=&quot;00D41606&quot;/&gt;&lt;wsp:rsid wsp:val=&quot;00D416BF&quot;/&gt;&lt;wsp:rsid wsp:val=&quot;00D4238F&quot;/&gt;&lt;wsp:rsid wsp:val=&quot;00D42C6A&quot;/&gt;&lt;wsp:rsid wsp:val=&quot;00D43761&quot;/&gt;&lt;wsp:rsid wsp:val=&quot;00D43F01&quot;/&gt;&lt;wsp:rsid wsp:val=&quot;00D440D6&quot;/&gt;&lt;wsp:rsid wsp:val=&quot;00D44A24&quot;/&gt;&lt;wsp:rsid wsp:val=&quot;00D44D03&quot;/&gt;&lt;wsp:rsid wsp:val=&quot;00D46A5A&quot;/&gt;&lt;wsp:rsid wsp:val=&quot;00D46C33&quot;/&gt;&lt;wsp:rsid wsp:val=&quot;00D46E0D&quot;/&gt;&lt;wsp:rsid wsp:val=&quot;00D47036&quot;/&gt;&lt;wsp:rsid wsp:val=&quot;00D476FA&quot;/&gt;&lt;wsp:rsid wsp:val=&quot;00D503B9&quot;/&gt;&lt;wsp:rsid wsp:val=&quot;00D503EA&quot;/&gt;&lt;wsp:rsid wsp:val=&quot;00D50EED&quot;/&gt;&lt;wsp:rsid wsp:val=&quot;00D51033&quot;/&gt;&lt;wsp:rsid wsp:val=&quot;00D51EDF&quot;/&gt;&lt;wsp:rsid wsp:val=&quot;00D520D5&quot;/&gt;&lt;wsp:rsid wsp:val=&quot;00D522B4&quot;/&gt;&lt;wsp:rsid wsp:val=&quot;00D523B6&quot;/&gt;&lt;wsp:rsid wsp:val=&quot;00D52513&quot;/&gt;&lt;wsp:rsid wsp:val=&quot;00D526CB&quot;/&gt;&lt;wsp:rsid wsp:val=&quot;00D528CE&quot;/&gt;&lt;wsp:rsid wsp:val=&quot;00D52A90&quot;/&gt;&lt;wsp:rsid wsp:val=&quot;00D52A94&quot;/&gt;&lt;wsp:rsid wsp:val=&quot;00D53085&quot;/&gt;&lt;wsp:rsid wsp:val=&quot;00D543FB&quot;/&gt;&lt;wsp:rsid wsp:val=&quot;00D5527B&quot;/&gt;&lt;wsp:rsid wsp:val=&quot;00D55EA7&quot;/&gt;&lt;wsp:rsid wsp:val=&quot;00D56130&quot;/&gt;&lt;wsp:rsid wsp:val=&quot;00D56EFA&quot;/&gt;&lt;wsp:rsid wsp:val=&quot;00D572BE&quot;/&gt;&lt;wsp:rsid wsp:val=&quot;00D5764C&quot;/&gt;&lt;wsp:rsid wsp:val=&quot;00D57B52&quot;/&gt;&lt;wsp:rsid wsp:val=&quot;00D60B33&quot;/&gt;&lt;wsp:rsid wsp:val=&quot;00D60B71&quot;/&gt;&lt;wsp:rsid wsp:val=&quot;00D60B7E&quot;/&gt;&lt;wsp:rsid wsp:val=&quot;00D611AF&quot;/&gt;&lt;wsp:rsid wsp:val=&quot;00D6135B&quot;/&gt;&lt;wsp:rsid wsp:val=&quot;00D617A8&quot;/&gt;&lt;wsp:rsid wsp:val=&quot;00D61E44&quot;/&gt;&lt;wsp:rsid wsp:val=&quot;00D62A06&quot;/&gt;&lt;wsp:rsid wsp:val=&quot;00D62C1A&quot;/&gt;&lt;wsp:rsid wsp:val=&quot;00D62F5E&quot;/&gt;&lt;wsp:rsid wsp:val=&quot;00D6377F&quot;/&gt;&lt;wsp:rsid wsp:val=&quot;00D64AED&quot;/&gt;&lt;wsp:rsid wsp:val=&quot;00D64CA7&quot;/&gt;&lt;wsp:rsid wsp:val=&quot;00D64DB1&quot;/&gt;&lt;wsp:rsid wsp:val=&quot;00D64E8D&quot;/&gt;&lt;wsp:rsid wsp:val=&quot;00D6501D&quot;/&gt;&lt;wsp:rsid wsp:val=&quot;00D65ADA&quot;/&gt;&lt;wsp:rsid wsp:val=&quot;00D66990&quot;/&gt;&lt;wsp:rsid wsp:val=&quot;00D66AA9&quot;/&gt;&lt;wsp:rsid wsp:val=&quot;00D66DC7&quot;/&gt;&lt;wsp:rsid wsp:val=&quot;00D67EB1&quot;/&gt;&lt;wsp:rsid wsp:val=&quot;00D67F1D&quot;/&gt;&lt;wsp:rsid wsp:val=&quot;00D70231&quot;/&gt;&lt;wsp:rsid wsp:val=&quot;00D70B1B&quot;/&gt;&lt;wsp:rsid wsp:val=&quot;00D70B59&quot;/&gt;&lt;wsp:rsid wsp:val=&quot;00D71152&quot;/&gt;&lt;wsp:rsid wsp:val=&quot;00D71913&quot;/&gt;&lt;wsp:rsid wsp:val=&quot;00D7193C&quot;/&gt;&lt;wsp:rsid wsp:val=&quot;00D71B3E&quot;/&gt;&lt;wsp:rsid wsp:val=&quot;00D7265F&quot;/&gt;&lt;wsp:rsid wsp:val=&quot;00D729F6&quot;/&gt;&lt;wsp:rsid wsp:val=&quot;00D729FA&quot;/&gt;&lt;wsp:rsid wsp:val=&quot;00D72BDA&quot;/&gt;&lt;wsp:rsid wsp:val=&quot;00D73677&quot;/&gt;&lt;wsp:rsid wsp:val=&quot;00D7389C&quot;/&gt;&lt;wsp:rsid wsp:val=&quot;00D74D59&quot;/&gt;&lt;wsp:rsid wsp:val=&quot;00D74DBC&quot;/&gt;&lt;wsp:rsid wsp:val=&quot;00D74DDD&quot;/&gt;&lt;wsp:rsid wsp:val=&quot;00D74E1A&quot;/&gt;&lt;wsp:rsid wsp:val=&quot;00D74E94&quot;/&gt;&lt;wsp:rsid wsp:val=&quot;00D75835&quot;/&gt;&lt;wsp:rsid wsp:val=&quot;00D75D47&quot;/&gt;&lt;wsp:rsid wsp:val=&quot;00D76048&quot;/&gt;&lt;wsp:rsid wsp:val=&quot;00D760E7&quot;/&gt;&lt;wsp:rsid wsp:val=&quot;00D762E8&quot;/&gt;&lt;wsp:rsid wsp:val=&quot;00D762EF&quot;/&gt;&lt;wsp:rsid wsp:val=&quot;00D76517&quot;/&gt;&lt;wsp:rsid wsp:val=&quot;00D76689&quot;/&gt;&lt;wsp:rsid wsp:val=&quot;00D766D2&quot;/&gt;&lt;wsp:rsid wsp:val=&quot;00D76919&quot;/&gt;&lt;wsp:rsid wsp:val=&quot;00D77E41&quot;/&gt;&lt;wsp:rsid wsp:val=&quot;00D77EE5&quot;/&gt;&lt;wsp:rsid wsp:val=&quot;00D8039A&quot;/&gt;&lt;wsp:rsid wsp:val=&quot;00D80913&quot;/&gt;&lt;wsp:rsid wsp:val=&quot;00D8099C&quot;/&gt;&lt;wsp:rsid wsp:val=&quot;00D81B99&quot;/&gt;&lt;wsp:rsid wsp:val=&quot;00D81FEC&quot;/&gt;&lt;wsp:rsid wsp:val=&quot;00D823EE&quot;/&gt;&lt;wsp:rsid wsp:val=&quot;00D82815&quot;/&gt;&lt;wsp:rsid wsp:val=&quot;00D82C31&quot;/&gt;&lt;wsp:rsid wsp:val=&quot;00D832A4&quot;/&gt;&lt;wsp:rsid wsp:val=&quot;00D8349C&quot;/&gt;&lt;wsp:rsid wsp:val=&quot;00D838AF&quot;/&gt;&lt;wsp:rsid wsp:val=&quot;00D84113&quot;/&gt;&lt;wsp:rsid wsp:val=&quot;00D84285&quot;/&gt;&lt;wsp:rsid wsp:val=&quot;00D84349&quot;/&gt;&lt;wsp:rsid wsp:val=&quot;00D84901&quot;/&gt;&lt;wsp:rsid wsp:val=&quot;00D8560C&quot;/&gt;&lt;wsp:rsid wsp:val=&quot;00D861CD&quot;/&gt;&lt;wsp:rsid wsp:val=&quot;00D8659C&quot;/&gt;&lt;wsp:rsid wsp:val=&quot;00D870F2&quot;/&gt;&lt;wsp:rsid wsp:val=&quot;00D87463&quot;/&gt;&lt;wsp:rsid wsp:val=&quot;00D87753&quot;/&gt;&lt;wsp:rsid wsp:val=&quot;00D87A65&quot;/&gt;&lt;wsp:rsid wsp:val=&quot;00D87E2C&quot;/&gt;&lt;wsp:rsid wsp:val=&quot;00D90202&quot;/&gt;&lt;wsp:rsid wsp:val=&quot;00D902F2&quot;/&gt;&lt;wsp:rsid wsp:val=&quot;00D90B88&quot;/&gt;&lt;wsp:rsid wsp:val=&quot;00D91448&quot;/&gt;&lt;wsp:rsid wsp:val=&quot;00D92263&quot;/&gt;&lt;wsp:rsid wsp:val=&quot;00D92855&quot;/&gt;&lt;wsp:rsid wsp:val=&quot;00D92C6B&quot;/&gt;&lt;wsp:rsid wsp:val=&quot;00D93D26&quot;/&gt;&lt;wsp:rsid wsp:val=&quot;00D94199&quot;/&gt;&lt;wsp:rsid wsp:val=&quot;00D956DD&quot;/&gt;&lt;wsp:rsid wsp:val=&quot;00D96206&quot;/&gt;&lt;wsp:rsid wsp:val=&quot;00D964F2&quot;/&gt;&lt;wsp:rsid wsp:val=&quot;00D96C27&quot;/&gt;&lt;wsp:rsid wsp:val=&quot;00D96EEC&quot;/&gt;&lt;wsp:rsid wsp:val=&quot;00D97034&quot;/&gt;&lt;wsp:rsid wsp:val=&quot;00D97574&quot;/&gt;&lt;wsp:rsid wsp:val=&quot;00D97F4E&quot;/&gt;&lt;wsp:rsid wsp:val=&quot;00DA0AFC&quot;/&gt;&lt;wsp:rsid wsp:val=&quot;00DA0B47&quot;/&gt;&lt;wsp:rsid wsp:val=&quot;00DA0BC9&quot;/&gt;&lt;wsp:rsid wsp:val=&quot;00DA0CD5&quot;/&gt;&lt;wsp:rsid wsp:val=&quot;00DA11A5&quot;/&gt;&lt;wsp:rsid wsp:val=&quot;00DA1871&quot;/&gt;&lt;wsp:rsid wsp:val=&quot;00DA1A41&quot;/&gt;&lt;wsp:rsid wsp:val=&quot;00DA20CD&quot;/&gt;&lt;wsp:rsid wsp:val=&quot;00DA21DD&quot;/&gt;&lt;wsp:rsid wsp:val=&quot;00DA2471&quot;/&gt;&lt;wsp:rsid wsp:val=&quot;00DA280C&quot;/&gt;&lt;wsp:rsid wsp:val=&quot;00DA2C4F&quot;/&gt;&lt;wsp:rsid wsp:val=&quot;00DA2E49&quot;/&gt;&lt;wsp:rsid wsp:val=&quot;00DA2E96&quot;/&gt;&lt;wsp:rsid wsp:val=&quot;00DA2EA7&quot;/&gt;&lt;wsp:rsid wsp:val=&quot;00DA2FE0&quot;/&gt;&lt;wsp:rsid wsp:val=&quot;00DA3027&quot;/&gt;&lt;wsp:rsid wsp:val=&quot;00DA32EB&quot;/&gt;&lt;wsp:rsid wsp:val=&quot;00DA337D&quot;/&gt;&lt;wsp:rsid wsp:val=&quot;00DA486E&quot;/&gt;&lt;wsp:rsid wsp:val=&quot;00DA512F&quot;/&gt;&lt;wsp:rsid wsp:val=&quot;00DA5201&quot;/&gt;&lt;wsp:rsid wsp:val=&quot;00DA54D4&quot;/&gt;&lt;wsp:rsid wsp:val=&quot;00DA5D21&quot;/&gt;&lt;wsp:rsid wsp:val=&quot;00DA617F&quot;/&gt;&lt;wsp:rsid wsp:val=&quot;00DA66B8&quot;/&gt;&lt;wsp:rsid wsp:val=&quot;00DA706A&quot;/&gt;&lt;wsp:rsid wsp:val=&quot;00DA72CF&quot;/&gt;&lt;wsp:rsid wsp:val=&quot;00DA734D&quot;/&gt;&lt;wsp:rsid wsp:val=&quot;00DA7727&quot;/&gt;&lt;wsp:rsid wsp:val=&quot;00DA78D0&quot;/&gt;&lt;wsp:rsid wsp:val=&quot;00DA7B02&quot;/&gt;&lt;wsp:rsid wsp:val=&quot;00DA7D0F&quot;/&gt;&lt;wsp:rsid wsp:val=&quot;00DB0281&quot;/&gt;&lt;wsp:rsid wsp:val=&quot;00DB03D0&quot;/&gt;&lt;wsp:rsid wsp:val=&quot;00DB0A6E&quot;/&gt;&lt;wsp:rsid wsp:val=&quot;00DB0D6F&quot;/&gt;&lt;wsp:rsid wsp:val=&quot;00DB1E42&quot;/&gt;&lt;wsp:rsid wsp:val=&quot;00DB1FB2&quot;/&gt;&lt;wsp:rsid wsp:val=&quot;00DB2616&quot;/&gt;&lt;wsp:rsid wsp:val=&quot;00DB2AD8&quot;/&gt;&lt;wsp:rsid wsp:val=&quot;00DB303C&quot;/&gt;&lt;wsp:rsid wsp:val=&quot;00DB31D4&quot;/&gt;&lt;wsp:rsid wsp:val=&quot;00DB34E0&quot;/&gt;&lt;wsp:rsid wsp:val=&quot;00DB4138&quot;/&gt;&lt;wsp:rsid wsp:val=&quot;00DB4491&quot;/&gt;&lt;wsp:rsid wsp:val=&quot;00DB4872&quot;/&gt;&lt;wsp:rsid wsp:val=&quot;00DB49C5&quot;/&gt;&lt;wsp:rsid wsp:val=&quot;00DB5001&quot;/&gt;&lt;wsp:rsid wsp:val=&quot;00DB589E&quot;/&gt;&lt;wsp:rsid wsp:val=&quot;00DB62A5&quot;/&gt;&lt;wsp:rsid wsp:val=&quot;00DB62A6&quot;/&gt;&lt;wsp:rsid wsp:val=&quot;00DB6606&quot;/&gt;&lt;wsp:rsid wsp:val=&quot;00DB6D36&quot;/&gt;&lt;wsp:rsid wsp:val=&quot;00DB7756&quot;/&gt;&lt;wsp:rsid wsp:val=&quot;00DB7784&quot;/&gt;&lt;wsp:rsid wsp:val=&quot;00DB7905&quot;/&gt;&lt;wsp:rsid wsp:val=&quot;00DB7A2A&quot;/&gt;&lt;wsp:rsid wsp:val=&quot;00DB7B75&quot;/&gt;&lt;wsp:rsid wsp:val=&quot;00DC0325&quot;/&gt;&lt;wsp:rsid wsp:val=&quot;00DC0A1C&quot;/&gt;&lt;wsp:rsid wsp:val=&quot;00DC169C&quot;/&gt;&lt;wsp:rsid wsp:val=&quot;00DC1922&quot;/&gt;&lt;wsp:rsid wsp:val=&quot;00DC2AED&quot;/&gt;&lt;wsp:rsid wsp:val=&quot;00DC3209&quot;/&gt;&lt;wsp:rsid wsp:val=&quot;00DC3548&quot;/&gt;&lt;wsp:rsid wsp:val=&quot;00DC3654&quot;/&gt;&lt;wsp:rsid wsp:val=&quot;00DC3CEF&quot;/&gt;&lt;wsp:rsid wsp:val=&quot;00DC40B0&quot;/&gt;&lt;wsp:rsid wsp:val=&quot;00DC4A31&quot;/&gt;&lt;wsp:rsid wsp:val=&quot;00DC4DEE&quot;/&gt;&lt;wsp:rsid wsp:val=&quot;00DC4F31&quot;/&gt;&lt;wsp:rsid wsp:val=&quot;00DC528E&quot;/&gt;&lt;wsp:rsid wsp:val=&quot;00DC54AC&quot;/&gt;&lt;wsp:rsid wsp:val=&quot;00DC5621&quot;/&gt;&lt;wsp:rsid wsp:val=&quot;00DC5AF4&quot;/&gt;&lt;wsp:rsid wsp:val=&quot;00DC6079&quot;/&gt;&lt;wsp:rsid wsp:val=&quot;00DC6567&quot;/&gt;&lt;wsp:rsid wsp:val=&quot;00DC692B&quot;/&gt;&lt;wsp:rsid wsp:val=&quot;00DC6977&quot;/&gt;&lt;wsp:rsid wsp:val=&quot;00DC6CD6&quot;/&gt;&lt;wsp:rsid wsp:val=&quot;00DC6DAF&quot;/&gt;&lt;wsp:rsid wsp:val=&quot;00DC6FFC&quot;/&gt;&lt;wsp:rsid wsp:val=&quot;00DC715F&quot;/&gt;&lt;wsp:rsid wsp:val=&quot;00DC7C84&quot;/&gt;&lt;wsp:rsid wsp:val=&quot;00DD00E1&quot;/&gt;&lt;wsp:rsid wsp:val=&quot;00DD0308&quot;/&gt;&lt;wsp:rsid wsp:val=&quot;00DD05E0&quot;/&gt;&lt;wsp:rsid wsp:val=&quot;00DD0BB7&quot;/&gt;&lt;wsp:rsid wsp:val=&quot;00DD0E63&quot;/&gt;&lt;wsp:rsid wsp:val=&quot;00DD1075&quot;/&gt;&lt;wsp:rsid wsp:val=&quot;00DD1586&quot;/&gt;&lt;wsp:rsid wsp:val=&quot;00DD1F25&quot;/&gt;&lt;wsp:rsid wsp:val=&quot;00DD258A&quot;/&gt;&lt;wsp:rsid wsp:val=&quot;00DD25DF&quot;/&gt;&lt;wsp:rsid wsp:val=&quot;00DD2ADC&quot;/&gt;&lt;wsp:rsid wsp:val=&quot;00DD2C56&quot;/&gt;&lt;wsp:rsid wsp:val=&quot;00DD2F38&quot;/&gt;&lt;wsp:rsid wsp:val=&quot;00DD39C8&quot;/&gt;&lt;wsp:rsid wsp:val=&quot;00DD4759&quot;/&gt;&lt;wsp:rsid wsp:val=&quot;00DD4A3C&quot;/&gt;&lt;wsp:rsid wsp:val=&quot;00DD4F3D&quot;/&gt;&lt;wsp:rsid wsp:val=&quot;00DD521B&quot;/&gt;&lt;wsp:rsid wsp:val=&quot;00DD5432&quot;/&gt;&lt;wsp:rsid wsp:val=&quot;00DD5BBC&quot;/&gt;&lt;wsp:rsid wsp:val=&quot;00DD60D4&quot;/&gt;&lt;wsp:rsid wsp:val=&quot;00DD736C&quot;/&gt;&lt;wsp:rsid wsp:val=&quot;00DD76FC&quot;/&gt;&lt;wsp:rsid wsp:val=&quot;00DD7B4A&quot;/&gt;&lt;wsp:rsid wsp:val=&quot;00DE0182&quot;/&gt;&lt;wsp:rsid wsp:val=&quot;00DE1999&quot;/&gt;&lt;wsp:rsid wsp:val=&quot;00DE1C00&quot;/&gt;&lt;wsp:rsid wsp:val=&quot;00DE2353&quot;/&gt;&lt;wsp:rsid wsp:val=&quot;00DE2665&quot;/&gt;&lt;wsp:rsid wsp:val=&quot;00DE278C&quot;/&gt;&lt;wsp:rsid wsp:val=&quot;00DE2CEC&quot;/&gt;&lt;wsp:rsid wsp:val=&quot;00DE2D9A&quot;/&gt;&lt;wsp:rsid wsp:val=&quot;00DE32DF&quot;/&gt;&lt;wsp:rsid wsp:val=&quot;00DE3400&quot;/&gt;&lt;wsp:rsid wsp:val=&quot;00DE3546&quot;/&gt;&lt;wsp:rsid wsp:val=&quot;00DE3CE4&quot;/&gt;&lt;wsp:rsid wsp:val=&quot;00DE3F26&quot;/&gt;&lt;wsp:rsid wsp:val=&quot;00DE429F&quot;/&gt;&lt;wsp:rsid wsp:val=&quot;00DE4733&quot;/&gt;&lt;wsp:rsid wsp:val=&quot;00DE5249&quot;/&gt;&lt;wsp:rsid wsp:val=&quot;00DE5A9C&quot;/&gt;&lt;wsp:rsid wsp:val=&quot;00DE5F92&quot;/&gt;&lt;wsp:rsid wsp:val=&quot;00DE620B&quot;/&gt;&lt;wsp:rsid wsp:val=&quot;00DE6CF2&quot;/&gt;&lt;wsp:rsid wsp:val=&quot;00DE7276&quot;/&gt;&lt;wsp:rsid wsp:val=&quot;00DF0C04&quot;/&gt;&lt;wsp:rsid wsp:val=&quot;00DF0F6D&quot;/&gt;&lt;wsp:rsid wsp:val=&quot;00DF13FD&quot;/&gt;&lt;wsp:rsid wsp:val=&quot;00DF1D30&quot;/&gt;&lt;wsp:rsid wsp:val=&quot;00DF1D9F&quot;/&gt;&lt;wsp:rsid wsp:val=&quot;00DF20DE&quot;/&gt;&lt;wsp:rsid wsp:val=&quot;00DF213A&quot;/&gt;&lt;wsp:rsid wsp:val=&quot;00DF2ED7&quot;/&gt;&lt;wsp:rsid wsp:val=&quot;00DF3311&quot;/&gt;&lt;wsp:rsid wsp:val=&quot;00DF337F&quot;/&gt;&lt;wsp:rsid wsp:val=&quot;00DF354A&quot;/&gt;&lt;wsp:rsid wsp:val=&quot;00DF45BC&quot;/&gt;&lt;wsp:rsid wsp:val=&quot;00DF4636&quot;/&gt;&lt;wsp:rsid wsp:val=&quot;00DF4698&quot;/&gt;&lt;wsp:rsid wsp:val=&quot;00DF478E&quot;/&gt;&lt;wsp:rsid wsp:val=&quot;00DF4BB2&quot;/&gt;&lt;wsp:rsid wsp:val=&quot;00DF4D7E&quot;/&gt;&lt;wsp:rsid wsp:val=&quot;00DF4EE2&quot;/&gt;&lt;wsp:rsid wsp:val=&quot;00DF5CB5&quot;/&gt;&lt;wsp:rsid wsp:val=&quot;00DF5FFE&quot;/&gt;&lt;wsp:rsid wsp:val=&quot;00DF6303&quot;/&gt;&lt;wsp:rsid wsp:val=&quot;00DF65F7&quot;/&gt;&lt;wsp:rsid wsp:val=&quot;00DF66AB&quot;/&gt;&lt;wsp:rsid wsp:val=&quot;00DF6820&quot;/&gt;&lt;wsp:rsid wsp:val=&quot;00DF6CDB&quot;/&gt;&lt;wsp:rsid wsp:val=&quot;00DF6D56&quot;/&gt;&lt;wsp:rsid wsp:val=&quot;00DF70D7&quot;/&gt;&lt;wsp:rsid wsp:val=&quot;00DF7A17&quot;/&gt;&lt;wsp:rsid wsp:val=&quot;00DF7AF3&quot;/&gt;&lt;wsp:rsid wsp:val=&quot;00DF7E57&quot;/&gt;&lt;wsp:rsid wsp:val=&quot;00DF7EDA&quot;/&gt;&lt;wsp:rsid wsp:val=&quot;00E00515&quot;/&gt;&lt;wsp:rsid wsp:val=&quot;00E011A8&quot;/&gt;&lt;wsp:rsid wsp:val=&quot;00E01436&quot;/&gt;&lt;wsp:rsid wsp:val=&quot;00E01975&quot;/&gt;&lt;wsp:rsid wsp:val=&quot;00E01A8C&quot;/&gt;&lt;wsp:rsid wsp:val=&quot;00E01B70&quot;/&gt;&lt;wsp:rsid wsp:val=&quot;00E01BFC&quot;/&gt;&lt;wsp:rsid wsp:val=&quot;00E01C05&quot;/&gt;&lt;wsp:rsid wsp:val=&quot;00E02292&quot;/&gt;&lt;wsp:rsid wsp:val=&quot;00E02581&quot;/&gt;&lt;wsp:rsid wsp:val=&quot;00E028D3&quot;/&gt;&lt;wsp:rsid wsp:val=&quot;00E02C39&quot;/&gt;&lt;wsp:rsid wsp:val=&quot;00E02DA9&quot;/&gt;&lt;wsp:rsid wsp:val=&quot;00E02FEA&quot;/&gt;&lt;wsp:rsid wsp:val=&quot;00E036E9&quot;/&gt;&lt;wsp:rsid wsp:val=&quot;00E03E72&quot;/&gt;&lt;wsp:rsid wsp:val=&quot;00E03FD4&quot;/&gt;&lt;wsp:rsid wsp:val=&quot;00E045BD&quot;/&gt;&lt;wsp:rsid wsp:val=&quot;00E04F65&quot;/&gt;&lt;wsp:rsid wsp:val=&quot;00E050A8&quot;/&gt;&lt;wsp:rsid wsp:val=&quot;00E057FE&quot;/&gt;&lt;wsp:rsid wsp:val=&quot;00E05A7B&quot;/&gt;&lt;wsp:rsid wsp:val=&quot;00E05C1C&quot;/&gt;&lt;wsp:rsid wsp:val=&quot;00E05C54&quot;/&gt;&lt;wsp:rsid wsp:val=&quot;00E05DBB&quot;/&gt;&lt;wsp:rsid wsp:val=&quot;00E060B7&quot;/&gt;&lt;wsp:rsid wsp:val=&quot;00E06579&quot;/&gt;&lt;wsp:rsid wsp:val=&quot;00E06777&quot;/&gt;&lt;wsp:rsid wsp:val=&quot;00E071DD&quot;/&gt;&lt;wsp:rsid wsp:val=&quot;00E07269&quot;/&gt;&lt;wsp:rsid wsp:val=&quot;00E0794A&quot;/&gt;&lt;wsp:rsid wsp:val=&quot;00E100F4&quot;/&gt;&lt;wsp:rsid wsp:val=&quot;00E10B0C&quot;/&gt;&lt;wsp:rsid wsp:val=&quot;00E10F47&quot;/&gt;&lt;wsp:rsid wsp:val=&quot;00E10F6C&quot;/&gt;&lt;wsp:rsid wsp:val=&quot;00E11274&quot;/&gt;&lt;wsp:rsid wsp:val=&quot;00E11398&quot;/&gt;&lt;wsp:rsid wsp:val=&quot;00E11AE8&quot;/&gt;&lt;wsp:rsid wsp:val=&quot;00E11EA2&quot;/&gt;&lt;wsp:rsid wsp:val=&quot;00E1218B&quot;/&gt;&lt;wsp:rsid wsp:val=&quot;00E121DA&quot;/&gt;&lt;wsp:rsid wsp:val=&quot;00E1277D&quot;/&gt;&lt;wsp:rsid wsp:val=&quot;00E13113&quot;/&gt;&lt;wsp:rsid wsp:val=&quot;00E13334&quot;/&gt;&lt;wsp:rsid wsp:val=&quot;00E13ADC&quot;/&gt;&lt;wsp:rsid wsp:val=&quot;00E13EE1&quot;/&gt;&lt;wsp:rsid wsp:val=&quot;00E140D1&quot;/&gt;&lt;wsp:rsid wsp:val=&quot;00E15621&quot;/&gt;&lt;wsp:rsid wsp:val=&quot;00E15877&quot;/&gt;&lt;wsp:rsid wsp:val=&quot;00E15C2D&quot;/&gt;&lt;wsp:rsid wsp:val=&quot;00E16461&quot;/&gt;&lt;wsp:rsid wsp:val=&quot;00E165BA&quot;/&gt;&lt;wsp:rsid wsp:val=&quot;00E165EE&quot;/&gt;&lt;wsp:rsid wsp:val=&quot;00E166BB&quot;/&gt;&lt;wsp:rsid wsp:val=&quot;00E16E0D&quot;/&gt;&lt;wsp:rsid wsp:val=&quot;00E16ED0&quot;/&gt;&lt;wsp:rsid wsp:val=&quot;00E178EE&quot;/&gt;&lt;wsp:rsid wsp:val=&quot;00E17958&quot;/&gt;&lt;wsp:rsid wsp:val=&quot;00E20191&quot;/&gt;&lt;wsp:rsid wsp:val=&quot;00E20806&quot;/&gt;&lt;wsp:rsid wsp:val=&quot;00E20956&quot;/&gt;&lt;wsp:rsid wsp:val=&quot;00E2097B&quot;/&gt;&lt;wsp:rsid wsp:val=&quot;00E20ED0&quot;/&gt;&lt;wsp:rsid wsp:val=&quot;00E2123B&quot;/&gt;&lt;wsp:rsid wsp:val=&quot;00E213AA&quot;/&gt;&lt;wsp:rsid wsp:val=&quot;00E2156A&quot;/&gt;&lt;wsp:rsid wsp:val=&quot;00E21795&quot;/&gt;&lt;wsp:rsid wsp:val=&quot;00E22191&quot;/&gt;&lt;wsp:rsid wsp:val=&quot;00E22241&quot;/&gt;&lt;wsp:rsid wsp:val=&quot;00E227F3&quot;/&gt;&lt;wsp:rsid wsp:val=&quot;00E228D3&quot;/&gt;&lt;wsp:rsid wsp:val=&quot;00E22B18&quot;/&gt;&lt;wsp:rsid wsp:val=&quot;00E22D2E&quot;/&gt;&lt;wsp:rsid wsp:val=&quot;00E22E47&quot;/&gt;&lt;wsp:rsid wsp:val=&quot;00E22F48&quot;/&gt;&lt;wsp:rsid wsp:val=&quot;00E22FB4&quot;/&gt;&lt;wsp:rsid wsp:val=&quot;00E235E7&quot;/&gt;&lt;wsp:rsid wsp:val=&quot;00E237F6&quot;/&gt;&lt;wsp:rsid wsp:val=&quot;00E24428&quot;/&gt;&lt;wsp:rsid wsp:val=&quot;00E24C65&quot;/&gt;&lt;wsp:rsid wsp:val=&quot;00E24E03&quot;/&gt;&lt;wsp:rsid wsp:val=&quot;00E24E3A&quot;/&gt;&lt;wsp:rsid wsp:val=&quot;00E250E8&quot;/&gt;&lt;wsp:rsid wsp:val=&quot;00E25218&quot;/&gt;&lt;wsp:rsid wsp:val=&quot;00E255E5&quot;/&gt;&lt;wsp:rsid wsp:val=&quot;00E256B9&quot;/&gt;&lt;wsp:rsid wsp:val=&quot;00E2585B&quot;/&gt;&lt;wsp:rsid wsp:val=&quot;00E25F1C&quot;/&gt;&lt;wsp:rsid wsp:val=&quot;00E25FD7&quot;/&gt;&lt;wsp:rsid wsp:val=&quot;00E260EA&quot;/&gt;&lt;wsp:rsid wsp:val=&quot;00E260FA&quot;/&gt;&lt;wsp:rsid wsp:val=&quot;00E26148&quot;/&gt;&lt;wsp:rsid wsp:val=&quot;00E2640D&quot;/&gt;&lt;wsp:rsid wsp:val=&quot;00E266CD&quot;/&gt;&lt;wsp:rsid wsp:val=&quot;00E26A5E&quot;/&gt;&lt;wsp:rsid wsp:val=&quot;00E26F84&quot;/&gt;&lt;wsp:rsid wsp:val=&quot;00E2721F&quot;/&gt;&lt;wsp:rsid wsp:val=&quot;00E27BB7&quot;/&gt;&lt;wsp:rsid wsp:val=&quot;00E30150&quot;/&gt;&lt;wsp:rsid wsp:val=&quot;00E304FB&quot;/&gt;&lt;wsp:rsid wsp:val=&quot;00E305DF&quot;/&gt;&lt;wsp:rsid wsp:val=&quot;00E3064C&quot;/&gt;&lt;wsp:rsid wsp:val=&quot;00E30936&quot;/&gt;&lt;wsp:rsid wsp:val=&quot;00E30AE1&quot;/&gt;&lt;wsp:rsid wsp:val=&quot;00E30DD1&quot;/&gt;&lt;wsp:rsid wsp:val=&quot;00E312D3&quot;/&gt;&lt;wsp:rsid wsp:val=&quot;00E31B59&quot;/&gt;&lt;wsp:rsid wsp:val=&quot;00E32A0A&quot;/&gt;&lt;wsp:rsid wsp:val=&quot;00E32A4E&quot;/&gt;&lt;wsp:rsid wsp:val=&quot;00E33904&quot;/&gt;&lt;wsp:rsid wsp:val=&quot;00E33DBB&quot;/&gt;&lt;wsp:rsid wsp:val=&quot;00E33EAE&quot;/&gt;&lt;wsp:rsid wsp:val=&quot;00E33EDA&quot;/&gt;&lt;wsp:rsid wsp:val=&quot;00E35513&quot;/&gt;&lt;wsp:rsid wsp:val=&quot;00E35FF9&quot;/&gt;&lt;wsp:rsid wsp:val=&quot;00E36334&quot;/&gt;&lt;wsp:rsid wsp:val=&quot;00E36C08&quot;/&gt;&lt;wsp:rsid wsp:val=&quot;00E370CD&quot;/&gt;&lt;wsp:rsid wsp:val=&quot;00E37150&quot;/&gt;&lt;wsp:rsid wsp:val=&quot;00E37BAB&quot;/&gt;&lt;wsp:rsid wsp:val=&quot;00E40E27&quot;/&gt;&lt;wsp:rsid wsp:val=&quot;00E40E7C&quot;/&gt;&lt;wsp:rsid wsp:val=&quot;00E4128D&quot;/&gt;&lt;wsp:rsid wsp:val=&quot;00E4136D&quot;/&gt;&lt;wsp:rsid wsp:val=&quot;00E413B5&quot;/&gt;&lt;wsp:rsid wsp:val=&quot;00E4142B&quot;/&gt;&lt;wsp:rsid wsp:val=&quot;00E4153E&quot;/&gt;&lt;wsp:rsid wsp:val=&quot;00E4376C&quot;/&gt;&lt;wsp:rsid wsp:val=&quot;00E44071&quot;/&gt;&lt;wsp:rsid wsp:val=&quot;00E44CBE&quot;/&gt;&lt;wsp:rsid wsp:val=&quot;00E44E97&quot;/&gt;&lt;wsp:rsid wsp:val=&quot;00E453A7&quot;/&gt;&lt;wsp:rsid wsp:val=&quot;00E453B1&quot;/&gt;&lt;wsp:rsid wsp:val=&quot;00E457C1&quot;/&gt;&lt;wsp:rsid wsp:val=&quot;00E4595B&quot;/&gt;&lt;wsp:rsid wsp:val=&quot;00E471B3&quot;/&gt;&lt;wsp:rsid wsp:val=&quot;00E4754D&quot;/&gt;&lt;wsp:rsid wsp:val=&quot;00E4784C&quot;/&gt;&lt;wsp:rsid wsp:val=&quot;00E47A8A&quot;/&gt;&lt;wsp:rsid wsp:val=&quot;00E50A99&quot;/&gt;&lt;wsp:rsid wsp:val=&quot;00E51B44&quot;/&gt;&lt;wsp:rsid wsp:val=&quot;00E51C8A&quot;/&gt;&lt;wsp:rsid wsp:val=&quot;00E51E98&quot;/&gt;&lt;wsp:rsid wsp:val=&quot;00E51F84&quot;/&gt;&lt;wsp:rsid wsp:val=&quot;00E530EF&quot;/&gt;&lt;wsp:rsid wsp:val=&quot;00E53AB6&quot;/&gt;&lt;wsp:rsid wsp:val=&quot;00E5464C&quot;/&gt;&lt;wsp:rsid wsp:val=&quot;00E54B97&quot;/&gt;&lt;wsp:rsid wsp:val=&quot;00E54C65&quot;/&gt;&lt;wsp:rsid wsp:val=&quot;00E550DF&quot;/&gt;&lt;wsp:rsid wsp:val=&quot;00E55200&quot;/&gt;&lt;wsp:rsid wsp:val=&quot;00E552F6&quot;/&gt;&lt;wsp:rsid wsp:val=&quot;00E5535D&quot;/&gt;&lt;wsp:rsid wsp:val=&quot;00E5539D&quot;/&gt;&lt;wsp:rsid wsp:val=&quot;00E556B0&quot;/&gt;&lt;wsp:rsid wsp:val=&quot;00E557B2&quot;/&gt;&lt;wsp:rsid wsp:val=&quot;00E55AF2&quot;/&gt;&lt;wsp:rsid wsp:val=&quot;00E55CAA&quot;/&gt;&lt;wsp:rsid wsp:val=&quot;00E55EA3&quot;/&gt;&lt;wsp:rsid wsp:val=&quot;00E56614&quot;/&gt;&lt;wsp:rsid wsp:val=&quot;00E57202&quot;/&gt;&lt;wsp:rsid wsp:val=&quot;00E5751F&quot;/&gt;&lt;wsp:rsid wsp:val=&quot;00E5753A&quot;/&gt;&lt;wsp:rsid wsp:val=&quot;00E602DD&quot;/&gt;&lt;wsp:rsid wsp:val=&quot;00E609F9&quot;/&gt;&lt;wsp:rsid wsp:val=&quot;00E61222&quot;/&gt;&lt;wsp:rsid wsp:val=&quot;00E61788&quot;/&gt;&lt;wsp:rsid wsp:val=&quot;00E6181C&quot;/&gt;&lt;wsp:rsid wsp:val=&quot;00E61C7F&quot;/&gt;&lt;wsp:rsid wsp:val=&quot;00E629A8&quot;/&gt;&lt;wsp:rsid wsp:val=&quot;00E62F4C&quot;/&gt;&lt;wsp:rsid wsp:val=&quot;00E6361F&quot;/&gt;&lt;wsp:rsid wsp:val=&quot;00E63889&quot;/&gt;&lt;wsp:rsid wsp:val=&quot;00E65295&quot;/&gt;&lt;wsp:rsid wsp:val=&quot;00E654CD&quot;/&gt;&lt;wsp:rsid wsp:val=&quot;00E65642&quot;/&gt;&lt;wsp:rsid wsp:val=&quot;00E65A60&quot;/&gt;&lt;wsp:rsid wsp:val=&quot;00E65BFC&quot;/&gt;&lt;wsp:rsid wsp:val=&quot;00E65DE0&quot;/&gt;&lt;wsp:rsid wsp:val=&quot;00E661F4&quot;/&gt;&lt;wsp:rsid wsp:val=&quot;00E67921&quot;/&gt;&lt;wsp:rsid wsp:val=&quot;00E67A81&quot;/&gt;&lt;wsp:rsid wsp:val=&quot;00E67E88&quot;/&gt;&lt;wsp:rsid wsp:val=&quot;00E705F2&quot;/&gt;&lt;wsp:rsid wsp:val=&quot;00E71329&quot;/&gt;&lt;wsp:rsid wsp:val=&quot;00E71370&quot;/&gt;&lt;wsp:rsid wsp:val=&quot;00E71989&quot;/&gt;&lt;wsp:rsid wsp:val=&quot;00E71E64&quot;/&gt;&lt;wsp:rsid wsp:val=&quot;00E7293E&quot;/&gt;&lt;wsp:rsid wsp:val=&quot;00E72B30&quot;/&gt;&lt;wsp:rsid wsp:val=&quot;00E730E8&quot;/&gt;&lt;wsp:rsid wsp:val=&quot;00E7331A&quot;/&gt;&lt;wsp:rsid wsp:val=&quot;00E73BC3&quot;/&gt;&lt;wsp:rsid wsp:val=&quot;00E74541&quot;/&gt;&lt;wsp:rsid wsp:val=&quot;00E74E9C&quot;/&gt;&lt;wsp:rsid wsp:val=&quot;00E76534&quot;/&gt;&lt;wsp:rsid wsp:val=&quot;00E76A71&quot;/&gt;&lt;wsp:rsid wsp:val=&quot;00E76F07&quot;/&gt;&lt;wsp:rsid wsp:val=&quot;00E77367&quot;/&gt;&lt;wsp:rsid wsp:val=&quot;00E7736B&quot;/&gt;&lt;wsp:rsid wsp:val=&quot;00E77491&quot;/&gt;&lt;wsp:rsid wsp:val=&quot;00E7783E&quot;/&gt;&lt;wsp:rsid wsp:val=&quot;00E80742&quot;/&gt;&lt;wsp:rsid wsp:val=&quot;00E8076A&quot;/&gt;&lt;wsp:rsid wsp:val=&quot;00E80E38&quot;/&gt;&lt;wsp:rsid wsp:val=&quot;00E81065&quot;/&gt;&lt;wsp:rsid wsp:val=&quot;00E81080&quot;/&gt;&lt;wsp:rsid wsp:val=&quot;00E8151B&quot;/&gt;&lt;wsp:rsid wsp:val=&quot;00E81D41&quot;/&gt;&lt;wsp:rsid wsp:val=&quot;00E81DE7&quot;/&gt;&lt;wsp:rsid wsp:val=&quot;00E8306E&quot;/&gt;&lt;wsp:rsid wsp:val=&quot;00E83392&quot;/&gt;&lt;wsp:rsid wsp:val=&quot;00E8358C&quot;/&gt;&lt;wsp:rsid wsp:val=&quot;00E83AB2&quot;/&gt;&lt;wsp:rsid wsp:val=&quot;00E83AD9&quot;/&gt;&lt;wsp:rsid wsp:val=&quot;00E842F3&quot;/&gt;&lt;wsp:rsid wsp:val=&quot;00E84594&quot;/&gt;&lt;wsp:rsid wsp:val=&quot;00E84708&quot;/&gt;&lt;wsp:rsid wsp:val=&quot;00E84D3F&quot;/&gt;&lt;wsp:rsid wsp:val=&quot;00E851E6&quot;/&gt;&lt;wsp:rsid wsp:val=&quot;00E8579F&quot;/&gt;&lt;wsp:rsid wsp:val=&quot;00E85A3C&quot;/&gt;&lt;wsp:rsid wsp:val=&quot;00E85DF9&quot;/&gt;&lt;wsp:rsid wsp:val=&quot;00E86904&quot;/&gt;&lt;wsp:rsid wsp:val=&quot;00E86CCA&quot;/&gt;&lt;wsp:rsid wsp:val=&quot;00E879D3&quot;/&gt;&lt;wsp:rsid wsp:val=&quot;00E87FB4&quot;/&gt;&lt;wsp:rsid wsp:val=&quot;00E901D0&quot;/&gt;&lt;wsp:rsid wsp:val=&quot;00E90708&quot;/&gt;&lt;wsp:rsid wsp:val=&quot;00E9070C&quot;/&gt;&lt;wsp:rsid wsp:val=&quot;00E9085E&quot;/&gt;&lt;wsp:rsid wsp:val=&quot;00E90D6E&quot;/&gt;&lt;wsp:rsid wsp:val=&quot;00E912EE&quot;/&gt;&lt;wsp:rsid wsp:val=&quot;00E914CD&quot;/&gt;&lt;wsp:rsid wsp:val=&quot;00E915CC&quot;/&gt;&lt;wsp:rsid wsp:val=&quot;00E91F68&quot;/&gt;&lt;wsp:rsid wsp:val=&quot;00E91F7C&quot;/&gt;&lt;wsp:rsid wsp:val=&quot;00E92949&quot;/&gt;&lt;wsp:rsid wsp:val=&quot;00E92BAF&quot;/&gt;&lt;wsp:rsid wsp:val=&quot;00E93270&quot;/&gt;&lt;wsp:rsid wsp:val=&quot;00E94296&quot;/&gt;&lt;wsp:rsid wsp:val=&quot;00E94607&quot;/&gt;&lt;wsp:rsid wsp:val=&quot;00E9471D&quot;/&gt;&lt;wsp:rsid wsp:val=&quot;00E94937&quot;/&gt;&lt;wsp:rsid wsp:val=&quot;00E94C77&quot;/&gt;&lt;wsp:rsid wsp:val=&quot;00E94DC9&quot;/&gt;&lt;wsp:rsid wsp:val=&quot;00E94F57&quot;/&gt;&lt;wsp:rsid wsp:val=&quot;00E94FDF&quot;/&gt;&lt;wsp:rsid wsp:val=&quot;00E9500A&quot;/&gt;&lt;wsp:rsid wsp:val=&quot;00E95855&quot;/&gt;&lt;wsp:rsid wsp:val=&quot;00E95A0B&quot;/&gt;&lt;wsp:rsid wsp:val=&quot;00E960CE&quot;/&gt;&lt;wsp:rsid wsp:val=&quot;00E960FF&quot;/&gt;&lt;wsp:rsid wsp:val=&quot;00E961CF&quot;/&gt;&lt;wsp:rsid wsp:val=&quot;00E96CED&quot;/&gt;&lt;wsp:rsid wsp:val=&quot;00E976F6&quot;/&gt;&lt;wsp:rsid wsp:val=&quot;00E9774A&quot;/&gt;&lt;wsp:rsid wsp:val=&quot;00E97C94&quot;/&gt;&lt;wsp:rsid wsp:val=&quot;00E97E5A&quot;/&gt;&lt;wsp:rsid wsp:val=&quot;00EA026C&quot;/&gt;&lt;wsp:rsid wsp:val=&quot;00EA1D2F&quot;/&gt;&lt;wsp:rsid wsp:val=&quot;00EA1F19&quot;/&gt;&lt;wsp:rsid wsp:val=&quot;00EA2C5B&quot;/&gt;&lt;wsp:rsid wsp:val=&quot;00EA32D8&quot;/&gt;&lt;wsp:rsid wsp:val=&quot;00EA33C2&quot;/&gt;&lt;wsp:rsid wsp:val=&quot;00EA351D&quot;/&gt;&lt;wsp:rsid wsp:val=&quot;00EA3EBC&quot;/&gt;&lt;wsp:rsid wsp:val=&quot;00EA4258&quot;/&gt;&lt;wsp:rsid wsp:val=&quot;00EA5058&quot;/&gt;&lt;wsp:rsid wsp:val=&quot;00EA5338&quot;/&gt;&lt;wsp:rsid wsp:val=&quot;00EA5509&quot;/&gt;&lt;wsp:rsid wsp:val=&quot;00EA567F&quot;/&gt;&lt;wsp:rsid wsp:val=&quot;00EA67CA&quot;/&gt;&lt;wsp:rsid wsp:val=&quot;00EB01A5&quot;/&gt;&lt;wsp:rsid wsp:val=&quot;00EB01EE&quot;/&gt;&lt;wsp:rsid wsp:val=&quot;00EB0AA1&quot;/&gt;&lt;wsp:rsid wsp:val=&quot;00EB0B79&quot;/&gt;&lt;wsp:rsid wsp:val=&quot;00EB16FA&quot;/&gt;&lt;wsp:rsid wsp:val=&quot;00EB1B40&quot;/&gt;&lt;wsp:rsid wsp:val=&quot;00EB1E5B&quot;/&gt;&lt;wsp:rsid wsp:val=&quot;00EB2223&quot;/&gt;&lt;wsp:rsid wsp:val=&quot;00EB22EF&quot;/&gt;&lt;wsp:rsid wsp:val=&quot;00EB234D&quot;/&gt;&lt;wsp:rsid wsp:val=&quot;00EB2676&quot;/&gt;&lt;wsp:rsid wsp:val=&quot;00EB2C53&quot;/&gt;&lt;wsp:rsid wsp:val=&quot;00EB2F62&quot;/&gt;&lt;wsp:rsid wsp:val=&quot;00EB3835&quot;/&gt;&lt;wsp:rsid wsp:val=&quot;00EB4476&quot;/&gt;&lt;wsp:rsid wsp:val=&quot;00EB4C66&quot;/&gt;&lt;wsp:rsid wsp:val=&quot;00EB52C2&quot;/&gt;&lt;wsp:rsid wsp:val=&quot;00EB54AC&quot;/&gt;&lt;wsp:rsid wsp:val=&quot;00EB5A3F&quot;/&gt;&lt;wsp:rsid wsp:val=&quot;00EB637D&quot;/&gt;&lt;wsp:rsid wsp:val=&quot;00EB6AEA&quot;/&gt;&lt;wsp:rsid wsp:val=&quot;00EB6B22&quot;/&gt;&lt;wsp:rsid wsp:val=&quot;00EB7452&quot;/&gt;&lt;wsp:rsid wsp:val=&quot;00EB74F7&quot;/&gt;&lt;wsp:rsid wsp:val=&quot;00EB7501&quot;/&gt;&lt;wsp:rsid wsp:val=&quot;00EB7B7A&quot;/&gt;&lt;wsp:rsid wsp:val=&quot;00EC015C&quot;/&gt;&lt;wsp:rsid wsp:val=&quot;00EC0796&quot;/&gt;&lt;wsp:rsid wsp:val=&quot;00EC0D2B&quot;/&gt;&lt;wsp:rsid wsp:val=&quot;00EC0FB3&quot;/&gt;&lt;wsp:rsid wsp:val=&quot;00EC102D&quot;/&gt;&lt;wsp:rsid wsp:val=&quot;00EC1C5B&quot;/&gt;&lt;wsp:rsid wsp:val=&quot;00EC1E78&quot;/&gt;&lt;wsp:rsid wsp:val=&quot;00EC2279&quot;/&gt;&lt;wsp:rsid wsp:val=&quot;00EC27C5&quot;/&gt;&lt;wsp:rsid wsp:val=&quot;00EC3C9E&quot;/&gt;&lt;wsp:rsid wsp:val=&quot;00EC3E18&quot;/&gt;&lt;wsp:rsid wsp:val=&quot;00EC3E1E&quot;/&gt;&lt;wsp:rsid wsp:val=&quot;00EC3E2C&quot;/&gt;&lt;wsp:rsid wsp:val=&quot;00EC43D3&quot;/&gt;&lt;wsp:rsid wsp:val=&quot;00EC4891&quot;/&gt;&lt;wsp:rsid wsp:val=&quot;00EC4B44&quot;/&gt;&lt;wsp:rsid wsp:val=&quot;00EC4D1F&quot;/&gt;&lt;wsp:rsid wsp:val=&quot;00EC6673&quot;/&gt;&lt;wsp:rsid wsp:val=&quot;00EC74D4&quot;/&gt;&lt;wsp:rsid wsp:val=&quot;00EC7AE9&quot;/&gt;&lt;wsp:rsid wsp:val=&quot;00EC7E81&quot;/&gt;&lt;wsp:rsid wsp:val=&quot;00ED0702&quot;/&gt;&lt;wsp:rsid wsp:val=&quot;00ED0904&quot;/&gt;&lt;wsp:rsid wsp:val=&quot;00ED0E0F&quot;/&gt;&lt;wsp:rsid wsp:val=&quot;00ED129E&quot;/&gt;&lt;wsp:rsid wsp:val=&quot;00ED13EF&quot;/&gt;&lt;wsp:rsid wsp:val=&quot;00ED1B04&quot;/&gt;&lt;wsp:rsid wsp:val=&quot;00ED27C3&quot;/&gt;&lt;wsp:rsid wsp:val=&quot;00ED28FF&quot;/&gt;&lt;wsp:rsid wsp:val=&quot;00ED2E1B&quot;/&gt;&lt;wsp:rsid wsp:val=&quot;00ED3496&quot;/&gt;&lt;wsp:rsid wsp:val=&quot;00ED3D22&quot;/&gt;&lt;wsp:rsid wsp:val=&quot;00ED417D&quot;/&gt;&lt;wsp:rsid wsp:val=&quot;00ED4790&quot;/&gt;&lt;wsp:rsid wsp:val=&quot;00ED5087&quot;/&gt;&lt;wsp:rsid wsp:val=&quot;00ED522B&quot;/&gt;&lt;wsp:rsid wsp:val=&quot;00ED544C&quot;/&gt;&lt;wsp:rsid wsp:val=&quot;00ED59B1&quot;/&gt;&lt;wsp:rsid wsp:val=&quot;00ED63FE&quot;/&gt;&lt;wsp:rsid wsp:val=&quot;00ED66B3&quot;/&gt;&lt;wsp:rsid wsp:val=&quot;00ED68FC&quot;/&gt;&lt;wsp:rsid wsp:val=&quot;00ED6BC5&quot;/&gt;&lt;wsp:rsid wsp:val=&quot;00ED6DA3&quot;/&gt;&lt;wsp:rsid wsp:val=&quot;00ED73B9&quot;/&gt;&lt;wsp:rsid wsp:val=&quot;00ED7595&quot;/&gt;&lt;wsp:rsid wsp:val=&quot;00ED7620&quot;/&gt;&lt;wsp:rsid wsp:val=&quot;00ED77C7&quot;/&gt;&lt;wsp:rsid wsp:val=&quot;00ED784D&quot;/&gt;&lt;wsp:rsid wsp:val=&quot;00ED7E7C&quot;/&gt;&lt;wsp:rsid wsp:val=&quot;00ED7EBC&quot;/&gt;&lt;wsp:rsid wsp:val=&quot;00EE00E1&quot;/&gt;&lt;wsp:rsid wsp:val=&quot;00EE0B2F&quot;/&gt;&lt;wsp:rsid wsp:val=&quot;00EE0F8D&quot;/&gt;&lt;wsp:rsid wsp:val=&quot;00EE136C&quot;/&gt;&lt;wsp:rsid wsp:val=&quot;00EE1886&quot;/&gt;&lt;wsp:rsid wsp:val=&quot;00EE1907&quot;/&gt;&lt;wsp:rsid wsp:val=&quot;00EE1D05&quot;/&gt;&lt;wsp:rsid wsp:val=&quot;00EE20E9&quot;/&gt;&lt;wsp:rsid wsp:val=&quot;00EE2CBE&quot;/&gt;&lt;wsp:rsid wsp:val=&quot;00EE2CDA&quot;/&gt;&lt;wsp:rsid wsp:val=&quot;00EE37A6&quot;/&gt;&lt;wsp:rsid wsp:val=&quot;00EE3F5B&quot;/&gt;&lt;wsp:rsid wsp:val=&quot;00EE509E&quot;/&gt;&lt;wsp:rsid wsp:val=&quot;00EE5C92&quot;/&gt;&lt;wsp:rsid wsp:val=&quot;00EE5E3D&quot;/&gt;&lt;wsp:rsid wsp:val=&quot;00EE6309&quot;/&gt;&lt;wsp:rsid wsp:val=&quot;00EE6D1B&quot;/&gt;&lt;wsp:rsid wsp:val=&quot;00EE6DE6&quot;/&gt;&lt;wsp:rsid wsp:val=&quot;00EE72DA&quot;/&gt;&lt;wsp:rsid wsp:val=&quot;00EE76F6&quot;/&gt;&lt;wsp:rsid wsp:val=&quot;00EE78F9&quot;/&gt;&lt;wsp:rsid wsp:val=&quot;00EE7DCA&quot;/&gt;&lt;wsp:rsid wsp:val=&quot;00EE7E16&quot;/&gt;&lt;wsp:rsid wsp:val=&quot;00EF1170&quot;/&gt;&lt;wsp:rsid wsp:val=&quot;00EF1741&quot;/&gt;&lt;wsp:rsid wsp:val=&quot;00EF19FC&quot;/&gt;&lt;wsp:rsid wsp:val=&quot;00EF1ED2&quot;/&gt;&lt;wsp:rsid wsp:val=&quot;00EF322D&quot;/&gt;&lt;wsp:rsid wsp:val=&quot;00EF3A83&quot;/&gt;&lt;wsp:rsid wsp:val=&quot;00EF3AAD&quot;/&gt;&lt;wsp:rsid wsp:val=&quot;00EF3C53&quot;/&gt;&lt;wsp:rsid wsp:val=&quot;00EF456F&quot;/&gt;&lt;wsp:rsid wsp:val=&quot;00EF4608&quot;/&gt;&lt;wsp:rsid wsp:val=&quot;00EF5FBE&quot;/&gt;&lt;wsp:rsid wsp:val=&quot;00EF70F4&quot;/&gt;&lt;wsp:rsid wsp:val=&quot;00EF7615&quot;/&gt;&lt;wsp:rsid wsp:val=&quot;00EF7924&quot;/&gt;&lt;wsp:rsid wsp:val=&quot;00EF7EEB&quot;/&gt;&lt;wsp:rsid wsp:val=&quot;00F00139&quot;/&gt;&lt;wsp:rsid wsp:val=&quot;00F0025F&quot;/&gt;&lt;wsp:rsid wsp:val=&quot;00F003C5&quot;/&gt;&lt;wsp:rsid wsp:val=&quot;00F012F4&quot;/&gt;&lt;wsp:rsid wsp:val=&quot;00F0170D&quot;/&gt;&lt;wsp:rsid wsp:val=&quot;00F02A0C&quot;/&gt;&lt;wsp:rsid wsp:val=&quot;00F02BC1&quot;/&gt;&lt;wsp:rsid wsp:val=&quot;00F03119&quot;/&gt;&lt;wsp:rsid wsp:val=&quot;00F0348C&quot;/&gt;&lt;wsp:rsid wsp:val=&quot;00F03DCF&quot;/&gt;&lt;wsp:rsid wsp:val=&quot;00F03FEC&quot;/&gt;&lt;wsp:rsid wsp:val=&quot;00F047DD&quot;/&gt;&lt;wsp:rsid wsp:val=&quot;00F04A7C&quot;/&gt;&lt;wsp:rsid wsp:val=&quot;00F04D10&quot;/&gt;&lt;wsp:rsid wsp:val=&quot;00F04F1F&quot;/&gt;&lt;wsp:rsid wsp:val=&quot;00F05C4A&quot;/&gt;&lt;wsp:rsid wsp:val=&quot;00F06AE0&quot;/&gt;&lt;wsp:rsid wsp:val=&quot;00F07021&quot;/&gt;&lt;wsp:rsid wsp:val=&quot;00F07036&quot;/&gt;&lt;wsp:rsid wsp:val=&quot;00F079D2&quot;/&gt;&lt;wsp:rsid wsp:val=&quot;00F07C4F&quot;/&gt;&lt;wsp:rsid wsp:val=&quot;00F10144&quot;/&gt;&lt;wsp:rsid wsp:val=&quot;00F1017B&quot;/&gt;&lt;wsp:rsid wsp:val=&quot;00F10A43&quot;/&gt;&lt;wsp:rsid wsp:val=&quot;00F10BB0&quot;/&gt;&lt;wsp:rsid wsp:val=&quot;00F111E6&quot;/&gt;&lt;wsp:rsid wsp:val=&quot;00F11A05&quot;/&gt;&lt;wsp:rsid wsp:val=&quot;00F11F2D&quot;/&gt;&lt;wsp:rsid wsp:val=&quot;00F120A8&quot;/&gt;&lt;wsp:rsid wsp:val=&quot;00F12607&quot;/&gt;&lt;wsp:rsid wsp:val=&quot;00F1275A&quot;/&gt;&lt;wsp:rsid wsp:val=&quot;00F127C8&quot;/&gt;&lt;wsp:rsid wsp:val=&quot;00F129F3&quot;/&gt;&lt;wsp:rsid wsp:val=&quot;00F12AED&quot;/&gt;&lt;wsp:rsid wsp:val=&quot;00F13705&quot;/&gt;&lt;wsp:rsid wsp:val=&quot;00F138F2&quot;/&gt;&lt;wsp:rsid wsp:val=&quot;00F13A51&quot;/&gt;&lt;wsp:rsid wsp:val=&quot;00F144D6&quot;/&gt;&lt;wsp:rsid wsp:val=&quot;00F14DF2&quot;/&gt;&lt;wsp:rsid wsp:val=&quot;00F14E9B&quot;/&gt;&lt;wsp:rsid wsp:val=&quot;00F151F5&quot;/&gt;&lt;wsp:rsid wsp:val=&quot;00F1532F&quot;/&gt;&lt;wsp:rsid wsp:val=&quot;00F16167&quot;/&gt;&lt;wsp:rsid wsp:val=&quot;00F161C4&quot;/&gt;&lt;wsp:rsid wsp:val=&quot;00F1631A&quot;/&gt;&lt;wsp:rsid wsp:val=&quot;00F1644F&quot;/&gt;&lt;wsp:rsid wsp:val=&quot;00F168A7&quot;/&gt;&lt;wsp:rsid wsp:val=&quot;00F1694B&quot;/&gt;&lt;wsp:rsid wsp:val=&quot;00F16DB6&quot;/&gt;&lt;wsp:rsid wsp:val=&quot;00F17122&quot;/&gt;&lt;wsp:rsid wsp:val=&quot;00F17274&quot;/&gt;&lt;wsp:rsid wsp:val=&quot;00F17410&quot;/&gt;&lt;wsp:rsid wsp:val=&quot;00F179D0&quot;/&gt;&lt;wsp:rsid wsp:val=&quot;00F179E1&quot;/&gt;&lt;wsp:rsid wsp:val=&quot;00F17D12&quot;/&gt;&lt;wsp:rsid wsp:val=&quot;00F203B8&quot;/&gt;&lt;wsp:rsid wsp:val=&quot;00F209A8&quot;/&gt;&lt;wsp:rsid wsp:val=&quot;00F20AE8&quot;/&gt;&lt;wsp:rsid wsp:val=&quot;00F210F3&quot;/&gt;&lt;wsp:rsid wsp:val=&quot;00F212E0&quot;/&gt;&lt;wsp:rsid wsp:val=&quot;00F213A0&quot;/&gt;&lt;wsp:rsid wsp:val=&quot;00F21434&quot;/&gt;&lt;wsp:rsid wsp:val=&quot;00F21ACB&quot;/&gt;&lt;wsp:rsid wsp:val=&quot;00F22B0A&quot;/&gt;&lt;wsp:rsid wsp:val=&quot;00F2318E&quot;/&gt;&lt;wsp:rsid wsp:val=&quot;00F23FAD&quot;/&gt;&lt;wsp:rsid wsp:val=&quot;00F25BCA&quot;/&gt;&lt;wsp:rsid wsp:val=&quot;00F25D19&quot;/&gt;&lt;wsp:rsid wsp:val=&quot;00F25D3E&quot;/&gt;&lt;wsp:rsid wsp:val=&quot;00F26151&quot;/&gt;&lt;wsp:rsid wsp:val=&quot;00F261FF&quot;/&gt;&lt;wsp:rsid wsp:val=&quot;00F26C12&quot;/&gt;&lt;wsp:rsid wsp:val=&quot;00F26D40&quot;/&gt;&lt;wsp:rsid wsp:val=&quot;00F26DE5&quot;/&gt;&lt;wsp:rsid wsp:val=&quot;00F26E9B&quot;/&gt;&lt;wsp:rsid wsp:val=&quot;00F26FC5&quot;/&gt;&lt;wsp:rsid wsp:val=&quot;00F27428&quot;/&gt;&lt;wsp:rsid wsp:val=&quot;00F276CF&quot;/&gt;&lt;wsp:rsid wsp:val=&quot;00F27F5B&quot;/&gt;&lt;wsp:rsid wsp:val=&quot;00F30057&quot;/&gt;&lt;wsp:rsid wsp:val=&quot;00F30113&quot;/&gt;&lt;wsp:rsid wsp:val=&quot;00F303FC&quot;/&gt;&lt;wsp:rsid wsp:val=&quot;00F305D4&quot;/&gt;&lt;wsp:rsid wsp:val=&quot;00F318EA&quot;/&gt;&lt;wsp:rsid wsp:val=&quot;00F31B64&quot;/&gt;&lt;wsp:rsid wsp:val=&quot;00F321DB&quot;/&gt;&lt;wsp:rsid wsp:val=&quot;00F32B74&quot;/&gt;&lt;wsp:rsid wsp:val=&quot;00F32C1A&quot;/&gt;&lt;wsp:rsid wsp:val=&quot;00F33119&quot;/&gt;&lt;wsp:rsid wsp:val=&quot;00F3323B&quot;/&gt;&lt;wsp:rsid wsp:val=&quot;00F3365C&quot;/&gt;&lt;wsp:rsid wsp:val=&quot;00F33C62&quot;/&gt;&lt;wsp:rsid wsp:val=&quot;00F34491&quot;/&gt;&lt;wsp:rsid wsp:val=&quot;00F3458D&quot;/&gt;&lt;wsp:rsid wsp:val=&quot;00F34A79&quot;/&gt;&lt;wsp:rsid wsp:val=&quot;00F34C74&quot;/&gt;&lt;wsp:rsid wsp:val=&quot;00F35253&quot;/&gt;&lt;wsp:rsid wsp:val=&quot;00F35303&quot;/&gt;&lt;wsp:rsid wsp:val=&quot;00F35627&quot;/&gt;&lt;wsp:rsid wsp:val=&quot;00F35659&quot;/&gt;&lt;wsp:rsid wsp:val=&quot;00F35AAA&quot;/&gt;&lt;wsp:rsid wsp:val=&quot;00F35F9D&quot;/&gt;&lt;wsp:rsid wsp:val=&quot;00F3615E&quot;/&gt;&lt;wsp:rsid wsp:val=&quot;00F361C5&quot;/&gt;&lt;wsp:rsid wsp:val=&quot;00F3669D&quot;/&gt;&lt;wsp:rsid wsp:val=&quot;00F3767A&quot;/&gt;&lt;wsp:rsid wsp:val=&quot;00F3779C&quot;/&gt;&lt;wsp:rsid wsp:val=&quot;00F414C8&quot;/&gt;&lt;wsp:rsid wsp:val=&quot;00F41ACC&quot;/&gt;&lt;wsp:rsid wsp:val=&quot;00F41AFB&quot;/&gt;&lt;wsp:rsid wsp:val=&quot;00F428C8&quot;/&gt;&lt;wsp:rsid wsp:val=&quot;00F431B3&quot;/&gt;&lt;wsp:rsid wsp:val=&quot;00F433B8&quot;/&gt;&lt;wsp:rsid wsp:val=&quot;00F4391C&quot;/&gt;&lt;wsp:rsid wsp:val=&quot;00F43F55&quot;/&gt;&lt;wsp:rsid wsp:val=&quot;00F445E2&quot;/&gt;&lt;wsp:rsid wsp:val=&quot;00F4550F&quot;/&gt;&lt;wsp:rsid wsp:val=&quot;00F45E60&quot;/&gt;&lt;wsp:rsid wsp:val=&quot;00F46106&quot;/&gt;&lt;wsp:rsid wsp:val=&quot;00F4625A&quot;/&gt;&lt;wsp:rsid wsp:val=&quot;00F469C2&quot;/&gt;&lt;wsp:rsid wsp:val=&quot;00F46FBB&quot;/&gt;&lt;wsp:rsid wsp:val=&quot;00F4710B&quot;/&gt;&lt;wsp:rsid wsp:val=&quot;00F477C9&quot;/&gt;&lt;wsp:rsid wsp:val=&quot;00F47958&quot;/&gt;&lt;wsp:rsid wsp:val=&quot;00F47A7F&quot;/&gt;&lt;wsp:rsid wsp:val=&quot;00F47CE9&quot;/&gt;&lt;wsp:rsid wsp:val=&quot;00F502FD&quot;/&gt;&lt;wsp:rsid wsp:val=&quot;00F503A7&quot;/&gt;&lt;wsp:rsid wsp:val=&quot;00F50673&quot;/&gt;&lt;wsp:rsid wsp:val=&quot;00F508D8&quot;/&gt;&lt;wsp:rsid wsp:val=&quot;00F50B1C&quot;/&gt;&lt;wsp:rsid wsp:val=&quot;00F51164&quot;/&gt;&lt;wsp:rsid wsp:val=&quot;00F51A53&quot;/&gt;&lt;wsp:rsid wsp:val=&quot;00F51EB3&quot;/&gt;&lt;wsp:rsid wsp:val=&quot;00F51F90&quot;/&gt;&lt;wsp:rsid wsp:val=&quot;00F52141&quot;/&gt;&lt;wsp:rsid wsp:val=&quot;00F52185&quot;/&gt;&lt;wsp:rsid wsp:val=&quot;00F52A6D&quot;/&gt;&lt;wsp:rsid wsp:val=&quot;00F5327D&quot;/&gt;&lt;wsp:rsid wsp:val=&quot;00F53CA9&quot;/&gt;&lt;wsp:rsid wsp:val=&quot;00F53E30&quot;/&gt;&lt;wsp:rsid wsp:val=&quot;00F5481D&quot;/&gt;&lt;wsp:rsid wsp:val=&quot;00F55101&quot;/&gt;&lt;wsp:rsid wsp:val=&quot;00F553A0&quot;/&gt;&lt;wsp:rsid wsp:val=&quot;00F55AA1&quot;/&gt;&lt;wsp:rsid wsp:val=&quot;00F55BFE&quot;/&gt;&lt;wsp:rsid wsp:val=&quot;00F56762&quot;/&gt;&lt;wsp:rsid wsp:val=&quot;00F567D8&quot;/&gt;&lt;wsp:rsid wsp:val=&quot;00F56CA6&quot;/&gt;&lt;wsp:rsid wsp:val=&quot;00F571DE&quot;/&gt;&lt;wsp:rsid wsp:val=&quot;00F57629&quot;/&gt;&lt;wsp:rsid wsp:val=&quot;00F57C0E&quot;/&gt;&lt;wsp:rsid wsp:val=&quot;00F603B8&quot;/&gt;&lt;wsp:rsid wsp:val=&quot;00F6054C&quot;/&gt;&lt;wsp:rsid wsp:val=&quot;00F6089D&quot;/&gt;&lt;wsp:rsid wsp:val=&quot;00F60977&quot;/&gt;&lt;wsp:rsid wsp:val=&quot;00F6124D&quot;/&gt;&lt;wsp:rsid wsp:val=&quot;00F6168E&quot;/&gt;&lt;wsp:rsid wsp:val=&quot;00F617DE&quot;/&gt;&lt;wsp:rsid wsp:val=&quot;00F618E5&quot;/&gt;&lt;wsp:rsid wsp:val=&quot;00F61919&quot;/&gt;&lt;wsp:rsid wsp:val=&quot;00F619D8&quot;/&gt;&lt;wsp:rsid wsp:val=&quot;00F6211D&quot;/&gt;&lt;wsp:rsid wsp:val=&quot;00F62A9A&quot;/&gt;&lt;wsp:rsid wsp:val=&quot;00F62B9B&quot;/&gt;&lt;wsp:rsid wsp:val=&quot;00F62EE2&quot;/&gt;&lt;wsp:rsid wsp:val=&quot;00F630B7&quot;/&gt;&lt;wsp:rsid wsp:val=&quot;00F63489&quot;/&gt;&lt;wsp:rsid wsp:val=&quot;00F634CF&quot;/&gt;&lt;wsp:rsid wsp:val=&quot;00F642BC&quot;/&gt;&lt;wsp:rsid wsp:val=&quot;00F64DD1&quot;/&gt;&lt;wsp:rsid wsp:val=&quot;00F65225&quot;/&gt;&lt;wsp:rsid wsp:val=&quot;00F657DB&quot;/&gt;&lt;wsp:rsid wsp:val=&quot;00F6628C&quot;/&gt;&lt;wsp:rsid wsp:val=&quot;00F6655F&quot;/&gt;&lt;wsp:rsid wsp:val=&quot;00F6669B&quot;/&gt;&lt;wsp:rsid wsp:val=&quot;00F67000&quot;/&gt;&lt;wsp:rsid wsp:val=&quot;00F67B51&quot;/&gt;&lt;wsp:rsid wsp:val=&quot;00F67E92&quot;/&gt;&lt;wsp:rsid wsp:val=&quot;00F70BE3&quot;/&gt;&lt;wsp:rsid wsp:val=&quot;00F70E87&quot;/&gt;&lt;wsp:rsid wsp:val=&quot;00F70E9B&quot;/&gt;&lt;wsp:rsid wsp:val=&quot;00F71204&quot;/&gt;&lt;wsp:rsid wsp:val=&quot;00F71894&quot;/&gt;&lt;wsp:rsid wsp:val=&quot;00F71D0E&quot;/&gt;&lt;wsp:rsid wsp:val=&quot;00F72FF5&quot;/&gt;&lt;wsp:rsid wsp:val=&quot;00F7309C&quot;/&gt;&lt;wsp:rsid wsp:val=&quot;00F73759&quot;/&gt;&lt;wsp:rsid wsp:val=&quot;00F73B87&quot;/&gt;&lt;wsp:rsid wsp:val=&quot;00F74599&quot;/&gt;&lt;wsp:rsid wsp:val=&quot;00F74B29&quot;/&gt;&lt;wsp:rsid wsp:val=&quot;00F74F0B&quot;/&gt;&lt;wsp:rsid wsp:val=&quot;00F74F68&quot;/&gt;&lt;wsp:rsid wsp:val=&quot;00F75032&quot;/&gt;&lt;wsp:rsid wsp:val=&quot;00F75744&quot;/&gt;&lt;wsp:rsid wsp:val=&quot;00F757E7&quot;/&gt;&lt;wsp:rsid wsp:val=&quot;00F758FB&quot;/&gt;&lt;wsp:rsid wsp:val=&quot;00F75D53&quot;/&gt;&lt;wsp:rsid wsp:val=&quot;00F761EF&quot;/&gt;&lt;wsp:rsid wsp:val=&quot;00F76330&quot;/&gt;&lt;wsp:rsid wsp:val=&quot;00F766E0&quot;/&gt;&lt;wsp:rsid wsp:val=&quot;00F76C27&quot;/&gt;&lt;wsp:rsid wsp:val=&quot;00F77564&quot;/&gt;&lt;wsp:rsid wsp:val=&quot;00F80109&quot;/&gt;&lt;wsp:rsid wsp:val=&quot;00F80D60&quot;/&gt;&lt;wsp:rsid wsp:val=&quot;00F811F8&quot;/&gt;&lt;wsp:rsid wsp:val=&quot;00F81CA2&quot;/&gt;&lt;wsp:rsid wsp:val=&quot;00F81DE4&quot;/&gt;&lt;wsp:rsid wsp:val=&quot;00F81E1F&quot;/&gt;&lt;wsp:rsid wsp:val=&quot;00F82813&quot;/&gt;&lt;wsp:rsid wsp:val=&quot;00F82A61&quot;/&gt;&lt;wsp:rsid wsp:val=&quot;00F82ABB&quot;/&gt;&lt;wsp:rsid wsp:val=&quot;00F84930&quot;/&gt;&lt;wsp:rsid wsp:val=&quot;00F84B1F&quot;/&gt;&lt;wsp:rsid wsp:val=&quot;00F84BC5&quot;/&gt;&lt;wsp:rsid wsp:val=&quot;00F8534E&quot;/&gt;&lt;wsp:rsid wsp:val=&quot;00F85445&quot;/&gt;&lt;wsp:rsid wsp:val=&quot;00F85DC9&quot;/&gt;&lt;wsp:rsid wsp:val=&quot;00F86368&quot;/&gt;&lt;wsp:rsid wsp:val=&quot;00F86B2D&quot;/&gt;&lt;wsp:rsid wsp:val=&quot;00F8734F&quot;/&gt;&lt;wsp:rsid wsp:val=&quot;00F87875&quot;/&gt;&lt;wsp:rsid wsp:val=&quot;00F87B63&quot;/&gt;&lt;wsp:rsid wsp:val=&quot;00F9065E&quot;/&gt;&lt;wsp:rsid wsp:val=&quot;00F9094E&quot;/&gt;&lt;wsp:rsid wsp:val=&quot;00F90EC1&quot;/&gt;&lt;wsp:rsid wsp:val=&quot;00F90FCB&quot;/&gt;&lt;wsp:rsid wsp:val=&quot;00F910BB&quot;/&gt;&lt;wsp:rsid wsp:val=&quot;00F914BD&quot;/&gt;&lt;wsp:rsid wsp:val=&quot;00F91529&quot;/&gt;&lt;wsp:rsid wsp:val=&quot;00F9172C&quot;/&gt;&lt;wsp:rsid wsp:val=&quot;00F91A35&quot;/&gt;&lt;wsp:rsid wsp:val=&quot;00F91F04&quot;/&gt;&lt;wsp:rsid wsp:val=&quot;00F92504&quot;/&gt;&lt;wsp:rsid wsp:val=&quot;00F928F4&quot;/&gt;&lt;wsp:rsid wsp:val=&quot;00F92B78&quot;/&gt;&lt;wsp:rsid wsp:val=&quot;00F92DBE&quot;/&gt;&lt;wsp:rsid wsp:val=&quot;00F93A6D&quot;/&gt;&lt;wsp:rsid wsp:val=&quot;00F93B1B&quot;/&gt;&lt;wsp:rsid wsp:val=&quot;00F93E01&quot;/&gt;&lt;wsp:rsid wsp:val=&quot;00F9415F&quot;/&gt;&lt;wsp:rsid wsp:val=&quot;00F946B7&quot;/&gt;&lt;wsp:rsid wsp:val=&quot;00F94A12&quot;/&gt;&lt;wsp:rsid wsp:val=&quot;00F94AAB&quot;/&gt;&lt;wsp:rsid wsp:val=&quot;00F94E5B&quot;/&gt;&lt;wsp:rsid wsp:val=&quot;00F94ED5&quot;/&gt;&lt;wsp:rsid wsp:val=&quot;00F953DC&quot;/&gt;&lt;wsp:rsid wsp:val=&quot;00F95705&quot;/&gt;&lt;wsp:rsid wsp:val=&quot;00F96148&quot;/&gt;&lt;wsp:rsid wsp:val=&quot;00F964B6&quot;/&gt;&lt;wsp:rsid wsp:val=&quot;00F96591&quot;/&gt;&lt;wsp:rsid wsp:val=&quot;00F96663&quot;/&gt;&lt;wsp:rsid wsp:val=&quot;00F96A55&quot;/&gt;&lt;wsp:rsid wsp:val=&quot;00F96E6C&quot;/&gt;&lt;wsp:rsid wsp:val=&quot;00F96F01&quot;/&gt;&lt;wsp:rsid wsp:val=&quot;00F97185&quot;/&gt;&lt;wsp:rsid wsp:val=&quot;00FA020E&quot;/&gt;&lt;wsp:rsid wsp:val=&quot;00FA0331&quot;/&gt;&lt;wsp:rsid wsp:val=&quot;00FA042A&quot;/&gt;&lt;wsp:rsid wsp:val=&quot;00FA0999&quot;/&gt;&lt;wsp:rsid wsp:val=&quot;00FA09FE&quot;/&gt;&lt;wsp:rsid wsp:val=&quot;00FA1BD0&quot;/&gt;&lt;wsp:rsid wsp:val=&quot;00FA1E8A&quot;/&gt;&lt;wsp:rsid wsp:val=&quot;00FA244A&quot;/&gt;&lt;wsp:rsid wsp:val=&quot;00FA2DFD&quot;/&gt;&lt;wsp:rsid wsp:val=&quot;00FA2EE2&quot;/&gt;&lt;wsp:rsid wsp:val=&quot;00FA3033&quot;/&gt;&lt;wsp:rsid wsp:val=&quot;00FA3261&quot;/&gt;&lt;wsp:rsid wsp:val=&quot;00FA35A4&quot;/&gt;&lt;wsp:rsid wsp:val=&quot;00FA40DA&quot;/&gt;&lt;wsp:rsid wsp:val=&quot;00FA4223&quot;/&gt;&lt;wsp:rsid wsp:val=&quot;00FA485C&quot;/&gt;&lt;wsp:rsid wsp:val=&quot;00FA48B4&quot;/&gt;&lt;wsp:rsid wsp:val=&quot;00FA7892&quot;/&gt;&lt;wsp:rsid wsp:val=&quot;00FA7FEB&quot;/&gt;&lt;wsp:rsid wsp:val=&quot;00FB0CE7&quot;/&gt;&lt;wsp:rsid wsp:val=&quot;00FB0F4D&quot;/&gt;&lt;wsp:rsid wsp:val=&quot;00FB1034&quot;/&gt;&lt;wsp:rsid wsp:val=&quot;00FB14E5&quot;/&gt;&lt;wsp:rsid wsp:val=&quot;00FB1647&quot;/&gt;&lt;wsp:rsid wsp:val=&quot;00FB1C16&quot;/&gt;&lt;wsp:rsid wsp:val=&quot;00FB246E&quot;/&gt;&lt;wsp:rsid wsp:val=&quot;00FB415E&quot;/&gt;&lt;wsp:rsid wsp:val=&quot;00FB4719&quot;/&gt;&lt;wsp:rsid wsp:val=&quot;00FB49B4&quot;/&gt;&lt;wsp:rsid wsp:val=&quot;00FB517E&quot;/&gt;&lt;wsp:rsid wsp:val=&quot;00FB5704&quot;/&gt;&lt;wsp:rsid wsp:val=&quot;00FB581F&quot;/&gt;&lt;wsp:rsid wsp:val=&quot;00FB60E4&quot;/&gt;&lt;wsp:rsid wsp:val=&quot;00FB6580&quot;/&gt;&lt;wsp:rsid wsp:val=&quot;00FB6749&quot;/&gt;&lt;wsp:rsid wsp:val=&quot;00FB6A72&quot;/&gt;&lt;wsp:rsid wsp:val=&quot;00FB6BA8&quot;/&gt;&lt;wsp:rsid wsp:val=&quot;00FB6E04&quot;/&gt;&lt;wsp:rsid wsp:val=&quot;00FB71AB&quot;/&gt;&lt;wsp:rsid wsp:val=&quot;00FB71C1&quot;/&gt;&lt;wsp:rsid wsp:val=&quot;00FB7348&quot;/&gt;&lt;wsp:rsid wsp:val=&quot;00FB739F&quot;/&gt;&lt;wsp:rsid wsp:val=&quot;00FC033D&quot;/&gt;&lt;wsp:rsid wsp:val=&quot;00FC07B8&quot;/&gt;&lt;wsp:rsid wsp:val=&quot;00FC08F0&quot;/&gt;&lt;wsp:rsid wsp:val=&quot;00FC0CBE&quot;/&gt;&lt;wsp:rsid wsp:val=&quot;00FC0CF6&quot;/&gt;&lt;wsp:rsid wsp:val=&quot;00FC0FAD&quot;/&gt;&lt;wsp:rsid wsp:val=&quot;00FC1AE0&quot;/&gt;&lt;wsp:rsid wsp:val=&quot;00FC1D98&quot;/&gt;&lt;wsp:rsid wsp:val=&quot;00FC1E72&quot;/&gt;&lt;wsp:rsid wsp:val=&quot;00FC1FAC&quot;/&gt;&lt;wsp:rsid wsp:val=&quot;00FC3FE0&quot;/&gt;&lt;wsp:rsid wsp:val=&quot;00FC4251&quot;/&gt;&lt;wsp:rsid wsp:val=&quot;00FC4557&quot;/&gt;&lt;wsp:rsid wsp:val=&quot;00FC46F1&quot;/&gt;&lt;wsp:rsid wsp:val=&quot;00FC5328&quot;/&gt;&lt;wsp:rsid wsp:val=&quot;00FC5583&quot;/&gt;&lt;wsp:rsid wsp:val=&quot;00FC5A6F&quot;/&gt;&lt;wsp:rsid wsp:val=&quot;00FC5AA1&quot;/&gt;&lt;wsp:rsid wsp:val=&quot;00FC5B85&quot;/&gt;&lt;wsp:rsid wsp:val=&quot;00FC6C16&quot;/&gt;&lt;wsp:rsid wsp:val=&quot;00FC6C1E&quot;/&gt;&lt;wsp:rsid wsp:val=&quot;00FC6CD3&quot;/&gt;&lt;wsp:rsid wsp:val=&quot;00FC6D57&quot;/&gt;&lt;wsp:rsid wsp:val=&quot;00FC7EC4&quot;/&gt;&lt;wsp:rsid wsp:val=&quot;00FD0982&quot;/&gt;&lt;wsp:rsid wsp:val=&quot;00FD0A94&quot;/&gt;&lt;wsp:rsid wsp:val=&quot;00FD0F4E&quot;/&gt;&lt;wsp:rsid wsp:val=&quot;00FD1450&quot;/&gt;&lt;wsp:rsid wsp:val=&quot;00FD147F&quot;/&gt;&lt;wsp:rsid wsp:val=&quot;00FD1912&quot;/&gt;&lt;wsp:rsid wsp:val=&quot;00FD20F7&quot;/&gt;&lt;wsp:rsid wsp:val=&quot;00FD28F9&quot;/&gt;&lt;wsp:rsid wsp:val=&quot;00FD30FB&quot;/&gt;&lt;wsp:rsid wsp:val=&quot;00FD33A4&quot;/&gt;&lt;wsp:rsid wsp:val=&quot;00FD36C7&quot;/&gt;&lt;wsp:rsid wsp:val=&quot;00FD3A38&quot;/&gt;&lt;wsp:rsid wsp:val=&quot;00FD3B99&quot;/&gt;&lt;wsp:rsid wsp:val=&quot;00FD3C42&quot;/&gt;&lt;wsp:rsid wsp:val=&quot;00FD4E2B&quot;/&gt;&lt;wsp:rsid wsp:val=&quot;00FD5974&quot;/&gt;&lt;wsp:rsid wsp:val=&quot;00FD60FD&quot;/&gt;&lt;wsp:rsid wsp:val=&quot;00FD6213&quot;/&gt;&lt;wsp:rsid wsp:val=&quot;00FD6403&quot;/&gt;&lt;wsp:rsid wsp:val=&quot;00FD6435&quot;/&gt;&lt;wsp:rsid wsp:val=&quot;00FD6548&quot;/&gt;&lt;wsp:rsid wsp:val=&quot;00FD69AE&quot;/&gt;&lt;wsp:rsid wsp:val=&quot;00FD6D0C&quot;/&gt;&lt;wsp:rsid wsp:val=&quot;00FD797E&quot;/&gt;&lt;wsp:rsid wsp:val=&quot;00FD7AB3&quot;/&gt;&lt;wsp:rsid wsp:val=&quot;00FD7CB8&quot;/&gt;&lt;wsp:rsid wsp:val=&quot;00FD7E27&quot;/&gt;&lt;wsp:rsid wsp:val=&quot;00FE02DB&quot;/&gt;&lt;wsp:rsid wsp:val=&quot;00FE02F8&quot;/&gt;&lt;wsp:rsid wsp:val=&quot;00FE04D6&quot;/&gt;&lt;wsp:rsid wsp:val=&quot;00FE0BAC&quot;/&gt;&lt;wsp:rsid wsp:val=&quot;00FE135A&quot;/&gt;&lt;wsp:rsid wsp:val=&quot;00FE1443&quot;/&gt;&lt;wsp:rsid wsp:val=&quot;00FE15A0&quot;/&gt;&lt;wsp:rsid wsp:val=&quot;00FE1A02&quot;/&gt;&lt;wsp:rsid wsp:val=&quot;00FE224A&quot;/&gt;&lt;wsp:rsid wsp:val=&quot;00FE22F8&quot;/&gt;&lt;wsp:rsid wsp:val=&quot;00FE2580&quot;/&gt;&lt;wsp:rsid wsp:val=&quot;00FE2D89&quot;/&gt;&lt;wsp:rsid wsp:val=&quot;00FE31F6&quot;/&gt;&lt;wsp:rsid wsp:val=&quot;00FE380C&quot;/&gt;&lt;wsp:rsid wsp:val=&quot;00FE3D97&quot;/&gt;&lt;wsp:rsid wsp:val=&quot;00FE4A8B&quot;/&gt;&lt;wsp:rsid wsp:val=&quot;00FE4CF0&quot;/&gt;&lt;wsp:rsid wsp:val=&quot;00FE59BB&quot;/&gt;&lt;wsp:rsid wsp:val=&quot;00FE5D59&quot;/&gt;&lt;wsp:rsid wsp:val=&quot;00FE5F42&quot;/&gt;&lt;wsp:rsid wsp:val=&quot;00FE631F&quot;/&gt;&lt;wsp:rsid wsp:val=&quot;00FE695E&quot;/&gt;&lt;wsp:rsid wsp:val=&quot;00FE6A8F&quot;/&gt;&lt;wsp:rsid wsp:val=&quot;00FE6A9F&quot;/&gt;&lt;wsp:rsid wsp:val=&quot;00FE6BB5&quot;/&gt;&lt;wsp:rsid wsp:val=&quot;00FF1644&quot;/&gt;&lt;wsp:rsid wsp:val=&quot;00FF25A7&quot;/&gt;&lt;wsp:rsid wsp:val=&quot;00FF2888&quot;/&gt;&lt;wsp:rsid wsp:val=&quot;00FF2953&quot;/&gt;&lt;wsp:rsid wsp:val=&quot;00FF2EA3&quot;/&gt;&lt;wsp:rsid wsp:val=&quot;00FF414C&quot;/&gt;&lt;wsp:rsid wsp:val=&quot;00FF4764&quot;/&gt;&lt;wsp:rsid wsp:val=&quot;00FF4CCA&quot;/&gt;&lt;wsp:rsid wsp:val=&quot;00FF50FD&quot;/&gt;&lt;wsp:rsid wsp:val=&quot;00FF5E00&quot;/&gt;&lt;wsp:rsid wsp:val=&quot;00FF5E10&quot;/&gt;&lt;wsp:rsid wsp:val=&quot;00FF6DB6&quot;/&gt;&lt;wsp:rsid wsp:val=&quot;00FF73A1&quot;/&gt;&lt;wsp:rsid wsp:val=&quot;02B26B56&quot;/&gt;&lt;wsp:rsid wsp:val=&quot;03D66BA6&quot;/&gt;&lt;wsp:rsid wsp:val=&quot;051A0D14&quot;/&gt;&lt;wsp:rsid wsp:val=&quot;08373D17&quot;/&gt;&lt;wsp:rsid wsp:val=&quot;08D31906&quot;/&gt;&lt;wsp:rsid wsp:val=&quot;099B57EC&quot;/&gt;&lt;wsp:rsid wsp:val=&quot;09C35E1E&quot;/&gt;&lt;wsp:rsid wsp:val=&quot;0A7B2255&quot;/&gt;&lt;wsp:rsid wsp:val=&quot;0AA30366&quot;/&gt;&lt;wsp:rsid wsp:val=&quot;0CC7731D&quot;/&gt;&lt;wsp:rsid wsp:val=&quot;0FCD6BA8&quot;/&gt;&lt;wsp:rsid wsp:val=&quot;0FF419B0&quot;/&gt;&lt;wsp:rsid wsp:val=&quot;11A14B86&quot;/&gt;&lt;wsp:rsid wsp:val=&quot;12E11476&quot;/&gt;&lt;wsp:rsid wsp:val=&quot;13CA5776&quot;/&gt;&lt;wsp:rsid wsp:val=&quot;1451781E&quot;/&gt;&lt;wsp:rsid wsp:val=&quot;15151F29&quot;/&gt;&lt;wsp:rsid wsp:val=&quot;1BC22817&quot;/&gt;&lt;wsp:rsid wsp:val=&quot;1F14103B&quot;/&gt;&lt;wsp:rsid wsp:val=&quot;1F83778A&quot;/&gt;&lt;wsp:rsid wsp:val=&quot;224631C9&quot;/&gt;&lt;wsp:rsid wsp:val=&quot;240F2DC9&quot;/&gt;&lt;wsp:rsid wsp:val=&quot;24C30629&quot;/&gt;&lt;wsp:rsid wsp:val=&quot;25763D25&quot;/&gt;&lt;wsp:rsid wsp:val=&quot;26A5092E&quot;/&gt;&lt;wsp:rsid wsp:val=&quot;29BC0105&quot;/&gt;&lt;wsp:rsid wsp:val=&quot;2B6770FF&quot;/&gt;&lt;wsp:rsid wsp:val=&quot;2D123049&quot;/&gt;&lt;wsp:rsid wsp:val=&quot;2D947006&quot;/&gt;&lt;wsp:rsid wsp:val=&quot;2E3276DD&quot;/&gt;&lt;wsp:rsid wsp:val=&quot;314A0E14&quot;/&gt;&lt;wsp:rsid wsp:val=&quot;32037751&quot;/&gt;&lt;wsp:rsid wsp:val=&quot;330D18BF&quot;/&gt;&lt;wsp:rsid wsp:val=&quot;33CE629A&quot;/&gt;&lt;wsp:rsid wsp:val=&quot;342521FB&quot;/&gt;&lt;wsp:rsid wsp:val=&quot;350308E2&quot;/&gt;&lt;wsp:rsid wsp:val=&quot;38042FDA&quot;/&gt;&lt;wsp:rsid wsp:val=&quot;3A184B1B&quot;/&gt;&lt;wsp:rsid wsp:val=&quot;3AA1137B&quot;/&gt;&lt;wsp:rsid wsp:val=&quot;3BC67B86&quot;/&gt;&lt;wsp:rsid wsp:val=&quot;3CB74F79&quot;/&gt;&lt;wsp:rsid wsp:val=&quot;3CC80A7A&quot;/&gt;&lt;wsp:rsid wsp:val=&quot;3E63644F&quot;/&gt;&lt;wsp:rsid wsp:val=&quot;42211EC1&quot;/&gt;&lt;wsp:rsid wsp:val=&quot;42C06726&quot;/&gt;&lt;wsp:rsid wsp:val=&quot;430E56F4&quot;/&gt;&lt;wsp:rsid wsp:val=&quot;48CC13D9&quot;/&gt;&lt;wsp:rsid wsp:val=&quot;4CD34ADE&quot;/&gt;&lt;wsp:rsid wsp:val=&quot;4CDB2302&quot;/&gt;&lt;wsp:rsid wsp:val=&quot;500F7705&quot;/&gt;&lt;wsp:rsid wsp:val=&quot;50223AD5&quot;/&gt;&lt;wsp:rsid wsp:val=&quot;52231D58&quot;/&gt;&lt;wsp:rsid wsp:val=&quot;57A606AC&quot;/&gt;&lt;wsp:rsid wsp:val=&quot;58C45316&quot;/&gt;&lt;wsp:rsid wsp:val=&quot;59F7468F&quot;/&gt;&lt;wsp:rsid wsp:val=&quot;5B3C50B8&quot;/&gt;&lt;wsp:rsid wsp:val=&quot;5FF37537&quot;/&gt;&lt;wsp:rsid wsp:val=&quot;60BB0848&quot;/&gt;&lt;wsp:rsid wsp:val=&quot;60CF1B28&quot;/&gt;&lt;wsp:rsid wsp:val=&quot;61A22D98&quot;/&gt;&lt;wsp:rsid wsp:val=&quot;648C3B2E&quot;/&gt;&lt;wsp:rsid wsp:val=&quot;67702502&quot;/&gt;&lt;wsp:rsid wsp:val=&quot;68B106FE&quot;/&gt;&lt;wsp:rsid wsp:val=&quot;69845BA5&quot;/&gt;&lt;wsp:rsid wsp:val=&quot;699340F5&quot;/&gt;&lt;wsp:rsid wsp:val=&quot;6ABB51FD&quot;/&gt;&lt;wsp:rsid wsp:val=&quot;6BA51E03&quot;/&gt;&lt;wsp:rsid wsp:val=&quot;6D0F48A1&quot;/&gt;&lt;wsp:rsid wsp:val=&quot;6E5E1E17&quot;/&gt;&lt;wsp:rsid wsp:val=&quot;6ECF755A&quot;/&gt;&lt;wsp:rsid wsp:val=&quot;6F060991&quot;/&gt;&lt;wsp:rsid wsp:val=&quot;6FD1670D&quot;/&gt;&lt;wsp:rsid wsp:val=&quot;73EA2AA9&quot;/&gt;&lt;wsp:rsid wsp:val=&quot;76117BAB&quot;/&gt;&lt;wsp:rsid wsp:val=&quot;76244F59&quot;/&gt;&lt;wsp:rsid wsp:val=&quot;76854E63&quot;/&gt;&lt;wsp:rsid wsp:val=&quot;777E3C5F&quot;/&gt;&lt;wsp:rsid wsp:val=&quot;7A0F70A9&quot;/&gt;&lt;wsp:rsid wsp:val=&quot;7BD70A60&quot;/&gt;&lt;wsp:rsid wsp:val=&quot;7E21356B&quot;/&gt;&lt;wsp:rsid wsp:val=&quot;7EFE0D38&quot;/&gt;&lt;/wsp:rsids&gt;&lt;/w:docPr&gt;&lt;w:body&gt;&lt;wx:sect&gt;&lt;w:p wsp:rsidR=&quot;00000000&quot; wsp:rsidRPr=&quot;00AE3EB9&quot; wsp:rsidRDefault=&quot;00AE3EB9&quot; wsp:rsidP=&quot;00AE3EB9&quot;&gt;&lt;m:oMathPara&gt;&lt;m:oMath&gt;&lt;m:sSub&gt;&lt;m:sSubPr&gt;&lt;m:ctrlPr&gt;&lt;w:rPr&gt;&lt;w:rFonts w:ascii=&quot;Cambria Math&quot; w:h-ansi=&quot;Cambria Math&quot;/&gt;&lt;wx:font wx:val=&quot;Cambria Math&quot;/&gt;&lt;w:b-cs/&gt;&lt;w:i/&gt;&lt;w:color w:val=&quot;000000&quot;/&gt;&lt;w:sz w:val=&quot;24&quot;/&gt;&lt;w:sz-cs w:val=&quot;24&quot;/&gt;&lt;/w:rPr&gt;&lt;/m:ctrlPr&gt;&lt;/m:sSubPr&gt;&lt;m:e&gt;&lt;m:r&gt;&lt;w:rPr&gt;&lt;w:rFonts w:ascii=&quot;Cambria Math&quot; w:h-ansi=&quot;Cambria Math&quot;/&gt;&lt;wx:font wx:val=&quot;Cambria Math&quot;/&gt;&lt;w:i/&gt;&lt;w:color w:val=&quot;000000&quot;/&gt;&lt;w:sz w:val=&quot;24&quot;/&gt;&lt;w:sz-cs w:val=&quot;24&quot;/&gt;&lt;/w:rPr&gt;&lt;m:t&gt;L&lt;/m:t&gt;&lt;/m:r&gt;&lt;/m:e&gt;&lt;m:sub&gt;&lt;m:r&gt;&lt;w:rPr&gt;&lt;w:rFonts w:ascii=&quot;Cambria Math&quot; w:h-ansi=&quot;Cambria Math&quot;/&gt;&lt;wx:font wx:val=&quot;Cambria Math&quot;/&gt;&lt;w:i/&gt;&lt;w:color w:val=&quot;000000&quot;/&gt;&lt;w:sz w:val=&quot;24&quot;/&gt;&lt;w:sz-cs w:val=&quot;24&quot;/&gt;&lt;/w:rPr&gt;&lt;m:t&gt;eq&lt;/m:t&gt;&lt;/m:r&gt;&lt;/m:sub&gt;&lt;/m:sSub&gt;&lt;m:r&gt;&lt;w:rPr&gt;&lt;w:rFonts w:ascii=&quot;Cambria Math&quot; w:h-ansi=&quot;Cambria Math&quot;/&gt;&lt;wx:font wx:val=&quot;Cambria Math&quot;/&gt;&lt;w:i/&gt;&lt;w:color w:val=&quot;000000&quot;/&gt;&lt;w:sz w:val=&quot;24&quot;/&gt;&lt;w:sz-cs w:val=&quot;24&quot;/&gt;&lt;/w:rPr&gt;&lt;m:t&gt;=10&lt;/m:t&gt;&lt;/m:r&gt;&lt;m:r&gt;&lt;m:rPr&gt;&lt;m:sty m:val=&quot;p&quot;/&gt;&lt;/m:rPr&gt;&lt;w:rPr&gt;&lt;w:rFonts w:ascii=&quot;Cambria Math&quot; w:h-ansi=&quot;Cambria Math&quot;/&gt;&lt;wx:font wx:val=&quot;Cambria Math&quot;/&gt;&lt;w:color w:val=&quot;000000&quot;/&gt;&lt;w:sz w:val=&quot;24&quot;/&gt;&lt;w:sz-cs w:val=&quot;24&quot;/&gt;&lt;/w:rPr&gt;&lt;m:t&gt;lg鈦?/m:t&gt;&lt;/m:r&gt;&lt;m:d&gt;&lt;m:&lt;mmmmmmmmmmmmmmmmmmmmmmmmmmdPr&gt;&lt;m:ctrlPr&gt;&lt;w:rPr&gt;&lt;w:rFonts w:ascii=&quot;Cambria Math&quot; w:h-ansi=&quot;Cambria Math&quot;/&gt;&lt;wx:font wx:val=&quot;Cambria Math&quot;/&gt;&lt;w:b-cs/&gt;&lt;w:color w:val=&quot;000000&quot;/&gt;&lt;w:sz w:val=&quot;24&quot;/&gt;&lt;w:sz-cs w:val=&quot;24&quot;/&gt;&lt;/w:rPr&gt;&lt;/m:ctrlPr&gt;&lt;/m:dPr&gt;&lt;m:e&gt;&lt;m:sSup&gt;&lt;m:sSupPr&gt;&lt;m:ctrlPr&gt;&lt;w:rPr&gt;&lt;w:rFonts w:ascii=&quot;Cambria Math&quot; w:h-ansi=&quot;Cambria Math&quot;/&gt;&lt;wx:font wx:val=&quot;Cambria Math&quot;/&gt;&lt;w:b-cs/&gt;&lt;w:i/&gt;&lt;w:color w:val=&quot;000000&quot;/&gt;&lt;w:sz w:val=&quot;24&quot;/&gt;&lt;w:sz-cs w:val=&quot;24&quot;/&gt;&lt;/w:rPr&gt;&lt;/m:ctrlPr&gt;&lt;/m:sSupPr&gt;&lt;m:e&gt;&lt;m:r&gt;&lt;w:rPr&gt;&lt;w:rFonts w:ascii=&quot;Cambria Math&quot; w:h-ansi=&quot;Cambria Math&quot;/&gt;&lt;wx:font wx:val=&quot;Cambria Math&quot;/&gt;&lt;w:i/&gt;&lt;w:color w:val=&quot;000000&quot;/&gt;&lt;w:sz w:val=&quot;24&quot;/&gt;&lt;w:sz-cs w:val=&quot;24&quot;/&gt;&lt;/w:rPr&gt;&lt;m:t&gt;10&lt;/m:t&gt;&lt;/m:r&gt;&lt;/m:e&gt;&lt;m:sup&gt;&lt;m:r&gt;&lt;w:rPr&gt;&lt;w:rFonts w:ascii=&quot;Cambria Math&quot; w:h-ansi=&quot;Cambria Math&quot;/&gt;&lt;wx:font wx:val=&quot;Cambria Math&quot;/&gt;&lt;w:i/&gt;&lt;w:color w:val=&quot;000000&quot;/&gt;&lt;w:sz w:val=&quot;24&quot;/&gt;&lt;w:sz-cs w:val=&quot;24&quot;/&gt;&lt;/w:rPr&gt;&lt;m:t&gt;0.1&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w:rPr&gt;&lt;w:rFonts w:ascii=&quot;Cambria Math&quot; w:h-ansi=&quot;Cambria Math&quot;/&gt;&lt;wx:font wx:val=&quot;Cambria Math&quot;/&gt;&lt;w:i/&gt;&lt;w:color w:val=&quot;000000&quot;/&gt;&lt;w:sz w:val=&quot;24&quot;/&gt;&lt;w:sz-cs w:val=&quot;24&quot;/&gt;&lt;/w:rPr&gt;&lt;m:t&gt;L&lt;/m:t&gt;&lt;/m:r&gt;&lt;/m:e&gt;&lt;m:sub&gt;&lt;m:r&gt;&lt;w:rPr&gt;&lt;w:rFonts w:ascii=&quot;Cambria Math&quot; w:h-ansi=&quot;Cambria Math&quot;/&gt;&lt;wx:font wx:val=&quot;Cambria Math&quot;/&gt;&lt;w:i/&gt;&lt;w:color w:val=&quot;000000&quot;/&gt;&lt;w:sz w:val=&quot;24&quot;/&gt;&lt;w:sz-cs w:val=&quot;24&quot;/&gt;&lt;/w:rPr&gt;&lt;m:t&gt;eqg&lt;/m:t&gt;&lt;/m:r&gt;&lt;/m:sub&gt;&lt;/m:sSub&gt;&lt;/m:sup&gt;&lt;/m:sSup&gt;&lt;m:r&gt;&lt;w:rPr&gt;&lt;w:rFonts w:ascii=&quot;Cambria Math&quot; w:h-ansi=&quot;Cambria Math&quot;/&gt;&lt;wx:font wx:val=&quot;Cambria Math&quot;/&gt;&lt;w:i/&gt;&lt;w:color w:val=&quot;000000&quot;/&gt;&lt;w:sz w:val=&quot;24&quot;/&gt;&lt;w:sz-cs w:val=&quot;24&quot;/&gt;&lt;/w:rPr&gt;&lt;m:t&gt;+&lt;/m:t&gt;&lt;/m:r&gt;&lt;m:sSup&gt;&lt;m:sSupPr&gt;&lt;m:ctrlPr&gt;&lt;w:rPr&gt;&lt;w:rFonts w:ascii=&quot;Cambria Math&quot; w:h-ansi=&quot;Cambria Math&quot;/&gt;&lt;wx:font wx:val=&quot;Cambria Math&quot;/&gt;&lt;w:b-cs/&gt;&lt;w:i/&gt;&lt;w:color w:val=&quot;000000&quot;/&gt;&lt;w:sz w:val=&quot;24&quot;/&gt;&lt;w:sz-cs w:val=&quot;24&quot;/&gt;&lt;/w:rPr&gt;&lt;/m:ctrlPr&gt;&lt;/m:sSupPr&gt;&lt;m:e&gt;&lt;m:r&gt;&lt;w:rPr&gt;&lt;w:rFonts w:ascii=&quot;Cambria Math&quot; w:h-ansi=&quot;Cambria Math&quot;/&gt;&lt;wx:font wx:val=&quot;Cambria Math&quot;/&gt;&lt;w:i/&gt;&lt;w:color w:val=&quot;000000&quot;/&gt;&lt;w:sz w:val=&quot;24&quot;/&gt;&lt;w:sz-cs w:val=&quot;24&quot;/&gt;&lt;/w:rPr&gt;&lt;m:t&gt;10&lt;/m:t&gt;&lt;/m:r&gt;&lt;/m:e&gt;&lt;m:sup&gt;&lt;m:r&gt;&lt;w:rPr&gt;&lt;w:rFonts w:ascii=&quot;Cambria Math&quot; w:h-ansi=&quot;Cambria Math&quot;/&gt;&lt;wx:font wx:val=&quot;Cambria Math&quot;/&gt;&lt;w:i/&gt;&lt;w:color w:val=&quot;000000&quot;/&gt;&lt;w:sz w:val=&quot;24&quot;/&gt;&lt;w:sz-cs w:val=&quot;24&quot;/&gt;&lt;/w:rPr&gt;&lt;m:t&gt;0.1&lt;/m:t&gt;&lt;/m:r&gt;&lt;m:sSub&gt;&lt;m:sSubPr&gt;&lt;m:ctrlPr&gt;&lt;w:rPr&gt;&lt;w:rFonts w:ascii=&quot;Cambria Math&quot; w:h-ansi=&quot;Cambria Math&quot;/&gt;&lt;wx:font wx:val=&quot;Cambria Math&quot;/&gt;&lt;w:b-cs/&gt;&lt;w:i/&gt;&lt;w:color w:val=&quot;000000&quot;/&gt;&lt;w:sz w:val=&quot;24&quot;/&gt;&lt;w:sz-cs w:val=&quot;24&quot;/&gt;&lt;/w:rPr&gt;&lt;/m:ctrlPr&gt;&lt;/m:sSubPr&gt;&lt;m:e&gt;&lt;m:r&gt;&lt;w:rPr&gt;&lt;w:rFonts w:ascii=&quot;Cambria Math&quot; w:h-ansi=&quot;Cambria Math&quot;/&gt;&lt;wx:font wx:val=&quot;Cambria Math&quot;/&gt;&lt;w:i/&gt;&lt;w:color w:val=&quot;000000&quot;/&gt;&lt;w:sz w:val=&quot;24&quot;/&gt;&lt;w:sz-cs w:val=&quot;24&quot;/&gt;&lt;/w:rPr&gt;&lt;m:t&gt;L&lt;/m:t&gt;&lt;/m:r&gt;&lt;/m:e&gt;&lt;m:sub&gt;&lt;m:r&gt;&lt;w:rPr&gt;&lt;w:rFonts w:ascii=&quot;Cambria Math&quot; w:h-ansi=&quot;Cambria Math&quot;/&gt;&lt;wx:font wx:val=&quot;Cambria Math&quot;/&gt;&lt;w:i/&gt;&lt;w:color w:val=&quot;000000&quot;/&gt;&lt;w:sz w:val=&quot;24&quot;/&gt;&lt;w:sz-cs w:val=&quot;24&quot;/&gt;&lt;/w:rPr&gt;&lt;m:t&gt;eqb&lt;/m:t&gt;&lt;/m:r&gt;&lt;/m:sub&gt;&lt;/m:sSub&gt;&lt;/m:sup&gt;&lt;/m:sSup&gt;&lt;/m:e&gt;&lt;/m:d&gt;&lt;/m:oMath&gt;&lt;/m:oMathPara&gt;&lt;/w:p&gt;&lt;w:sectPr wsp:rsidR=&quot;00000000&quot; wsp:rsidRPr=&quot;00AE3EB9&quot;&gt;&lt;w:pgSz w:w=&quot;12240&quot; w:h=&quot;15840&quot;/&gt;&lt;w:pgMar w:top=&quot;1440&quot; w:right=&quot;1800&quot; w:bottom=&quot;1440&quot; w:left=&quot;1800&quot; w:header=&quot;720&quot; w:footer=&quot;720&quot; w:gutter=&quot;0&quot;/&gt;&lt;w:cols w:space=&quot;720&quot;/&gt;&lt;/w:sectPr&gt;&lt;/wx:sect&gt;&lt;/w:body&gt;&lt;/w:wordDocument&gt;">
                  <v:path/>
                  <v:fill on="f" focussize="0,0"/>
                  <v:stroke on="f" joinstyle="miter"/>
                  <v:imagedata r:id="rId22" chromakey="#FFFFFF" o:title=""/>
                  <o:lock v:ext="edit" aspectratio="t"/>
                  <w10:wrap type="none"/>
                  <w10:anchorlock/>
                </v:shape>
              </w:pict>
            </w:r>
          </w:p>
          <w:p w14:paraId="023B918A">
            <w:pPr>
              <w:adjustRightInd w:val="0"/>
              <w:snapToGrid w:val="0"/>
              <w:spacing w:line="360" w:lineRule="auto"/>
              <w:ind w:firstLine="480" w:firstLineChars="200"/>
              <w:rPr>
                <w:bCs/>
                <w:color w:val="000000"/>
                <w:sz w:val="24"/>
                <w:szCs w:val="24"/>
              </w:rPr>
            </w:pPr>
            <w:r>
              <w:rPr>
                <w:bCs/>
                <w:color w:val="000000"/>
                <w:sz w:val="24"/>
                <w:szCs w:val="24"/>
              </w:rPr>
              <w:t>以上公式符号详见《环境影响评价技术导则  声环境》（HJ2.4-2021）。</w:t>
            </w:r>
          </w:p>
          <w:p w14:paraId="424B1E1E">
            <w:pPr>
              <w:adjustRightInd w:val="0"/>
              <w:snapToGrid w:val="0"/>
              <w:spacing w:line="360" w:lineRule="auto"/>
              <w:ind w:firstLine="480" w:firstLineChars="200"/>
              <w:rPr>
                <w:bCs/>
                <w:color w:val="000000"/>
                <w:sz w:val="24"/>
                <w:szCs w:val="24"/>
              </w:rPr>
            </w:pPr>
            <w:r>
              <w:rPr>
                <w:bCs/>
                <w:color w:val="000000"/>
                <w:sz w:val="24"/>
                <w:szCs w:val="24"/>
              </w:rPr>
              <w:t>（3）预测结果及评价</w:t>
            </w:r>
          </w:p>
          <w:p w14:paraId="56CF4D93">
            <w:pPr>
              <w:adjustRightInd w:val="0"/>
              <w:snapToGrid w:val="0"/>
              <w:spacing w:line="360" w:lineRule="auto"/>
              <w:ind w:firstLine="480" w:firstLineChars="200"/>
              <w:rPr>
                <w:bCs/>
                <w:color w:val="000000"/>
                <w:sz w:val="24"/>
                <w:szCs w:val="24"/>
                <w:highlight w:val="yellow"/>
              </w:rPr>
            </w:pPr>
            <w:r>
              <w:rPr>
                <w:bCs/>
                <w:color w:val="000000"/>
                <w:sz w:val="24"/>
                <w:szCs w:val="24"/>
              </w:rPr>
              <w:t>根据建设项目厂区总平面布置图，按预测模式，考虑隔声降噪措施、距离衰减及厂房</w:t>
            </w:r>
            <w:r>
              <w:rPr>
                <w:rFonts w:hint="eastAsia"/>
                <w:bCs/>
                <w:color w:val="000000"/>
                <w:sz w:val="24"/>
                <w:szCs w:val="24"/>
              </w:rPr>
              <w:t>屏蔽</w:t>
            </w:r>
            <w:r>
              <w:rPr>
                <w:bCs/>
                <w:color w:val="000000"/>
                <w:sz w:val="24"/>
                <w:szCs w:val="24"/>
              </w:rPr>
              <w:t>效应等，本项目</w:t>
            </w:r>
            <w:r>
              <w:rPr>
                <w:rFonts w:hint="eastAsia"/>
                <w:bCs/>
                <w:color w:val="000000"/>
                <w:sz w:val="24"/>
                <w:szCs w:val="24"/>
              </w:rPr>
              <w:t>院界</w:t>
            </w:r>
            <w:r>
              <w:rPr>
                <w:bCs/>
                <w:color w:val="000000"/>
                <w:sz w:val="24"/>
                <w:szCs w:val="24"/>
              </w:rPr>
              <w:t>和环境保护目标噪声预测结果及达标情况详见下表。</w:t>
            </w:r>
          </w:p>
          <w:p w14:paraId="69DFE7BA">
            <w:pPr>
              <w:tabs>
                <w:tab w:val="left" w:pos="2196"/>
              </w:tabs>
              <w:spacing w:line="360" w:lineRule="auto"/>
              <w:jc w:val="center"/>
              <w:rPr>
                <w:b/>
                <w:sz w:val="24"/>
                <w:szCs w:val="24"/>
                <w:u w:val="none"/>
              </w:rPr>
            </w:pPr>
            <w:bookmarkStart w:id="17" w:name="_Hlk73088778"/>
            <w:r>
              <w:rPr>
                <w:b/>
                <w:sz w:val="24"/>
                <w:szCs w:val="24"/>
                <w:u w:val="none"/>
              </w:rPr>
              <w:t>表4-</w:t>
            </w:r>
            <w:r>
              <w:rPr>
                <w:rFonts w:hint="eastAsia"/>
                <w:b/>
                <w:sz w:val="24"/>
                <w:szCs w:val="24"/>
                <w:u w:val="none"/>
              </w:rPr>
              <w:t>1</w:t>
            </w:r>
            <w:r>
              <w:rPr>
                <w:rFonts w:hint="eastAsia"/>
                <w:b/>
                <w:sz w:val="24"/>
                <w:szCs w:val="24"/>
                <w:u w:val="none"/>
                <w:lang w:val="en-US" w:eastAsia="zh-CN"/>
              </w:rPr>
              <w:t>6</w:t>
            </w:r>
            <w:r>
              <w:rPr>
                <w:b/>
                <w:sz w:val="24"/>
                <w:szCs w:val="24"/>
                <w:u w:val="none"/>
              </w:rPr>
              <w:t xml:space="preserve">  噪声预测</w:t>
            </w:r>
            <w:bookmarkEnd w:id="17"/>
            <w:r>
              <w:rPr>
                <w:b/>
                <w:sz w:val="24"/>
                <w:szCs w:val="24"/>
                <w:u w:val="none"/>
              </w:rPr>
              <w:t>结果一览表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94"/>
              <w:gridCol w:w="877"/>
              <w:gridCol w:w="1069"/>
              <w:gridCol w:w="1200"/>
              <w:gridCol w:w="1066"/>
              <w:gridCol w:w="1066"/>
              <w:gridCol w:w="1039"/>
              <w:gridCol w:w="978"/>
            </w:tblGrid>
            <w:tr w14:paraId="5EC75E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904" w:type="dxa"/>
                  <w:gridSpan w:val="2"/>
                  <w:tcBorders>
                    <w:top w:val="single" w:color="auto" w:sz="12" w:space="0"/>
                    <w:left w:val="single" w:color="auto" w:sz="12" w:space="0"/>
                    <w:bottom w:val="single" w:color="auto" w:sz="6" w:space="0"/>
                    <w:right w:val="single" w:color="auto" w:sz="6" w:space="0"/>
                  </w:tcBorders>
                  <w:vAlign w:val="center"/>
                </w:tcPr>
                <w:p w14:paraId="024780EE">
                  <w:pPr>
                    <w:jc w:val="right"/>
                    <w:rPr>
                      <w:b/>
                      <w:kern w:val="32"/>
                      <w:szCs w:val="21"/>
                      <w:u w:val="none"/>
                    </w:rPr>
                  </w:pPr>
                  <w:r>
                    <w:rPr>
                      <w:rFonts w:ascii="宋体" w:hAnsi="宋体"/>
                      <w:b/>
                      <w:kern w:val="32"/>
                      <w:u w:val="none"/>
                    </w:rPr>
                    <w:t>预测点</w:t>
                  </w:r>
                </w:p>
                <w:p w14:paraId="0C29ED60">
                  <w:pPr>
                    <w:rPr>
                      <w:b/>
                      <w:kern w:val="32"/>
                      <w:u w:val="none"/>
                    </w:rPr>
                  </w:pPr>
                  <w:r>
                    <w:rPr>
                      <w:rFonts w:ascii="宋体" w:hAnsi="宋体"/>
                      <w:b/>
                      <w:kern w:val="32"/>
                      <w:u w:val="none"/>
                    </w:rPr>
                    <w:t>预测结果</w:t>
                  </w:r>
                </w:p>
              </w:tc>
              <w:tc>
                <w:tcPr>
                  <w:tcW w:w="1087" w:type="dxa"/>
                  <w:tcBorders>
                    <w:top w:val="single" w:color="auto" w:sz="12" w:space="0"/>
                    <w:left w:val="single" w:color="auto" w:sz="6" w:space="0"/>
                    <w:bottom w:val="single" w:color="auto" w:sz="6" w:space="0"/>
                    <w:right w:val="single" w:color="auto" w:sz="6" w:space="0"/>
                  </w:tcBorders>
                  <w:vAlign w:val="center"/>
                </w:tcPr>
                <w:p w14:paraId="3F843739">
                  <w:pPr>
                    <w:jc w:val="center"/>
                    <w:rPr>
                      <w:b/>
                      <w:kern w:val="32"/>
                      <w:u w:val="none"/>
                    </w:rPr>
                  </w:pPr>
                  <w:r>
                    <w:rPr>
                      <w:rFonts w:hint="eastAsia" w:ascii="宋体" w:hAnsi="宋体"/>
                      <w:b/>
                      <w:u w:val="none"/>
                    </w:rPr>
                    <w:t>院</w:t>
                  </w:r>
                  <w:r>
                    <w:rPr>
                      <w:rFonts w:ascii="宋体" w:hAnsi="宋体"/>
                      <w:b/>
                      <w:u w:val="none"/>
                    </w:rPr>
                    <w:t>界</w:t>
                  </w:r>
                  <w:r>
                    <w:rPr>
                      <w:rFonts w:hint="eastAsia" w:ascii="宋体" w:hAnsi="宋体"/>
                      <w:b/>
                      <w:u w:val="none"/>
                    </w:rPr>
                    <w:t>东</w:t>
                  </w:r>
                  <w:r>
                    <w:rPr>
                      <w:rFonts w:ascii="宋体" w:hAnsi="宋体"/>
                      <w:b/>
                      <w:u w:val="none"/>
                    </w:rPr>
                    <w:t>侧</w:t>
                  </w:r>
                </w:p>
              </w:tc>
              <w:tc>
                <w:tcPr>
                  <w:tcW w:w="1222" w:type="dxa"/>
                  <w:tcBorders>
                    <w:top w:val="single" w:color="auto" w:sz="12" w:space="0"/>
                    <w:left w:val="single" w:color="auto" w:sz="6" w:space="0"/>
                    <w:bottom w:val="single" w:color="auto" w:sz="6" w:space="0"/>
                    <w:right w:val="single" w:color="auto" w:sz="6" w:space="0"/>
                  </w:tcBorders>
                  <w:vAlign w:val="center"/>
                </w:tcPr>
                <w:p w14:paraId="4E474AC8">
                  <w:pPr>
                    <w:jc w:val="center"/>
                    <w:rPr>
                      <w:b/>
                      <w:kern w:val="32"/>
                      <w:u w:val="none"/>
                    </w:rPr>
                  </w:pPr>
                  <w:r>
                    <w:rPr>
                      <w:rFonts w:hint="eastAsia" w:ascii="宋体" w:hAnsi="宋体"/>
                      <w:b/>
                      <w:u w:val="none"/>
                    </w:rPr>
                    <w:t>院</w:t>
                  </w:r>
                  <w:r>
                    <w:rPr>
                      <w:rFonts w:ascii="宋体" w:hAnsi="宋体"/>
                      <w:b/>
                      <w:u w:val="none"/>
                    </w:rPr>
                    <w:t>界南侧</w:t>
                  </w:r>
                </w:p>
              </w:tc>
              <w:tc>
                <w:tcPr>
                  <w:tcW w:w="1084" w:type="dxa"/>
                  <w:tcBorders>
                    <w:top w:val="single" w:color="auto" w:sz="12" w:space="0"/>
                    <w:left w:val="single" w:color="auto" w:sz="6" w:space="0"/>
                    <w:bottom w:val="single" w:color="auto" w:sz="6" w:space="0"/>
                    <w:right w:val="single" w:color="auto" w:sz="6" w:space="0"/>
                  </w:tcBorders>
                  <w:vAlign w:val="center"/>
                </w:tcPr>
                <w:p w14:paraId="200CB758">
                  <w:pPr>
                    <w:jc w:val="center"/>
                    <w:rPr>
                      <w:b/>
                      <w:kern w:val="32"/>
                      <w:u w:val="none"/>
                    </w:rPr>
                  </w:pPr>
                  <w:r>
                    <w:rPr>
                      <w:rFonts w:hint="eastAsia" w:ascii="宋体" w:hAnsi="宋体"/>
                      <w:b/>
                      <w:u w:val="none"/>
                    </w:rPr>
                    <w:t>院</w:t>
                  </w:r>
                  <w:r>
                    <w:rPr>
                      <w:rFonts w:ascii="宋体" w:hAnsi="宋体"/>
                      <w:b/>
                      <w:u w:val="none"/>
                    </w:rPr>
                    <w:t>界</w:t>
                  </w:r>
                  <w:r>
                    <w:rPr>
                      <w:rFonts w:hint="eastAsia" w:ascii="宋体" w:hAnsi="宋体"/>
                      <w:b/>
                      <w:u w:val="none"/>
                    </w:rPr>
                    <w:t>西</w:t>
                  </w:r>
                  <w:r>
                    <w:rPr>
                      <w:rFonts w:ascii="宋体" w:hAnsi="宋体"/>
                      <w:b/>
                      <w:u w:val="none"/>
                    </w:rPr>
                    <w:t>侧</w:t>
                  </w:r>
                </w:p>
              </w:tc>
              <w:tc>
                <w:tcPr>
                  <w:tcW w:w="1084" w:type="dxa"/>
                  <w:tcBorders>
                    <w:top w:val="single" w:color="auto" w:sz="12" w:space="0"/>
                    <w:left w:val="single" w:color="auto" w:sz="6" w:space="0"/>
                    <w:bottom w:val="single" w:color="auto" w:sz="6" w:space="0"/>
                    <w:right w:val="single" w:color="auto" w:sz="6" w:space="0"/>
                  </w:tcBorders>
                  <w:vAlign w:val="center"/>
                </w:tcPr>
                <w:p w14:paraId="22E278E5">
                  <w:pPr>
                    <w:jc w:val="center"/>
                    <w:rPr>
                      <w:b/>
                      <w:kern w:val="32"/>
                      <w:u w:val="none"/>
                    </w:rPr>
                  </w:pPr>
                  <w:r>
                    <w:rPr>
                      <w:rFonts w:hint="eastAsia" w:ascii="宋体" w:hAnsi="宋体"/>
                      <w:b/>
                      <w:u w:val="none"/>
                    </w:rPr>
                    <w:t>院</w:t>
                  </w:r>
                  <w:r>
                    <w:rPr>
                      <w:rFonts w:ascii="宋体" w:hAnsi="宋体"/>
                      <w:b/>
                      <w:u w:val="none"/>
                    </w:rPr>
                    <w:t>界北侧</w:t>
                  </w:r>
                </w:p>
              </w:tc>
              <w:tc>
                <w:tcPr>
                  <w:tcW w:w="1057" w:type="dxa"/>
                  <w:tcBorders>
                    <w:top w:val="single" w:color="auto" w:sz="12" w:space="0"/>
                    <w:left w:val="single" w:color="auto" w:sz="6" w:space="0"/>
                    <w:bottom w:val="single" w:color="auto" w:sz="6" w:space="0"/>
                    <w:right w:val="single" w:color="auto" w:sz="6" w:space="0"/>
                  </w:tcBorders>
                  <w:vAlign w:val="center"/>
                </w:tcPr>
                <w:p w14:paraId="6544BF6F">
                  <w:pPr>
                    <w:jc w:val="center"/>
                    <w:rPr>
                      <w:b/>
                      <w:kern w:val="32"/>
                      <w:u w:val="none"/>
                    </w:rPr>
                  </w:pPr>
                  <w:r>
                    <w:rPr>
                      <w:rFonts w:ascii="宋体" w:hAnsi="宋体"/>
                      <w:b/>
                      <w:kern w:val="32"/>
                      <w:u w:val="none"/>
                    </w:rPr>
                    <w:t>标准</w:t>
                  </w:r>
                </w:p>
                <w:p w14:paraId="1970E1CA">
                  <w:pPr>
                    <w:jc w:val="center"/>
                    <w:rPr>
                      <w:b/>
                      <w:kern w:val="32"/>
                      <w:u w:val="none"/>
                    </w:rPr>
                  </w:pPr>
                  <w:r>
                    <w:rPr>
                      <w:rFonts w:ascii="宋体" w:hAnsi="宋体"/>
                      <w:b/>
                      <w:kern w:val="32"/>
                      <w:u w:val="none"/>
                    </w:rPr>
                    <w:t>限值</w:t>
                  </w:r>
                </w:p>
              </w:tc>
              <w:tc>
                <w:tcPr>
                  <w:tcW w:w="995" w:type="dxa"/>
                  <w:tcBorders>
                    <w:top w:val="single" w:color="auto" w:sz="12" w:space="0"/>
                    <w:left w:val="single" w:color="auto" w:sz="6" w:space="0"/>
                    <w:bottom w:val="single" w:color="auto" w:sz="6" w:space="0"/>
                    <w:right w:val="single" w:color="auto" w:sz="12" w:space="0"/>
                  </w:tcBorders>
                  <w:vAlign w:val="center"/>
                </w:tcPr>
                <w:p w14:paraId="1A92BB68">
                  <w:pPr>
                    <w:jc w:val="center"/>
                    <w:rPr>
                      <w:b/>
                      <w:kern w:val="32"/>
                      <w:u w:val="none"/>
                    </w:rPr>
                  </w:pPr>
                  <w:r>
                    <w:rPr>
                      <w:rFonts w:ascii="宋体" w:hAnsi="宋体"/>
                      <w:b/>
                      <w:kern w:val="32"/>
                      <w:u w:val="none"/>
                    </w:rPr>
                    <w:t>达标</w:t>
                  </w:r>
                </w:p>
                <w:p w14:paraId="0A2C4107">
                  <w:pPr>
                    <w:jc w:val="center"/>
                    <w:rPr>
                      <w:b/>
                      <w:kern w:val="32"/>
                      <w:u w:val="none"/>
                    </w:rPr>
                  </w:pPr>
                  <w:r>
                    <w:rPr>
                      <w:rFonts w:ascii="宋体" w:hAnsi="宋体"/>
                      <w:b/>
                      <w:kern w:val="32"/>
                      <w:u w:val="none"/>
                    </w:rPr>
                    <w:t>情况</w:t>
                  </w:r>
                </w:p>
              </w:tc>
            </w:tr>
            <w:tr w14:paraId="01D4B1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12" w:type="dxa"/>
                  <w:vMerge w:val="restart"/>
                  <w:tcBorders>
                    <w:top w:val="single" w:color="auto" w:sz="6" w:space="0"/>
                    <w:left w:val="single" w:color="auto" w:sz="12" w:space="0"/>
                    <w:right w:val="single" w:color="auto" w:sz="6" w:space="0"/>
                  </w:tcBorders>
                  <w:vAlign w:val="center"/>
                </w:tcPr>
                <w:p w14:paraId="2181D7E7">
                  <w:pPr>
                    <w:jc w:val="center"/>
                    <w:rPr>
                      <w:bCs/>
                      <w:kern w:val="32"/>
                      <w:u w:val="none"/>
                    </w:rPr>
                  </w:pPr>
                  <w:r>
                    <w:rPr>
                      <w:rFonts w:ascii="宋体" w:hAnsi="宋体"/>
                      <w:bCs/>
                      <w:kern w:val="32"/>
                      <w:u w:val="none"/>
                    </w:rPr>
                    <w:t>贡献值</w:t>
                  </w:r>
                  <w:r>
                    <w:rPr>
                      <w:bCs/>
                      <w:kern w:val="32"/>
                      <w:u w:val="none"/>
                    </w:rPr>
                    <w:t>dB(A)</w:t>
                  </w:r>
                </w:p>
              </w:tc>
              <w:tc>
                <w:tcPr>
                  <w:tcW w:w="892" w:type="dxa"/>
                  <w:tcBorders>
                    <w:top w:val="single" w:color="auto" w:sz="6" w:space="0"/>
                    <w:left w:val="single" w:color="auto" w:sz="6" w:space="0"/>
                    <w:bottom w:val="single" w:color="auto" w:sz="6" w:space="0"/>
                    <w:right w:val="single" w:color="auto" w:sz="6" w:space="0"/>
                  </w:tcBorders>
                  <w:vAlign w:val="center"/>
                </w:tcPr>
                <w:p w14:paraId="0D448C9E">
                  <w:pPr>
                    <w:jc w:val="center"/>
                    <w:rPr>
                      <w:bCs/>
                      <w:kern w:val="32"/>
                      <w:u w:val="none"/>
                    </w:rPr>
                  </w:pPr>
                  <w:r>
                    <w:rPr>
                      <w:rFonts w:ascii="宋体" w:hAnsi="宋体"/>
                      <w:bCs/>
                      <w:kern w:val="32"/>
                      <w:u w:val="none"/>
                    </w:rPr>
                    <w:t>昼间</w:t>
                  </w:r>
                </w:p>
              </w:tc>
              <w:tc>
                <w:tcPr>
                  <w:tcW w:w="1087" w:type="dxa"/>
                  <w:tcBorders>
                    <w:top w:val="single" w:color="auto" w:sz="6" w:space="0"/>
                    <w:left w:val="single" w:color="auto" w:sz="6" w:space="0"/>
                    <w:bottom w:val="single" w:color="auto" w:sz="6" w:space="0"/>
                    <w:right w:val="single" w:color="auto" w:sz="6" w:space="0"/>
                  </w:tcBorders>
                  <w:vAlign w:val="center"/>
                </w:tcPr>
                <w:p w14:paraId="19D338C1">
                  <w:pPr>
                    <w:jc w:val="center"/>
                    <w:rPr>
                      <w:rFonts w:hint="default" w:eastAsia="宋体"/>
                      <w:bCs/>
                      <w:kern w:val="32"/>
                      <w:u w:val="none"/>
                      <w:lang w:val="en-US" w:eastAsia="zh-CN"/>
                    </w:rPr>
                  </w:pPr>
                  <w:r>
                    <w:rPr>
                      <w:rFonts w:hint="eastAsia"/>
                      <w:color w:val="000000"/>
                      <w:kern w:val="0"/>
                      <w:szCs w:val="21"/>
                      <w:u w:val="none"/>
                      <w:lang w:val="en-US" w:eastAsia="zh-CN" w:bidi="ar"/>
                    </w:rPr>
                    <w:t>34.8</w:t>
                  </w:r>
                </w:p>
              </w:tc>
              <w:tc>
                <w:tcPr>
                  <w:tcW w:w="1222" w:type="dxa"/>
                  <w:tcBorders>
                    <w:top w:val="single" w:color="auto" w:sz="6" w:space="0"/>
                    <w:left w:val="single" w:color="auto" w:sz="6" w:space="0"/>
                    <w:bottom w:val="single" w:color="auto" w:sz="6" w:space="0"/>
                    <w:right w:val="single" w:color="auto" w:sz="6" w:space="0"/>
                  </w:tcBorders>
                  <w:vAlign w:val="center"/>
                </w:tcPr>
                <w:p w14:paraId="57351629">
                  <w:pPr>
                    <w:jc w:val="center"/>
                    <w:rPr>
                      <w:rFonts w:hint="default" w:eastAsia="宋体"/>
                      <w:bCs/>
                      <w:kern w:val="32"/>
                      <w:u w:val="none"/>
                      <w:lang w:val="en-US" w:eastAsia="zh-CN"/>
                    </w:rPr>
                  </w:pPr>
                  <w:r>
                    <w:rPr>
                      <w:rFonts w:hint="eastAsia"/>
                      <w:color w:val="000000"/>
                      <w:kern w:val="0"/>
                      <w:szCs w:val="21"/>
                      <w:u w:val="none"/>
                      <w:lang w:val="en-US" w:eastAsia="zh-CN" w:bidi="ar"/>
                    </w:rPr>
                    <w:t>37.1</w:t>
                  </w:r>
                </w:p>
              </w:tc>
              <w:tc>
                <w:tcPr>
                  <w:tcW w:w="1084" w:type="dxa"/>
                  <w:tcBorders>
                    <w:top w:val="single" w:color="auto" w:sz="6" w:space="0"/>
                    <w:left w:val="single" w:color="auto" w:sz="6" w:space="0"/>
                    <w:bottom w:val="single" w:color="auto" w:sz="6" w:space="0"/>
                    <w:right w:val="single" w:color="auto" w:sz="6" w:space="0"/>
                  </w:tcBorders>
                  <w:vAlign w:val="center"/>
                </w:tcPr>
                <w:p w14:paraId="2A9FF8C4">
                  <w:pPr>
                    <w:jc w:val="center"/>
                    <w:rPr>
                      <w:rFonts w:hint="default"/>
                      <w:bCs/>
                      <w:kern w:val="32"/>
                      <w:u w:val="none"/>
                      <w:lang w:val="en-US"/>
                    </w:rPr>
                  </w:pPr>
                  <w:r>
                    <w:rPr>
                      <w:rFonts w:hint="eastAsia"/>
                      <w:color w:val="000000"/>
                      <w:kern w:val="0"/>
                      <w:szCs w:val="21"/>
                      <w:u w:val="none"/>
                      <w:lang w:val="en-US" w:eastAsia="zh-CN" w:bidi="ar"/>
                    </w:rPr>
                    <w:t>37.6</w:t>
                  </w:r>
                </w:p>
              </w:tc>
              <w:tc>
                <w:tcPr>
                  <w:tcW w:w="1084" w:type="dxa"/>
                  <w:tcBorders>
                    <w:top w:val="single" w:color="auto" w:sz="6" w:space="0"/>
                    <w:left w:val="single" w:color="auto" w:sz="6" w:space="0"/>
                    <w:bottom w:val="single" w:color="auto" w:sz="6" w:space="0"/>
                    <w:right w:val="single" w:color="auto" w:sz="6" w:space="0"/>
                  </w:tcBorders>
                  <w:vAlign w:val="center"/>
                </w:tcPr>
                <w:p w14:paraId="561730D2">
                  <w:pPr>
                    <w:jc w:val="center"/>
                    <w:rPr>
                      <w:rFonts w:hint="default" w:eastAsia="宋体"/>
                      <w:bCs/>
                      <w:kern w:val="32"/>
                      <w:u w:val="none"/>
                      <w:lang w:val="en-US" w:eastAsia="zh-CN"/>
                    </w:rPr>
                  </w:pPr>
                  <w:r>
                    <w:rPr>
                      <w:rFonts w:hint="eastAsia"/>
                      <w:color w:val="000000"/>
                      <w:kern w:val="0"/>
                      <w:szCs w:val="21"/>
                      <w:u w:val="none"/>
                      <w:lang w:val="en-US" w:eastAsia="zh-CN" w:bidi="ar"/>
                    </w:rPr>
                    <w:t>33.1</w:t>
                  </w:r>
                </w:p>
              </w:tc>
              <w:tc>
                <w:tcPr>
                  <w:tcW w:w="1057" w:type="dxa"/>
                  <w:tcBorders>
                    <w:top w:val="single" w:color="auto" w:sz="6" w:space="0"/>
                    <w:left w:val="single" w:color="auto" w:sz="6" w:space="0"/>
                    <w:bottom w:val="single" w:color="auto" w:sz="6" w:space="0"/>
                    <w:right w:val="single" w:color="auto" w:sz="6" w:space="0"/>
                  </w:tcBorders>
                  <w:vAlign w:val="center"/>
                </w:tcPr>
                <w:p w14:paraId="52B8DC47">
                  <w:pPr>
                    <w:pStyle w:val="136"/>
                    <w:spacing w:beforeLines="0" w:line="240" w:lineRule="auto"/>
                    <w:ind w:firstLine="0" w:firstLineChars="0"/>
                    <w:rPr>
                      <w:rFonts w:hint="eastAsia"/>
                      <w:u w:val="none"/>
                    </w:rPr>
                  </w:pPr>
                  <w:r>
                    <w:rPr>
                      <w:rFonts w:hint="eastAsia"/>
                      <w:u w:val="none"/>
                    </w:rPr>
                    <w:t>60</w:t>
                  </w:r>
                </w:p>
              </w:tc>
              <w:tc>
                <w:tcPr>
                  <w:tcW w:w="995" w:type="dxa"/>
                  <w:tcBorders>
                    <w:top w:val="single" w:color="auto" w:sz="6" w:space="0"/>
                    <w:left w:val="single" w:color="auto" w:sz="6" w:space="0"/>
                    <w:bottom w:val="single" w:color="auto" w:sz="6" w:space="0"/>
                    <w:right w:val="single" w:color="auto" w:sz="12" w:space="0"/>
                  </w:tcBorders>
                  <w:vAlign w:val="center"/>
                </w:tcPr>
                <w:p w14:paraId="18E77087">
                  <w:pPr>
                    <w:jc w:val="center"/>
                    <w:rPr>
                      <w:bCs/>
                      <w:kern w:val="32"/>
                      <w:u w:val="none"/>
                    </w:rPr>
                  </w:pPr>
                  <w:r>
                    <w:rPr>
                      <w:rFonts w:ascii="宋体" w:hAnsi="宋体"/>
                      <w:bCs/>
                      <w:kern w:val="32"/>
                      <w:u w:val="none"/>
                    </w:rPr>
                    <w:t>达标</w:t>
                  </w:r>
                </w:p>
              </w:tc>
            </w:tr>
            <w:tr w14:paraId="58215D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12" w:type="dxa"/>
                  <w:vMerge w:val="continue"/>
                  <w:tcBorders>
                    <w:left w:val="single" w:color="auto" w:sz="12" w:space="0"/>
                    <w:bottom w:val="single" w:color="auto" w:sz="12" w:space="0"/>
                    <w:right w:val="single" w:color="auto" w:sz="6" w:space="0"/>
                  </w:tcBorders>
                  <w:vAlign w:val="center"/>
                </w:tcPr>
                <w:p w14:paraId="4DCE618D">
                  <w:pPr>
                    <w:jc w:val="center"/>
                    <w:rPr>
                      <w:rFonts w:ascii="宋体" w:hAnsi="宋体"/>
                      <w:bCs/>
                      <w:kern w:val="32"/>
                      <w:u w:val="none"/>
                    </w:rPr>
                  </w:pPr>
                </w:p>
              </w:tc>
              <w:tc>
                <w:tcPr>
                  <w:tcW w:w="892" w:type="dxa"/>
                  <w:tcBorders>
                    <w:top w:val="single" w:color="auto" w:sz="6" w:space="0"/>
                    <w:left w:val="single" w:color="auto" w:sz="6" w:space="0"/>
                    <w:bottom w:val="single" w:color="auto" w:sz="12" w:space="0"/>
                    <w:right w:val="single" w:color="auto" w:sz="6" w:space="0"/>
                  </w:tcBorders>
                  <w:vAlign w:val="center"/>
                </w:tcPr>
                <w:p w14:paraId="01813D29">
                  <w:pPr>
                    <w:jc w:val="center"/>
                    <w:rPr>
                      <w:rFonts w:ascii="宋体" w:hAnsi="宋体"/>
                      <w:bCs/>
                      <w:kern w:val="32"/>
                      <w:u w:val="none"/>
                    </w:rPr>
                  </w:pPr>
                  <w:r>
                    <w:rPr>
                      <w:rFonts w:hint="eastAsia" w:ascii="宋体" w:hAnsi="宋体"/>
                      <w:bCs/>
                      <w:kern w:val="32"/>
                      <w:u w:val="none"/>
                    </w:rPr>
                    <w:t>夜间</w:t>
                  </w:r>
                </w:p>
              </w:tc>
              <w:tc>
                <w:tcPr>
                  <w:tcW w:w="1087" w:type="dxa"/>
                  <w:tcBorders>
                    <w:top w:val="single" w:color="auto" w:sz="6" w:space="0"/>
                    <w:left w:val="single" w:color="auto" w:sz="6" w:space="0"/>
                    <w:bottom w:val="single" w:color="auto" w:sz="12" w:space="0"/>
                    <w:right w:val="single" w:color="auto" w:sz="6" w:space="0"/>
                  </w:tcBorders>
                  <w:vAlign w:val="center"/>
                </w:tcPr>
                <w:p w14:paraId="561406B0">
                  <w:pPr>
                    <w:jc w:val="center"/>
                    <w:rPr>
                      <w:bCs/>
                      <w:kern w:val="32"/>
                      <w:u w:val="none"/>
                    </w:rPr>
                  </w:pPr>
                  <w:r>
                    <w:rPr>
                      <w:rFonts w:hint="eastAsia"/>
                      <w:color w:val="000000"/>
                      <w:kern w:val="0"/>
                      <w:szCs w:val="21"/>
                      <w:u w:val="none"/>
                      <w:lang w:val="en-US" w:eastAsia="zh-CN" w:bidi="ar"/>
                    </w:rPr>
                    <w:t>34.8</w:t>
                  </w:r>
                </w:p>
              </w:tc>
              <w:tc>
                <w:tcPr>
                  <w:tcW w:w="1222" w:type="dxa"/>
                  <w:tcBorders>
                    <w:top w:val="single" w:color="auto" w:sz="6" w:space="0"/>
                    <w:left w:val="single" w:color="auto" w:sz="6" w:space="0"/>
                    <w:bottom w:val="single" w:color="auto" w:sz="12" w:space="0"/>
                    <w:right w:val="single" w:color="auto" w:sz="6" w:space="0"/>
                  </w:tcBorders>
                  <w:vAlign w:val="center"/>
                </w:tcPr>
                <w:p w14:paraId="59518200">
                  <w:pPr>
                    <w:jc w:val="center"/>
                    <w:rPr>
                      <w:bCs/>
                      <w:kern w:val="32"/>
                      <w:u w:val="none"/>
                    </w:rPr>
                  </w:pPr>
                  <w:r>
                    <w:rPr>
                      <w:rFonts w:hint="eastAsia"/>
                      <w:color w:val="000000"/>
                      <w:kern w:val="0"/>
                      <w:szCs w:val="21"/>
                      <w:u w:val="none"/>
                      <w:lang w:val="en-US" w:eastAsia="zh-CN" w:bidi="ar"/>
                    </w:rPr>
                    <w:t>37.1</w:t>
                  </w:r>
                </w:p>
              </w:tc>
              <w:tc>
                <w:tcPr>
                  <w:tcW w:w="1084" w:type="dxa"/>
                  <w:tcBorders>
                    <w:top w:val="single" w:color="auto" w:sz="6" w:space="0"/>
                    <w:left w:val="single" w:color="auto" w:sz="6" w:space="0"/>
                    <w:bottom w:val="single" w:color="auto" w:sz="12" w:space="0"/>
                    <w:right w:val="single" w:color="auto" w:sz="6" w:space="0"/>
                  </w:tcBorders>
                  <w:vAlign w:val="center"/>
                </w:tcPr>
                <w:p w14:paraId="26F52D2B">
                  <w:pPr>
                    <w:jc w:val="center"/>
                    <w:rPr>
                      <w:bCs/>
                      <w:kern w:val="32"/>
                      <w:u w:val="none"/>
                    </w:rPr>
                  </w:pPr>
                  <w:r>
                    <w:rPr>
                      <w:rFonts w:hint="eastAsia"/>
                      <w:color w:val="000000"/>
                      <w:kern w:val="0"/>
                      <w:szCs w:val="21"/>
                      <w:u w:val="none"/>
                      <w:lang w:val="en-US" w:eastAsia="zh-CN" w:bidi="ar"/>
                    </w:rPr>
                    <w:t>37.6</w:t>
                  </w:r>
                </w:p>
              </w:tc>
              <w:tc>
                <w:tcPr>
                  <w:tcW w:w="1084" w:type="dxa"/>
                  <w:tcBorders>
                    <w:top w:val="single" w:color="auto" w:sz="6" w:space="0"/>
                    <w:left w:val="single" w:color="auto" w:sz="6" w:space="0"/>
                    <w:bottom w:val="single" w:color="auto" w:sz="12" w:space="0"/>
                    <w:right w:val="single" w:color="auto" w:sz="6" w:space="0"/>
                  </w:tcBorders>
                  <w:vAlign w:val="center"/>
                </w:tcPr>
                <w:p w14:paraId="26D28511">
                  <w:pPr>
                    <w:jc w:val="center"/>
                    <w:rPr>
                      <w:bCs/>
                      <w:kern w:val="32"/>
                      <w:u w:val="none"/>
                    </w:rPr>
                  </w:pPr>
                  <w:r>
                    <w:rPr>
                      <w:rFonts w:hint="eastAsia"/>
                      <w:color w:val="000000"/>
                      <w:kern w:val="0"/>
                      <w:szCs w:val="21"/>
                      <w:u w:val="none"/>
                      <w:lang w:val="en-US" w:eastAsia="zh-CN" w:bidi="ar"/>
                    </w:rPr>
                    <w:t>33.1</w:t>
                  </w:r>
                </w:p>
              </w:tc>
              <w:tc>
                <w:tcPr>
                  <w:tcW w:w="1057" w:type="dxa"/>
                  <w:tcBorders>
                    <w:top w:val="single" w:color="auto" w:sz="6" w:space="0"/>
                    <w:left w:val="single" w:color="auto" w:sz="6" w:space="0"/>
                    <w:bottom w:val="single" w:color="auto" w:sz="12" w:space="0"/>
                    <w:right w:val="single" w:color="auto" w:sz="6" w:space="0"/>
                  </w:tcBorders>
                  <w:vAlign w:val="center"/>
                </w:tcPr>
                <w:p w14:paraId="7547AAB9">
                  <w:pPr>
                    <w:pStyle w:val="136"/>
                    <w:spacing w:beforeLines="0" w:line="240" w:lineRule="auto"/>
                    <w:ind w:firstLine="0" w:firstLineChars="0"/>
                    <w:rPr>
                      <w:rFonts w:hint="eastAsia"/>
                      <w:u w:val="none"/>
                    </w:rPr>
                  </w:pPr>
                  <w:r>
                    <w:rPr>
                      <w:rFonts w:hint="eastAsia"/>
                      <w:u w:val="none"/>
                    </w:rPr>
                    <w:t>50</w:t>
                  </w:r>
                </w:p>
              </w:tc>
              <w:tc>
                <w:tcPr>
                  <w:tcW w:w="995" w:type="dxa"/>
                  <w:tcBorders>
                    <w:top w:val="single" w:color="auto" w:sz="6" w:space="0"/>
                    <w:left w:val="single" w:color="auto" w:sz="6" w:space="0"/>
                    <w:bottom w:val="single" w:color="auto" w:sz="12" w:space="0"/>
                    <w:right w:val="single" w:color="auto" w:sz="12" w:space="0"/>
                  </w:tcBorders>
                  <w:vAlign w:val="center"/>
                </w:tcPr>
                <w:p w14:paraId="596D7B55">
                  <w:pPr>
                    <w:jc w:val="center"/>
                    <w:rPr>
                      <w:rFonts w:ascii="宋体" w:hAnsi="宋体"/>
                      <w:bCs/>
                      <w:kern w:val="32"/>
                      <w:u w:val="none"/>
                    </w:rPr>
                  </w:pPr>
                  <w:r>
                    <w:rPr>
                      <w:rFonts w:ascii="宋体" w:hAnsi="宋体"/>
                      <w:bCs/>
                      <w:kern w:val="32"/>
                      <w:u w:val="none"/>
                    </w:rPr>
                    <w:t>达标</w:t>
                  </w:r>
                </w:p>
              </w:tc>
            </w:tr>
          </w:tbl>
          <w:p w14:paraId="4F915F2A">
            <w:pPr>
              <w:widowControl/>
              <w:adjustRightInd w:val="0"/>
              <w:snapToGrid w:val="0"/>
              <w:spacing w:line="360" w:lineRule="auto"/>
              <w:ind w:firstLine="480" w:firstLineChars="200"/>
              <w:rPr>
                <w:bCs/>
                <w:sz w:val="24"/>
                <w:szCs w:val="24"/>
                <w:u w:val="none"/>
              </w:rPr>
            </w:pPr>
            <w:r>
              <w:rPr>
                <w:rFonts w:hint="eastAsia"/>
                <w:bCs/>
                <w:sz w:val="24"/>
                <w:szCs w:val="24"/>
                <w:u w:val="none"/>
                <w:lang w:bidi="ar"/>
              </w:rPr>
              <w:t>本项目院</w:t>
            </w:r>
            <w:r>
              <w:rPr>
                <w:bCs/>
                <w:sz w:val="24"/>
                <w:szCs w:val="24"/>
                <w:u w:val="none"/>
                <w:lang w:bidi="ar"/>
              </w:rPr>
              <w:t>界四周昼</w:t>
            </w:r>
            <w:r>
              <w:rPr>
                <w:rFonts w:hint="eastAsia"/>
                <w:bCs/>
                <w:sz w:val="24"/>
                <w:szCs w:val="24"/>
                <w:u w:val="none"/>
                <w:lang w:bidi="ar"/>
              </w:rPr>
              <w:t>夜</w:t>
            </w:r>
            <w:r>
              <w:rPr>
                <w:bCs/>
                <w:sz w:val="24"/>
                <w:szCs w:val="24"/>
                <w:u w:val="none"/>
                <w:lang w:bidi="ar"/>
              </w:rPr>
              <w:t>间噪声最大值为</w:t>
            </w:r>
            <w:r>
              <w:rPr>
                <w:rFonts w:hint="eastAsia"/>
                <w:bCs/>
                <w:sz w:val="24"/>
                <w:szCs w:val="24"/>
                <w:u w:val="none"/>
                <w:lang w:val="en-US" w:eastAsia="zh-CN" w:bidi="ar"/>
              </w:rPr>
              <w:t>西</w:t>
            </w:r>
            <w:r>
              <w:rPr>
                <w:bCs/>
                <w:sz w:val="24"/>
                <w:szCs w:val="24"/>
                <w:u w:val="none"/>
                <w:lang w:bidi="ar"/>
              </w:rPr>
              <w:t>侧</w:t>
            </w:r>
            <w:r>
              <w:rPr>
                <w:rFonts w:hint="eastAsia"/>
                <w:bCs/>
                <w:sz w:val="24"/>
                <w:szCs w:val="24"/>
                <w:u w:val="none"/>
                <w:lang w:val="en-US" w:eastAsia="zh-CN" w:bidi="ar"/>
              </w:rPr>
              <w:t>37</w:t>
            </w:r>
            <w:r>
              <w:rPr>
                <w:rFonts w:hint="eastAsia"/>
                <w:bCs/>
                <w:sz w:val="24"/>
                <w:szCs w:val="24"/>
                <w:u w:val="none"/>
                <w:lang w:bidi="ar"/>
              </w:rPr>
              <w:t>.6</w:t>
            </w:r>
            <w:r>
              <w:rPr>
                <w:bCs/>
                <w:sz w:val="24"/>
                <w:szCs w:val="24"/>
                <w:u w:val="none"/>
                <w:lang w:bidi="ar"/>
              </w:rPr>
              <w:t>dB(A)</w:t>
            </w:r>
            <w:r>
              <w:rPr>
                <w:rFonts w:hint="eastAsia"/>
                <w:bCs/>
                <w:sz w:val="24"/>
                <w:szCs w:val="24"/>
                <w:u w:val="none"/>
                <w:lang w:bidi="ar"/>
              </w:rPr>
              <w:t>；</w:t>
            </w:r>
            <w:r>
              <w:rPr>
                <w:bCs/>
                <w:sz w:val="24"/>
                <w:szCs w:val="24"/>
                <w:u w:val="none"/>
                <w:lang w:bidi="ar"/>
              </w:rPr>
              <w:t>满足《工业企业厂界环境噪声排放标准》（GB12348-2008）2类标准要求</w:t>
            </w:r>
            <w:r>
              <w:rPr>
                <w:kern w:val="0"/>
                <w:sz w:val="24"/>
                <w:szCs w:val="24"/>
                <w:u w:val="none"/>
                <w:lang w:bidi="ar"/>
              </w:rPr>
              <w:t>。</w:t>
            </w:r>
            <w:r>
              <w:rPr>
                <w:bCs/>
                <w:sz w:val="24"/>
                <w:szCs w:val="24"/>
                <w:u w:val="none"/>
                <w:lang w:bidi="ar"/>
              </w:rPr>
              <w:t>综上所述，在落实各项噪声污染防治措施的情况下，本项目生产运营过程中对周围声环境影响较小。</w:t>
            </w:r>
          </w:p>
          <w:p w14:paraId="16FCA8D9">
            <w:pPr>
              <w:adjustRightInd w:val="0"/>
              <w:snapToGrid w:val="0"/>
              <w:spacing w:line="360" w:lineRule="auto"/>
              <w:ind w:firstLine="480" w:firstLineChars="200"/>
              <w:rPr>
                <w:bCs/>
                <w:sz w:val="24"/>
                <w:szCs w:val="24"/>
                <w:u w:val="none"/>
              </w:rPr>
            </w:pPr>
            <w:r>
              <w:rPr>
                <w:bCs/>
                <w:sz w:val="24"/>
                <w:szCs w:val="24"/>
                <w:u w:val="none"/>
              </w:rPr>
              <w:t>综上所述，在落实各项噪声污染防治措施的情况下，本项</w:t>
            </w:r>
            <w:r>
              <w:rPr>
                <w:rFonts w:hint="eastAsia"/>
                <w:bCs/>
                <w:sz w:val="24"/>
                <w:szCs w:val="24"/>
                <w:u w:val="none"/>
                <w:lang w:eastAsia="zh-CN"/>
              </w:rPr>
              <w:t>目在</w:t>
            </w:r>
            <w:r>
              <w:rPr>
                <w:bCs/>
                <w:sz w:val="24"/>
                <w:szCs w:val="24"/>
                <w:u w:val="none"/>
              </w:rPr>
              <w:t>生产运营过程中对周围声环境影响较小。</w:t>
            </w:r>
          </w:p>
          <w:p w14:paraId="75E65775">
            <w:pPr>
              <w:adjustRightInd w:val="0"/>
              <w:snapToGrid w:val="0"/>
              <w:spacing w:line="360" w:lineRule="auto"/>
              <w:ind w:firstLine="482" w:firstLineChars="200"/>
              <w:rPr>
                <w:b/>
                <w:bCs/>
                <w:sz w:val="24"/>
                <w:szCs w:val="24"/>
                <w:lang w:bidi="ar"/>
              </w:rPr>
            </w:pPr>
            <w:r>
              <w:rPr>
                <w:rFonts w:hint="eastAsia"/>
                <w:b/>
                <w:bCs/>
                <w:sz w:val="24"/>
                <w:szCs w:val="24"/>
                <w:lang w:bidi="ar"/>
              </w:rPr>
              <w:t>监测要求</w:t>
            </w:r>
          </w:p>
          <w:p w14:paraId="20B62069">
            <w:pPr>
              <w:tabs>
                <w:tab w:val="left" w:pos="2196"/>
              </w:tabs>
              <w:spacing w:line="360" w:lineRule="auto"/>
              <w:jc w:val="center"/>
              <w:rPr>
                <w:b/>
                <w:color w:val="000000"/>
                <w:sz w:val="24"/>
                <w:szCs w:val="24"/>
              </w:rPr>
            </w:pPr>
            <w:r>
              <w:rPr>
                <w:b/>
                <w:color w:val="000000"/>
                <w:sz w:val="24"/>
                <w:szCs w:val="24"/>
              </w:rPr>
              <w:t>表4-</w:t>
            </w:r>
            <w:r>
              <w:rPr>
                <w:rFonts w:hint="eastAsia"/>
                <w:b/>
                <w:color w:val="000000"/>
                <w:sz w:val="24"/>
                <w:szCs w:val="24"/>
              </w:rPr>
              <w:t>1</w:t>
            </w:r>
            <w:r>
              <w:rPr>
                <w:rFonts w:hint="eastAsia"/>
                <w:b/>
                <w:color w:val="000000"/>
                <w:sz w:val="24"/>
                <w:szCs w:val="24"/>
                <w:lang w:val="en-US" w:eastAsia="zh-CN"/>
              </w:rPr>
              <w:t>7</w:t>
            </w:r>
            <w:r>
              <w:rPr>
                <w:b/>
                <w:color w:val="000000"/>
                <w:sz w:val="24"/>
                <w:szCs w:val="24"/>
              </w:rPr>
              <w:t xml:space="preserve">  自</w:t>
            </w:r>
            <w:r>
              <w:rPr>
                <w:b/>
                <w:color w:val="000000"/>
                <w:sz w:val="28"/>
                <w:szCs w:val="28"/>
              </w:rPr>
              <w:t>行监</w:t>
            </w:r>
            <w:r>
              <w:rPr>
                <w:b/>
                <w:color w:val="000000"/>
                <w:sz w:val="24"/>
                <w:szCs w:val="24"/>
              </w:rPr>
              <w:t>测信息表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2210"/>
              <w:gridCol w:w="2540"/>
              <w:gridCol w:w="2208"/>
            </w:tblGrid>
            <w:tr w14:paraId="374747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2" w:type="pct"/>
                  <w:vAlign w:val="center"/>
                </w:tcPr>
                <w:p w14:paraId="06062E32">
                  <w:pPr>
                    <w:pStyle w:val="133"/>
                    <w:spacing w:line="240" w:lineRule="auto"/>
                    <w:jc w:val="center"/>
                    <w:rPr>
                      <w:b/>
                      <w:color w:val="000000"/>
                      <w:sz w:val="21"/>
                    </w:rPr>
                  </w:pPr>
                  <w:r>
                    <w:rPr>
                      <w:b/>
                      <w:color w:val="000000"/>
                      <w:sz w:val="21"/>
                    </w:rPr>
                    <w:t>序号</w:t>
                  </w:r>
                </w:p>
              </w:tc>
              <w:tc>
                <w:tcPr>
                  <w:tcW w:w="1333" w:type="pct"/>
                  <w:vAlign w:val="center"/>
                </w:tcPr>
                <w:p w14:paraId="3626E3AB">
                  <w:pPr>
                    <w:pStyle w:val="133"/>
                    <w:spacing w:line="240" w:lineRule="auto"/>
                    <w:jc w:val="center"/>
                    <w:rPr>
                      <w:b/>
                      <w:color w:val="000000"/>
                      <w:sz w:val="21"/>
                    </w:rPr>
                  </w:pPr>
                  <w:r>
                    <w:rPr>
                      <w:b/>
                      <w:color w:val="000000"/>
                      <w:sz w:val="21"/>
                    </w:rPr>
                    <w:t>监测点位</w:t>
                  </w:r>
                </w:p>
              </w:tc>
              <w:tc>
                <w:tcPr>
                  <w:tcW w:w="1533" w:type="pct"/>
                  <w:vAlign w:val="center"/>
                </w:tcPr>
                <w:p w14:paraId="0CF8F71C">
                  <w:pPr>
                    <w:pStyle w:val="133"/>
                    <w:spacing w:line="240" w:lineRule="auto"/>
                    <w:jc w:val="center"/>
                    <w:rPr>
                      <w:b/>
                      <w:color w:val="000000"/>
                      <w:sz w:val="21"/>
                    </w:rPr>
                  </w:pPr>
                  <w:r>
                    <w:rPr>
                      <w:b/>
                      <w:color w:val="000000"/>
                      <w:sz w:val="21"/>
                    </w:rPr>
                    <w:t>监测项目</w:t>
                  </w:r>
                </w:p>
              </w:tc>
              <w:tc>
                <w:tcPr>
                  <w:tcW w:w="1333" w:type="pct"/>
                  <w:vAlign w:val="center"/>
                </w:tcPr>
                <w:p w14:paraId="462C946F">
                  <w:pPr>
                    <w:pStyle w:val="133"/>
                    <w:spacing w:line="240" w:lineRule="auto"/>
                    <w:jc w:val="center"/>
                    <w:rPr>
                      <w:b/>
                      <w:color w:val="000000"/>
                      <w:sz w:val="21"/>
                    </w:rPr>
                  </w:pPr>
                  <w:r>
                    <w:rPr>
                      <w:b/>
                      <w:color w:val="000000"/>
                      <w:sz w:val="21"/>
                    </w:rPr>
                    <w:t>监测频次</w:t>
                  </w:r>
                </w:p>
              </w:tc>
            </w:tr>
            <w:tr w14:paraId="28BD3F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2" w:type="pct"/>
                  <w:vAlign w:val="center"/>
                </w:tcPr>
                <w:p w14:paraId="447DD108">
                  <w:pPr>
                    <w:pStyle w:val="133"/>
                    <w:spacing w:line="240" w:lineRule="auto"/>
                    <w:jc w:val="center"/>
                    <w:rPr>
                      <w:b/>
                      <w:color w:val="000000"/>
                      <w:sz w:val="21"/>
                    </w:rPr>
                  </w:pPr>
                  <w:r>
                    <w:rPr>
                      <w:color w:val="000000"/>
                      <w:sz w:val="21"/>
                    </w:rPr>
                    <w:t>1</w:t>
                  </w:r>
                </w:p>
              </w:tc>
              <w:tc>
                <w:tcPr>
                  <w:tcW w:w="1333" w:type="pct"/>
                  <w:vAlign w:val="center"/>
                </w:tcPr>
                <w:p w14:paraId="29C8FDCB">
                  <w:pPr>
                    <w:pStyle w:val="133"/>
                    <w:spacing w:line="240" w:lineRule="auto"/>
                    <w:jc w:val="center"/>
                    <w:rPr>
                      <w:b/>
                      <w:color w:val="000000"/>
                      <w:sz w:val="21"/>
                    </w:rPr>
                  </w:pPr>
                  <w:r>
                    <w:rPr>
                      <w:rFonts w:hint="eastAsia"/>
                      <w:color w:val="000000"/>
                      <w:sz w:val="21"/>
                    </w:rPr>
                    <w:t>院界</w:t>
                  </w:r>
                  <w:r>
                    <w:rPr>
                      <w:color w:val="000000"/>
                      <w:sz w:val="21"/>
                    </w:rPr>
                    <w:t>四周</w:t>
                  </w:r>
                </w:p>
              </w:tc>
              <w:tc>
                <w:tcPr>
                  <w:tcW w:w="1533" w:type="pct"/>
                  <w:vAlign w:val="center"/>
                </w:tcPr>
                <w:p w14:paraId="1EBD1F14">
                  <w:pPr>
                    <w:pStyle w:val="133"/>
                    <w:spacing w:line="240" w:lineRule="auto"/>
                    <w:jc w:val="center"/>
                    <w:rPr>
                      <w:b/>
                      <w:color w:val="000000"/>
                      <w:sz w:val="21"/>
                    </w:rPr>
                  </w:pPr>
                  <w:r>
                    <w:rPr>
                      <w:color w:val="000000"/>
                      <w:sz w:val="21"/>
                    </w:rPr>
                    <w:t>Leq[dB(A)]</w:t>
                  </w:r>
                </w:p>
              </w:tc>
              <w:tc>
                <w:tcPr>
                  <w:tcW w:w="1333" w:type="pct"/>
                  <w:vAlign w:val="center"/>
                </w:tcPr>
                <w:p w14:paraId="585DFCEF">
                  <w:pPr>
                    <w:pStyle w:val="133"/>
                    <w:spacing w:line="240" w:lineRule="auto"/>
                    <w:jc w:val="center"/>
                    <w:rPr>
                      <w:b/>
                      <w:color w:val="000000"/>
                      <w:sz w:val="21"/>
                    </w:rPr>
                  </w:pPr>
                  <w:r>
                    <w:rPr>
                      <w:color w:val="000000"/>
                      <w:sz w:val="21"/>
                    </w:rPr>
                    <w:t>1次/季度</w:t>
                  </w:r>
                </w:p>
              </w:tc>
            </w:tr>
          </w:tbl>
          <w:p w14:paraId="28378BC7">
            <w:pPr>
              <w:adjustRightInd w:val="0"/>
              <w:snapToGrid w:val="0"/>
              <w:spacing w:line="360" w:lineRule="auto"/>
              <w:rPr>
                <w:b/>
                <w:color w:val="000000"/>
                <w:sz w:val="24"/>
                <w:szCs w:val="24"/>
              </w:rPr>
            </w:pPr>
            <w:r>
              <w:rPr>
                <w:b/>
                <w:color w:val="000000"/>
                <w:sz w:val="24"/>
                <w:szCs w:val="24"/>
              </w:rPr>
              <w:t>4 固体废物</w:t>
            </w:r>
          </w:p>
          <w:p w14:paraId="75FA243C">
            <w:pPr>
              <w:adjustRightInd w:val="0"/>
              <w:snapToGrid w:val="0"/>
              <w:spacing w:line="336" w:lineRule="auto"/>
              <w:ind w:firstLine="480" w:firstLineChars="200"/>
              <w:rPr>
                <w:color w:val="000000"/>
                <w:sz w:val="24"/>
                <w:szCs w:val="24"/>
              </w:rPr>
            </w:pPr>
            <w:r>
              <w:rPr>
                <w:rFonts w:hint="eastAsia"/>
                <w:color w:val="000000"/>
                <w:sz w:val="24"/>
                <w:szCs w:val="24"/>
              </w:rPr>
              <w:t>根据本项目工艺流程和产排污环节分析内容，本项目运营期固体废物主要是医疗废物、未被污染输液瓶（袋）</w:t>
            </w:r>
            <w:r>
              <w:rPr>
                <w:rFonts w:hint="eastAsia"/>
                <w:color w:val="000000"/>
                <w:sz w:val="24"/>
                <w:szCs w:val="24"/>
                <w:lang w:eastAsia="zh-CN"/>
              </w:rPr>
              <w:t>、</w:t>
            </w:r>
            <w:r>
              <w:rPr>
                <w:rFonts w:hint="eastAsia"/>
                <w:color w:val="000000"/>
                <w:sz w:val="24"/>
                <w:szCs w:val="24"/>
              </w:rPr>
              <w:t>污水处理淤泥</w:t>
            </w:r>
            <w:r>
              <w:rPr>
                <w:rFonts w:hint="eastAsia"/>
                <w:color w:val="000000"/>
                <w:sz w:val="24"/>
                <w:szCs w:val="24"/>
                <w:lang w:eastAsia="zh-CN"/>
              </w:rPr>
              <w:t>、</w:t>
            </w:r>
            <w:r>
              <w:rPr>
                <w:rFonts w:hint="eastAsia"/>
                <w:color w:val="000000"/>
                <w:sz w:val="24"/>
                <w:szCs w:val="24"/>
              </w:rPr>
              <w:t>废包装物、生活垃圾。</w:t>
            </w:r>
          </w:p>
          <w:p w14:paraId="184D14ED">
            <w:pPr>
              <w:adjustRightInd w:val="0"/>
              <w:snapToGrid w:val="0"/>
              <w:spacing w:line="336" w:lineRule="auto"/>
              <w:ind w:firstLine="482" w:firstLineChars="200"/>
              <w:rPr>
                <w:b/>
                <w:bCs/>
                <w:color w:val="000000"/>
                <w:sz w:val="24"/>
                <w:szCs w:val="24"/>
                <w:highlight w:val="yellow"/>
                <w:u w:val="single"/>
              </w:rPr>
            </w:pPr>
            <w:r>
              <w:rPr>
                <w:rFonts w:hint="eastAsia"/>
                <w:b/>
                <w:color w:val="000000"/>
                <w:sz w:val="24"/>
                <w:szCs w:val="24"/>
                <w:u w:val="single"/>
              </w:rPr>
              <w:t>医疗废物</w:t>
            </w:r>
          </w:p>
          <w:p w14:paraId="60C7873C">
            <w:pPr>
              <w:adjustRightInd w:val="0"/>
              <w:snapToGrid w:val="0"/>
              <w:spacing w:line="336" w:lineRule="auto"/>
              <w:ind w:firstLine="480" w:firstLineChars="200"/>
              <w:rPr>
                <w:rFonts w:hint="default" w:ascii="Times New Roman" w:hAnsi="Times New Roman" w:cs="Times New Roman"/>
                <w:sz w:val="24"/>
                <w:szCs w:val="24"/>
                <w:u w:val="single"/>
              </w:rPr>
            </w:pPr>
            <w:r>
              <w:rPr>
                <w:rFonts w:hint="default" w:ascii="Times New Roman" w:hAnsi="Times New Roman" w:cs="Times New Roman"/>
                <w:sz w:val="24"/>
                <w:szCs w:val="24"/>
                <w:u w:val="single"/>
              </w:rPr>
              <w:t>医疗垃圾包括病理废物、注射器、废弃的夹板、口罩、手套、安瓶、试剂瓶及病人产生的废弃物等，往往带有大量病毒、细菌，具有较高的感染性，必须安全处置。根据《国家危险废物名录（2025年）》医疗废物属于危险废物，编号为HW01。</w:t>
            </w:r>
          </w:p>
          <w:p w14:paraId="4F0D081E">
            <w:pPr>
              <w:adjustRightInd w:val="0"/>
              <w:snapToGrid w:val="0"/>
              <w:spacing w:line="336" w:lineRule="auto"/>
              <w:ind w:firstLine="480" w:firstLineChars="200"/>
              <w:rPr>
                <w:rFonts w:hint="default" w:ascii="Times New Roman" w:hAnsi="Times New Roman" w:cs="Times New Roman"/>
                <w:sz w:val="24"/>
                <w:szCs w:val="24"/>
                <w:u w:val="single"/>
              </w:rPr>
            </w:pPr>
            <w:r>
              <w:rPr>
                <w:rFonts w:hint="default" w:ascii="Times New Roman" w:hAnsi="Times New Roman" w:cs="Times New Roman"/>
                <w:sz w:val="24"/>
                <w:szCs w:val="24"/>
                <w:u w:val="single"/>
              </w:rPr>
              <w:t>根据《关于印发</w:t>
            </w:r>
            <w:r>
              <w:rPr>
                <w:rFonts w:hint="eastAsia" w:cs="Times New Roman"/>
                <w:sz w:val="24"/>
                <w:szCs w:val="24"/>
                <w:u w:val="single"/>
                <w:lang w:val="en-US" w:eastAsia="zh-CN"/>
              </w:rPr>
              <w:t>&lt;</w:t>
            </w:r>
            <w:r>
              <w:rPr>
                <w:rFonts w:hint="default" w:ascii="Times New Roman" w:hAnsi="Times New Roman" w:cs="Times New Roman"/>
                <w:sz w:val="24"/>
                <w:szCs w:val="24"/>
                <w:u w:val="single"/>
              </w:rPr>
              <w:t>医疗废物分类目录</w:t>
            </w:r>
            <w:r>
              <w:rPr>
                <w:rFonts w:hint="eastAsia" w:cs="Times New Roman"/>
                <w:sz w:val="24"/>
                <w:szCs w:val="24"/>
                <w:u w:val="single"/>
                <w:lang w:val="en-US" w:eastAsia="zh-CN"/>
              </w:rPr>
              <w:t>&gt;</w:t>
            </w:r>
            <w:r>
              <w:rPr>
                <w:rFonts w:hint="default" w:ascii="Times New Roman" w:hAnsi="Times New Roman" w:cs="Times New Roman"/>
                <w:sz w:val="24"/>
                <w:szCs w:val="24"/>
                <w:u w:val="single"/>
              </w:rPr>
              <w:t>的通知》（卫医发〔2003〕287号），由卫生部和国家环境保护总局制定的《医疗废物分类目录》将医疗废物分为感染性废物（废物代码：8</w:t>
            </w:r>
            <w:r>
              <w:rPr>
                <w:rFonts w:hint="eastAsia" w:cs="Times New Roman"/>
                <w:sz w:val="24"/>
                <w:szCs w:val="24"/>
                <w:u w:val="single"/>
                <w:lang w:val="en-US" w:eastAsia="zh-CN"/>
              </w:rPr>
              <w:t>4</w:t>
            </w:r>
            <w:r>
              <w:rPr>
                <w:rFonts w:hint="default" w:ascii="Times New Roman" w:hAnsi="Times New Roman" w:cs="Times New Roman"/>
                <w:sz w:val="24"/>
                <w:szCs w:val="24"/>
                <w:u w:val="single"/>
              </w:rPr>
              <w:t>1-001-01）、损伤性废物（废物代码：8</w:t>
            </w:r>
            <w:r>
              <w:rPr>
                <w:rFonts w:hint="eastAsia" w:cs="Times New Roman"/>
                <w:sz w:val="24"/>
                <w:szCs w:val="24"/>
                <w:u w:val="single"/>
                <w:lang w:val="en-US" w:eastAsia="zh-CN"/>
              </w:rPr>
              <w:t>4</w:t>
            </w:r>
            <w:r>
              <w:rPr>
                <w:rFonts w:hint="default" w:ascii="Times New Roman" w:hAnsi="Times New Roman" w:cs="Times New Roman"/>
                <w:sz w:val="24"/>
                <w:szCs w:val="24"/>
                <w:u w:val="single"/>
              </w:rPr>
              <w:t>1-002-01）、病</w:t>
            </w:r>
          </w:p>
          <w:p w14:paraId="602876C7">
            <w:pPr>
              <w:adjustRightInd w:val="0"/>
              <w:snapToGrid w:val="0"/>
              <w:spacing w:line="336" w:lineRule="auto"/>
              <w:rPr>
                <w:rFonts w:hint="eastAsia" w:ascii="宋体" w:hAnsi="宋体" w:cs="宋体"/>
                <w:sz w:val="24"/>
                <w:szCs w:val="24"/>
                <w:u w:val="single"/>
              </w:rPr>
            </w:pPr>
            <w:r>
              <w:rPr>
                <w:rFonts w:hint="default" w:ascii="Times New Roman" w:hAnsi="Times New Roman" w:cs="Times New Roman"/>
                <w:sz w:val="24"/>
                <w:szCs w:val="24"/>
                <w:u w:val="single"/>
              </w:rPr>
              <w:t>理性废物（废物代码：</w:t>
            </w:r>
            <w:r>
              <w:rPr>
                <w:rFonts w:hint="eastAsia" w:cs="Times New Roman"/>
                <w:sz w:val="24"/>
                <w:szCs w:val="24"/>
                <w:u w:val="single"/>
                <w:lang w:val="en-US" w:eastAsia="zh-CN"/>
              </w:rPr>
              <w:t>84</w:t>
            </w:r>
            <w:r>
              <w:rPr>
                <w:rFonts w:hint="default" w:ascii="Times New Roman" w:hAnsi="Times New Roman" w:cs="Times New Roman"/>
                <w:sz w:val="24"/>
                <w:szCs w:val="24"/>
                <w:u w:val="single"/>
              </w:rPr>
              <w:t>1-003-01）、化学性废物（废物代码：8</w:t>
            </w:r>
            <w:r>
              <w:rPr>
                <w:rFonts w:hint="eastAsia" w:cs="Times New Roman"/>
                <w:sz w:val="24"/>
                <w:szCs w:val="24"/>
                <w:u w:val="single"/>
                <w:lang w:val="en-US" w:eastAsia="zh-CN"/>
              </w:rPr>
              <w:t>4</w:t>
            </w:r>
            <w:r>
              <w:rPr>
                <w:rFonts w:hint="default" w:ascii="Times New Roman" w:hAnsi="Times New Roman" w:cs="Times New Roman"/>
                <w:sz w:val="24"/>
                <w:szCs w:val="24"/>
                <w:u w:val="single"/>
              </w:rPr>
              <w:t>1-004-01）和药物性废物（废物代码：8</w:t>
            </w:r>
            <w:r>
              <w:rPr>
                <w:rFonts w:hint="eastAsia" w:cs="Times New Roman"/>
                <w:sz w:val="24"/>
                <w:szCs w:val="24"/>
                <w:u w:val="single"/>
                <w:lang w:val="en-US" w:eastAsia="zh-CN"/>
              </w:rPr>
              <w:t>4</w:t>
            </w:r>
            <w:r>
              <w:rPr>
                <w:rFonts w:hint="default" w:ascii="Times New Roman" w:hAnsi="Times New Roman" w:cs="Times New Roman"/>
                <w:sz w:val="24"/>
                <w:szCs w:val="24"/>
                <w:u w:val="single"/>
              </w:rPr>
              <w:t>1-005-01）五大类。具体医疗废物产生种类详见下表。</w:t>
            </w:r>
          </w:p>
          <w:p w14:paraId="0B61905B">
            <w:pPr>
              <w:adjustRightInd w:val="0"/>
              <w:snapToGrid w:val="0"/>
              <w:spacing w:line="360" w:lineRule="auto"/>
              <w:jc w:val="center"/>
              <w:rPr>
                <w:rFonts w:hint="eastAsia" w:ascii="宋体" w:hAnsi="宋体" w:cs="宋体"/>
                <w:b/>
                <w:bCs/>
                <w:sz w:val="24"/>
                <w:szCs w:val="24"/>
                <w:u w:val="single"/>
              </w:rPr>
            </w:pPr>
            <w:r>
              <w:rPr>
                <w:rFonts w:hint="eastAsia" w:ascii="宋体" w:hAnsi="宋体" w:cs="宋体"/>
                <w:b/>
                <w:bCs/>
                <w:sz w:val="24"/>
                <w:szCs w:val="24"/>
                <w:u w:val="single"/>
              </w:rPr>
              <w:t>表</w:t>
            </w:r>
            <w:r>
              <w:rPr>
                <w:b/>
                <w:bCs/>
                <w:sz w:val="24"/>
                <w:szCs w:val="24"/>
                <w:u w:val="single"/>
              </w:rPr>
              <w:t>4-1</w:t>
            </w:r>
            <w:r>
              <w:rPr>
                <w:rFonts w:hint="eastAsia"/>
                <w:b/>
                <w:bCs/>
                <w:sz w:val="24"/>
                <w:szCs w:val="24"/>
                <w:u w:val="single"/>
                <w:lang w:val="en-US" w:eastAsia="zh-CN"/>
              </w:rPr>
              <w:t>8</w:t>
            </w:r>
            <w:r>
              <w:rPr>
                <w:rFonts w:hint="eastAsia" w:ascii="宋体" w:hAnsi="宋体" w:cs="宋体"/>
                <w:b/>
                <w:bCs/>
                <w:sz w:val="24"/>
                <w:szCs w:val="24"/>
                <w:u w:val="single"/>
              </w:rPr>
              <w:t xml:space="preserve">  </w:t>
            </w:r>
            <w:r>
              <w:rPr>
                <w:rFonts w:ascii="宋体" w:hAnsi="宋体" w:cs="宋体"/>
                <w:b/>
                <w:bCs/>
                <w:sz w:val="24"/>
                <w:szCs w:val="24"/>
                <w:u w:val="single"/>
              </w:rPr>
              <w:t>项目医疗废物组成及特征</w:t>
            </w:r>
          </w:p>
          <w:tbl>
            <w:tblPr>
              <w:tblStyle w:val="4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2595"/>
              <w:gridCol w:w="4404"/>
            </w:tblGrid>
            <w:tr w14:paraId="54EF96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9" w:type="dxa"/>
                  <w:vAlign w:val="center"/>
                </w:tcPr>
                <w:p w14:paraId="38EBA1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b/>
                      <w:bCs/>
                      <w:sz w:val="21"/>
                      <w:szCs w:val="21"/>
                      <w:u w:val="single"/>
                    </w:rPr>
                  </w:pPr>
                  <w:r>
                    <w:rPr>
                      <w:rFonts w:ascii="宋体" w:hAnsi="宋体" w:cs="宋体"/>
                      <w:b/>
                      <w:bCs/>
                      <w:sz w:val="21"/>
                      <w:szCs w:val="21"/>
                      <w:u w:val="single"/>
                    </w:rPr>
                    <w:t>类别</w:t>
                  </w:r>
                </w:p>
              </w:tc>
              <w:tc>
                <w:tcPr>
                  <w:tcW w:w="2595" w:type="dxa"/>
                  <w:vAlign w:val="center"/>
                </w:tcPr>
                <w:p w14:paraId="429770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b/>
                      <w:bCs/>
                      <w:sz w:val="21"/>
                      <w:szCs w:val="21"/>
                      <w:u w:val="single"/>
                      <w:lang w:eastAsia="zh-CN"/>
                    </w:rPr>
                  </w:pPr>
                  <w:r>
                    <w:rPr>
                      <w:rFonts w:hint="eastAsia" w:ascii="宋体" w:hAnsi="宋体" w:cs="宋体"/>
                      <w:b/>
                      <w:bCs/>
                      <w:sz w:val="21"/>
                      <w:szCs w:val="21"/>
                      <w:u w:val="single"/>
                      <w:lang w:val="en-US" w:eastAsia="zh-CN"/>
                    </w:rPr>
                    <w:t>特征</w:t>
                  </w:r>
                </w:p>
              </w:tc>
              <w:tc>
                <w:tcPr>
                  <w:tcW w:w="4404" w:type="dxa"/>
                  <w:vAlign w:val="center"/>
                </w:tcPr>
                <w:p w14:paraId="46C37F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b/>
                      <w:bCs/>
                      <w:sz w:val="21"/>
                      <w:szCs w:val="21"/>
                      <w:u w:val="single"/>
                    </w:rPr>
                  </w:pPr>
                  <w:r>
                    <w:rPr>
                      <w:rFonts w:ascii="宋体" w:hAnsi="宋体" w:cs="宋体"/>
                      <w:b/>
                      <w:bCs/>
                      <w:sz w:val="21"/>
                      <w:szCs w:val="21"/>
                      <w:u w:val="single"/>
                    </w:rPr>
                    <w:t>本项目医疗废物种类</w:t>
                  </w:r>
                </w:p>
              </w:tc>
            </w:tr>
            <w:tr w14:paraId="7CAF2D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9" w:type="dxa"/>
                  <w:vAlign w:val="center"/>
                </w:tcPr>
                <w:p w14:paraId="065D7F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sz w:val="21"/>
                      <w:szCs w:val="21"/>
                      <w:u w:val="single"/>
                    </w:rPr>
                  </w:pPr>
                  <w:r>
                    <w:rPr>
                      <w:rFonts w:ascii="宋体" w:hAnsi="宋体" w:cs="宋体"/>
                      <w:sz w:val="21"/>
                      <w:szCs w:val="21"/>
                      <w:u w:val="single"/>
                    </w:rPr>
                    <w:t>感染性废物</w:t>
                  </w:r>
                </w:p>
              </w:tc>
              <w:tc>
                <w:tcPr>
                  <w:tcW w:w="2595" w:type="dxa"/>
                  <w:vAlign w:val="center"/>
                </w:tcPr>
                <w:p w14:paraId="6CDFD50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Times New Roman" w:hAnsi="Times New Roman" w:eastAsia="宋体" w:cs="Times New Roman"/>
                      <w:b w:val="0"/>
                      <w:i w:val="0"/>
                      <w:strike w:val="0"/>
                      <w:color w:val="auto"/>
                      <w:kern w:val="2"/>
                      <w:sz w:val="21"/>
                      <w:szCs w:val="21"/>
                      <w:u w:val="single"/>
                      <w:lang w:val="en-US" w:eastAsia="zh-CN" w:bidi="ar-SA"/>
                    </w:rPr>
                  </w:pPr>
                  <w:r>
                    <w:rPr>
                      <w:rFonts w:hint="eastAsia" w:eastAsia="宋体"/>
                      <w:b w:val="0"/>
                      <w:i w:val="0"/>
                      <w:strike w:val="0"/>
                      <w:color w:val="auto"/>
                      <w:sz w:val="21"/>
                      <w:szCs w:val="21"/>
                      <w:u w:val="single"/>
                    </w:rPr>
                    <w:t>携带病原微生物，具有</w:t>
                  </w:r>
                  <w:r>
                    <w:rPr>
                      <w:rFonts w:hint="eastAsia" w:ascii="Times New Roman" w:hAnsi="Times New Roman" w:eastAsia="宋体" w:cs="Times New Roman"/>
                      <w:b w:val="0"/>
                      <w:i w:val="0"/>
                      <w:strike w:val="0"/>
                      <w:color w:val="auto"/>
                      <w:kern w:val="2"/>
                      <w:sz w:val="21"/>
                      <w:szCs w:val="21"/>
                      <w:u w:val="single"/>
                      <w:lang w:val="en-US" w:eastAsia="zh-CN" w:bidi="ar-SA"/>
                    </w:rPr>
                    <w:t>引发感染性疾病传播危险的医疗废物</w:t>
                  </w:r>
                </w:p>
              </w:tc>
              <w:tc>
                <w:tcPr>
                  <w:tcW w:w="4404" w:type="dxa"/>
                  <w:vAlign w:val="center"/>
                </w:tcPr>
                <w:p w14:paraId="76DBBE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sz w:val="21"/>
                      <w:szCs w:val="21"/>
                      <w:u w:val="single"/>
                    </w:rPr>
                  </w:pPr>
                  <w:r>
                    <w:rPr>
                      <w:rFonts w:hint="eastAsia"/>
                      <w:sz w:val="21"/>
                      <w:szCs w:val="21"/>
                      <w:u w:val="single"/>
                    </w:rPr>
                    <w:t>1、被病人血液、体液、排泄物污染的物品，包括：</w:t>
                  </w:r>
                </w:p>
                <w:p w14:paraId="0D66AB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sz w:val="21"/>
                      <w:szCs w:val="21"/>
                      <w:u w:val="single"/>
                    </w:rPr>
                  </w:pPr>
                  <w:r>
                    <w:rPr>
                      <w:rFonts w:hint="eastAsia"/>
                      <w:sz w:val="21"/>
                      <w:szCs w:val="21"/>
                      <w:u w:val="single"/>
                    </w:rPr>
                    <w:t>（1）棉球、棉签、引流棉条、纱布及其他各种敷料；</w:t>
                  </w:r>
                </w:p>
                <w:p w14:paraId="2961FC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sz w:val="21"/>
                      <w:szCs w:val="21"/>
                      <w:u w:val="single"/>
                    </w:rPr>
                  </w:pPr>
                  <w:r>
                    <w:rPr>
                      <w:rFonts w:hint="eastAsia"/>
                      <w:sz w:val="21"/>
                      <w:szCs w:val="21"/>
                      <w:u w:val="single"/>
                    </w:rPr>
                    <w:t>（2）一次性使用卫生用品、一次性使用医疗用品及一次性医疗器械；</w:t>
                  </w:r>
                </w:p>
                <w:p w14:paraId="572F99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sz w:val="21"/>
                      <w:szCs w:val="21"/>
                      <w:u w:val="single"/>
                    </w:rPr>
                  </w:pPr>
                  <w:r>
                    <w:rPr>
                      <w:rFonts w:hint="eastAsia"/>
                      <w:sz w:val="21"/>
                      <w:szCs w:val="21"/>
                      <w:u w:val="single"/>
                    </w:rPr>
                    <w:t>（3）废弃的被服；</w:t>
                  </w:r>
                </w:p>
                <w:p w14:paraId="442345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sz w:val="21"/>
                      <w:szCs w:val="21"/>
                      <w:u w:val="single"/>
                    </w:rPr>
                  </w:pPr>
                  <w:r>
                    <w:rPr>
                      <w:rFonts w:hint="eastAsia"/>
                      <w:sz w:val="21"/>
                      <w:szCs w:val="21"/>
                      <w:u w:val="single"/>
                    </w:rPr>
                    <w:t>（4）其他被病人血液、体液、排泄物污染的物品。</w:t>
                  </w:r>
                </w:p>
                <w:p w14:paraId="33CF41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sz w:val="21"/>
                      <w:szCs w:val="21"/>
                      <w:u w:val="single"/>
                    </w:rPr>
                  </w:pPr>
                  <w:r>
                    <w:rPr>
                      <w:rFonts w:hint="eastAsia"/>
                      <w:sz w:val="21"/>
                      <w:szCs w:val="21"/>
                      <w:u w:val="single"/>
                    </w:rPr>
                    <w:t>2、废弃的血液、血清。</w:t>
                  </w:r>
                </w:p>
                <w:p w14:paraId="259914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sz w:val="21"/>
                      <w:szCs w:val="21"/>
                      <w:u w:val="single"/>
                    </w:rPr>
                  </w:pPr>
                  <w:r>
                    <w:rPr>
                      <w:rFonts w:hint="eastAsia"/>
                      <w:sz w:val="21"/>
                      <w:szCs w:val="21"/>
                      <w:u w:val="single"/>
                    </w:rPr>
                    <w:t>3、使用后的一次性使用医疗用品及一次性医疗器械视为感染性废物。</w:t>
                  </w:r>
                </w:p>
              </w:tc>
            </w:tr>
            <w:tr w14:paraId="043135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9" w:type="dxa"/>
                  <w:vAlign w:val="center"/>
                </w:tcPr>
                <w:p w14:paraId="67702D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sz w:val="21"/>
                      <w:szCs w:val="21"/>
                      <w:u w:val="single"/>
                    </w:rPr>
                  </w:pPr>
                  <w:r>
                    <w:rPr>
                      <w:rFonts w:hint="eastAsia" w:ascii="宋体" w:hAnsi="宋体" w:cs="宋体"/>
                      <w:sz w:val="21"/>
                      <w:szCs w:val="21"/>
                      <w:u w:val="single"/>
                    </w:rPr>
                    <w:t>病理性废物</w:t>
                  </w:r>
                </w:p>
              </w:tc>
              <w:tc>
                <w:tcPr>
                  <w:tcW w:w="2595" w:type="dxa"/>
                  <w:vAlign w:val="center"/>
                </w:tcPr>
                <w:p w14:paraId="4D05C4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sz w:val="21"/>
                      <w:szCs w:val="21"/>
                      <w:u w:val="single"/>
                    </w:rPr>
                  </w:pPr>
                  <w:r>
                    <w:rPr>
                      <w:rFonts w:hint="eastAsia"/>
                      <w:sz w:val="21"/>
                      <w:szCs w:val="21"/>
                      <w:u w:val="single"/>
                    </w:rPr>
                    <w:t>诊疗过程中产生的人体废弃物和医学实验动物尸体等</w:t>
                  </w:r>
                </w:p>
              </w:tc>
              <w:tc>
                <w:tcPr>
                  <w:tcW w:w="4404" w:type="dxa"/>
                  <w:vAlign w:val="center"/>
                </w:tcPr>
                <w:p w14:paraId="713E75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sz w:val="21"/>
                      <w:szCs w:val="21"/>
                      <w:u w:val="single"/>
                    </w:rPr>
                  </w:pPr>
                  <w:r>
                    <w:rPr>
                      <w:rFonts w:hint="eastAsia"/>
                      <w:sz w:val="21"/>
                      <w:szCs w:val="21"/>
                      <w:u w:val="single"/>
                    </w:rPr>
                    <w:t>手术及其他诊疗过程中产生的废弃的人体组织、器官（脏器、胚胎、残肢）等</w:t>
                  </w:r>
                  <w:r>
                    <w:rPr>
                      <w:sz w:val="21"/>
                      <w:szCs w:val="21"/>
                      <w:u w:val="single"/>
                    </w:rPr>
                    <w:t>。</w:t>
                  </w:r>
                </w:p>
              </w:tc>
            </w:tr>
            <w:tr w14:paraId="37427B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9" w:type="dxa"/>
                  <w:vAlign w:val="center"/>
                </w:tcPr>
                <w:p w14:paraId="6ADC66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sz w:val="21"/>
                      <w:szCs w:val="21"/>
                      <w:u w:val="single"/>
                    </w:rPr>
                  </w:pPr>
                  <w:r>
                    <w:rPr>
                      <w:rFonts w:hint="eastAsia" w:ascii="宋体" w:hAnsi="宋体" w:cs="宋体"/>
                      <w:sz w:val="21"/>
                      <w:szCs w:val="21"/>
                      <w:u w:val="single"/>
                    </w:rPr>
                    <w:t>损伤性废物</w:t>
                  </w:r>
                </w:p>
              </w:tc>
              <w:tc>
                <w:tcPr>
                  <w:tcW w:w="2595" w:type="dxa"/>
                  <w:vAlign w:val="center"/>
                </w:tcPr>
                <w:p w14:paraId="5C9A89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sz w:val="21"/>
                      <w:szCs w:val="21"/>
                      <w:u w:val="single"/>
                    </w:rPr>
                  </w:pPr>
                  <w:r>
                    <w:rPr>
                      <w:rFonts w:hint="eastAsia"/>
                      <w:sz w:val="21"/>
                      <w:szCs w:val="21"/>
                      <w:u w:val="single"/>
                    </w:rPr>
                    <w:t>能够刺伤或者割伤人体的废弃的锐器</w:t>
                  </w:r>
                </w:p>
              </w:tc>
              <w:tc>
                <w:tcPr>
                  <w:tcW w:w="4404" w:type="dxa"/>
                  <w:vAlign w:val="center"/>
                </w:tcPr>
                <w:p w14:paraId="316AD0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sz w:val="21"/>
                      <w:szCs w:val="21"/>
                      <w:u w:val="single"/>
                    </w:rPr>
                  </w:pPr>
                  <w:r>
                    <w:rPr>
                      <w:rFonts w:hint="eastAsia"/>
                      <w:sz w:val="21"/>
                      <w:szCs w:val="21"/>
                      <w:u w:val="single"/>
                    </w:rPr>
                    <w:t>1、医用针头、缝合针。</w:t>
                  </w:r>
                </w:p>
                <w:p w14:paraId="042E96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sz w:val="21"/>
                      <w:szCs w:val="21"/>
                      <w:u w:val="single"/>
                    </w:rPr>
                  </w:pPr>
                  <w:r>
                    <w:rPr>
                      <w:rFonts w:hint="eastAsia"/>
                      <w:sz w:val="21"/>
                      <w:szCs w:val="21"/>
                      <w:u w:val="single"/>
                    </w:rPr>
                    <w:t>2、各类医用锐器，包括：解剖刀、手术刀、备皮刀、手术锯等。</w:t>
                  </w:r>
                </w:p>
                <w:p w14:paraId="0A3DB5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sz w:val="21"/>
                      <w:szCs w:val="21"/>
                      <w:u w:val="single"/>
                    </w:rPr>
                  </w:pPr>
                  <w:r>
                    <w:rPr>
                      <w:rFonts w:hint="eastAsia"/>
                      <w:sz w:val="21"/>
                      <w:szCs w:val="21"/>
                      <w:u w:val="single"/>
                    </w:rPr>
                    <w:t>3、载玻片、玻璃试管、玻璃安瓿等。</w:t>
                  </w:r>
                </w:p>
              </w:tc>
            </w:tr>
            <w:tr w14:paraId="55B088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9" w:type="dxa"/>
                  <w:vAlign w:val="center"/>
                </w:tcPr>
                <w:p w14:paraId="6EED02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sz w:val="21"/>
                      <w:szCs w:val="21"/>
                      <w:u w:val="single"/>
                    </w:rPr>
                  </w:pPr>
                  <w:r>
                    <w:rPr>
                      <w:rFonts w:ascii="宋体" w:hAnsi="宋体" w:cs="宋体"/>
                      <w:sz w:val="21"/>
                      <w:szCs w:val="21"/>
                      <w:u w:val="single"/>
                    </w:rPr>
                    <w:t>药物性废物</w:t>
                  </w:r>
                </w:p>
              </w:tc>
              <w:tc>
                <w:tcPr>
                  <w:tcW w:w="2595" w:type="dxa"/>
                  <w:vAlign w:val="center"/>
                </w:tcPr>
                <w:p w14:paraId="514C7A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sz w:val="21"/>
                      <w:szCs w:val="21"/>
                      <w:u w:val="single"/>
                    </w:rPr>
                  </w:pPr>
                  <w:r>
                    <w:rPr>
                      <w:rFonts w:hint="eastAsia"/>
                      <w:sz w:val="21"/>
                      <w:szCs w:val="21"/>
                      <w:u w:val="single"/>
                    </w:rPr>
                    <w:t>过期、淘汰、变质或者被污染的废弃的药品</w:t>
                  </w:r>
                </w:p>
              </w:tc>
              <w:tc>
                <w:tcPr>
                  <w:tcW w:w="4404" w:type="dxa"/>
                  <w:vAlign w:val="center"/>
                </w:tcPr>
                <w:p w14:paraId="2C85B8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sz w:val="21"/>
                      <w:szCs w:val="21"/>
                      <w:u w:val="single"/>
                    </w:rPr>
                  </w:pPr>
                  <w:r>
                    <w:rPr>
                      <w:rFonts w:hint="eastAsia"/>
                      <w:sz w:val="21"/>
                      <w:szCs w:val="21"/>
                      <w:u w:val="single"/>
                    </w:rPr>
                    <w:t>1、废弃的一般性药品，如：抗生素、非处方类药品等。</w:t>
                  </w:r>
                </w:p>
                <w:p w14:paraId="7E1062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sz w:val="21"/>
                      <w:szCs w:val="21"/>
                      <w:u w:val="single"/>
                    </w:rPr>
                  </w:pPr>
                  <w:r>
                    <w:rPr>
                      <w:rFonts w:hint="eastAsia"/>
                      <w:sz w:val="21"/>
                      <w:szCs w:val="21"/>
                      <w:u w:val="single"/>
                    </w:rPr>
                    <w:t>2、废血液制品等。</w:t>
                  </w:r>
                </w:p>
              </w:tc>
            </w:tr>
            <w:tr w14:paraId="2F3882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9" w:type="dxa"/>
                  <w:vAlign w:val="center"/>
                </w:tcPr>
                <w:p w14:paraId="7064EA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sz w:val="21"/>
                      <w:szCs w:val="21"/>
                      <w:u w:val="single"/>
                    </w:rPr>
                  </w:pPr>
                  <w:r>
                    <w:rPr>
                      <w:rFonts w:hint="eastAsia" w:ascii="宋体" w:hAnsi="宋体" w:cs="宋体"/>
                      <w:sz w:val="21"/>
                      <w:szCs w:val="21"/>
                      <w:u w:val="single"/>
                    </w:rPr>
                    <w:t>化学性废物</w:t>
                  </w:r>
                </w:p>
              </w:tc>
              <w:tc>
                <w:tcPr>
                  <w:tcW w:w="2595" w:type="dxa"/>
                  <w:vAlign w:val="center"/>
                </w:tcPr>
                <w:p w14:paraId="6A94A7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sz w:val="21"/>
                      <w:szCs w:val="21"/>
                      <w:u w:val="single"/>
                    </w:rPr>
                  </w:pPr>
                  <w:r>
                    <w:rPr>
                      <w:rFonts w:hint="eastAsia"/>
                      <w:sz w:val="21"/>
                      <w:szCs w:val="21"/>
                      <w:u w:val="single"/>
                    </w:rPr>
                    <w:t>具有毒性、腐蚀性、易燃易爆性的废弃的化学物品</w:t>
                  </w:r>
                </w:p>
              </w:tc>
              <w:tc>
                <w:tcPr>
                  <w:tcW w:w="4404" w:type="dxa"/>
                  <w:vAlign w:val="center"/>
                </w:tcPr>
                <w:p w14:paraId="39DC60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sz w:val="21"/>
                      <w:szCs w:val="21"/>
                      <w:u w:val="single"/>
                    </w:rPr>
                  </w:pPr>
                  <w:r>
                    <w:rPr>
                      <w:rFonts w:hint="eastAsia"/>
                      <w:sz w:val="21"/>
                      <w:szCs w:val="21"/>
                      <w:u w:val="single"/>
                    </w:rPr>
                    <w:t>1、实验室废弃的化学试剂。</w:t>
                  </w:r>
                </w:p>
                <w:p w14:paraId="454488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sz w:val="21"/>
                      <w:szCs w:val="21"/>
                      <w:u w:val="single"/>
                    </w:rPr>
                  </w:pPr>
                  <w:r>
                    <w:rPr>
                      <w:rFonts w:hint="eastAsia"/>
                      <w:sz w:val="21"/>
                      <w:szCs w:val="21"/>
                      <w:u w:val="single"/>
                    </w:rPr>
                    <w:t>2、废弃的过氧乙酸、戊二醛等化学消毒剂。</w:t>
                  </w:r>
                </w:p>
                <w:p w14:paraId="63F7A9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sz w:val="21"/>
                      <w:szCs w:val="21"/>
                      <w:u w:val="single"/>
                    </w:rPr>
                  </w:pPr>
                  <w:r>
                    <w:rPr>
                      <w:rFonts w:hint="eastAsia"/>
                      <w:sz w:val="21"/>
                      <w:szCs w:val="21"/>
                      <w:u w:val="single"/>
                    </w:rPr>
                    <w:t>3、废弃的汞血压计、汞温度计。</w:t>
                  </w:r>
                </w:p>
              </w:tc>
            </w:tr>
          </w:tbl>
          <w:p w14:paraId="38B69ED3">
            <w:pPr>
              <w:adjustRightInd w:val="0"/>
              <w:snapToGrid w:val="0"/>
              <w:spacing w:line="336" w:lineRule="auto"/>
              <w:ind w:firstLine="480" w:firstLineChars="200"/>
              <w:rPr>
                <w:rFonts w:hint="eastAsia"/>
                <w:b w:val="0"/>
                <w:bCs w:val="0"/>
                <w:color w:val="000000"/>
                <w:sz w:val="24"/>
                <w:szCs w:val="24"/>
                <w:u w:val="single"/>
              </w:rPr>
            </w:pPr>
            <w:r>
              <w:rPr>
                <w:rFonts w:hint="eastAsia"/>
                <w:b w:val="0"/>
                <w:bCs w:val="0"/>
                <w:color w:val="000000"/>
                <w:sz w:val="24"/>
                <w:szCs w:val="24"/>
                <w:u w:val="single"/>
              </w:rPr>
              <w:t>本项目不涉及病理性废物。</w:t>
            </w:r>
          </w:p>
          <w:p w14:paraId="52DD8240">
            <w:pPr>
              <w:adjustRightInd w:val="0"/>
              <w:snapToGrid w:val="0"/>
              <w:spacing w:line="336" w:lineRule="auto"/>
              <w:ind w:firstLine="480" w:firstLineChars="200"/>
              <w:rPr>
                <w:rFonts w:hint="eastAsia"/>
                <w:b w:val="0"/>
                <w:bCs w:val="0"/>
                <w:color w:val="000000"/>
                <w:sz w:val="24"/>
                <w:szCs w:val="24"/>
                <w:u w:val="single"/>
              </w:rPr>
            </w:pPr>
            <w:r>
              <w:rPr>
                <w:rFonts w:hint="eastAsia"/>
                <w:b w:val="0"/>
                <w:bCs w:val="0"/>
                <w:color w:val="000000"/>
                <w:sz w:val="24"/>
                <w:szCs w:val="24"/>
                <w:u w:val="single"/>
              </w:rPr>
              <w:t>本项目产生的医疗垃圾包括感染性废物（棉球、棉签、纱布、被服、废弃的血液血清、使用后的一次性使用医疗用品及一次性医疗器械）、损伤性废物（针头、注射器、载玻片、玻璃试管、玻璃安瓿等）、化学性废物（废弃的汞血压计、汞温度计等）、药物性废物（过期的、废弃的药品、疫苗、从病房处退回的药品和淘汰的药物等）。</w:t>
            </w:r>
          </w:p>
          <w:p w14:paraId="52DB9B87">
            <w:pPr>
              <w:adjustRightInd w:val="0"/>
              <w:snapToGrid w:val="0"/>
              <w:spacing w:line="336" w:lineRule="auto"/>
              <w:ind w:firstLine="480" w:firstLineChars="200"/>
              <w:rPr>
                <w:b/>
                <w:bCs/>
                <w:color w:val="000000"/>
                <w:sz w:val="24"/>
                <w:szCs w:val="24"/>
                <w:u w:val="single"/>
              </w:rPr>
            </w:pPr>
            <w:r>
              <w:rPr>
                <w:rFonts w:hint="eastAsia"/>
                <w:b w:val="0"/>
                <w:bCs w:val="0"/>
                <w:color w:val="000000"/>
                <w:sz w:val="24"/>
                <w:szCs w:val="24"/>
                <w:u w:val="single"/>
                <w:lang w:val="en-US" w:eastAsia="zh-CN"/>
              </w:rPr>
              <w:t>医</w:t>
            </w:r>
            <w:r>
              <w:rPr>
                <w:rFonts w:hint="eastAsia" w:cs="宋体"/>
                <w:kern w:val="2"/>
                <w:sz w:val="24"/>
                <w:szCs w:val="24"/>
                <w:highlight w:val="none"/>
                <w:u w:val="single"/>
                <w:lang w:val="en-US" w:eastAsia="zh-CN" w:bidi="ar-SA"/>
              </w:rPr>
              <w:t>疗</w:t>
            </w:r>
            <w:r>
              <w:rPr>
                <w:rFonts w:hint="eastAsia"/>
                <w:b w:val="0"/>
                <w:bCs w:val="0"/>
                <w:color w:val="000000"/>
                <w:sz w:val="24"/>
                <w:szCs w:val="24"/>
                <w:u w:val="single"/>
                <w:lang w:val="en-US" w:eastAsia="zh-CN"/>
              </w:rPr>
              <w:t>楼</w:t>
            </w:r>
            <w:r>
              <w:rPr>
                <w:rFonts w:hint="eastAsia"/>
                <w:b w:val="0"/>
                <w:bCs w:val="0"/>
                <w:color w:val="000000"/>
                <w:sz w:val="24"/>
                <w:szCs w:val="24"/>
                <w:u w:val="single"/>
              </w:rPr>
              <w:t>共设床位</w:t>
            </w:r>
            <w:r>
              <w:rPr>
                <w:rFonts w:hint="eastAsia"/>
                <w:b w:val="0"/>
                <w:bCs w:val="0"/>
                <w:color w:val="000000"/>
                <w:sz w:val="24"/>
                <w:szCs w:val="24"/>
                <w:u w:val="single"/>
                <w:lang w:val="en-US" w:eastAsia="zh-CN"/>
              </w:rPr>
              <w:t>100</w:t>
            </w:r>
            <w:r>
              <w:rPr>
                <w:rFonts w:hint="eastAsia"/>
                <w:b w:val="0"/>
                <w:bCs w:val="0"/>
                <w:color w:val="000000"/>
                <w:sz w:val="24"/>
                <w:szCs w:val="24"/>
                <w:u w:val="single"/>
              </w:rPr>
              <w:t>张，参照《第一次全国污染源普查城镇生活源产排污系数手册》第四分册中的“二区综合医院”，床位数为“10-100”床的医疗废物产生量约为0.42kg/（床·d），则医疗废物产生量为</w:t>
            </w:r>
            <w:r>
              <w:rPr>
                <w:rFonts w:hint="eastAsia"/>
                <w:b w:val="0"/>
                <w:bCs w:val="0"/>
                <w:color w:val="000000"/>
                <w:sz w:val="24"/>
                <w:szCs w:val="24"/>
                <w:u w:val="single"/>
                <w:lang w:val="en-US" w:eastAsia="zh-CN"/>
              </w:rPr>
              <w:t>42</w:t>
            </w:r>
            <w:r>
              <w:rPr>
                <w:rFonts w:hint="eastAsia"/>
                <w:b w:val="0"/>
                <w:bCs w:val="0"/>
                <w:color w:val="000000"/>
                <w:sz w:val="24"/>
                <w:szCs w:val="24"/>
                <w:u w:val="single"/>
              </w:rPr>
              <w:t>kg/d，</w:t>
            </w:r>
            <w:r>
              <w:rPr>
                <w:rFonts w:hint="eastAsia"/>
                <w:b w:val="0"/>
                <w:bCs w:val="0"/>
                <w:color w:val="000000"/>
                <w:sz w:val="24"/>
                <w:szCs w:val="24"/>
                <w:u w:val="single"/>
                <w:lang w:val="en-US" w:eastAsia="zh-CN"/>
              </w:rPr>
              <w:t>15.33</w:t>
            </w:r>
            <w:r>
              <w:rPr>
                <w:rFonts w:hint="eastAsia"/>
                <w:b w:val="0"/>
                <w:bCs w:val="0"/>
                <w:color w:val="000000"/>
                <w:sz w:val="24"/>
                <w:szCs w:val="24"/>
                <w:u w:val="single"/>
              </w:rPr>
              <w:t>t/a。</w:t>
            </w:r>
          </w:p>
          <w:p w14:paraId="33C953DF">
            <w:pPr>
              <w:adjustRightInd w:val="0"/>
              <w:snapToGrid w:val="0"/>
              <w:spacing w:line="336" w:lineRule="auto"/>
              <w:ind w:firstLine="482" w:firstLineChars="200"/>
              <w:rPr>
                <w:rFonts w:hint="eastAsia"/>
                <w:b w:val="0"/>
                <w:bCs w:val="0"/>
                <w:color w:val="000000"/>
                <w:sz w:val="24"/>
                <w:szCs w:val="24"/>
                <w:u w:val="none"/>
              </w:rPr>
            </w:pPr>
            <w:r>
              <w:rPr>
                <w:rFonts w:hint="eastAsia"/>
                <w:b/>
                <w:bCs/>
                <w:color w:val="000000"/>
                <w:sz w:val="24"/>
                <w:szCs w:val="24"/>
                <w:u w:val="none"/>
              </w:rPr>
              <w:t>未被污染输液瓶（袋）</w:t>
            </w:r>
          </w:p>
          <w:p w14:paraId="551C561D">
            <w:pPr>
              <w:adjustRightInd w:val="0"/>
              <w:snapToGrid w:val="0"/>
              <w:spacing w:line="336" w:lineRule="auto"/>
              <w:ind w:firstLine="480" w:firstLineChars="200"/>
              <w:rPr>
                <w:rFonts w:hint="eastAsia"/>
                <w:b w:val="0"/>
                <w:bCs w:val="0"/>
                <w:color w:val="auto"/>
                <w:sz w:val="24"/>
                <w:szCs w:val="24"/>
                <w:u w:val="none"/>
              </w:rPr>
            </w:pPr>
            <w:r>
              <w:rPr>
                <w:rFonts w:hint="eastAsia"/>
                <w:b w:val="0"/>
                <w:bCs w:val="0"/>
                <w:color w:val="000000"/>
                <w:sz w:val="24"/>
                <w:szCs w:val="24"/>
                <w:u w:val="none"/>
              </w:rPr>
              <w:t>项目产生的未被污染输液瓶（袋）对照《医疗机构未被污染输液瓶（袋）管理模式现状调研与分析》（陈亚男，刘菁，徐燕，陈志，朱利文；DOI：10.16803/j.cnki.issn.1004－6216.2019.06.006）中统计结果系数，医院未被污染输液瓶（袋）产生系数为0.04kg/（床·d），</w:t>
            </w:r>
            <w:r>
              <w:rPr>
                <w:rFonts w:hint="eastAsia"/>
                <w:b w:val="0"/>
                <w:bCs w:val="0"/>
                <w:color w:val="auto"/>
                <w:sz w:val="24"/>
                <w:szCs w:val="24"/>
                <w:u w:val="none"/>
              </w:rPr>
              <w:t>本项目医</w:t>
            </w:r>
            <w:r>
              <w:rPr>
                <w:rFonts w:hint="eastAsia" w:cs="宋体"/>
                <w:kern w:val="2"/>
                <w:sz w:val="24"/>
                <w:szCs w:val="24"/>
                <w:highlight w:val="none"/>
                <w:lang w:val="en-US" w:eastAsia="zh-CN" w:bidi="ar-SA"/>
              </w:rPr>
              <w:t>疗</w:t>
            </w:r>
            <w:r>
              <w:rPr>
                <w:rFonts w:hint="eastAsia"/>
                <w:b w:val="0"/>
                <w:bCs w:val="0"/>
                <w:color w:val="auto"/>
                <w:sz w:val="24"/>
                <w:szCs w:val="24"/>
                <w:u w:val="none"/>
              </w:rPr>
              <w:t>床位</w:t>
            </w:r>
            <w:r>
              <w:rPr>
                <w:rFonts w:hint="eastAsia"/>
                <w:b w:val="0"/>
                <w:bCs w:val="0"/>
                <w:color w:val="auto"/>
                <w:sz w:val="24"/>
                <w:szCs w:val="24"/>
                <w:u w:val="none"/>
                <w:lang w:val="en-US" w:eastAsia="zh-CN"/>
              </w:rPr>
              <w:t>100</w:t>
            </w:r>
            <w:r>
              <w:rPr>
                <w:rFonts w:hint="eastAsia"/>
                <w:b w:val="0"/>
                <w:bCs w:val="0"/>
                <w:color w:val="auto"/>
                <w:sz w:val="24"/>
                <w:szCs w:val="24"/>
                <w:u w:val="none"/>
              </w:rPr>
              <w:t>张，则项目未被污染输液瓶（袋）产生量为</w:t>
            </w:r>
            <w:r>
              <w:rPr>
                <w:rFonts w:hint="eastAsia"/>
                <w:b w:val="0"/>
                <w:bCs w:val="0"/>
                <w:color w:val="auto"/>
                <w:sz w:val="24"/>
                <w:szCs w:val="24"/>
                <w:u w:val="none"/>
                <w:lang w:val="en-US" w:eastAsia="zh-CN"/>
              </w:rPr>
              <w:t>1.46</w:t>
            </w:r>
            <w:r>
              <w:rPr>
                <w:rFonts w:hint="eastAsia"/>
                <w:b w:val="0"/>
                <w:bCs w:val="0"/>
                <w:color w:val="auto"/>
                <w:sz w:val="24"/>
                <w:szCs w:val="24"/>
                <w:u w:val="none"/>
              </w:rPr>
              <w:t>t/a。</w:t>
            </w:r>
          </w:p>
          <w:p w14:paraId="6354A2D8">
            <w:pPr>
              <w:adjustRightInd w:val="0"/>
              <w:snapToGrid w:val="0"/>
              <w:spacing w:line="336" w:lineRule="auto"/>
              <w:ind w:firstLine="480" w:firstLineChars="200"/>
              <w:rPr>
                <w:rFonts w:hint="eastAsia"/>
                <w:b w:val="0"/>
                <w:bCs w:val="0"/>
                <w:color w:val="000000"/>
                <w:sz w:val="24"/>
                <w:szCs w:val="24"/>
                <w:u w:val="none"/>
              </w:rPr>
            </w:pPr>
            <w:r>
              <w:rPr>
                <w:rFonts w:hint="eastAsia"/>
                <w:b w:val="0"/>
                <w:bCs w:val="0"/>
                <w:color w:val="000000"/>
                <w:sz w:val="24"/>
                <w:szCs w:val="24"/>
                <w:u w:val="none"/>
              </w:rPr>
              <w:t>根据《关于在医疗机构推进生活垃圾分类管理的通知》（国卫办医发</w:t>
            </w:r>
            <w:r>
              <w:rPr>
                <w:rFonts w:hint="eastAsia"/>
                <w:b w:val="0"/>
                <w:bCs w:val="0"/>
                <w:color w:val="000000"/>
                <w:sz w:val="24"/>
                <w:szCs w:val="24"/>
                <w:u w:val="none"/>
                <w:lang w:eastAsia="zh-CN"/>
              </w:rPr>
              <w:t>〔2017〕30号</w:t>
            </w:r>
            <w:r>
              <w:rPr>
                <w:rFonts w:hint="eastAsia"/>
                <w:b w:val="0"/>
                <w:bCs w:val="0"/>
                <w:color w:val="000000"/>
                <w:sz w:val="24"/>
                <w:szCs w:val="24"/>
                <w:u w:val="none"/>
              </w:rPr>
              <w:t>）及卫生部、国家环保总局2001年1月颁布的《关于印发（医疗废物分类目录）的通知》（卫医发</w:t>
            </w:r>
            <w:r>
              <w:rPr>
                <w:rFonts w:hint="eastAsia"/>
                <w:b w:val="0"/>
                <w:bCs w:val="0"/>
                <w:color w:val="000000"/>
                <w:sz w:val="24"/>
                <w:szCs w:val="24"/>
                <w:u w:val="none"/>
                <w:lang w:eastAsia="zh-CN"/>
              </w:rPr>
              <w:t>〔2003〕287号</w:t>
            </w:r>
            <w:r>
              <w:rPr>
                <w:rFonts w:hint="eastAsia"/>
                <w:b w:val="0"/>
                <w:bCs w:val="0"/>
                <w:color w:val="000000"/>
                <w:sz w:val="24"/>
                <w:szCs w:val="24"/>
                <w:u w:val="none"/>
              </w:rPr>
              <w:t>），对于各类玻璃（一次性塑料）输液瓶（袋）、青霉素以及头孢类抗生素的废弃瓶，未被病人血液、体液、排泄物污染的，不属于感染性废物，不必按医疗废物要求处理。</w:t>
            </w:r>
          </w:p>
          <w:p w14:paraId="2750D8C2">
            <w:pPr>
              <w:adjustRightInd w:val="0"/>
              <w:snapToGrid w:val="0"/>
              <w:spacing w:line="336" w:lineRule="auto"/>
              <w:ind w:firstLine="480" w:firstLineChars="200"/>
              <w:rPr>
                <w:b w:val="0"/>
                <w:bCs w:val="0"/>
                <w:color w:val="000000"/>
                <w:sz w:val="24"/>
                <w:szCs w:val="24"/>
                <w:u w:val="none"/>
              </w:rPr>
            </w:pPr>
            <w:r>
              <w:rPr>
                <w:rFonts w:hint="eastAsia"/>
                <w:b w:val="0"/>
                <w:bCs w:val="0"/>
                <w:color w:val="000000"/>
                <w:sz w:val="24"/>
                <w:szCs w:val="24"/>
                <w:u w:val="none"/>
              </w:rPr>
              <w:t>医疗机构应分类回收，与再生资源回收单位做好交接、登记和统计工作，实现可回收物的可追溯。再生资源回收单位向再生资源利用单位提供输液瓶（袋）类可回收物时，应当说明来源并做好交接登记，确保可追溯。再生资源利用单位利用这类可回收物时不得用于原用途，用于其他用途时不应危害人体健康。</w:t>
            </w:r>
          </w:p>
          <w:p w14:paraId="05C556EF">
            <w:pPr>
              <w:adjustRightInd w:val="0"/>
              <w:snapToGrid w:val="0"/>
              <w:spacing w:line="336" w:lineRule="auto"/>
              <w:ind w:firstLine="482" w:firstLineChars="200"/>
              <w:rPr>
                <w:rFonts w:hint="eastAsia"/>
                <w:b w:val="0"/>
                <w:bCs w:val="0"/>
                <w:color w:val="000000"/>
                <w:sz w:val="24"/>
                <w:szCs w:val="24"/>
                <w:u w:val="none"/>
              </w:rPr>
            </w:pPr>
            <w:r>
              <w:rPr>
                <w:rFonts w:hint="eastAsia"/>
                <w:b/>
                <w:bCs/>
                <w:color w:val="000000"/>
                <w:sz w:val="24"/>
                <w:szCs w:val="24"/>
                <w:u w:val="none"/>
              </w:rPr>
              <w:t>废包装材料</w:t>
            </w:r>
          </w:p>
          <w:p w14:paraId="5ACA5915">
            <w:pPr>
              <w:adjustRightInd w:val="0"/>
              <w:snapToGrid w:val="0"/>
              <w:spacing w:line="336" w:lineRule="auto"/>
              <w:ind w:firstLine="480" w:firstLineChars="200"/>
              <w:rPr>
                <w:b w:val="0"/>
                <w:bCs w:val="0"/>
                <w:color w:val="000000"/>
                <w:sz w:val="24"/>
                <w:szCs w:val="24"/>
                <w:u w:val="none"/>
              </w:rPr>
            </w:pPr>
            <w:r>
              <w:rPr>
                <w:rFonts w:hint="eastAsia"/>
                <w:b w:val="0"/>
                <w:bCs w:val="0"/>
                <w:color w:val="000000"/>
                <w:sz w:val="24"/>
                <w:szCs w:val="24"/>
                <w:u w:val="none"/>
              </w:rPr>
              <w:t>本项目药品、医疗耗材使用过程中产生的未沾染药品、试剂等的废包装物，主要为废纸箱、废塑料袋等，属于一般工业固体废物，根据建设单位提供的资料，本项目产生量约0.2t/a，纸箱等可回收的用于回收，不能回收的统一由环卫部门清运处理。</w:t>
            </w:r>
          </w:p>
          <w:p w14:paraId="25FAACE0">
            <w:pPr>
              <w:adjustRightInd w:val="0"/>
              <w:snapToGrid w:val="0"/>
              <w:spacing w:line="336" w:lineRule="auto"/>
              <w:ind w:firstLine="482" w:firstLineChars="200"/>
              <w:rPr>
                <w:b/>
                <w:bCs/>
                <w:color w:val="000000"/>
                <w:sz w:val="24"/>
                <w:szCs w:val="24"/>
                <w:highlight w:val="yellow"/>
                <w:u w:val="single"/>
              </w:rPr>
            </w:pPr>
            <w:r>
              <w:rPr>
                <w:rFonts w:hint="eastAsia"/>
                <w:b/>
                <w:bCs/>
                <w:color w:val="000000"/>
                <w:sz w:val="24"/>
                <w:szCs w:val="24"/>
                <w:u w:val="single"/>
              </w:rPr>
              <w:t>污水处理淤泥</w:t>
            </w:r>
          </w:p>
          <w:p w14:paraId="18821BB8">
            <w:pPr>
              <w:adjustRightInd w:val="0"/>
              <w:snapToGrid w:val="0"/>
              <w:spacing w:line="336" w:lineRule="auto"/>
              <w:ind w:firstLine="480" w:firstLineChars="200"/>
              <w:rPr>
                <w:rFonts w:hint="eastAsia"/>
                <w:sz w:val="24"/>
                <w:szCs w:val="24"/>
                <w:u w:val="single"/>
              </w:rPr>
            </w:pPr>
            <w:r>
              <w:rPr>
                <w:rFonts w:hint="eastAsia"/>
                <w:sz w:val="24"/>
                <w:szCs w:val="24"/>
                <w:u w:val="single"/>
              </w:rPr>
              <w:t>本项目废水经过自建污水处理站处理后会产生沉淀污泥，主要污染物为悬浮物长期累积形成的污泥。污泥中含合成有机物、寄生虫卵、细菌、病原体等对环境有害的物质，具有成分复杂、易腐败、遇水又成为流态、易对环境造成二次污染等环境特点，需进行妥当处置。</w:t>
            </w:r>
          </w:p>
          <w:p w14:paraId="7FCAB10A">
            <w:pPr>
              <w:adjustRightInd w:val="0"/>
              <w:snapToGrid w:val="0"/>
              <w:spacing w:line="336" w:lineRule="auto"/>
              <w:ind w:firstLine="480" w:firstLineChars="200"/>
              <w:rPr>
                <w:rFonts w:hint="eastAsia"/>
                <w:sz w:val="24"/>
                <w:szCs w:val="24"/>
                <w:u w:val="single"/>
              </w:rPr>
            </w:pPr>
            <w:r>
              <w:rPr>
                <w:rFonts w:hint="eastAsia"/>
                <w:sz w:val="24"/>
                <w:szCs w:val="24"/>
                <w:u w:val="single"/>
              </w:rPr>
              <w:t>参考《环境工程学（第三版）蒋展鹏、杨宏伟主编》中简易污水处理站污泥计算公式：</w:t>
            </w:r>
          </w:p>
          <w:p w14:paraId="0EFDFCF6">
            <w:pPr>
              <w:adjustRightInd w:val="0"/>
              <w:snapToGrid w:val="0"/>
              <w:spacing w:line="336" w:lineRule="auto"/>
              <w:ind w:firstLine="420" w:firstLineChars="200"/>
              <w:jc w:val="center"/>
              <w:rPr>
                <w:rFonts w:hint="eastAsia"/>
                <w:sz w:val="24"/>
                <w:szCs w:val="24"/>
                <w:u w:val="single"/>
              </w:rPr>
            </w:pPr>
            <w:r>
              <w:rPr>
                <w:u w:val="single"/>
              </w:rPr>
              <w:drawing>
                <wp:inline distT="0" distB="0" distL="114300" distR="114300">
                  <wp:extent cx="1626870" cy="612140"/>
                  <wp:effectExtent l="0" t="0" r="11430" b="16510"/>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pic:cNvPicPr>
                        </pic:nvPicPr>
                        <pic:blipFill>
                          <a:blip r:embed="rId23"/>
                          <a:stretch>
                            <a:fillRect/>
                          </a:stretch>
                        </pic:blipFill>
                        <pic:spPr>
                          <a:xfrm>
                            <a:off x="0" y="0"/>
                            <a:ext cx="1626870" cy="612140"/>
                          </a:xfrm>
                          <a:prstGeom prst="rect">
                            <a:avLst/>
                          </a:prstGeom>
                          <a:noFill/>
                          <a:ln>
                            <a:noFill/>
                          </a:ln>
                        </pic:spPr>
                      </pic:pic>
                    </a:graphicData>
                  </a:graphic>
                </wp:inline>
              </w:drawing>
            </w:r>
          </w:p>
          <w:p w14:paraId="6CCB19C6">
            <w:pPr>
              <w:adjustRightInd w:val="0"/>
              <w:snapToGrid w:val="0"/>
              <w:spacing w:line="336" w:lineRule="auto"/>
              <w:ind w:firstLine="480" w:firstLineChars="200"/>
              <w:rPr>
                <w:rFonts w:hint="eastAsia"/>
                <w:sz w:val="24"/>
                <w:szCs w:val="24"/>
                <w:u w:val="single"/>
              </w:rPr>
            </w:pPr>
            <w:r>
              <w:rPr>
                <w:rFonts w:hint="eastAsia"/>
                <w:sz w:val="24"/>
                <w:szCs w:val="24"/>
                <w:u w:val="single"/>
              </w:rPr>
              <w:t>式中：Vi——污水处理站污泥，m</w:t>
            </w:r>
            <w:r>
              <w:rPr>
                <w:rFonts w:hint="eastAsia"/>
                <w:sz w:val="24"/>
                <w:szCs w:val="24"/>
                <w:u w:val="single"/>
                <w:vertAlign w:val="superscript"/>
              </w:rPr>
              <w:t>3</w:t>
            </w:r>
            <w:r>
              <w:rPr>
                <w:rFonts w:hint="eastAsia"/>
                <w:sz w:val="24"/>
                <w:szCs w:val="24"/>
                <w:u w:val="single"/>
              </w:rPr>
              <w:t>/d；</w:t>
            </w:r>
          </w:p>
          <w:p w14:paraId="51AA1E2A">
            <w:pPr>
              <w:adjustRightInd w:val="0"/>
              <w:snapToGrid w:val="0"/>
              <w:spacing w:line="336" w:lineRule="auto"/>
              <w:ind w:firstLine="480" w:firstLineChars="200"/>
              <w:rPr>
                <w:rFonts w:hint="eastAsia"/>
                <w:sz w:val="24"/>
                <w:szCs w:val="24"/>
                <w:u w:val="single"/>
              </w:rPr>
            </w:pPr>
            <w:r>
              <w:rPr>
                <w:rFonts w:hint="eastAsia"/>
                <w:sz w:val="24"/>
                <w:szCs w:val="24"/>
                <w:u w:val="single"/>
              </w:rPr>
              <w:t>C1、C2——进出水的悬浮物浓度，kg/m</w:t>
            </w:r>
            <w:r>
              <w:rPr>
                <w:rFonts w:hint="eastAsia"/>
                <w:sz w:val="24"/>
                <w:szCs w:val="24"/>
                <w:u w:val="single"/>
                <w:vertAlign w:val="superscript"/>
              </w:rPr>
              <w:t>3</w:t>
            </w:r>
            <w:r>
              <w:rPr>
                <w:rFonts w:hint="eastAsia"/>
                <w:sz w:val="24"/>
                <w:szCs w:val="24"/>
                <w:u w:val="single"/>
              </w:rPr>
              <w:t>；</w:t>
            </w:r>
          </w:p>
          <w:p w14:paraId="290A4B3B">
            <w:pPr>
              <w:adjustRightInd w:val="0"/>
              <w:snapToGrid w:val="0"/>
              <w:spacing w:line="336" w:lineRule="auto"/>
              <w:ind w:firstLine="480" w:firstLineChars="200"/>
              <w:rPr>
                <w:rFonts w:hint="eastAsia"/>
                <w:sz w:val="24"/>
                <w:szCs w:val="24"/>
                <w:u w:val="single"/>
              </w:rPr>
            </w:pPr>
            <w:r>
              <w:rPr>
                <w:rFonts w:hint="eastAsia"/>
                <w:sz w:val="24"/>
                <w:szCs w:val="24"/>
                <w:u w:val="single"/>
              </w:rPr>
              <w:t>Q——污水流量，m</w:t>
            </w:r>
            <w:r>
              <w:rPr>
                <w:rFonts w:hint="eastAsia"/>
                <w:sz w:val="24"/>
                <w:szCs w:val="24"/>
                <w:u w:val="single"/>
                <w:vertAlign w:val="superscript"/>
              </w:rPr>
              <w:t>3</w:t>
            </w:r>
            <w:r>
              <w:rPr>
                <w:rFonts w:hint="eastAsia"/>
                <w:sz w:val="24"/>
                <w:szCs w:val="24"/>
                <w:u w:val="single"/>
              </w:rPr>
              <w:t>/d；</w:t>
            </w:r>
          </w:p>
          <w:p w14:paraId="0510F152">
            <w:pPr>
              <w:adjustRightInd w:val="0"/>
              <w:snapToGrid w:val="0"/>
              <w:spacing w:line="336" w:lineRule="auto"/>
              <w:ind w:firstLine="480" w:firstLineChars="200"/>
              <w:rPr>
                <w:rFonts w:hint="eastAsia"/>
                <w:sz w:val="24"/>
                <w:szCs w:val="24"/>
                <w:u w:val="single"/>
              </w:rPr>
            </w:pPr>
            <w:r>
              <w:rPr>
                <w:rFonts w:hint="eastAsia"/>
                <w:sz w:val="24"/>
                <w:szCs w:val="24"/>
                <w:u w:val="single"/>
              </w:rPr>
              <w:t>X——污泥含水率，%；</w:t>
            </w:r>
          </w:p>
          <w:p w14:paraId="5644D3F0">
            <w:pPr>
              <w:adjustRightInd w:val="0"/>
              <w:snapToGrid w:val="0"/>
              <w:spacing w:line="336" w:lineRule="auto"/>
              <w:ind w:firstLine="480" w:firstLineChars="200"/>
              <w:rPr>
                <w:rFonts w:hint="eastAsia"/>
                <w:sz w:val="24"/>
                <w:szCs w:val="24"/>
                <w:u w:val="single"/>
              </w:rPr>
            </w:pPr>
            <w:r>
              <w:rPr>
                <w:rFonts w:hint="eastAsia"/>
                <w:sz w:val="24"/>
                <w:szCs w:val="24"/>
                <w:u w:val="single"/>
              </w:rPr>
              <w:t>P i ——污泥密度，约1000kg/m</w:t>
            </w:r>
            <w:r>
              <w:rPr>
                <w:rFonts w:hint="eastAsia"/>
                <w:sz w:val="24"/>
                <w:szCs w:val="24"/>
                <w:u w:val="single"/>
                <w:vertAlign w:val="superscript"/>
              </w:rPr>
              <w:t>3</w:t>
            </w:r>
            <w:r>
              <w:rPr>
                <w:rFonts w:hint="eastAsia"/>
                <w:sz w:val="24"/>
                <w:szCs w:val="24"/>
                <w:u w:val="single"/>
              </w:rPr>
              <w:t>。</w:t>
            </w:r>
          </w:p>
          <w:p w14:paraId="5852CF73">
            <w:pPr>
              <w:adjustRightInd w:val="0"/>
              <w:snapToGrid w:val="0"/>
              <w:spacing w:line="336" w:lineRule="auto"/>
              <w:ind w:firstLine="480" w:firstLineChars="200"/>
              <w:rPr>
                <w:rFonts w:hint="eastAsia"/>
                <w:sz w:val="24"/>
                <w:szCs w:val="24"/>
                <w:u w:val="single"/>
              </w:rPr>
            </w:pPr>
            <w:r>
              <w:rPr>
                <w:rFonts w:hint="eastAsia"/>
                <w:sz w:val="24"/>
                <w:szCs w:val="24"/>
                <w:u w:val="single"/>
              </w:rPr>
              <w:t>项目废水悬浮物进出水浓度约为</w:t>
            </w:r>
            <w:r>
              <w:rPr>
                <w:rFonts w:hint="eastAsia"/>
                <w:sz w:val="24"/>
                <w:szCs w:val="24"/>
                <w:highlight w:val="none"/>
                <w:u w:val="single"/>
                <w:lang w:val="en-US" w:eastAsia="zh-CN"/>
              </w:rPr>
              <w:t>80.25</w:t>
            </w:r>
            <w:r>
              <w:rPr>
                <w:rFonts w:hint="eastAsia"/>
                <w:sz w:val="24"/>
                <w:szCs w:val="24"/>
                <w:highlight w:val="none"/>
                <w:u w:val="single"/>
              </w:rPr>
              <w:t>mg/L和</w:t>
            </w:r>
            <w:r>
              <w:rPr>
                <w:rFonts w:hint="eastAsia"/>
                <w:sz w:val="24"/>
                <w:szCs w:val="24"/>
                <w:highlight w:val="none"/>
                <w:u w:val="single"/>
                <w:lang w:val="en-US" w:eastAsia="zh-CN"/>
              </w:rPr>
              <w:t>60</w:t>
            </w:r>
            <w:r>
              <w:rPr>
                <w:rFonts w:hint="eastAsia"/>
                <w:sz w:val="24"/>
                <w:szCs w:val="24"/>
                <w:highlight w:val="none"/>
                <w:u w:val="single"/>
              </w:rPr>
              <w:t>mg/L</w:t>
            </w:r>
            <w:r>
              <w:rPr>
                <w:rFonts w:hint="eastAsia"/>
                <w:sz w:val="24"/>
                <w:szCs w:val="24"/>
                <w:u w:val="single"/>
              </w:rPr>
              <w:t>，本项目废水量为</w:t>
            </w:r>
            <w:r>
              <w:rPr>
                <w:rFonts w:hint="eastAsia"/>
                <w:sz w:val="24"/>
                <w:szCs w:val="24"/>
                <w:u w:val="single"/>
                <w:lang w:val="en-US" w:eastAsia="zh-CN"/>
              </w:rPr>
              <w:t>17286.4</w:t>
            </w:r>
            <w:r>
              <w:rPr>
                <w:rFonts w:hint="eastAsia"/>
                <w:sz w:val="24"/>
                <w:szCs w:val="24"/>
                <w:u w:val="single"/>
              </w:rPr>
              <w:t>m</w:t>
            </w:r>
            <w:r>
              <w:rPr>
                <w:rFonts w:hint="eastAsia"/>
                <w:sz w:val="24"/>
                <w:szCs w:val="24"/>
                <w:u w:val="single"/>
                <w:vertAlign w:val="superscript"/>
              </w:rPr>
              <w:t>3</w:t>
            </w:r>
            <w:r>
              <w:rPr>
                <w:rFonts w:hint="eastAsia"/>
                <w:sz w:val="24"/>
                <w:szCs w:val="24"/>
                <w:u w:val="single"/>
              </w:rPr>
              <w:t>/a，污泥浓缩后含水率为70%，即沉淀污泥量为</w:t>
            </w:r>
            <w:r>
              <w:rPr>
                <w:rFonts w:hint="eastAsia"/>
                <w:sz w:val="24"/>
                <w:szCs w:val="24"/>
                <w:u w:val="single"/>
                <w:lang w:val="en-US" w:eastAsia="zh-CN"/>
              </w:rPr>
              <w:t>1.17</w:t>
            </w:r>
            <w:r>
              <w:rPr>
                <w:rFonts w:hint="eastAsia"/>
                <w:sz w:val="24"/>
                <w:szCs w:val="24"/>
                <w:u w:val="single"/>
              </w:rPr>
              <w:t>t/a，根据《医院污水处理工程技术规范》（HJ 2029-2013），污水站污泥属于危险废物。</w:t>
            </w:r>
            <w:r>
              <w:rPr>
                <w:rFonts w:hint="default" w:ascii="Times New Roman" w:hAnsi="Times New Roman" w:cs="Times New Roman"/>
                <w:sz w:val="24"/>
                <w:szCs w:val="24"/>
                <w:u w:val="single"/>
              </w:rPr>
              <w:t>废物代码：</w:t>
            </w:r>
            <w:r>
              <w:rPr>
                <w:rFonts w:hint="eastAsia" w:cs="Times New Roman"/>
                <w:sz w:val="24"/>
                <w:szCs w:val="24"/>
                <w:u w:val="single"/>
                <w:lang w:val="en-US" w:eastAsia="zh-CN"/>
              </w:rPr>
              <w:t>HW01，</w:t>
            </w:r>
            <w:r>
              <w:rPr>
                <w:rFonts w:hint="eastAsia"/>
                <w:sz w:val="24"/>
                <w:szCs w:val="24"/>
                <w:u w:val="single"/>
              </w:rPr>
              <w:t>841-001-01</w:t>
            </w:r>
          </w:p>
          <w:p w14:paraId="25BB65C9">
            <w:pPr>
              <w:adjustRightInd w:val="0"/>
              <w:snapToGrid w:val="0"/>
              <w:spacing w:line="336" w:lineRule="auto"/>
              <w:ind w:firstLine="480" w:firstLineChars="200"/>
              <w:rPr>
                <w:sz w:val="24"/>
                <w:szCs w:val="24"/>
                <w:u w:val="single"/>
              </w:rPr>
            </w:pPr>
            <w:r>
              <w:rPr>
                <w:rFonts w:hint="eastAsia"/>
                <w:sz w:val="24"/>
                <w:szCs w:val="24"/>
                <w:u w:val="single"/>
              </w:rPr>
              <w:t>污水处理站清掏污泥经检测合格后半年清掏1次，</w:t>
            </w:r>
            <w:r>
              <w:rPr>
                <w:rFonts w:hint="eastAsia"/>
                <w:sz w:val="24"/>
                <w:szCs w:val="24"/>
                <w:highlight w:val="none"/>
                <w:u w:val="single"/>
              </w:rPr>
              <w:t>清掏前应使用漂白粉或石灰消毒</w:t>
            </w:r>
            <w:r>
              <w:rPr>
                <w:rFonts w:hint="eastAsia"/>
                <w:sz w:val="24"/>
                <w:szCs w:val="24"/>
                <w:u w:val="single"/>
              </w:rPr>
              <w:t>符合《医疗机构水污染物排放标准》（GB 18466-2005）</w:t>
            </w:r>
            <w:r>
              <w:rPr>
                <w:rFonts w:hint="eastAsia"/>
                <w:sz w:val="24"/>
                <w:szCs w:val="24"/>
                <w:u w:val="single"/>
                <w:lang w:eastAsia="zh-CN"/>
              </w:rPr>
              <w:t>（</w:t>
            </w:r>
            <w:r>
              <w:rPr>
                <w:rFonts w:hint="eastAsia"/>
                <w:sz w:val="24"/>
                <w:szCs w:val="24"/>
                <w:u w:val="single"/>
                <w:lang w:val="en-US" w:eastAsia="zh-CN"/>
              </w:rPr>
              <w:t>含2026年修改单</w:t>
            </w:r>
            <w:r>
              <w:rPr>
                <w:rFonts w:hint="eastAsia"/>
                <w:sz w:val="24"/>
                <w:szCs w:val="24"/>
                <w:u w:val="single"/>
                <w:lang w:eastAsia="zh-CN"/>
              </w:rPr>
              <w:t>）</w:t>
            </w:r>
            <w:r>
              <w:rPr>
                <w:rFonts w:hint="eastAsia"/>
                <w:sz w:val="24"/>
                <w:szCs w:val="24"/>
                <w:u w:val="single"/>
              </w:rPr>
              <w:t>表4标准要求（粪大肠菌群数≤100MPN/g，蛔虫卵死亡率＞95%）后，由有资质单位清掏后立即转运，不在康养中心暂存。</w:t>
            </w:r>
          </w:p>
          <w:p w14:paraId="6E25206D">
            <w:pPr>
              <w:pStyle w:val="24"/>
              <w:ind w:firstLine="480"/>
              <w:rPr>
                <w:rFonts w:hint="eastAsia" w:ascii="Times New Roman" w:hAnsi="Times New Roman"/>
                <w:b/>
                <w:bCs/>
                <w:szCs w:val="24"/>
                <w:u w:val="none"/>
              </w:rPr>
            </w:pPr>
            <w:r>
              <w:rPr>
                <w:rFonts w:hint="eastAsia" w:ascii="Times New Roman" w:hAnsi="Times New Roman"/>
                <w:b/>
                <w:bCs/>
                <w:szCs w:val="24"/>
                <w:u w:val="none"/>
              </w:rPr>
              <w:t>厨余垃圾</w:t>
            </w:r>
          </w:p>
          <w:p w14:paraId="30F7CC66">
            <w:pPr>
              <w:pStyle w:val="24"/>
              <w:ind w:firstLine="480"/>
              <w:rPr>
                <w:rFonts w:hint="eastAsia" w:ascii="Times New Roman" w:hAnsi="Times New Roman"/>
                <w:szCs w:val="24"/>
                <w:u w:val="none"/>
              </w:rPr>
            </w:pPr>
            <w:r>
              <w:rPr>
                <w:rFonts w:hint="eastAsia" w:ascii="Times New Roman" w:hAnsi="Times New Roman"/>
                <w:szCs w:val="24"/>
                <w:u w:val="none"/>
              </w:rPr>
              <w:t>本项目食堂仅为养康中心员工和老人提供餐食服务，用餐人数为</w:t>
            </w:r>
            <w:r>
              <w:rPr>
                <w:rFonts w:hint="eastAsia" w:ascii="Times New Roman" w:hAnsi="Times New Roman"/>
                <w:szCs w:val="24"/>
                <w:highlight w:val="none"/>
                <w:u w:val="none"/>
                <w:lang w:val="en-US" w:eastAsia="zh-CN"/>
              </w:rPr>
              <w:t>530</w:t>
            </w:r>
            <w:r>
              <w:rPr>
                <w:rFonts w:hint="eastAsia" w:ascii="Times New Roman" w:hAnsi="Times New Roman"/>
                <w:szCs w:val="24"/>
                <w:highlight w:val="none"/>
                <w:u w:val="none"/>
              </w:rPr>
              <w:t>人，按每人每天产生餐厨垃圾0.2kg计，每年的餐厨垃圾产生量为</w:t>
            </w:r>
            <w:r>
              <w:rPr>
                <w:rFonts w:hint="eastAsia" w:ascii="Times New Roman" w:hAnsi="Times New Roman"/>
                <w:szCs w:val="24"/>
                <w:highlight w:val="none"/>
                <w:u w:val="none"/>
                <w:lang w:val="en-US" w:eastAsia="zh-CN"/>
              </w:rPr>
              <w:t>38.69</w:t>
            </w:r>
            <w:r>
              <w:rPr>
                <w:rFonts w:hint="eastAsia" w:ascii="Times New Roman" w:hAnsi="Times New Roman"/>
                <w:szCs w:val="24"/>
                <w:highlight w:val="none"/>
                <w:u w:val="none"/>
              </w:rPr>
              <w:t>t/a</w:t>
            </w:r>
            <w:r>
              <w:rPr>
                <w:rFonts w:hint="eastAsia" w:ascii="Times New Roman" w:hAnsi="Times New Roman"/>
                <w:szCs w:val="24"/>
                <w:u w:val="none"/>
              </w:rPr>
              <w:t>。本项目餐饮废水采用隔油池进行预处理，处理过程中会产生废油脂，产生量约占食堂食用油耗量的30%，食堂用油量每人每天约为25g，故本项目的废油产生量约</w:t>
            </w:r>
            <w:r>
              <w:rPr>
                <w:rFonts w:hint="eastAsia" w:ascii="Times New Roman" w:hAnsi="Times New Roman"/>
                <w:szCs w:val="24"/>
                <w:u w:val="none"/>
                <w:lang w:val="en-US" w:eastAsia="zh-CN"/>
              </w:rPr>
              <w:t>1.451</w:t>
            </w:r>
            <w:r>
              <w:rPr>
                <w:rFonts w:hint="eastAsia" w:ascii="Times New Roman" w:hAnsi="Times New Roman"/>
                <w:szCs w:val="24"/>
                <w:u w:val="none"/>
              </w:rPr>
              <w:t>t/a。项目厨余垃圾产生量约为</w:t>
            </w:r>
            <w:r>
              <w:rPr>
                <w:rFonts w:hint="eastAsia" w:ascii="Times New Roman" w:hAnsi="Times New Roman"/>
                <w:szCs w:val="24"/>
                <w:u w:val="none"/>
                <w:lang w:val="en-US" w:eastAsia="zh-CN"/>
              </w:rPr>
              <w:t>40.141</w:t>
            </w:r>
            <w:r>
              <w:rPr>
                <w:rFonts w:hint="eastAsia" w:ascii="Times New Roman" w:hAnsi="Times New Roman"/>
                <w:szCs w:val="24"/>
                <w:u w:val="none"/>
              </w:rPr>
              <w:t>t/a（含隔油池产生的油脂），委托有厨余垃圾资质的单位处理。</w:t>
            </w:r>
          </w:p>
          <w:p w14:paraId="73E3813E">
            <w:pPr>
              <w:pStyle w:val="24"/>
              <w:ind w:firstLine="480"/>
              <w:rPr>
                <w:rFonts w:hint="eastAsia" w:ascii="Times New Roman" w:hAnsi="Times New Roman" w:eastAsia="宋体"/>
                <w:szCs w:val="24"/>
                <w:u w:val="none"/>
                <w:lang w:eastAsia="zh-CN"/>
              </w:rPr>
            </w:pPr>
            <w:r>
              <w:rPr>
                <w:rFonts w:hint="eastAsia" w:ascii="Times New Roman" w:hAnsi="Times New Roman"/>
                <w:szCs w:val="24"/>
                <w:u w:val="none"/>
              </w:rPr>
              <w:t>根据《饮食业环境保护技术规范》（HJ554-2010）中相关规定，餐厨垃圾通过加盖塑料桶进行收集，收集后由专人每日清运，不在</w:t>
            </w:r>
            <w:r>
              <w:rPr>
                <w:rFonts w:hint="eastAsia" w:ascii="Times New Roman" w:hAnsi="Times New Roman"/>
                <w:szCs w:val="24"/>
                <w:u w:val="none"/>
                <w:lang w:val="en-US" w:eastAsia="zh-CN"/>
              </w:rPr>
              <w:t>院</w:t>
            </w:r>
            <w:r>
              <w:rPr>
                <w:rFonts w:hint="eastAsia" w:ascii="Times New Roman" w:hAnsi="Times New Roman"/>
                <w:szCs w:val="24"/>
                <w:u w:val="none"/>
              </w:rPr>
              <w:t>内滞留过夜，以免产生异味及蚊虫、老鼠等滋生</w:t>
            </w:r>
            <w:r>
              <w:rPr>
                <w:rFonts w:hint="eastAsia" w:ascii="Times New Roman" w:hAnsi="Times New Roman"/>
                <w:szCs w:val="24"/>
                <w:u w:val="none"/>
                <w:lang w:eastAsia="zh-CN"/>
              </w:rPr>
              <w:t>。</w:t>
            </w:r>
          </w:p>
          <w:p w14:paraId="7580FC5F">
            <w:pPr>
              <w:spacing w:line="360" w:lineRule="auto"/>
              <w:ind w:firstLine="482" w:firstLineChars="200"/>
              <w:rPr>
                <w:b/>
                <w:sz w:val="24"/>
                <w:szCs w:val="24"/>
                <w:u w:val="none"/>
              </w:rPr>
            </w:pPr>
            <w:r>
              <w:rPr>
                <w:b/>
                <w:sz w:val="24"/>
                <w:szCs w:val="24"/>
                <w:u w:val="none"/>
              </w:rPr>
              <w:t>生活垃圾</w:t>
            </w:r>
          </w:p>
          <w:p w14:paraId="705ECD22">
            <w:pPr>
              <w:spacing w:line="360" w:lineRule="auto"/>
              <w:ind w:firstLine="480" w:firstLineChars="200"/>
              <w:rPr>
                <w:sz w:val="24"/>
                <w:szCs w:val="24"/>
                <w:u w:val="single"/>
              </w:rPr>
            </w:pPr>
            <w:r>
              <w:rPr>
                <w:sz w:val="24"/>
                <w:szCs w:val="24"/>
                <w:u w:val="none"/>
              </w:rPr>
              <w:t>项目营运期生活垃圾主要为员工的生活垃圾。员工生活垃圾产生量按每人0.5kg/d计，</w:t>
            </w:r>
            <w:r>
              <w:rPr>
                <w:color w:val="000000"/>
                <w:sz w:val="24"/>
                <w:szCs w:val="24"/>
                <w:u w:val="none"/>
              </w:rPr>
              <w:t>项目劳动定员约</w:t>
            </w:r>
            <w:r>
              <w:rPr>
                <w:rFonts w:hint="eastAsia"/>
                <w:color w:val="000000"/>
                <w:sz w:val="24"/>
                <w:szCs w:val="24"/>
                <w:u w:val="none"/>
                <w:lang w:val="en-US" w:eastAsia="zh-CN"/>
              </w:rPr>
              <w:t>90</w:t>
            </w:r>
            <w:r>
              <w:rPr>
                <w:color w:val="000000"/>
                <w:sz w:val="24"/>
                <w:szCs w:val="24"/>
                <w:u w:val="none"/>
              </w:rPr>
              <w:t>人</w:t>
            </w:r>
            <w:r>
              <w:rPr>
                <w:sz w:val="24"/>
                <w:szCs w:val="24"/>
                <w:u w:val="none"/>
              </w:rPr>
              <w:t>，年工作</w:t>
            </w:r>
            <w:r>
              <w:rPr>
                <w:rFonts w:hint="eastAsia"/>
                <w:sz w:val="24"/>
                <w:szCs w:val="24"/>
                <w:u w:val="none"/>
              </w:rPr>
              <w:t>365</w:t>
            </w:r>
            <w:r>
              <w:rPr>
                <w:sz w:val="24"/>
                <w:szCs w:val="24"/>
                <w:u w:val="none"/>
              </w:rPr>
              <w:t>天，则生活垃圾产生量为</w:t>
            </w:r>
            <w:r>
              <w:rPr>
                <w:rFonts w:hint="eastAsia"/>
                <w:sz w:val="24"/>
                <w:szCs w:val="24"/>
                <w:u w:val="none"/>
                <w:lang w:val="en-US" w:eastAsia="zh-CN"/>
              </w:rPr>
              <w:t>45</w:t>
            </w:r>
            <w:r>
              <w:rPr>
                <w:sz w:val="24"/>
                <w:szCs w:val="24"/>
                <w:u w:val="none"/>
              </w:rPr>
              <w:t>kg/d（</w:t>
            </w:r>
            <w:r>
              <w:rPr>
                <w:rFonts w:hint="eastAsia"/>
                <w:sz w:val="24"/>
                <w:szCs w:val="24"/>
                <w:u w:val="none"/>
                <w:lang w:val="en-US" w:eastAsia="zh-CN"/>
              </w:rPr>
              <w:t>16.425</w:t>
            </w:r>
            <w:r>
              <w:rPr>
                <w:sz w:val="24"/>
                <w:szCs w:val="24"/>
                <w:u w:val="none"/>
              </w:rPr>
              <w:t>t/a）。</w:t>
            </w:r>
            <w:r>
              <w:rPr>
                <w:rFonts w:hint="eastAsia"/>
                <w:sz w:val="24"/>
                <w:szCs w:val="24"/>
                <w:u w:val="none"/>
                <w:lang w:val="en-US" w:eastAsia="zh-CN"/>
              </w:rPr>
              <w:t>项目设置医</w:t>
            </w:r>
            <w:r>
              <w:rPr>
                <w:rFonts w:hint="eastAsia" w:cs="宋体"/>
                <w:kern w:val="2"/>
                <w:sz w:val="24"/>
                <w:szCs w:val="24"/>
                <w:highlight w:val="none"/>
                <w:lang w:val="en-US" w:eastAsia="zh-CN" w:bidi="ar-SA"/>
              </w:rPr>
              <w:t>疗</w:t>
            </w:r>
            <w:r>
              <w:rPr>
                <w:rFonts w:hint="eastAsia"/>
                <w:sz w:val="24"/>
                <w:szCs w:val="24"/>
                <w:u w:val="none"/>
                <w:lang w:val="en-US" w:eastAsia="zh-CN"/>
              </w:rPr>
              <w:t>床位</w:t>
            </w:r>
            <w:r>
              <w:rPr>
                <w:rFonts w:hint="eastAsia"/>
                <w:sz w:val="24"/>
                <w:szCs w:val="24"/>
                <w:u w:val="none"/>
              </w:rPr>
              <w:t>共计</w:t>
            </w:r>
            <w:r>
              <w:rPr>
                <w:rFonts w:hint="eastAsia"/>
                <w:sz w:val="24"/>
                <w:szCs w:val="24"/>
                <w:u w:val="none"/>
                <w:lang w:val="en-US" w:eastAsia="zh-CN"/>
              </w:rPr>
              <w:t>1</w:t>
            </w:r>
            <w:r>
              <w:rPr>
                <w:rFonts w:hint="eastAsia"/>
                <w:sz w:val="24"/>
                <w:szCs w:val="24"/>
                <w:u w:val="none"/>
              </w:rPr>
              <w:t>00张，</w:t>
            </w:r>
            <w:r>
              <w:rPr>
                <w:rFonts w:hint="eastAsia"/>
                <w:sz w:val="24"/>
                <w:szCs w:val="24"/>
                <w:u w:val="none"/>
                <w:lang w:val="en-US" w:eastAsia="zh-CN"/>
              </w:rPr>
              <w:t>医</w:t>
            </w:r>
            <w:r>
              <w:rPr>
                <w:rFonts w:hint="eastAsia" w:cs="宋体"/>
                <w:kern w:val="2"/>
                <w:sz w:val="24"/>
                <w:szCs w:val="24"/>
                <w:highlight w:val="none"/>
                <w:lang w:val="en-US" w:eastAsia="zh-CN" w:bidi="ar-SA"/>
              </w:rPr>
              <w:t>疗</w:t>
            </w:r>
            <w:r>
              <w:rPr>
                <w:rFonts w:hint="eastAsia"/>
                <w:sz w:val="24"/>
                <w:szCs w:val="24"/>
                <w:u w:val="none"/>
              </w:rPr>
              <w:t>患者及陪护人员生活垃圾产生量按1.0kg/（床·d）计，0.</w:t>
            </w:r>
            <w:r>
              <w:rPr>
                <w:rFonts w:hint="eastAsia"/>
                <w:sz w:val="24"/>
                <w:szCs w:val="24"/>
                <w:u w:val="none"/>
                <w:lang w:val="en-US" w:eastAsia="zh-CN"/>
              </w:rPr>
              <w:t>1</w:t>
            </w:r>
            <w:r>
              <w:rPr>
                <w:rFonts w:hint="eastAsia"/>
                <w:sz w:val="24"/>
                <w:szCs w:val="24"/>
                <w:u w:val="none"/>
              </w:rPr>
              <w:t>t/d（73t/a），</w:t>
            </w:r>
            <w:r>
              <w:rPr>
                <w:rFonts w:hint="eastAsia"/>
                <w:sz w:val="24"/>
                <w:szCs w:val="24"/>
                <w:u w:val="none"/>
                <w:lang w:val="en-US" w:eastAsia="zh-CN"/>
              </w:rPr>
              <w:t>项目养老床位为400张，按负荷量为 100%计，普通养老床位生活垃圾产生量取0.6kg</w:t>
            </w:r>
            <w:r>
              <w:rPr>
                <w:rFonts w:hint="eastAsia"/>
                <w:sz w:val="24"/>
                <w:szCs w:val="24"/>
                <w:u w:val="none"/>
              </w:rPr>
              <w:t>kg/（床·d）计</w:t>
            </w:r>
            <w:r>
              <w:rPr>
                <w:rFonts w:hint="eastAsia"/>
                <w:sz w:val="24"/>
                <w:szCs w:val="24"/>
                <w:u w:val="none"/>
                <w:lang w:eastAsia="zh-CN"/>
              </w:rPr>
              <w:t>，</w:t>
            </w:r>
            <w:r>
              <w:rPr>
                <w:rFonts w:hint="eastAsia"/>
                <w:sz w:val="24"/>
                <w:szCs w:val="24"/>
                <w:u w:val="none"/>
                <w:lang w:val="en-US" w:eastAsia="zh-CN"/>
              </w:rPr>
              <w:t>养老人员生活垃圾产生量为240kg/d（87.6</w:t>
            </w:r>
            <w:r>
              <w:rPr>
                <w:rFonts w:hint="eastAsia"/>
                <w:sz w:val="24"/>
                <w:szCs w:val="24"/>
                <w:u w:val="none"/>
              </w:rPr>
              <w:t>t/a</w:t>
            </w:r>
            <w:r>
              <w:rPr>
                <w:rFonts w:hint="eastAsia"/>
                <w:sz w:val="24"/>
                <w:szCs w:val="24"/>
                <w:u w:val="none"/>
                <w:lang w:val="en-US" w:eastAsia="zh-CN"/>
              </w:rPr>
              <w:t>）；</w:t>
            </w:r>
            <w:r>
              <w:rPr>
                <w:rFonts w:hint="eastAsia"/>
                <w:sz w:val="24"/>
                <w:szCs w:val="24"/>
                <w:u w:val="none"/>
              </w:rPr>
              <w:t>生活垃圾</w:t>
            </w:r>
            <w:r>
              <w:rPr>
                <w:sz w:val="24"/>
                <w:szCs w:val="24"/>
                <w:u w:val="none"/>
              </w:rPr>
              <w:t>收集后委托环卫部门统</w:t>
            </w:r>
            <w:r>
              <w:rPr>
                <w:b/>
                <w:bCs/>
                <w:sz w:val="24"/>
                <w:szCs w:val="24"/>
                <w:u w:val="none"/>
              </w:rPr>
              <w:t>一</w:t>
            </w:r>
            <w:r>
              <w:rPr>
                <w:sz w:val="24"/>
                <w:szCs w:val="24"/>
                <w:u w:val="none"/>
              </w:rPr>
              <w:t>清运。</w:t>
            </w:r>
          </w:p>
          <w:p w14:paraId="7FF07EAB">
            <w:pPr>
              <w:tabs>
                <w:tab w:val="left" w:pos="2196"/>
              </w:tabs>
              <w:spacing w:line="360" w:lineRule="auto"/>
              <w:jc w:val="center"/>
              <w:rPr>
                <w:b/>
                <w:color w:val="000000"/>
                <w:sz w:val="24"/>
                <w:szCs w:val="24"/>
                <w:u w:val="none"/>
              </w:rPr>
            </w:pPr>
            <w:r>
              <w:rPr>
                <w:b/>
                <w:color w:val="000000"/>
                <w:sz w:val="24"/>
                <w:szCs w:val="24"/>
                <w:u w:val="none"/>
              </w:rPr>
              <w:t>表4-</w:t>
            </w:r>
            <w:r>
              <w:rPr>
                <w:rFonts w:hint="eastAsia"/>
                <w:b/>
                <w:color w:val="000000"/>
                <w:sz w:val="24"/>
                <w:szCs w:val="24"/>
                <w:u w:val="none"/>
              </w:rPr>
              <w:t>1</w:t>
            </w:r>
            <w:r>
              <w:rPr>
                <w:rFonts w:hint="eastAsia"/>
                <w:b/>
                <w:color w:val="000000"/>
                <w:sz w:val="24"/>
                <w:szCs w:val="24"/>
                <w:u w:val="none"/>
                <w:lang w:val="en-US" w:eastAsia="zh-CN"/>
              </w:rPr>
              <w:t>9</w:t>
            </w:r>
            <w:r>
              <w:rPr>
                <w:b/>
                <w:color w:val="000000"/>
                <w:sz w:val="24"/>
                <w:szCs w:val="24"/>
                <w:u w:val="none"/>
              </w:rPr>
              <w:t xml:space="preserve">  固体废物信息表  单位：t/a</w:t>
            </w:r>
          </w:p>
          <w:tbl>
            <w:tblPr>
              <w:tblStyle w:val="47"/>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20"/>
              <w:gridCol w:w="1022"/>
              <w:gridCol w:w="674"/>
              <w:gridCol w:w="1040"/>
              <w:gridCol w:w="1338"/>
              <w:gridCol w:w="752"/>
              <w:gridCol w:w="870"/>
              <w:gridCol w:w="909"/>
              <w:gridCol w:w="1159"/>
            </w:tblGrid>
            <w:tr w14:paraId="570025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520" w:type="dxa"/>
                  <w:vAlign w:val="center"/>
                </w:tcPr>
                <w:p w14:paraId="483866EC">
                  <w:pPr>
                    <w:pStyle w:val="115"/>
                    <w:adjustRightInd/>
                    <w:snapToGrid/>
                    <w:spacing w:beforeLines="0" w:line="240" w:lineRule="auto"/>
                    <w:rPr>
                      <w:rFonts w:ascii="Times New Roman" w:hAnsi="Times New Roman"/>
                      <w:b/>
                      <w:bCs/>
                      <w:szCs w:val="21"/>
                      <w:u w:val="single"/>
                    </w:rPr>
                  </w:pPr>
                  <w:r>
                    <w:rPr>
                      <w:rFonts w:ascii="Times New Roman" w:hAnsi="Times New Roman"/>
                      <w:b/>
                      <w:bCs/>
                      <w:szCs w:val="21"/>
                      <w:u w:val="single"/>
                    </w:rPr>
                    <w:t>序号</w:t>
                  </w:r>
                </w:p>
              </w:tc>
              <w:tc>
                <w:tcPr>
                  <w:tcW w:w="1022" w:type="dxa"/>
                  <w:vAlign w:val="center"/>
                </w:tcPr>
                <w:p w14:paraId="36D14EDE">
                  <w:pPr>
                    <w:pStyle w:val="115"/>
                    <w:adjustRightInd/>
                    <w:snapToGrid/>
                    <w:spacing w:beforeLines="0" w:line="240" w:lineRule="auto"/>
                    <w:rPr>
                      <w:rFonts w:ascii="Times New Roman" w:hAnsi="Times New Roman"/>
                      <w:b/>
                      <w:bCs/>
                      <w:szCs w:val="21"/>
                      <w:u w:val="single"/>
                    </w:rPr>
                  </w:pPr>
                  <w:r>
                    <w:rPr>
                      <w:rFonts w:ascii="Times New Roman" w:hAnsi="Times New Roman"/>
                      <w:b/>
                      <w:bCs/>
                      <w:szCs w:val="21"/>
                      <w:u w:val="single"/>
                    </w:rPr>
                    <w:t>固体废物名称</w:t>
                  </w:r>
                </w:p>
              </w:tc>
              <w:tc>
                <w:tcPr>
                  <w:tcW w:w="674" w:type="dxa"/>
                  <w:vAlign w:val="center"/>
                </w:tcPr>
                <w:p w14:paraId="16CB5A0A">
                  <w:pPr>
                    <w:pStyle w:val="115"/>
                    <w:adjustRightInd/>
                    <w:snapToGrid/>
                    <w:spacing w:beforeLines="0" w:line="240" w:lineRule="auto"/>
                    <w:rPr>
                      <w:rFonts w:ascii="Times New Roman" w:hAnsi="Times New Roman"/>
                      <w:b/>
                      <w:bCs/>
                      <w:szCs w:val="21"/>
                      <w:u w:val="single"/>
                    </w:rPr>
                  </w:pPr>
                  <w:r>
                    <w:rPr>
                      <w:rFonts w:ascii="Times New Roman" w:hAnsi="Times New Roman"/>
                      <w:b/>
                      <w:bCs/>
                      <w:szCs w:val="21"/>
                      <w:u w:val="single"/>
                    </w:rPr>
                    <w:t>属性</w:t>
                  </w:r>
                </w:p>
              </w:tc>
              <w:tc>
                <w:tcPr>
                  <w:tcW w:w="1040" w:type="dxa"/>
                  <w:vAlign w:val="center"/>
                </w:tcPr>
                <w:p w14:paraId="1249FEBD">
                  <w:pPr>
                    <w:pStyle w:val="115"/>
                    <w:adjustRightInd/>
                    <w:snapToGrid/>
                    <w:spacing w:beforeLines="0" w:line="240" w:lineRule="auto"/>
                    <w:rPr>
                      <w:rFonts w:ascii="Times New Roman" w:hAnsi="Times New Roman"/>
                      <w:b/>
                      <w:bCs/>
                      <w:szCs w:val="21"/>
                      <w:u w:val="single"/>
                    </w:rPr>
                  </w:pPr>
                  <w:r>
                    <w:rPr>
                      <w:rFonts w:hint="eastAsia" w:ascii="Times New Roman" w:hAnsi="Times New Roman"/>
                      <w:b/>
                      <w:bCs/>
                      <w:szCs w:val="21"/>
                      <w:u w:val="single"/>
                    </w:rPr>
                    <w:t>废物</w:t>
                  </w:r>
                  <w:r>
                    <w:rPr>
                      <w:rFonts w:ascii="Times New Roman" w:hAnsi="Times New Roman"/>
                      <w:b/>
                      <w:bCs/>
                      <w:szCs w:val="21"/>
                      <w:u w:val="single"/>
                    </w:rPr>
                    <w:t>类别</w:t>
                  </w:r>
                </w:p>
              </w:tc>
              <w:tc>
                <w:tcPr>
                  <w:tcW w:w="1338" w:type="dxa"/>
                  <w:vAlign w:val="center"/>
                </w:tcPr>
                <w:p w14:paraId="3BBE489D">
                  <w:pPr>
                    <w:pStyle w:val="115"/>
                    <w:adjustRightInd/>
                    <w:snapToGrid/>
                    <w:spacing w:beforeLines="0" w:line="240" w:lineRule="auto"/>
                    <w:rPr>
                      <w:rFonts w:ascii="Times New Roman" w:hAnsi="Times New Roman"/>
                      <w:b/>
                      <w:bCs/>
                      <w:szCs w:val="21"/>
                      <w:u w:val="single"/>
                    </w:rPr>
                  </w:pPr>
                  <w:r>
                    <w:rPr>
                      <w:rFonts w:ascii="Times New Roman" w:hAnsi="Times New Roman"/>
                      <w:b/>
                      <w:bCs/>
                      <w:szCs w:val="21"/>
                      <w:u w:val="single"/>
                    </w:rPr>
                    <w:t>固废代码</w:t>
                  </w:r>
                </w:p>
              </w:tc>
              <w:tc>
                <w:tcPr>
                  <w:tcW w:w="752" w:type="dxa"/>
                  <w:vAlign w:val="center"/>
                </w:tcPr>
                <w:p w14:paraId="0DF49278">
                  <w:pPr>
                    <w:pStyle w:val="115"/>
                    <w:adjustRightInd/>
                    <w:snapToGrid/>
                    <w:spacing w:beforeLines="0" w:line="240" w:lineRule="auto"/>
                    <w:rPr>
                      <w:rFonts w:ascii="Times New Roman" w:hAnsi="Times New Roman"/>
                      <w:b/>
                      <w:bCs/>
                      <w:szCs w:val="21"/>
                      <w:u w:val="single"/>
                    </w:rPr>
                  </w:pPr>
                  <w:r>
                    <w:rPr>
                      <w:rFonts w:ascii="Times New Roman" w:hAnsi="Times New Roman"/>
                      <w:b/>
                      <w:bCs/>
                      <w:szCs w:val="21"/>
                      <w:u w:val="single"/>
                    </w:rPr>
                    <w:t>物理</w:t>
                  </w:r>
                </w:p>
                <w:p w14:paraId="7AA3BA7D">
                  <w:pPr>
                    <w:pStyle w:val="115"/>
                    <w:adjustRightInd/>
                    <w:snapToGrid/>
                    <w:spacing w:beforeLines="0" w:line="240" w:lineRule="auto"/>
                    <w:rPr>
                      <w:rFonts w:ascii="Times New Roman" w:hAnsi="Times New Roman"/>
                      <w:b/>
                      <w:bCs/>
                      <w:szCs w:val="21"/>
                      <w:u w:val="single"/>
                    </w:rPr>
                  </w:pPr>
                  <w:r>
                    <w:rPr>
                      <w:rFonts w:ascii="Times New Roman" w:hAnsi="Times New Roman"/>
                      <w:b/>
                      <w:bCs/>
                      <w:szCs w:val="21"/>
                      <w:u w:val="single"/>
                    </w:rPr>
                    <w:t>性状</w:t>
                  </w:r>
                </w:p>
              </w:tc>
              <w:tc>
                <w:tcPr>
                  <w:tcW w:w="870" w:type="dxa"/>
                  <w:vAlign w:val="center"/>
                </w:tcPr>
                <w:p w14:paraId="763656C0">
                  <w:pPr>
                    <w:pStyle w:val="115"/>
                    <w:adjustRightInd/>
                    <w:snapToGrid/>
                    <w:spacing w:beforeLines="0" w:line="240" w:lineRule="auto"/>
                    <w:rPr>
                      <w:rFonts w:ascii="Times New Roman" w:hAnsi="Times New Roman"/>
                      <w:b/>
                      <w:bCs/>
                      <w:szCs w:val="21"/>
                      <w:u w:val="single"/>
                    </w:rPr>
                  </w:pPr>
                  <w:r>
                    <w:rPr>
                      <w:rFonts w:ascii="Times New Roman" w:hAnsi="Times New Roman"/>
                      <w:b/>
                      <w:bCs/>
                      <w:szCs w:val="21"/>
                      <w:u w:val="single"/>
                    </w:rPr>
                    <w:t>产生量</w:t>
                  </w:r>
                </w:p>
                <w:p w14:paraId="1DAB0202">
                  <w:pPr>
                    <w:pStyle w:val="115"/>
                    <w:adjustRightInd/>
                    <w:snapToGrid/>
                    <w:spacing w:beforeLines="0" w:line="240" w:lineRule="auto"/>
                    <w:rPr>
                      <w:rFonts w:ascii="Times New Roman" w:hAnsi="Times New Roman"/>
                      <w:b/>
                      <w:bCs/>
                      <w:szCs w:val="21"/>
                      <w:u w:val="single"/>
                    </w:rPr>
                  </w:pPr>
                  <w:r>
                    <w:rPr>
                      <w:rFonts w:hint="eastAsia" w:ascii="Times New Roman" w:hAnsi="Times New Roman"/>
                      <w:b/>
                      <w:bCs/>
                      <w:szCs w:val="21"/>
                      <w:u w:val="single"/>
                    </w:rPr>
                    <w:t>t/a</w:t>
                  </w:r>
                </w:p>
              </w:tc>
              <w:tc>
                <w:tcPr>
                  <w:tcW w:w="909" w:type="dxa"/>
                  <w:vAlign w:val="center"/>
                </w:tcPr>
                <w:p w14:paraId="4478BCC0">
                  <w:pPr>
                    <w:pStyle w:val="115"/>
                    <w:adjustRightInd/>
                    <w:snapToGrid/>
                    <w:spacing w:beforeLines="0" w:line="240" w:lineRule="auto"/>
                    <w:rPr>
                      <w:rFonts w:ascii="Times New Roman" w:hAnsi="Times New Roman"/>
                      <w:b/>
                      <w:bCs/>
                      <w:szCs w:val="21"/>
                      <w:u w:val="single"/>
                    </w:rPr>
                  </w:pPr>
                  <w:r>
                    <w:rPr>
                      <w:rFonts w:ascii="Times New Roman" w:hAnsi="Times New Roman"/>
                      <w:b/>
                      <w:bCs/>
                      <w:szCs w:val="21"/>
                      <w:u w:val="single"/>
                    </w:rPr>
                    <w:t>贮存</w:t>
                  </w:r>
                </w:p>
                <w:p w14:paraId="66EDEA2A">
                  <w:pPr>
                    <w:pStyle w:val="115"/>
                    <w:adjustRightInd/>
                    <w:snapToGrid/>
                    <w:spacing w:beforeLines="0" w:line="240" w:lineRule="auto"/>
                    <w:rPr>
                      <w:rFonts w:ascii="Times New Roman" w:hAnsi="Times New Roman"/>
                      <w:b/>
                      <w:bCs/>
                      <w:szCs w:val="21"/>
                      <w:u w:val="single"/>
                    </w:rPr>
                  </w:pPr>
                  <w:r>
                    <w:rPr>
                      <w:rFonts w:ascii="Times New Roman" w:hAnsi="Times New Roman"/>
                      <w:b/>
                      <w:bCs/>
                      <w:szCs w:val="21"/>
                      <w:u w:val="single"/>
                    </w:rPr>
                    <w:t>方式</w:t>
                  </w:r>
                </w:p>
              </w:tc>
              <w:tc>
                <w:tcPr>
                  <w:tcW w:w="1159" w:type="dxa"/>
                  <w:vAlign w:val="center"/>
                </w:tcPr>
                <w:p w14:paraId="503D33FC">
                  <w:pPr>
                    <w:pStyle w:val="115"/>
                    <w:adjustRightInd/>
                    <w:snapToGrid/>
                    <w:spacing w:beforeLines="0" w:line="240" w:lineRule="auto"/>
                    <w:rPr>
                      <w:rFonts w:ascii="Times New Roman" w:hAnsi="Times New Roman"/>
                      <w:b/>
                      <w:bCs/>
                      <w:szCs w:val="21"/>
                      <w:u w:val="single"/>
                    </w:rPr>
                  </w:pPr>
                  <w:r>
                    <w:rPr>
                      <w:rFonts w:ascii="Times New Roman" w:hAnsi="Times New Roman"/>
                      <w:b/>
                      <w:bCs/>
                      <w:szCs w:val="21"/>
                      <w:u w:val="single"/>
                    </w:rPr>
                    <w:t>利用处置方式</w:t>
                  </w:r>
                </w:p>
              </w:tc>
            </w:tr>
            <w:tr w14:paraId="6A6AC9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0" w:type="dxa"/>
                  <w:vAlign w:val="center"/>
                </w:tcPr>
                <w:p w14:paraId="3BABD9B3">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1</w:t>
                  </w:r>
                </w:p>
              </w:tc>
              <w:tc>
                <w:tcPr>
                  <w:tcW w:w="1022" w:type="dxa"/>
                  <w:vAlign w:val="center"/>
                </w:tcPr>
                <w:p w14:paraId="4ACB69F7">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医疗废物</w:t>
                  </w:r>
                </w:p>
              </w:tc>
              <w:tc>
                <w:tcPr>
                  <w:tcW w:w="674" w:type="dxa"/>
                  <w:vAlign w:val="center"/>
                </w:tcPr>
                <w:p w14:paraId="78ACFC92">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危险废物</w:t>
                  </w:r>
                </w:p>
              </w:tc>
              <w:tc>
                <w:tcPr>
                  <w:tcW w:w="1040" w:type="dxa"/>
                  <w:vAlign w:val="center"/>
                </w:tcPr>
                <w:p w14:paraId="1F62770F">
                  <w:pPr>
                    <w:ind w:left="-105" w:leftChars="-50" w:right="-105" w:rightChars="-50"/>
                    <w:jc w:val="center"/>
                    <w:rPr>
                      <w:szCs w:val="21"/>
                      <w:u w:val="single"/>
                    </w:rPr>
                  </w:pPr>
                  <w:r>
                    <w:rPr>
                      <w:szCs w:val="21"/>
                      <w:u w:val="single"/>
                    </w:rPr>
                    <w:t>HW01</w:t>
                  </w:r>
                </w:p>
              </w:tc>
              <w:tc>
                <w:tcPr>
                  <w:tcW w:w="1338" w:type="dxa"/>
                  <w:vAlign w:val="center"/>
                </w:tcPr>
                <w:p w14:paraId="1F7E4468">
                  <w:pPr>
                    <w:ind w:left="-105" w:leftChars="-50" w:right="-105" w:rightChars="-50"/>
                    <w:jc w:val="center"/>
                    <w:rPr>
                      <w:szCs w:val="21"/>
                      <w:u w:val="single"/>
                    </w:rPr>
                  </w:pPr>
                  <w:r>
                    <w:rPr>
                      <w:szCs w:val="21"/>
                      <w:u w:val="single"/>
                    </w:rPr>
                    <w:t>841-001-01</w:t>
                  </w:r>
                </w:p>
                <w:p w14:paraId="4A1307F9">
                  <w:pPr>
                    <w:ind w:left="-105" w:leftChars="-50" w:right="-105" w:rightChars="-50"/>
                    <w:jc w:val="center"/>
                    <w:rPr>
                      <w:szCs w:val="21"/>
                      <w:u w:val="single"/>
                    </w:rPr>
                  </w:pPr>
                  <w:r>
                    <w:rPr>
                      <w:szCs w:val="21"/>
                      <w:u w:val="single"/>
                    </w:rPr>
                    <w:t>841-002-01</w:t>
                  </w:r>
                </w:p>
                <w:p w14:paraId="5725AC27">
                  <w:pPr>
                    <w:ind w:left="-105" w:leftChars="-50" w:right="-105" w:rightChars="-50"/>
                    <w:jc w:val="center"/>
                    <w:rPr>
                      <w:szCs w:val="21"/>
                      <w:u w:val="single"/>
                    </w:rPr>
                  </w:pPr>
                  <w:r>
                    <w:rPr>
                      <w:rFonts w:hint="eastAsia"/>
                      <w:szCs w:val="21"/>
                      <w:u w:val="single"/>
                    </w:rPr>
                    <w:t>841-004-01</w:t>
                  </w:r>
                </w:p>
                <w:p w14:paraId="5B4A460F">
                  <w:pPr>
                    <w:ind w:left="-105" w:leftChars="-50" w:right="-105" w:rightChars="-50"/>
                    <w:jc w:val="center"/>
                    <w:rPr>
                      <w:szCs w:val="21"/>
                      <w:u w:val="single"/>
                    </w:rPr>
                  </w:pPr>
                  <w:r>
                    <w:rPr>
                      <w:szCs w:val="21"/>
                      <w:u w:val="single"/>
                    </w:rPr>
                    <w:t>841-005-01</w:t>
                  </w:r>
                </w:p>
              </w:tc>
              <w:tc>
                <w:tcPr>
                  <w:tcW w:w="752" w:type="dxa"/>
                  <w:vAlign w:val="center"/>
                </w:tcPr>
                <w:p w14:paraId="4B6E8AE2">
                  <w:pPr>
                    <w:pStyle w:val="115"/>
                    <w:adjustRightInd/>
                    <w:snapToGrid/>
                    <w:spacing w:beforeLines="0" w:line="240" w:lineRule="auto"/>
                    <w:rPr>
                      <w:rFonts w:ascii="Times New Roman" w:hAnsi="Times New Roman"/>
                      <w:szCs w:val="21"/>
                      <w:u w:val="single"/>
                    </w:rPr>
                  </w:pPr>
                  <w:r>
                    <w:rPr>
                      <w:rFonts w:ascii="Times New Roman" w:hAnsi="Times New Roman"/>
                      <w:szCs w:val="21"/>
                      <w:u w:val="single"/>
                    </w:rPr>
                    <w:t>固态</w:t>
                  </w:r>
                </w:p>
              </w:tc>
              <w:tc>
                <w:tcPr>
                  <w:tcW w:w="870" w:type="dxa"/>
                  <w:vAlign w:val="center"/>
                </w:tcPr>
                <w:p w14:paraId="6AD2ED58">
                  <w:pPr>
                    <w:pStyle w:val="115"/>
                    <w:adjustRightInd/>
                    <w:snapToGrid/>
                    <w:spacing w:beforeLines="0" w:line="240" w:lineRule="auto"/>
                    <w:rPr>
                      <w:rFonts w:hint="default" w:ascii="Times New Roman" w:hAnsi="Times New Roman" w:eastAsia="宋体"/>
                      <w:szCs w:val="21"/>
                      <w:u w:val="single"/>
                      <w:lang w:val="en-US" w:eastAsia="zh-CN"/>
                    </w:rPr>
                  </w:pPr>
                  <w:r>
                    <w:rPr>
                      <w:rFonts w:hint="eastAsia" w:ascii="Times New Roman" w:hAnsi="Times New Roman"/>
                      <w:szCs w:val="21"/>
                      <w:u w:val="single"/>
                      <w:lang w:val="en-US" w:eastAsia="zh-CN"/>
                    </w:rPr>
                    <w:t>15.33</w:t>
                  </w:r>
                </w:p>
              </w:tc>
              <w:tc>
                <w:tcPr>
                  <w:tcW w:w="909" w:type="dxa"/>
                  <w:vMerge w:val="restart"/>
                  <w:vAlign w:val="center"/>
                </w:tcPr>
                <w:p w14:paraId="38E842BA">
                  <w:pPr>
                    <w:pStyle w:val="115"/>
                    <w:adjustRightInd/>
                    <w:snapToGrid/>
                    <w:spacing w:beforeLines="0" w:line="240" w:lineRule="auto"/>
                    <w:rPr>
                      <w:rFonts w:ascii="Times New Roman" w:hAnsi="Times New Roman"/>
                      <w:szCs w:val="21"/>
                      <w:u w:val="single"/>
                    </w:rPr>
                  </w:pPr>
                  <w:r>
                    <w:rPr>
                      <w:rFonts w:ascii="Times New Roman" w:hAnsi="Times New Roman"/>
                      <w:szCs w:val="21"/>
                      <w:u w:val="single"/>
                    </w:rPr>
                    <w:t>医疗废物专用包装物和容器</w:t>
                  </w:r>
                </w:p>
              </w:tc>
              <w:tc>
                <w:tcPr>
                  <w:tcW w:w="1159" w:type="dxa"/>
                  <w:vMerge w:val="restart"/>
                  <w:vAlign w:val="center"/>
                </w:tcPr>
                <w:p w14:paraId="4154B9DA">
                  <w:pPr>
                    <w:pStyle w:val="115"/>
                    <w:spacing w:before="24" w:line="240" w:lineRule="auto"/>
                    <w:rPr>
                      <w:rFonts w:ascii="Times New Roman" w:hAnsi="Times New Roman"/>
                      <w:szCs w:val="21"/>
                      <w:u w:val="single"/>
                    </w:rPr>
                  </w:pPr>
                  <w:r>
                    <w:rPr>
                      <w:rFonts w:ascii="Times New Roman" w:hAnsi="Times New Roman"/>
                      <w:szCs w:val="21"/>
                      <w:u w:val="single"/>
                    </w:rPr>
                    <w:t>由</w:t>
                  </w:r>
                  <w:r>
                    <w:rPr>
                      <w:rFonts w:hint="eastAsia" w:ascii="Times New Roman" w:hAnsi="Times New Roman"/>
                      <w:szCs w:val="21"/>
                      <w:u w:val="single"/>
                      <w:lang w:val="en-US" w:eastAsia="zh-CN"/>
                    </w:rPr>
                    <w:t>资质单位</w:t>
                  </w:r>
                  <w:r>
                    <w:rPr>
                      <w:rFonts w:ascii="Times New Roman" w:hAnsi="Times New Roman"/>
                      <w:szCs w:val="21"/>
                      <w:u w:val="single"/>
                    </w:rPr>
                    <w:t>收集清运</w:t>
                  </w:r>
                </w:p>
              </w:tc>
            </w:tr>
            <w:tr w14:paraId="3CE4A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0" w:type="dxa"/>
                  <w:vAlign w:val="center"/>
                </w:tcPr>
                <w:p w14:paraId="1DC881EA">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2</w:t>
                  </w:r>
                </w:p>
              </w:tc>
              <w:tc>
                <w:tcPr>
                  <w:tcW w:w="1022" w:type="dxa"/>
                  <w:vAlign w:val="center"/>
                </w:tcPr>
                <w:p w14:paraId="302CB617">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污水处理淤泥</w:t>
                  </w:r>
                </w:p>
              </w:tc>
              <w:tc>
                <w:tcPr>
                  <w:tcW w:w="674" w:type="dxa"/>
                  <w:vAlign w:val="center"/>
                </w:tcPr>
                <w:p w14:paraId="3E526028">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危险废物</w:t>
                  </w:r>
                </w:p>
              </w:tc>
              <w:tc>
                <w:tcPr>
                  <w:tcW w:w="1040" w:type="dxa"/>
                  <w:vAlign w:val="center"/>
                </w:tcPr>
                <w:p w14:paraId="793FA32A">
                  <w:pPr>
                    <w:ind w:left="-105" w:leftChars="-50" w:right="-105" w:rightChars="-50"/>
                    <w:jc w:val="center"/>
                    <w:rPr>
                      <w:szCs w:val="21"/>
                      <w:u w:val="single"/>
                    </w:rPr>
                  </w:pPr>
                  <w:r>
                    <w:rPr>
                      <w:szCs w:val="21"/>
                      <w:u w:val="single"/>
                    </w:rPr>
                    <w:t>HW01</w:t>
                  </w:r>
                </w:p>
              </w:tc>
              <w:tc>
                <w:tcPr>
                  <w:tcW w:w="1338" w:type="dxa"/>
                  <w:vAlign w:val="center"/>
                </w:tcPr>
                <w:p w14:paraId="19636AC9">
                  <w:pPr>
                    <w:ind w:left="-105" w:leftChars="-50" w:right="-105" w:rightChars="-50"/>
                    <w:jc w:val="center"/>
                    <w:rPr>
                      <w:szCs w:val="21"/>
                      <w:u w:val="single"/>
                    </w:rPr>
                  </w:pPr>
                  <w:r>
                    <w:rPr>
                      <w:szCs w:val="21"/>
                      <w:u w:val="single"/>
                    </w:rPr>
                    <w:t>841-001-01</w:t>
                  </w:r>
                </w:p>
              </w:tc>
              <w:tc>
                <w:tcPr>
                  <w:tcW w:w="752" w:type="dxa"/>
                  <w:vAlign w:val="center"/>
                </w:tcPr>
                <w:p w14:paraId="1604637C">
                  <w:pPr>
                    <w:pStyle w:val="115"/>
                    <w:adjustRightInd/>
                    <w:snapToGrid/>
                    <w:spacing w:beforeLines="0" w:line="240" w:lineRule="auto"/>
                    <w:rPr>
                      <w:rFonts w:ascii="Times New Roman" w:hAnsi="Times New Roman"/>
                      <w:szCs w:val="21"/>
                      <w:u w:val="single"/>
                    </w:rPr>
                  </w:pPr>
                  <w:r>
                    <w:rPr>
                      <w:rFonts w:ascii="Times New Roman" w:hAnsi="Times New Roman"/>
                      <w:szCs w:val="21"/>
                      <w:u w:val="single"/>
                    </w:rPr>
                    <w:t>固态</w:t>
                  </w:r>
                </w:p>
              </w:tc>
              <w:tc>
                <w:tcPr>
                  <w:tcW w:w="870" w:type="dxa"/>
                  <w:vAlign w:val="center"/>
                </w:tcPr>
                <w:p w14:paraId="416943F2">
                  <w:pPr>
                    <w:pStyle w:val="115"/>
                    <w:adjustRightInd/>
                    <w:snapToGrid/>
                    <w:spacing w:beforeLines="0" w:line="240" w:lineRule="auto"/>
                    <w:rPr>
                      <w:rFonts w:hint="eastAsia" w:ascii="Times New Roman" w:hAnsi="Times New Roman" w:eastAsia="宋体"/>
                      <w:szCs w:val="21"/>
                      <w:u w:val="single"/>
                      <w:lang w:eastAsia="zh-CN"/>
                    </w:rPr>
                  </w:pPr>
                  <w:r>
                    <w:rPr>
                      <w:rFonts w:hint="eastAsia" w:ascii="Times New Roman" w:hAnsi="Times New Roman"/>
                      <w:szCs w:val="21"/>
                      <w:u w:val="single"/>
                    </w:rPr>
                    <w:t>1.1</w:t>
                  </w:r>
                  <w:r>
                    <w:rPr>
                      <w:rFonts w:hint="eastAsia" w:ascii="Times New Roman" w:hAnsi="Times New Roman"/>
                      <w:szCs w:val="21"/>
                      <w:u w:val="single"/>
                      <w:lang w:val="en-US" w:eastAsia="zh-CN"/>
                    </w:rPr>
                    <w:t>7</w:t>
                  </w:r>
                </w:p>
              </w:tc>
              <w:tc>
                <w:tcPr>
                  <w:tcW w:w="909" w:type="dxa"/>
                  <w:vMerge w:val="continue"/>
                  <w:vAlign w:val="center"/>
                </w:tcPr>
                <w:p w14:paraId="7E6061B8">
                  <w:pPr>
                    <w:pStyle w:val="115"/>
                    <w:spacing w:before="24" w:line="240" w:lineRule="auto"/>
                    <w:rPr>
                      <w:rFonts w:ascii="Times New Roman" w:hAnsi="Times New Roman"/>
                      <w:szCs w:val="21"/>
                      <w:u w:val="single"/>
                    </w:rPr>
                  </w:pPr>
                </w:p>
              </w:tc>
              <w:tc>
                <w:tcPr>
                  <w:tcW w:w="1159" w:type="dxa"/>
                  <w:vMerge w:val="continue"/>
                  <w:vAlign w:val="center"/>
                </w:tcPr>
                <w:p w14:paraId="5291C2A2">
                  <w:pPr>
                    <w:pStyle w:val="115"/>
                    <w:spacing w:before="24" w:line="240" w:lineRule="auto"/>
                    <w:rPr>
                      <w:rFonts w:ascii="Times New Roman" w:hAnsi="Times New Roman"/>
                      <w:szCs w:val="21"/>
                      <w:u w:val="single"/>
                    </w:rPr>
                  </w:pPr>
                </w:p>
              </w:tc>
            </w:tr>
            <w:tr w14:paraId="25696D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520" w:type="dxa"/>
                  <w:vAlign w:val="center"/>
                </w:tcPr>
                <w:p w14:paraId="2AA1B7DE">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3</w:t>
                  </w:r>
                </w:p>
              </w:tc>
              <w:tc>
                <w:tcPr>
                  <w:tcW w:w="1022" w:type="dxa"/>
                  <w:vAlign w:val="center"/>
                </w:tcPr>
                <w:p w14:paraId="4D7518F4">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未被污染输液瓶（袋）</w:t>
                  </w:r>
                </w:p>
              </w:tc>
              <w:tc>
                <w:tcPr>
                  <w:tcW w:w="674" w:type="dxa"/>
                  <w:vAlign w:val="center"/>
                </w:tcPr>
                <w:p w14:paraId="391D6572">
                  <w:pPr>
                    <w:pStyle w:val="115"/>
                    <w:adjustRightInd/>
                    <w:snapToGrid/>
                    <w:spacing w:beforeLines="0" w:line="240" w:lineRule="auto"/>
                    <w:rPr>
                      <w:rFonts w:ascii="Times New Roman" w:hAnsi="Times New Roman"/>
                      <w:szCs w:val="21"/>
                      <w:u w:val="single"/>
                    </w:rPr>
                  </w:pPr>
                  <w:r>
                    <w:rPr>
                      <w:rFonts w:ascii="Times New Roman" w:hAnsi="Times New Roman"/>
                      <w:szCs w:val="21"/>
                      <w:u w:val="single"/>
                    </w:rPr>
                    <w:t>一般固废</w:t>
                  </w:r>
                </w:p>
              </w:tc>
              <w:tc>
                <w:tcPr>
                  <w:tcW w:w="1040" w:type="dxa"/>
                  <w:vAlign w:val="center"/>
                </w:tcPr>
                <w:p w14:paraId="37C997DD">
                  <w:pPr>
                    <w:ind w:left="-105" w:leftChars="-50" w:right="-105" w:rightChars="-50"/>
                    <w:jc w:val="center"/>
                    <w:rPr>
                      <w:szCs w:val="21"/>
                      <w:highlight w:val="yellow"/>
                      <w:u w:val="single"/>
                    </w:rPr>
                  </w:pPr>
                  <w:r>
                    <w:rPr>
                      <w:rFonts w:hint="eastAsia"/>
                      <w:szCs w:val="21"/>
                      <w:u w:val="single"/>
                    </w:rPr>
                    <w:t>SW59</w:t>
                  </w:r>
                </w:p>
              </w:tc>
              <w:tc>
                <w:tcPr>
                  <w:tcW w:w="1338" w:type="dxa"/>
                  <w:vAlign w:val="center"/>
                </w:tcPr>
                <w:p w14:paraId="4BD3BDC5">
                  <w:pPr>
                    <w:ind w:left="-105" w:leftChars="-50" w:right="-105" w:rightChars="-50"/>
                    <w:jc w:val="center"/>
                    <w:rPr>
                      <w:szCs w:val="21"/>
                      <w:highlight w:val="yellow"/>
                      <w:u w:val="single"/>
                    </w:rPr>
                  </w:pPr>
                  <w:r>
                    <w:rPr>
                      <w:szCs w:val="21"/>
                      <w:u w:val="single"/>
                    </w:rPr>
                    <w:t>900-099-S59</w:t>
                  </w:r>
                </w:p>
              </w:tc>
              <w:tc>
                <w:tcPr>
                  <w:tcW w:w="752" w:type="dxa"/>
                  <w:vAlign w:val="center"/>
                </w:tcPr>
                <w:p w14:paraId="15240928">
                  <w:pPr>
                    <w:pStyle w:val="115"/>
                    <w:adjustRightInd/>
                    <w:snapToGrid/>
                    <w:spacing w:beforeLines="0" w:line="240" w:lineRule="auto"/>
                    <w:rPr>
                      <w:rFonts w:ascii="Times New Roman" w:hAnsi="Times New Roman"/>
                      <w:szCs w:val="21"/>
                      <w:u w:val="single"/>
                    </w:rPr>
                  </w:pPr>
                  <w:r>
                    <w:rPr>
                      <w:rFonts w:ascii="Times New Roman" w:hAnsi="Times New Roman"/>
                      <w:szCs w:val="21"/>
                      <w:u w:val="single"/>
                    </w:rPr>
                    <w:t>固态</w:t>
                  </w:r>
                </w:p>
              </w:tc>
              <w:tc>
                <w:tcPr>
                  <w:tcW w:w="870" w:type="dxa"/>
                  <w:vAlign w:val="center"/>
                </w:tcPr>
                <w:p w14:paraId="22800E29">
                  <w:pPr>
                    <w:pStyle w:val="115"/>
                    <w:adjustRightInd/>
                    <w:snapToGrid/>
                    <w:spacing w:beforeLines="0" w:line="240" w:lineRule="auto"/>
                    <w:rPr>
                      <w:rFonts w:hint="default" w:ascii="Times New Roman" w:hAnsi="Times New Roman" w:eastAsia="宋体"/>
                      <w:szCs w:val="21"/>
                      <w:highlight w:val="yellow"/>
                      <w:u w:val="single"/>
                      <w:lang w:val="en-US" w:eastAsia="zh-CN"/>
                    </w:rPr>
                  </w:pPr>
                  <w:r>
                    <w:rPr>
                      <w:rFonts w:hint="eastAsia" w:ascii="Times New Roman" w:hAnsi="Times New Roman"/>
                      <w:szCs w:val="21"/>
                      <w:u w:val="single"/>
                      <w:lang w:val="en-US" w:eastAsia="zh-CN"/>
                    </w:rPr>
                    <w:t>1.46</w:t>
                  </w:r>
                </w:p>
              </w:tc>
              <w:tc>
                <w:tcPr>
                  <w:tcW w:w="909" w:type="dxa"/>
                  <w:vMerge w:val="restart"/>
                  <w:vAlign w:val="center"/>
                </w:tcPr>
                <w:p w14:paraId="25AC1170">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一般</w:t>
                  </w:r>
                  <w:r>
                    <w:rPr>
                      <w:rFonts w:ascii="Times New Roman" w:hAnsi="Times New Roman"/>
                      <w:szCs w:val="21"/>
                      <w:u w:val="single"/>
                    </w:rPr>
                    <w:t>固废暂存间暂存</w:t>
                  </w:r>
                </w:p>
              </w:tc>
              <w:tc>
                <w:tcPr>
                  <w:tcW w:w="1159" w:type="dxa"/>
                  <w:vAlign w:val="center"/>
                </w:tcPr>
                <w:p w14:paraId="5525C7A8">
                  <w:pPr>
                    <w:pStyle w:val="115"/>
                    <w:spacing w:before="24" w:line="240" w:lineRule="auto"/>
                    <w:rPr>
                      <w:rFonts w:hint="eastAsia" w:ascii="Times New Roman" w:hAnsi="Times New Roman" w:eastAsia="宋体"/>
                      <w:szCs w:val="21"/>
                      <w:u w:val="single"/>
                      <w:lang w:val="en-US" w:eastAsia="zh-CN"/>
                    </w:rPr>
                  </w:pPr>
                  <w:r>
                    <w:rPr>
                      <w:rFonts w:hint="eastAsia" w:ascii="Times New Roman" w:hAnsi="Times New Roman"/>
                      <w:szCs w:val="21"/>
                      <w:u w:val="single"/>
                    </w:rPr>
                    <w:t>再生资源回收单位</w:t>
                  </w:r>
                  <w:r>
                    <w:rPr>
                      <w:rFonts w:hint="eastAsia" w:ascii="Times New Roman" w:hAnsi="Times New Roman"/>
                      <w:szCs w:val="21"/>
                      <w:u w:val="single"/>
                      <w:lang w:val="en-US" w:eastAsia="zh-CN"/>
                    </w:rPr>
                    <w:t>回收</w:t>
                  </w:r>
                </w:p>
              </w:tc>
            </w:tr>
            <w:tr w14:paraId="2A91C7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0" w:type="dxa"/>
                  <w:vAlign w:val="center"/>
                </w:tcPr>
                <w:p w14:paraId="5892BA59">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4</w:t>
                  </w:r>
                </w:p>
              </w:tc>
              <w:tc>
                <w:tcPr>
                  <w:tcW w:w="1022" w:type="dxa"/>
                  <w:vAlign w:val="center"/>
                </w:tcPr>
                <w:p w14:paraId="1003DBF3">
                  <w:pPr>
                    <w:pStyle w:val="115"/>
                    <w:adjustRightInd/>
                    <w:snapToGrid/>
                    <w:spacing w:beforeLines="0" w:line="240" w:lineRule="auto"/>
                    <w:ind w:left="-105" w:leftChars="-50" w:right="-105" w:rightChars="-50"/>
                    <w:rPr>
                      <w:rFonts w:ascii="Times New Roman" w:hAnsi="Times New Roman"/>
                      <w:szCs w:val="21"/>
                      <w:u w:val="single"/>
                    </w:rPr>
                  </w:pPr>
                  <w:r>
                    <w:rPr>
                      <w:rFonts w:hint="eastAsia" w:ascii="Times New Roman" w:hAnsi="Times New Roman"/>
                      <w:szCs w:val="21"/>
                      <w:u w:val="single"/>
                    </w:rPr>
                    <w:t>废包装物</w:t>
                  </w:r>
                </w:p>
              </w:tc>
              <w:tc>
                <w:tcPr>
                  <w:tcW w:w="674" w:type="dxa"/>
                  <w:vAlign w:val="center"/>
                </w:tcPr>
                <w:p w14:paraId="7F19B72A">
                  <w:pPr>
                    <w:pStyle w:val="115"/>
                    <w:adjustRightInd/>
                    <w:snapToGrid/>
                    <w:spacing w:beforeLines="0" w:line="240" w:lineRule="auto"/>
                    <w:ind w:left="-105" w:leftChars="-50" w:right="-105" w:rightChars="-50"/>
                    <w:rPr>
                      <w:rFonts w:ascii="Times New Roman" w:hAnsi="Times New Roman"/>
                      <w:szCs w:val="21"/>
                      <w:u w:val="single"/>
                    </w:rPr>
                  </w:pPr>
                  <w:r>
                    <w:rPr>
                      <w:rFonts w:ascii="Times New Roman" w:hAnsi="Times New Roman"/>
                      <w:szCs w:val="21"/>
                      <w:u w:val="single"/>
                    </w:rPr>
                    <w:t>一般</w:t>
                  </w:r>
                </w:p>
                <w:p w14:paraId="1894C7D0">
                  <w:pPr>
                    <w:pStyle w:val="115"/>
                    <w:adjustRightInd/>
                    <w:snapToGrid/>
                    <w:spacing w:beforeLines="0" w:line="240" w:lineRule="auto"/>
                    <w:ind w:left="-105" w:leftChars="-50" w:right="-105" w:rightChars="-50"/>
                    <w:rPr>
                      <w:rFonts w:ascii="Times New Roman" w:hAnsi="Times New Roman"/>
                      <w:szCs w:val="21"/>
                      <w:u w:val="single"/>
                    </w:rPr>
                  </w:pPr>
                  <w:r>
                    <w:rPr>
                      <w:rFonts w:ascii="Times New Roman" w:hAnsi="Times New Roman"/>
                      <w:szCs w:val="21"/>
                      <w:u w:val="single"/>
                    </w:rPr>
                    <w:t>固废</w:t>
                  </w:r>
                </w:p>
              </w:tc>
              <w:tc>
                <w:tcPr>
                  <w:tcW w:w="1040" w:type="dxa"/>
                  <w:vAlign w:val="center"/>
                </w:tcPr>
                <w:p w14:paraId="1EC22C4A">
                  <w:pPr>
                    <w:ind w:left="-105" w:leftChars="-50" w:right="-105" w:rightChars="-50"/>
                    <w:jc w:val="center"/>
                    <w:rPr>
                      <w:szCs w:val="21"/>
                      <w:highlight w:val="yellow"/>
                      <w:u w:val="single"/>
                    </w:rPr>
                  </w:pPr>
                  <w:r>
                    <w:rPr>
                      <w:rFonts w:hint="eastAsia"/>
                      <w:szCs w:val="21"/>
                      <w:u w:val="single"/>
                    </w:rPr>
                    <w:t>SW59</w:t>
                  </w:r>
                </w:p>
              </w:tc>
              <w:tc>
                <w:tcPr>
                  <w:tcW w:w="1338" w:type="dxa"/>
                  <w:vAlign w:val="center"/>
                </w:tcPr>
                <w:p w14:paraId="1A29CF6D">
                  <w:pPr>
                    <w:ind w:left="-105" w:leftChars="-50" w:right="-105" w:rightChars="-50"/>
                    <w:jc w:val="center"/>
                    <w:rPr>
                      <w:szCs w:val="21"/>
                      <w:u w:val="single"/>
                    </w:rPr>
                  </w:pPr>
                  <w:r>
                    <w:rPr>
                      <w:szCs w:val="21"/>
                      <w:u w:val="single"/>
                    </w:rPr>
                    <w:t>900-099-S59</w:t>
                  </w:r>
                </w:p>
              </w:tc>
              <w:tc>
                <w:tcPr>
                  <w:tcW w:w="752" w:type="dxa"/>
                  <w:vAlign w:val="center"/>
                </w:tcPr>
                <w:p w14:paraId="51075972">
                  <w:pPr>
                    <w:pStyle w:val="115"/>
                    <w:adjustRightInd/>
                    <w:snapToGrid/>
                    <w:spacing w:beforeLines="0" w:line="240" w:lineRule="auto"/>
                    <w:ind w:left="-105" w:leftChars="-50" w:right="-105" w:rightChars="-50"/>
                    <w:rPr>
                      <w:rFonts w:ascii="Times New Roman" w:hAnsi="Times New Roman"/>
                      <w:szCs w:val="21"/>
                      <w:u w:val="single"/>
                    </w:rPr>
                  </w:pPr>
                  <w:r>
                    <w:rPr>
                      <w:rFonts w:ascii="Times New Roman" w:hAnsi="Times New Roman"/>
                      <w:szCs w:val="21"/>
                      <w:u w:val="single"/>
                    </w:rPr>
                    <w:t>固态</w:t>
                  </w:r>
                </w:p>
              </w:tc>
              <w:tc>
                <w:tcPr>
                  <w:tcW w:w="870" w:type="dxa"/>
                  <w:vAlign w:val="center"/>
                </w:tcPr>
                <w:p w14:paraId="21FF43E1">
                  <w:pPr>
                    <w:pStyle w:val="115"/>
                    <w:adjustRightInd/>
                    <w:snapToGrid/>
                    <w:spacing w:beforeLines="0" w:line="240" w:lineRule="auto"/>
                    <w:ind w:left="-105" w:leftChars="-50" w:right="-105" w:rightChars="-50"/>
                    <w:rPr>
                      <w:rFonts w:hint="default" w:ascii="Times New Roman" w:hAnsi="Times New Roman" w:eastAsia="宋体"/>
                      <w:szCs w:val="21"/>
                      <w:highlight w:val="yellow"/>
                      <w:u w:val="single"/>
                      <w:lang w:val="en-US" w:eastAsia="zh-CN"/>
                    </w:rPr>
                  </w:pPr>
                  <w:r>
                    <w:rPr>
                      <w:rFonts w:hint="eastAsia" w:ascii="Times New Roman" w:hAnsi="Times New Roman"/>
                      <w:szCs w:val="21"/>
                      <w:u w:val="single"/>
                      <w:lang w:val="en-US" w:eastAsia="zh-CN"/>
                    </w:rPr>
                    <w:t>0.2</w:t>
                  </w:r>
                </w:p>
              </w:tc>
              <w:tc>
                <w:tcPr>
                  <w:tcW w:w="909" w:type="dxa"/>
                  <w:vMerge w:val="continue"/>
                  <w:vAlign w:val="center"/>
                </w:tcPr>
                <w:p w14:paraId="58DBE3EE">
                  <w:pPr>
                    <w:pStyle w:val="115"/>
                    <w:spacing w:before="24" w:line="240" w:lineRule="auto"/>
                    <w:rPr>
                      <w:rFonts w:ascii="Times New Roman" w:hAnsi="Times New Roman"/>
                      <w:szCs w:val="21"/>
                      <w:u w:val="single"/>
                    </w:rPr>
                  </w:pPr>
                </w:p>
              </w:tc>
              <w:tc>
                <w:tcPr>
                  <w:tcW w:w="1159" w:type="dxa"/>
                  <w:vAlign w:val="center"/>
                </w:tcPr>
                <w:p w14:paraId="06C40F76">
                  <w:pPr>
                    <w:pStyle w:val="115"/>
                    <w:spacing w:before="24" w:line="240" w:lineRule="auto"/>
                    <w:rPr>
                      <w:rFonts w:hint="eastAsia" w:ascii="Times New Roman" w:hAnsi="Times New Roman" w:eastAsia="宋体"/>
                      <w:szCs w:val="21"/>
                      <w:u w:val="single"/>
                      <w:lang w:val="en-US" w:eastAsia="zh-CN"/>
                    </w:rPr>
                  </w:pPr>
                  <w:r>
                    <w:rPr>
                      <w:rFonts w:hint="eastAsia" w:ascii="Times New Roman" w:hAnsi="Times New Roman"/>
                      <w:szCs w:val="21"/>
                      <w:u w:val="single"/>
                    </w:rPr>
                    <w:t>外售综合利用</w:t>
                  </w:r>
                  <w:r>
                    <w:rPr>
                      <w:rFonts w:hint="eastAsia" w:ascii="Times New Roman" w:hAnsi="Times New Roman"/>
                      <w:szCs w:val="21"/>
                      <w:u w:val="single"/>
                      <w:lang w:val="en-US" w:eastAsia="zh-CN"/>
                    </w:rPr>
                    <w:t>/</w:t>
                  </w:r>
                  <w:r>
                    <w:rPr>
                      <w:rFonts w:ascii="Times New Roman" w:hAnsi="Times New Roman"/>
                      <w:szCs w:val="21"/>
                      <w:u w:val="single"/>
                    </w:rPr>
                    <w:t>环卫部门清运</w:t>
                  </w:r>
                </w:p>
              </w:tc>
            </w:tr>
            <w:tr w14:paraId="5F6446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0" w:type="dxa"/>
                  <w:vAlign w:val="center"/>
                </w:tcPr>
                <w:p w14:paraId="36B39159">
                  <w:pPr>
                    <w:pStyle w:val="115"/>
                    <w:adjustRightInd/>
                    <w:snapToGrid/>
                    <w:spacing w:beforeLines="0" w:line="240" w:lineRule="auto"/>
                    <w:rPr>
                      <w:rFonts w:hint="eastAsia" w:ascii="Times New Roman" w:hAnsi="Times New Roman" w:eastAsia="宋体"/>
                      <w:szCs w:val="21"/>
                      <w:u w:val="single"/>
                      <w:lang w:val="en-US" w:eastAsia="zh-CN"/>
                    </w:rPr>
                  </w:pPr>
                  <w:r>
                    <w:rPr>
                      <w:rFonts w:hint="eastAsia" w:ascii="Times New Roman" w:hAnsi="Times New Roman"/>
                      <w:szCs w:val="21"/>
                      <w:u w:val="single"/>
                      <w:lang w:val="en-US" w:eastAsia="zh-CN"/>
                    </w:rPr>
                    <w:t>5</w:t>
                  </w:r>
                </w:p>
              </w:tc>
              <w:tc>
                <w:tcPr>
                  <w:tcW w:w="1022" w:type="dxa"/>
                  <w:vAlign w:val="center"/>
                </w:tcPr>
                <w:p w14:paraId="08C73064">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厨余垃圾（含隔油池产生的油脂）</w:t>
                  </w:r>
                </w:p>
              </w:tc>
              <w:tc>
                <w:tcPr>
                  <w:tcW w:w="674" w:type="dxa"/>
                  <w:vAlign w:val="center"/>
                </w:tcPr>
                <w:p w14:paraId="582D39BE">
                  <w:pPr>
                    <w:pStyle w:val="115"/>
                    <w:adjustRightInd/>
                    <w:snapToGrid/>
                    <w:spacing w:beforeLines="0" w:line="240" w:lineRule="auto"/>
                    <w:ind w:left="-105" w:leftChars="-50" w:right="-105" w:rightChars="-50"/>
                    <w:rPr>
                      <w:rFonts w:ascii="Times New Roman" w:hAnsi="Times New Roman"/>
                      <w:szCs w:val="21"/>
                      <w:u w:val="single"/>
                    </w:rPr>
                  </w:pPr>
                  <w:r>
                    <w:rPr>
                      <w:rFonts w:ascii="Times New Roman" w:hAnsi="Times New Roman"/>
                      <w:szCs w:val="21"/>
                      <w:u w:val="single"/>
                    </w:rPr>
                    <w:t>一般</w:t>
                  </w:r>
                </w:p>
                <w:p w14:paraId="2C1D467B">
                  <w:pPr>
                    <w:pStyle w:val="115"/>
                    <w:adjustRightInd/>
                    <w:snapToGrid/>
                    <w:spacing w:beforeLines="0" w:line="240" w:lineRule="auto"/>
                    <w:rPr>
                      <w:rFonts w:ascii="Times New Roman" w:hAnsi="Times New Roman"/>
                      <w:szCs w:val="21"/>
                      <w:u w:val="single"/>
                    </w:rPr>
                  </w:pPr>
                  <w:r>
                    <w:rPr>
                      <w:rFonts w:ascii="Times New Roman" w:hAnsi="Times New Roman"/>
                      <w:szCs w:val="21"/>
                      <w:u w:val="single"/>
                    </w:rPr>
                    <w:t>固废</w:t>
                  </w:r>
                </w:p>
              </w:tc>
              <w:tc>
                <w:tcPr>
                  <w:tcW w:w="1040" w:type="dxa"/>
                  <w:vAlign w:val="center"/>
                </w:tcPr>
                <w:p w14:paraId="6D97FE9D">
                  <w:pPr>
                    <w:pStyle w:val="115"/>
                    <w:adjustRightInd/>
                    <w:snapToGrid/>
                    <w:spacing w:beforeLines="0" w:line="240" w:lineRule="auto"/>
                    <w:rPr>
                      <w:rFonts w:hint="eastAsia" w:ascii="Times New Roman" w:hAnsi="Times New Roman"/>
                      <w:szCs w:val="21"/>
                      <w:u w:val="single"/>
                    </w:rPr>
                  </w:pPr>
                  <w:r>
                    <w:rPr>
                      <w:rFonts w:hint="eastAsia" w:ascii="Times New Roman" w:hAnsi="Times New Roman"/>
                      <w:szCs w:val="21"/>
                      <w:u w:val="single"/>
                    </w:rPr>
                    <w:t>SW61</w:t>
                  </w:r>
                </w:p>
              </w:tc>
              <w:tc>
                <w:tcPr>
                  <w:tcW w:w="1338" w:type="dxa"/>
                  <w:vAlign w:val="center"/>
                </w:tcPr>
                <w:p w14:paraId="3D849DEC">
                  <w:pPr>
                    <w:pStyle w:val="115"/>
                    <w:adjustRightInd/>
                    <w:snapToGrid/>
                    <w:spacing w:beforeLines="0" w:line="240" w:lineRule="auto"/>
                    <w:rPr>
                      <w:rFonts w:hint="eastAsia" w:ascii="Times New Roman" w:hAnsi="Times New Roman"/>
                      <w:szCs w:val="21"/>
                      <w:u w:val="single"/>
                    </w:rPr>
                  </w:pPr>
                  <w:r>
                    <w:rPr>
                      <w:rFonts w:hint="eastAsia" w:ascii="Times New Roman" w:hAnsi="Times New Roman"/>
                      <w:szCs w:val="21"/>
                      <w:u w:val="single"/>
                    </w:rPr>
                    <w:t>900-002-S61</w:t>
                  </w:r>
                </w:p>
              </w:tc>
              <w:tc>
                <w:tcPr>
                  <w:tcW w:w="752" w:type="dxa"/>
                  <w:vAlign w:val="center"/>
                </w:tcPr>
                <w:p w14:paraId="70ED3B4F">
                  <w:pPr>
                    <w:pStyle w:val="115"/>
                    <w:adjustRightInd/>
                    <w:snapToGrid/>
                    <w:spacing w:beforeLines="0" w:line="240" w:lineRule="auto"/>
                    <w:rPr>
                      <w:rFonts w:ascii="Times New Roman" w:hAnsi="Times New Roman"/>
                      <w:szCs w:val="21"/>
                      <w:u w:val="single"/>
                    </w:rPr>
                  </w:pPr>
                  <w:r>
                    <w:rPr>
                      <w:rFonts w:ascii="Times New Roman" w:hAnsi="Times New Roman"/>
                      <w:szCs w:val="21"/>
                      <w:u w:val="single"/>
                    </w:rPr>
                    <w:t>固态</w:t>
                  </w:r>
                </w:p>
              </w:tc>
              <w:tc>
                <w:tcPr>
                  <w:tcW w:w="870" w:type="dxa"/>
                  <w:vAlign w:val="center"/>
                </w:tcPr>
                <w:p w14:paraId="771997DB">
                  <w:pPr>
                    <w:pStyle w:val="115"/>
                    <w:adjustRightInd/>
                    <w:snapToGrid/>
                    <w:spacing w:beforeLines="0" w:line="240" w:lineRule="auto"/>
                    <w:rPr>
                      <w:rFonts w:hint="eastAsia" w:ascii="Times New Roman" w:hAnsi="Times New Roman"/>
                      <w:szCs w:val="21"/>
                      <w:u w:val="single"/>
                    </w:rPr>
                  </w:pPr>
                  <w:r>
                    <w:rPr>
                      <w:rFonts w:hint="eastAsia" w:ascii="Times New Roman" w:hAnsi="Times New Roman"/>
                      <w:szCs w:val="24"/>
                      <w:u w:val="single"/>
                      <w:lang w:val="en-US" w:eastAsia="zh-CN"/>
                    </w:rPr>
                    <w:t>40.141</w:t>
                  </w:r>
                </w:p>
              </w:tc>
              <w:tc>
                <w:tcPr>
                  <w:tcW w:w="909" w:type="dxa"/>
                  <w:shd w:val="clear" w:color="auto" w:fill="auto"/>
                  <w:vAlign w:val="center"/>
                </w:tcPr>
                <w:p w14:paraId="368F5B05">
                  <w:pPr>
                    <w:pStyle w:val="115"/>
                    <w:adjustRightInd/>
                    <w:snapToGrid/>
                    <w:spacing w:beforeLines="0" w:line="240" w:lineRule="auto"/>
                    <w:rPr>
                      <w:rFonts w:ascii="Times New Roman" w:hAnsi="Times New Roman" w:eastAsia="宋体" w:cs="Times New Roman"/>
                      <w:kern w:val="2"/>
                      <w:sz w:val="21"/>
                      <w:szCs w:val="21"/>
                      <w:u w:val="single"/>
                      <w:lang w:val="en-US" w:eastAsia="zh-CN" w:bidi="ar-SA"/>
                    </w:rPr>
                  </w:pPr>
                  <w:r>
                    <w:rPr>
                      <w:rFonts w:hint="eastAsia" w:ascii="Times New Roman" w:hAnsi="Times New Roman"/>
                      <w:szCs w:val="21"/>
                      <w:u w:val="single"/>
                      <w:lang w:val="en-US" w:eastAsia="zh-CN"/>
                    </w:rPr>
                    <w:t>带盖塑料</w:t>
                  </w:r>
                  <w:r>
                    <w:rPr>
                      <w:rFonts w:ascii="Times New Roman" w:hAnsi="Times New Roman"/>
                      <w:szCs w:val="21"/>
                      <w:u w:val="single"/>
                    </w:rPr>
                    <w:t>桶收集</w:t>
                  </w:r>
                </w:p>
              </w:tc>
              <w:tc>
                <w:tcPr>
                  <w:tcW w:w="1159" w:type="dxa"/>
                  <w:vAlign w:val="center"/>
                </w:tcPr>
                <w:p w14:paraId="324B4634">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委托有厨余垃圾资质的单位处理</w:t>
                  </w:r>
                </w:p>
              </w:tc>
            </w:tr>
            <w:tr w14:paraId="515D6D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0" w:type="dxa"/>
                  <w:vAlign w:val="center"/>
                </w:tcPr>
                <w:p w14:paraId="35ACF9EC">
                  <w:pPr>
                    <w:pStyle w:val="115"/>
                    <w:adjustRightInd/>
                    <w:snapToGrid/>
                    <w:spacing w:beforeLines="0" w:line="240" w:lineRule="auto"/>
                    <w:rPr>
                      <w:rFonts w:hint="eastAsia" w:ascii="Times New Roman" w:hAnsi="Times New Roman" w:eastAsia="宋体"/>
                      <w:szCs w:val="21"/>
                      <w:u w:val="single"/>
                      <w:lang w:eastAsia="zh-CN"/>
                    </w:rPr>
                  </w:pPr>
                  <w:r>
                    <w:rPr>
                      <w:rFonts w:hint="eastAsia" w:ascii="Times New Roman" w:hAnsi="Times New Roman"/>
                      <w:szCs w:val="21"/>
                      <w:u w:val="single"/>
                      <w:lang w:val="en-US" w:eastAsia="zh-CN"/>
                    </w:rPr>
                    <w:t>6</w:t>
                  </w:r>
                </w:p>
              </w:tc>
              <w:tc>
                <w:tcPr>
                  <w:tcW w:w="1022" w:type="dxa"/>
                  <w:vAlign w:val="center"/>
                </w:tcPr>
                <w:p w14:paraId="47FC92A6">
                  <w:pPr>
                    <w:pStyle w:val="115"/>
                    <w:adjustRightInd/>
                    <w:snapToGrid/>
                    <w:spacing w:beforeLines="0" w:line="240" w:lineRule="auto"/>
                    <w:rPr>
                      <w:rFonts w:ascii="Times New Roman" w:hAnsi="Times New Roman"/>
                      <w:szCs w:val="21"/>
                      <w:u w:val="single"/>
                    </w:rPr>
                  </w:pPr>
                  <w:r>
                    <w:rPr>
                      <w:rFonts w:ascii="Times New Roman" w:hAnsi="Times New Roman"/>
                      <w:szCs w:val="21"/>
                      <w:u w:val="single"/>
                    </w:rPr>
                    <w:t>生活垃圾</w:t>
                  </w:r>
                </w:p>
              </w:tc>
              <w:tc>
                <w:tcPr>
                  <w:tcW w:w="674" w:type="dxa"/>
                  <w:vAlign w:val="center"/>
                </w:tcPr>
                <w:p w14:paraId="3F92C1D2">
                  <w:pPr>
                    <w:pStyle w:val="115"/>
                    <w:adjustRightInd/>
                    <w:snapToGrid/>
                    <w:spacing w:beforeLines="0" w:line="240" w:lineRule="auto"/>
                    <w:rPr>
                      <w:rFonts w:ascii="Times New Roman" w:hAnsi="Times New Roman"/>
                      <w:szCs w:val="21"/>
                      <w:u w:val="single"/>
                    </w:rPr>
                  </w:pPr>
                  <w:r>
                    <w:rPr>
                      <w:rFonts w:ascii="Times New Roman" w:hAnsi="Times New Roman"/>
                      <w:szCs w:val="21"/>
                      <w:u w:val="single"/>
                    </w:rPr>
                    <w:t>一般固废</w:t>
                  </w:r>
                </w:p>
              </w:tc>
              <w:tc>
                <w:tcPr>
                  <w:tcW w:w="1040" w:type="dxa"/>
                  <w:vAlign w:val="center"/>
                </w:tcPr>
                <w:p w14:paraId="7C22751E">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SW64</w:t>
                  </w:r>
                </w:p>
              </w:tc>
              <w:tc>
                <w:tcPr>
                  <w:tcW w:w="1338" w:type="dxa"/>
                  <w:vAlign w:val="center"/>
                </w:tcPr>
                <w:p w14:paraId="50F40C50">
                  <w:pPr>
                    <w:pStyle w:val="115"/>
                    <w:adjustRightInd/>
                    <w:snapToGrid/>
                    <w:spacing w:beforeLines="0" w:line="240" w:lineRule="auto"/>
                    <w:rPr>
                      <w:rFonts w:ascii="Times New Roman" w:hAnsi="Times New Roman"/>
                      <w:szCs w:val="21"/>
                      <w:u w:val="single"/>
                    </w:rPr>
                  </w:pPr>
                  <w:r>
                    <w:rPr>
                      <w:rFonts w:hint="eastAsia" w:ascii="Times New Roman" w:hAnsi="Times New Roman"/>
                      <w:szCs w:val="21"/>
                      <w:u w:val="single"/>
                    </w:rPr>
                    <w:t>900-099-S64</w:t>
                  </w:r>
                </w:p>
              </w:tc>
              <w:tc>
                <w:tcPr>
                  <w:tcW w:w="752" w:type="dxa"/>
                  <w:vAlign w:val="center"/>
                </w:tcPr>
                <w:p w14:paraId="3D894230">
                  <w:pPr>
                    <w:pStyle w:val="115"/>
                    <w:adjustRightInd/>
                    <w:snapToGrid/>
                    <w:spacing w:beforeLines="0" w:line="240" w:lineRule="auto"/>
                    <w:rPr>
                      <w:rFonts w:ascii="Times New Roman" w:hAnsi="Times New Roman"/>
                      <w:szCs w:val="21"/>
                      <w:u w:val="single"/>
                    </w:rPr>
                  </w:pPr>
                  <w:r>
                    <w:rPr>
                      <w:rFonts w:ascii="Times New Roman" w:hAnsi="Times New Roman"/>
                      <w:szCs w:val="21"/>
                      <w:u w:val="single"/>
                    </w:rPr>
                    <w:t>固态</w:t>
                  </w:r>
                </w:p>
              </w:tc>
              <w:tc>
                <w:tcPr>
                  <w:tcW w:w="870" w:type="dxa"/>
                  <w:vAlign w:val="center"/>
                </w:tcPr>
                <w:p w14:paraId="55BCFF35">
                  <w:pPr>
                    <w:pStyle w:val="115"/>
                    <w:adjustRightInd/>
                    <w:snapToGrid/>
                    <w:spacing w:beforeLines="0" w:line="240" w:lineRule="auto"/>
                    <w:rPr>
                      <w:rFonts w:hint="default" w:ascii="Times New Roman" w:hAnsi="Times New Roman" w:eastAsia="宋体"/>
                      <w:szCs w:val="21"/>
                      <w:u w:val="single"/>
                      <w:lang w:val="en-US" w:eastAsia="zh-CN"/>
                    </w:rPr>
                  </w:pPr>
                  <w:r>
                    <w:rPr>
                      <w:rFonts w:hint="eastAsia" w:ascii="Times New Roman" w:hAnsi="Times New Roman"/>
                      <w:szCs w:val="21"/>
                      <w:u w:val="single"/>
                      <w:lang w:val="en-US" w:eastAsia="zh-CN"/>
                    </w:rPr>
                    <w:t>177.025</w:t>
                  </w:r>
                </w:p>
              </w:tc>
              <w:tc>
                <w:tcPr>
                  <w:tcW w:w="909" w:type="dxa"/>
                  <w:vAlign w:val="center"/>
                </w:tcPr>
                <w:p w14:paraId="4E9770F1">
                  <w:pPr>
                    <w:pStyle w:val="115"/>
                    <w:adjustRightInd/>
                    <w:snapToGrid/>
                    <w:spacing w:beforeLines="0" w:line="240" w:lineRule="auto"/>
                    <w:rPr>
                      <w:rFonts w:ascii="Times New Roman" w:hAnsi="Times New Roman"/>
                      <w:szCs w:val="21"/>
                      <w:u w:val="single"/>
                    </w:rPr>
                  </w:pPr>
                  <w:r>
                    <w:rPr>
                      <w:rFonts w:ascii="Times New Roman" w:hAnsi="Times New Roman"/>
                      <w:szCs w:val="21"/>
                      <w:u w:val="single"/>
                    </w:rPr>
                    <w:t>垃圾桶收集</w:t>
                  </w:r>
                </w:p>
              </w:tc>
              <w:tc>
                <w:tcPr>
                  <w:tcW w:w="1159" w:type="dxa"/>
                  <w:shd w:val="clear" w:color="auto" w:fill="auto"/>
                  <w:vAlign w:val="center"/>
                </w:tcPr>
                <w:p w14:paraId="22D49B7A">
                  <w:pPr>
                    <w:pStyle w:val="115"/>
                    <w:adjustRightInd/>
                    <w:snapToGrid/>
                    <w:spacing w:beforeLines="0" w:line="240" w:lineRule="auto"/>
                    <w:rPr>
                      <w:rFonts w:ascii="Times New Roman" w:hAnsi="Times New Roman" w:eastAsia="宋体" w:cs="Times New Roman"/>
                      <w:kern w:val="2"/>
                      <w:sz w:val="21"/>
                      <w:szCs w:val="21"/>
                      <w:u w:val="single"/>
                      <w:lang w:val="en-US" w:eastAsia="zh-CN" w:bidi="ar-SA"/>
                    </w:rPr>
                  </w:pPr>
                  <w:r>
                    <w:rPr>
                      <w:rFonts w:ascii="Times New Roman" w:hAnsi="Times New Roman"/>
                      <w:szCs w:val="21"/>
                      <w:u w:val="single"/>
                    </w:rPr>
                    <w:t>环卫部门清运</w:t>
                  </w:r>
                </w:p>
              </w:tc>
            </w:tr>
          </w:tbl>
          <w:p w14:paraId="084109C7">
            <w:pPr>
              <w:widowControl/>
              <w:spacing w:line="360" w:lineRule="auto"/>
              <w:ind w:firstLine="482" w:firstLineChars="200"/>
              <w:rPr>
                <w:b/>
                <w:bCs/>
                <w:color w:val="000000"/>
                <w:sz w:val="24"/>
                <w:szCs w:val="24"/>
              </w:rPr>
            </w:pPr>
            <w:r>
              <w:rPr>
                <w:b/>
                <w:bCs/>
                <w:color w:val="000000"/>
                <w:sz w:val="24"/>
                <w:szCs w:val="24"/>
              </w:rPr>
              <w:t>环境管理要求</w:t>
            </w:r>
          </w:p>
          <w:p w14:paraId="4220D050">
            <w:pPr>
              <w:widowControl/>
              <w:spacing w:line="360" w:lineRule="auto"/>
              <w:ind w:firstLine="482" w:firstLineChars="200"/>
              <w:rPr>
                <w:color w:val="000000"/>
                <w:sz w:val="24"/>
                <w:szCs w:val="24"/>
              </w:rPr>
            </w:pPr>
            <w:r>
              <w:rPr>
                <w:b/>
                <w:bCs/>
                <w:color w:val="000000"/>
                <w:sz w:val="24"/>
                <w:szCs w:val="24"/>
              </w:rPr>
              <w:t>（1）一般固体废弃物</w:t>
            </w:r>
          </w:p>
          <w:p w14:paraId="7FE46FAA">
            <w:pPr>
              <w:widowControl/>
              <w:spacing w:line="360" w:lineRule="auto"/>
              <w:ind w:firstLine="480" w:firstLineChars="200"/>
              <w:rPr>
                <w:color w:val="000000"/>
                <w:sz w:val="24"/>
                <w:szCs w:val="24"/>
              </w:rPr>
            </w:pPr>
            <w:r>
              <w:rPr>
                <w:color w:val="000000"/>
                <w:sz w:val="24"/>
                <w:szCs w:val="24"/>
              </w:rPr>
              <w:t>建设单位应按照《一般工业固体废物贮存和填埋污染控制标准》（GB18599-2020）的相关要求建立固体废物临时的堆放场地，不得随处堆放。临时堆放的地面与裙角要用</w:t>
            </w:r>
            <w:r>
              <w:rPr>
                <w:rFonts w:hint="eastAsia"/>
                <w:color w:val="000000"/>
                <w:sz w:val="24"/>
                <w:szCs w:val="24"/>
              </w:rPr>
              <w:t>坚固</w:t>
            </w:r>
            <w:r>
              <w:rPr>
                <w:color w:val="000000"/>
                <w:sz w:val="24"/>
                <w:szCs w:val="24"/>
              </w:rPr>
              <w:t>、防渗的建筑材料建造，基础必须防渗，应设计建造径流疏导系统，保证能防止暴雨不会流到临时堆放的场所。临时堆放场所要防风、防雨、防晒，</w:t>
            </w:r>
            <w:r>
              <w:rPr>
                <w:rFonts w:hint="eastAsia"/>
                <w:color w:val="000000"/>
                <w:sz w:val="24"/>
                <w:szCs w:val="24"/>
                <w:lang w:eastAsia="zh-CN"/>
              </w:rPr>
              <w:t>设施周围</w:t>
            </w:r>
            <w:r>
              <w:rPr>
                <w:color w:val="000000"/>
                <w:sz w:val="24"/>
                <w:szCs w:val="24"/>
              </w:rPr>
              <w:t>应设置围墙并做好密闭处理，禁止危险废物及生活垃圾混入。</w:t>
            </w:r>
          </w:p>
          <w:p w14:paraId="799CCE75">
            <w:pPr>
              <w:widowControl/>
              <w:spacing w:line="360" w:lineRule="auto"/>
              <w:ind w:firstLine="480" w:firstLineChars="200"/>
              <w:rPr>
                <w:color w:val="000000"/>
                <w:sz w:val="24"/>
                <w:szCs w:val="24"/>
              </w:rPr>
            </w:pPr>
            <w:r>
              <w:rPr>
                <w:color w:val="000000"/>
                <w:sz w:val="24"/>
                <w:szCs w:val="24"/>
              </w:rPr>
              <w:t>项目正式投入生产后建设单位应对项目产生的固体废物进行台账记录，主要要求如下：</w:t>
            </w:r>
          </w:p>
          <w:p w14:paraId="0FA94888">
            <w:pPr>
              <w:widowControl/>
              <w:spacing w:line="360" w:lineRule="auto"/>
              <w:ind w:firstLine="480" w:firstLineChars="200"/>
              <w:rPr>
                <w:rFonts w:hint="eastAsia" w:ascii="宋体" w:hAnsi="宋体"/>
                <w:color w:val="000000"/>
                <w:sz w:val="24"/>
                <w:szCs w:val="24"/>
              </w:rPr>
            </w:pPr>
            <w:r>
              <w:rPr>
                <w:rFonts w:ascii="宋体" w:hAnsi="宋体"/>
                <w:color w:val="000000"/>
                <w:sz w:val="24"/>
                <w:szCs w:val="24"/>
              </w:rPr>
              <w:t>①固体废物管理台账实施分级管理，固体废物的基础信息及流向信息属于必填信息，</w:t>
            </w:r>
          </w:p>
          <w:p w14:paraId="6C503DC7">
            <w:pPr>
              <w:widowControl/>
              <w:spacing w:line="360" w:lineRule="auto"/>
              <w:ind w:firstLine="480" w:firstLineChars="200"/>
              <w:rPr>
                <w:color w:val="000000"/>
                <w:sz w:val="24"/>
                <w:szCs w:val="24"/>
              </w:rPr>
            </w:pPr>
            <w:r>
              <w:rPr>
                <w:color w:val="000000"/>
                <w:sz w:val="24"/>
                <w:szCs w:val="24"/>
              </w:rPr>
              <w:t>固体废物产生、贮存以及自行利用处置的详细信息属于选填信息；</w:t>
            </w:r>
          </w:p>
          <w:p w14:paraId="5D5EFA38">
            <w:pPr>
              <w:widowControl/>
              <w:spacing w:line="360" w:lineRule="auto"/>
              <w:ind w:firstLine="480" w:firstLineChars="200"/>
              <w:rPr>
                <w:rFonts w:hint="eastAsia" w:ascii="宋体" w:hAnsi="宋体"/>
                <w:color w:val="000000"/>
                <w:sz w:val="24"/>
                <w:szCs w:val="24"/>
              </w:rPr>
            </w:pPr>
            <w:r>
              <w:rPr>
                <w:rFonts w:ascii="宋体" w:hAnsi="宋体"/>
                <w:color w:val="000000"/>
                <w:sz w:val="24"/>
                <w:szCs w:val="24"/>
              </w:rPr>
              <w:t>②应当结合环境影响评价、排污许可证等材料，根据实际生产运营情况填写固体废物产生信息；按月填写记录固体废物的产生、贮存、利用、处置数量等信息；按批次填写每一批次固体废物的出厂以及流向信息，均必须根据实际情况如实记录；</w:t>
            </w:r>
          </w:p>
          <w:p w14:paraId="1FB22B29">
            <w:pPr>
              <w:widowControl/>
              <w:spacing w:line="360" w:lineRule="auto"/>
              <w:ind w:firstLine="480" w:firstLineChars="200"/>
              <w:rPr>
                <w:rFonts w:hint="eastAsia" w:ascii="宋体" w:hAnsi="宋体"/>
                <w:color w:val="000000"/>
                <w:sz w:val="24"/>
                <w:szCs w:val="24"/>
              </w:rPr>
            </w:pPr>
            <w:r>
              <w:rPr>
                <w:rFonts w:ascii="宋体" w:hAnsi="宋体"/>
                <w:color w:val="000000"/>
                <w:sz w:val="24"/>
                <w:szCs w:val="24"/>
              </w:rPr>
              <w:t>③固废产生、贮存、自行利用、处置环节记录表应及时填写，确保每一批次的固体废物来源信息与流向信息、数量信息与人员信息</w:t>
            </w:r>
            <w:r>
              <w:rPr>
                <w:rFonts w:hint="eastAsia" w:ascii="宋体" w:hAnsi="宋体"/>
                <w:color w:val="000000"/>
                <w:sz w:val="24"/>
                <w:szCs w:val="24"/>
              </w:rPr>
              <w:t>一一</w:t>
            </w:r>
            <w:r>
              <w:rPr>
                <w:rFonts w:ascii="宋体" w:hAnsi="宋体"/>
                <w:color w:val="000000"/>
                <w:sz w:val="24"/>
                <w:szCs w:val="24"/>
              </w:rPr>
              <w:t>对应。对于批次产生的固体废物应按次填写，对于连续产生的固体废物应按日填写；</w:t>
            </w:r>
          </w:p>
          <w:p w14:paraId="112E7E31">
            <w:pPr>
              <w:widowControl/>
              <w:spacing w:line="360" w:lineRule="auto"/>
              <w:ind w:firstLine="480" w:firstLineChars="200"/>
              <w:rPr>
                <w:rFonts w:hint="eastAsia" w:ascii="宋体" w:hAnsi="宋体"/>
                <w:color w:val="000000"/>
                <w:sz w:val="24"/>
                <w:szCs w:val="24"/>
              </w:rPr>
            </w:pPr>
            <w:r>
              <w:rPr>
                <w:rFonts w:ascii="宋体" w:hAnsi="宋体"/>
                <w:color w:val="000000"/>
                <w:sz w:val="24"/>
                <w:szCs w:val="24"/>
              </w:rPr>
              <w:t>④产废单位应当结合自身固体废物产生实际情况，从固废分类表中选择对应的固体废物类别和代码填写台账记录表；</w:t>
            </w:r>
          </w:p>
          <w:p w14:paraId="3FABDD6A">
            <w:pPr>
              <w:widowControl/>
              <w:spacing w:line="360" w:lineRule="auto"/>
              <w:ind w:firstLine="480" w:firstLineChars="200"/>
              <w:rPr>
                <w:color w:val="000000"/>
                <w:sz w:val="24"/>
                <w:szCs w:val="24"/>
              </w:rPr>
            </w:pPr>
            <w:r>
              <w:rPr>
                <w:rFonts w:ascii="宋体" w:hAnsi="宋体"/>
                <w:color w:val="000000"/>
                <w:sz w:val="24"/>
                <w:szCs w:val="24"/>
              </w:rPr>
              <w:t>⑤固体废</w:t>
            </w:r>
            <w:r>
              <w:rPr>
                <w:color w:val="000000"/>
                <w:sz w:val="24"/>
                <w:szCs w:val="24"/>
              </w:rPr>
              <w:t>物管理台账应由专人管理，防止遗失。固体废物管理台账保存期限不少于5年；</w:t>
            </w:r>
          </w:p>
          <w:p w14:paraId="3F5A0D84">
            <w:pPr>
              <w:widowControl/>
              <w:spacing w:line="360" w:lineRule="auto"/>
              <w:ind w:firstLine="480" w:firstLineChars="200"/>
              <w:rPr>
                <w:rFonts w:hint="eastAsia" w:ascii="宋体" w:hAnsi="宋体"/>
                <w:color w:val="000000"/>
                <w:sz w:val="24"/>
                <w:szCs w:val="24"/>
              </w:rPr>
            </w:pPr>
            <w:r>
              <w:rPr>
                <w:rFonts w:ascii="宋体" w:hAnsi="宋体"/>
                <w:color w:val="000000"/>
                <w:sz w:val="24"/>
                <w:szCs w:val="24"/>
              </w:rPr>
              <w:t>⑥鼓励有条件的产废单位在固体废物产生场所、贮存场所等关键点位设置视频监控，提升台账记录信息的准确性；</w:t>
            </w:r>
          </w:p>
          <w:p w14:paraId="7CC54AE7">
            <w:pPr>
              <w:widowControl/>
              <w:spacing w:line="360" w:lineRule="auto"/>
              <w:ind w:firstLine="480" w:firstLineChars="200"/>
              <w:rPr>
                <w:color w:val="000000"/>
                <w:sz w:val="24"/>
                <w:szCs w:val="24"/>
              </w:rPr>
            </w:pPr>
            <w:r>
              <w:rPr>
                <w:rFonts w:ascii="宋体" w:hAnsi="宋体"/>
                <w:color w:val="000000"/>
                <w:sz w:val="24"/>
                <w:szCs w:val="24"/>
              </w:rPr>
              <w:t>⑦</w:t>
            </w:r>
            <w:r>
              <w:rPr>
                <w:color w:val="000000"/>
                <w:sz w:val="24"/>
                <w:szCs w:val="24"/>
              </w:rPr>
              <w:t>鼓励有条件的产废单位采用信息化手段建立电子台账，实现固体废物管理台账的数字化、信息化。</w:t>
            </w:r>
          </w:p>
          <w:p w14:paraId="37D78AD6">
            <w:pPr>
              <w:widowControl/>
              <w:spacing w:line="360" w:lineRule="auto"/>
              <w:ind w:firstLine="482" w:firstLineChars="200"/>
              <w:rPr>
                <w:color w:val="000000"/>
                <w:sz w:val="24"/>
                <w:szCs w:val="24"/>
              </w:rPr>
            </w:pPr>
            <w:r>
              <w:rPr>
                <w:b/>
                <w:bCs/>
                <w:color w:val="000000"/>
                <w:sz w:val="24"/>
                <w:szCs w:val="24"/>
              </w:rPr>
              <w:t>（2）危险废物</w:t>
            </w:r>
          </w:p>
          <w:p w14:paraId="62F60497">
            <w:pPr>
              <w:spacing w:line="360" w:lineRule="auto"/>
              <w:ind w:firstLine="480" w:firstLineChars="200"/>
              <w:rPr>
                <w:color w:val="000000"/>
                <w:sz w:val="24"/>
                <w:szCs w:val="24"/>
              </w:rPr>
            </w:pPr>
            <w:r>
              <w:rPr>
                <w:rFonts w:hint="eastAsia"/>
                <w:color w:val="000000"/>
                <w:sz w:val="24"/>
                <w:szCs w:val="24"/>
              </w:rPr>
              <w:t>根据《国家危险废物名录》（2025年版）规定，项目产生的医疗废物、污水处理淤泥等属于危险废物，必须按照国家《危险废物贮存污染控制标准》（GB18597-2023）中的规定进行收集、贮存，并交由有资质的单位妥善安全处置。按照《危险废物贮存污染控制标准》（GB18597-2023）相关要求建设要求如下：</w:t>
            </w:r>
          </w:p>
          <w:p w14:paraId="131AEE53">
            <w:pPr>
              <w:spacing w:line="360" w:lineRule="auto"/>
              <w:ind w:firstLine="480" w:firstLineChars="200"/>
              <w:rPr>
                <w:color w:val="000000"/>
                <w:sz w:val="24"/>
                <w:szCs w:val="24"/>
              </w:rPr>
            </w:pPr>
            <w:r>
              <w:rPr>
                <w:rFonts w:hint="eastAsia"/>
                <w:color w:val="000000"/>
                <w:sz w:val="24"/>
                <w:szCs w:val="24"/>
              </w:rPr>
              <w:t>①医疗废物暂存间地面采用坚固、防渗、耐腐蚀的材料建造，进行重点防渗，防渗层防渗性能不得低于1m厚、渗透系数≤10</w:t>
            </w:r>
            <w:r>
              <w:rPr>
                <w:rFonts w:hint="eastAsia"/>
                <w:color w:val="000000"/>
                <w:sz w:val="24"/>
                <w:szCs w:val="24"/>
                <w:vertAlign w:val="superscript"/>
              </w:rPr>
              <w:t>-7</w:t>
            </w:r>
            <w:r>
              <w:rPr>
                <w:rFonts w:hint="eastAsia"/>
                <w:color w:val="000000"/>
                <w:sz w:val="24"/>
                <w:szCs w:val="24"/>
              </w:rPr>
              <w:t>cm/s粘土层的防渗性能，或2mm厚高密度聚乙烯，或至少2mm厚的其他人工材料，渗透系数≤10</w:t>
            </w:r>
            <w:r>
              <w:rPr>
                <w:rFonts w:hint="eastAsia"/>
                <w:color w:val="000000"/>
                <w:sz w:val="24"/>
                <w:szCs w:val="24"/>
                <w:vertAlign w:val="superscript"/>
              </w:rPr>
              <w:t>-10</w:t>
            </w:r>
            <w:r>
              <w:rPr>
                <w:rFonts w:hint="eastAsia"/>
                <w:color w:val="000000"/>
                <w:sz w:val="24"/>
                <w:szCs w:val="24"/>
              </w:rPr>
              <w:t>cm/s；设计堵截泄漏的裙脚、托盘等设施；</w:t>
            </w:r>
          </w:p>
          <w:p w14:paraId="0B3594FC">
            <w:pPr>
              <w:spacing w:line="360" w:lineRule="auto"/>
              <w:ind w:firstLine="480" w:firstLineChars="200"/>
              <w:rPr>
                <w:color w:val="000000"/>
                <w:sz w:val="24"/>
                <w:szCs w:val="24"/>
              </w:rPr>
            </w:pPr>
            <w:r>
              <w:rPr>
                <w:rFonts w:hint="eastAsia"/>
                <w:color w:val="000000"/>
                <w:sz w:val="24"/>
                <w:szCs w:val="24"/>
              </w:rPr>
              <w:t>②贮存场所须做好防渗漏、防风、防雨、防晒、防火等措施，地面须硬化、耐腐蚀、无裂隙，贮存区内须有泄漏液体收集装置，并配备相容的吸附材料等应急物资；</w:t>
            </w:r>
          </w:p>
          <w:p w14:paraId="21A14F2E">
            <w:pPr>
              <w:spacing w:line="360" w:lineRule="auto"/>
              <w:ind w:firstLine="480" w:firstLineChars="200"/>
              <w:rPr>
                <w:color w:val="000000"/>
                <w:sz w:val="24"/>
                <w:szCs w:val="24"/>
              </w:rPr>
            </w:pPr>
            <w:r>
              <w:rPr>
                <w:rFonts w:hint="eastAsia"/>
                <w:color w:val="000000"/>
                <w:sz w:val="24"/>
                <w:szCs w:val="24"/>
              </w:rPr>
              <w:t>③将危险废物装入符合标准的容器内，盛装危险废物的容器材质和衬里要与危险废物相容（不相互反应），容器必须完好无损；</w:t>
            </w:r>
          </w:p>
          <w:p w14:paraId="44676410">
            <w:pPr>
              <w:spacing w:line="360" w:lineRule="auto"/>
              <w:ind w:firstLine="480" w:firstLineChars="200"/>
              <w:rPr>
                <w:color w:val="000000"/>
                <w:sz w:val="24"/>
                <w:szCs w:val="24"/>
              </w:rPr>
            </w:pPr>
            <w:r>
              <w:rPr>
                <w:rFonts w:hint="eastAsia"/>
                <w:color w:val="000000"/>
                <w:sz w:val="24"/>
                <w:szCs w:val="24"/>
              </w:rPr>
              <w:t>④禁止将不相容（相互反应）的危险废物在同一容器内混装，禁止将危险废物混入非危险废物中贮存；</w:t>
            </w:r>
          </w:p>
          <w:p w14:paraId="4D76972C">
            <w:pPr>
              <w:spacing w:line="360" w:lineRule="auto"/>
              <w:ind w:firstLine="480" w:firstLineChars="200"/>
              <w:rPr>
                <w:color w:val="000000"/>
                <w:sz w:val="24"/>
                <w:szCs w:val="24"/>
              </w:rPr>
            </w:pPr>
            <w:r>
              <w:rPr>
                <w:rFonts w:hint="eastAsia"/>
                <w:color w:val="000000"/>
                <w:sz w:val="24"/>
                <w:szCs w:val="24"/>
              </w:rPr>
              <w:t>⑤盛装危险废物的容器必须粘贴符合标准的标签，危险废物堆放点设置警示标识；</w:t>
            </w:r>
          </w:p>
          <w:p w14:paraId="59925943">
            <w:pPr>
              <w:spacing w:line="360" w:lineRule="auto"/>
              <w:ind w:firstLine="480" w:firstLineChars="200"/>
              <w:rPr>
                <w:color w:val="000000"/>
                <w:sz w:val="24"/>
                <w:szCs w:val="24"/>
              </w:rPr>
            </w:pPr>
            <w:r>
              <w:rPr>
                <w:rFonts w:hint="eastAsia"/>
                <w:color w:val="000000"/>
                <w:sz w:val="24"/>
                <w:szCs w:val="24"/>
              </w:rPr>
              <w:t>⑥按《危险废物转移联单管理办法》的有关要求对危险废物情况做好记录，记录上须注明危险废物名称、来源、数量、特性和包装容器的类别、入库日期、存放位置、废物出库日期及接收单位名称；</w:t>
            </w:r>
          </w:p>
          <w:p w14:paraId="5E7736DB">
            <w:pPr>
              <w:spacing w:line="360" w:lineRule="auto"/>
              <w:ind w:firstLine="480" w:firstLineChars="200"/>
              <w:rPr>
                <w:color w:val="000000"/>
                <w:sz w:val="24"/>
                <w:szCs w:val="24"/>
              </w:rPr>
            </w:pPr>
            <w:r>
              <w:rPr>
                <w:rFonts w:hint="eastAsia"/>
                <w:color w:val="000000"/>
                <w:sz w:val="24"/>
                <w:szCs w:val="24"/>
              </w:rPr>
              <w:t>⑦库内废物定期由有资质单位的专用运输车辆运输；</w:t>
            </w:r>
          </w:p>
          <w:p w14:paraId="1E804F65">
            <w:pPr>
              <w:spacing w:line="360" w:lineRule="auto"/>
              <w:ind w:firstLine="480" w:firstLineChars="200"/>
              <w:rPr>
                <w:color w:val="000000"/>
                <w:sz w:val="24"/>
                <w:szCs w:val="24"/>
              </w:rPr>
            </w:pPr>
            <w:r>
              <w:rPr>
                <w:rFonts w:hint="eastAsia"/>
                <w:color w:val="000000"/>
                <w:sz w:val="24"/>
                <w:szCs w:val="24"/>
              </w:rPr>
              <w:t>⑧指定专人进行日常管理。定期对所贮存的危险废物包装容器及贮存设施进行检查，发现破损，应及时采取措施清理更换；</w:t>
            </w:r>
          </w:p>
          <w:p w14:paraId="3B729562">
            <w:pPr>
              <w:spacing w:line="360" w:lineRule="auto"/>
              <w:ind w:firstLine="480" w:firstLineChars="200"/>
              <w:rPr>
                <w:color w:val="000000"/>
                <w:sz w:val="24"/>
                <w:szCs w:val="24"/>
              </w:rPr>
            </w:pPr>
            <w:r>
              <w:rPr>
                <w:rFonts w:hint="eastAsia"/>
                <w:color w:val="000000"/>
                <w:sz w:val="24"/>
                <w:szCs w:val="24"/>
              </w:rPr>
              <w:t>⑨危险废物贮存设施必须按《环境保护图形标志固体废物贮存（处置）场》（GB15562.2-1995）（含2023修改单）的规定设置警示标志。</w:t>
            </w:r>
          </w:p>
          <w:p w14:paraId="63ACB1D9">
            <w:pPr>
              <w:spacing w:line="360" w:lineRule="auto"/>
              <w:ind w:firstLine="482" w:firstLineChars="200"/>
              <w:rPr>
                <w:rFonts w:hint="eastAsia"/>
                <w:b/>
                <w:bCs/>
                <w:color w:val="000000"/>
                <w:sz w:val="24"/>
                <w:szCs w:val="24"/>
                <w:u w:val="single"/>
              </w:rPr>
            </w:pPr>
            <w:r>
              <w:rPr>
                <w:rFonts w:hint="eastAsia"/>
                <w:b/>
                <w:bCs/>
                <w:color w:val="000000"/>
                <w:sz w:val="24"/>
                <w:szCs w:val="24"/>
                <w:u w:val="single"/>
              </w:rPr>
              <w:t>（3）医疗废物管理措施</w:t>
            </w:r>
          </w:p>
          <w:p w14:paraId="5D40480D">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本项目运营期产生的医疗废物属于危险废物（HW01），须严格按照《中华人民共和国固体废物污染环境防治法》《医疗废物管理条例》《危险废物转移管理办法》及《湖南省生态环境厅 湖南省卫生健康委&lt;关于进一步加强全省医疗废物监督管理工作的通知&gt;》（湘环发〔2026〕2号）等规定全流程管理，落实专办专事专人专责的管理要求，实现分类投放、分类收集、分类称重、分类贮存、分类交接、分类转运。具体措施如下：</w:t>
            </w:r>
          </w:p>
          <w:p w14:paraId="44E3EE36">
            <w:pPr>
              <w:spacing w:line="360" w:lineRule="auto"/>
              <w:ind w:firstLine="482" w:firstLineChars="200"/>
              <w:rPr>
                <w:rFonts w:hint="eastAsia"/>
                <w:b/>
                <w:bCs/>
                <w:color w:val="000000"/>
                <w:sz w:val="24"/>
                <w:szCs w:val="24"/>
              </w:rPr>
            </w:pPr>
            <w:r>
              <w:rPr>
                <w:rFonts w:hint="eastAsia"/>
                <w:b/>
                <w:bCs/>
                <w:color w:val="000000"/>
                <w:sz w:val="24"/>
                <w:szCs w:val="24"/>
              </w:rPr>
              <w:t>（</w:t>
            </w:r>
            <w:r>
              <w:rPr>
                <w:rFonts w:hint="eastAsia"/>
                <w:b/>
                <w:bCs/>
                <w:color w:val="000000"/>
                <w:sz w:val="24"/>
                <w:szCs w:val="24"/>
                <w:lang w:val="en-US" w:eastAsia="zh-CN"/>
              </w:rPr>
              <w:t>1</w:t>
            </w:r>
            <w:r>
              <w:rPr>
                <w:rFonts w:hint="eastAsia"/>
                <w:b/>
                <w:bCs/>
                <w:color w:val="000000"/>
                <w:sz w:val="24"/>
                <w:szCs w:val="24"/>
              </w:rPr>
              <w:t>）分类收集</w:t>
            </w:r>
          </w:p>
          <w:p w14:paraId="23A7C1DC">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将项目产生的感染性、损伤性医疗废物分区分类存放；化学性废物与药物性废物设置专用贮存设施。严禁混合收集、混入生活垃圾。</w:t>
            </w:r>
          </w:p>
          <w:p w14:paraId="3158B829">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①收集容器的规定</w:t>
            </w:r>
          </w:p>
          <w:p w14:paraId="4D6070D2">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a.收集容器应符合《医疗废物专用包装袋、容器和警示标志标准》（HJ421-2008）的要求。包装袋在正常使用情况下，不应出现渗漏、破裂和穿孔；包装袋容积大小应适中，便于操作，配合周转箱（桶）运输；医疗废物包装袋的颜色为淡黄，颜色应符合GB/T3181中Y06的要求，包装袋的明显处应印制警示标志和警告语。</w:t>
            </w:r>
          </w:p>
          <w:p w14:paraId="027BD446">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b.包装袋外观质量：表面基本平整、无皱褶、污迹和杂质，无划痕、气泡、缩孔、针孔以及其他缺陷；包装袋物理机械性能应符合相应的规定。</w:t>
            </w:r>
          </w:p>
          <w:p w14:paraId="17D2D5E6">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c.利器盒整体为硬质材料制成，封闭且防刺穿，以保证在正常情况下，利器盒内盛装物不撒漏，并且利器盒一旦被封口，在不破坏的情况下无法被再次打开；利器盒整体颜色为淡黄，颜色应符合GB/T3181中Y06的要求。利器盒侧面明显处应印制警示标志，警告语为“警告！损伤性废物”；满盛装量的利器盒从1.20m高处自由跌落至水泥地面，连续3次，不会出现破裂、被刺穿等情况。</w:t>
            </w:r>
          </w:p>
          <w:p w14:paraId="4A844C4A">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d.周转箱（桶）整体应防液体渗漏，应便于清洗和消毒；周转箱（桶）整体为淡黄，颜色应符合GB/T3181中Y06的要求。箱体侧面或桶身明显处应印（喷）制警示标志和警告语；周转箱整体装配密闭，箱体与箱盖能牢固扣紧，扣紧后不分离；表面光滑平整，完整无裂损，没有明显凹陷，边缘及提手无毛刺；周转箱的箱底和顶部有配合牙槽，具有防滑功能；周转箱物理机械性能应符合相应规定。</w:t>
            </w:r>
          </w:p>
          <w:p w14:paraId="57B6D777">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②收集要求</w:t>
            </w:r>
          </w:p>
          <w:p w14:paraId="43D54AC7">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a.根据医疗废物的类别，将医疗废物分置于符合《医疗废物专用包装袋、容器和警示标志标准》的包装物或者容器内。在盛装医疗废物前，应当对医疗废物包装物或者容器进行认真检查，确保无破损、渗漏和其它缺陷。感染性废物、损伤性废物、药物性废物及化学性废物不能混合收集。废弃的麻醉、精神等药品及其相关的废物的管理，依照有关法律、行政法规和国家有关规定、标准执行；化学性废物中批量的废化学试剂、废消毒剂应当交由专门机构处置；医疗废物中病原体的培养基、标本和菌种、毒种保存液等高危险废物，应当首先在产生地点进行压力蒸汽灭菌或者化学消毒处理，然后按感染性废物收集处理盛装的医疗废物达到包装物或者容器的3/4时，应当使用有效的封口方式，使包装物或者容器的封口紧实、严密。包装物或者容器的外表面被感染性废物污染时，应当对被污染处进行消毒处理或者增加一层包装。</w:t>
            </w:r>
          </w:p>
          <w:p w14:paraId="51B09671">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b.盛装医疗废物的塑料袋或者利器盒一旦达到2/3体积后，收集至医疗废物暂存间。</w:t>
            </w:r>
          </w:p>
          <w:p w14:paraId="24C5980A">
            <w:pPr>
              <w:spacing w:line="360" w:lineRule="auto"/>
              <w:ind w:firstLine="482" w:firstLineChars="200"/>
              <w:rPr>
                <w:rFonts w:hint="eastAsia"/>
                <w:b/>
                <w:bCs/>
                <w:color w:val="000000"/>
                <w:sz w:val="24"/>
                <w:szCs w:val="24"/>
                <w:u w:val="single"/>
              </w:rPr>
            </w:pPr>
            <w:r>
              <w:rPr>
                <w:rFonts w:hint="eastAsia"/>
                <w:b/>
                <w:bCs/>
                <w:color w:val="000000"/>
                <w:sz w:val="24"/>
                <w:szCs w:val="24"/>
                <w:u w:val="single"/>
              </w:rPr>
              <w:t>（</w:t>
            </w:r>
            <w:r>
              <w:rPr>
                <w:rFonts w:hint="eastAsia"/>
                <w:b/>
                <w:bCs/>
                <w:color w:val="000000"/>
                <w:sz w:val="24"/>
                <w:szCs w:val="24"/>
                <w:u w:val="single"/>
                <w:lang w:val="en-US" w:eastAsia="zh-CN"/>
              </w:rPr>
              <w:t>2</w:t>
            </w:r>
            <w:r>
              <w:rPr>
                <w:rFonts w:hint="eastAsia"/>
                <w:b/>
                <w:bCs/>
                <w:color w:val="000000"/>
                <w:sz w:val="24"/>
                <w:szCs w:val="24"/>
                <w:u w:val="single"/>
              </w:rPr>
              <w:t>）分类暂存</w:t>
            </w:r>
          </w:p>
          <w:p w14:paraId="40AE590F">
            <w:pPr>
              <w:spacing w:line="360" w:lineRule="auto"/>
              <w:ind w:firstLine="480" w:firstLineChars="200"/>
              <w:rPr>
                <w:rFonts w:hint="eastAsia"/>
              </w:rPr>
            </w:pPr>
            <w:r>
              <w:rPr>
                <w:rFonts w:hint="eastAsia"/>
                <w:b w:val="0"/>
                <w:bCs w:val="0"/>
                <w:color w:val="000000"/>
                <w:sz w:val="24"/>
                <w:szCs w:val="24"/>
                <w:u w:val="single"/>
              </w:rPr>
              <w:t>①</w:t>
            </w:r>
            <w:r>
              <w:rPr>
                <w:rFonts w:hint="eastAsia"/>
                <w:b w:val="0"/>
                <w:bCs w:val="0"/>
                <w:color w:val="000000"/>
                <w:sz w:val="24"/>
                <w:szCs w:val="24"/>
                <w:u w:val="single"/>
                <w:lang w:val="en-US" w:eastAsia="zh-CN"/>
              </w:rPr>
              <w:t>建设单位需</w:t>
            </w:r>
            <w:r>
              <w:rPr>
                <w:rFonts w:hint="eastAsia"/>
                <w:b w:val="0"/>
                <w:bCs w:val="0"/>
                <w:color w:val="000000"/>
                <w:sz w:val="24"/>
                <w:szCs w:val="24"/>
                <w:u w:val="single"/>
              </w:rPr>
              <w:t>建立专门的医疗废物暂存间。医废暂存间独立封闭、防渗防漏、防雨淋、防扬散，并设置规范危险废物标识与医疗废物警示标识；严禁医疗废物露天堆</w:t>
            </w:r>
            <w:r>
              <w:rPr>
                <w:rFonts w:hint="eastAsia"/>
              </w:rPr>
              <w:t>放；</w:t>
            </w:r>
          </w:p>
          <w:p w14:paraId="12C45BF8">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②医废暂存间避开人群活动区域，与生活垃圾存放地分开，有防雨淋的装置，地基高度应确保设施内不受雨洪冲击或浸泡；</w:t>
            </w:r>
          </w:p>
          <w:p w14:paraId="6D4D6A76">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③医废暂存间必须与医疗区和人员活动密集区隔开，方便医疗废物的装卸、装卸人员及运送车辆的出入；</w:t>
            </w:r>
          </w:p>
          <w:p w14:paraId="15E2AC42">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④医废暂存间有严密的封闭措施，设专人管理，避免非工作人员进出，以及防鼠、防蚊蝇、防蟑螂、防盗以及预防儿童接触等安全措施；</w:t>
            </w:r>
          </w:p>
          <w:p w14:paraId="579744D1">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⑤医疗废物盛装于周转箱内，贮存于医疗废物暂存间中；</w:t>
            </w:r>
          </w:p>
          <w:p w14:paraId="2121F9A3">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⑥医疗废物暂时贮存库房地面和1.0米高的墙裙已进行防渗处理，地面有良好的排水性能，易于清洁和消毒；</w:t>
            </w:r>
          </w:p>
          <w:p w14:paraId="270388B4">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⑦阳光未直射医疗废物暂存间内，有良好的照明设备和通风条件；</w:t>
            </w:r>
          </w:p>
          <w:p w14:paraId="28103121">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⑧医废暂存间内张贴“禁止吸烟、饮食”的警示标识；已按GB15562.2和卫生、环保部门制定的专用医疗废物警示标识要求，在暂存间外的明显处同时设置危险废物和医疗废物的警示标识；</w:t>
            </w:r>
          </w:p>
          <w:p w14:paraId="2AC12107">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⑨医疗废物暂存间每天在废物清运之后消毒冲洗，冲洗液应排入医疗卫生机构内的医疗废水消毒、处理系统；可与转运车的消毒同时进行；</w:t>
            </w:r>
          </w:p>
          <w:p w14:paraId="26E76042">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⑩尽量做到日产日清，确实不能做到日产日清，且当地最高气温高于25℃时，应将医疗废物低温暂时贮存，暂时贮存温度应低于20℃，时间最长不超过48小时；</w:t>
            </w:r>
          </w:p>
          <w:p w14:paraId="40A9EF23">
            <w:pPr>
              <w:spacing w:line="360" w:lineRule="auto"/>
              <w:ind w:firstLine="482" w:firstLineChars="200"/>
              <w:rPr>
                <w:rFonts w:hint="eastAsia"/>
                <w:b/>
                <w:bCs/>
                <w:color w:val="000000"/>
                <w:sz w:val="24"/>
                <w:szCs w:val="24"/>
                <w:u w:val="single"/>
              </w:rPr>
            </w:pPr>
            <w:r>
              <w:rPr>
                <w:rFonts w:hint="eastAsia"/>
                <w:b/>
                <w:bCs/>
                <w:color w:val="000000"/>
                <w:sz w:val="24"/>
                <w:szCs w:val="24"/>
                <w:u w:val="single"/>
              </w:rPr>
              <w:t>（</w:t>
            </w:r>
            <w:r>
              <w:rPr>
                <w:rFonts w:hint="eastAsia"/>
                <w:b/>
                <w:bCs/>
                <w:color w:val="000000"/>
                <w:sz w:val="24"/>
                <w:szCs w:val="24"/>
                <w:u w:val="single"/>
                <w:lang w:val="en-US" w:eastAsia="zh-CN"/>
              </w:rPr>
              <w:t>3</w:t>
            </w:r>
            <w:r>
              <w:rPr>
                <w:rFonts w:hint="eastAsia"/>
                <w:b/>
                <w:bCs/>
                <w:color w:val="000000"/>
                <w:sz w:val="24"/>
                <w:szCs w:val="24"/>
                <w:u w:val="single"/>
              </w:rPr>
              <w:t>）医疗废物的清运和交接</w:t>
            </w:r>
          </w:p>
          <w:p w14:paraId="66D99B23">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①</w:t>
            </w:r>
            <w:r>
              <w:rPr>
                <w:rFonts w:hint="eastAsia"/>
                <w:b w:val="0"/>
                <w:bCs w:val="0"/>
                <w:color w:val="000000"/>
                <w:sz w:val="24"/>
                <w:szCs w:val="24"/>
                <w:u w:val="single"/>
                <w:lang w:val="en-US" w:eastAsia="zh-CN"/>
              </w:rPr>
              <w:t>建设单位</w:t>
            </w:r>
            <w:r>
              <w:rPr>
                <w:rFonts w:hint="eastAsia"/>
                <w:b w:val="0"/>
                <w:bCs w:val="0"/>
                <w:color w:val="000000"/>
                <w:sz w:val="24"/>
                <w:szCs w:val="24"/>
                <w:u w:val="single"/>
              </w:rPr>
              <w:t>应加强集中贮存的内部管理和监督检查频次，确保所有医疗废物不会流入社会。</w:t>
            </w:r>
          </w:p>
          <w:p w14:paraId="08F422EF">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②安排专人负责医疗废物的交接，按照《医疗废物集中处置技术规范》填写和保存《危险废物转移联单》（医疗废物专用）及《医疗废物运送登记卡》，医疗废物定期由资质单位转运并处置。</w:t>
            </w:r>
          </w:p>
          <w:p w14:paraId="2A22C10E">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③</w:t>
            </w:r>
            <w:r>
              <w:rPr>
                <w:rFonts w:hint="eastAsia"/>
                <w:b w:val="0"/>
                <w:bCs w:val="0"/>
                <w:color w:val="000000"/>
                <w:sz w:val="24"/>
                <w:szCs w:val="24"/>
                <w:u w:val="single"/>
                <w:lang w:val="en-US" w:eastAsia="zh-CN"/>
              </w:rPr>
              <w:t>建设单位</w:t>
            </w:r>
            <w:r>
              <w:rPr>
                <w:rFonts w:hint="eastAsia"/>
                <w:b w:val="0"/>
                <w:bCs w:val="0"/>
                <w:color w:val="000000"/>
                <w:sz w:val="24"/>
                <w:szCs w:val="24"/>
                <w:u w:val="single"/>
              </w:rPr>
              <w:t>合理安排固定的医疗废物运输通道，不与人流通道混用。运送人员每天从医疗废物产生地点将分类包装的医疗废物按照规定的时间和路线运送至医疗废物暂存间。在运送医疗废物前，应当检查包装物或者容器的标识、标签及封口是否符合要求，不得将不符合要求的医疗废物送至医疗废物暂存间。</w:t>
            </w:r>
          </w:p>
          <w:p w14:paraId="077A4856">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④运送人员在运送医疗废物时，应当防止造成包装物或容器破损和医疗废物的流失、泄漏和扩散，并防止医疗废物直接接触身体。运送医疗废物应当使用防渗漏、防遗撒、无锐利边角、易于装卸和清洁的专用运送工具。每天运送工作结束后，应当对运送工具及时进行清洁和消毒。</w:t>
            </w:r>
          </w:p>
          <w:p w14:paraId="15B15E21">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⑤设置医疗废物出入库记录台账，交由有资质的公司进行处理，医疗卫生机构采用周转箱（桶）收集、转移医疗废物，并应执行危险废物转移联单管理制度。</w:t>
            </w:r>
          </w:p>
          <w:p w14:paraId="277C3444">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⑥医疗废物须全部交由持有危险废物经营许可证的单位处置，严格执行电子转移联单制度，做到数据真实、完整、可追溯。收运单位至少每2天上门收集一次，并根据产废量加密频次，确保暂存不超期。</w:t>
            </w:r>
          </w:p>
          <w:p w14:paraId="15C34E73">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w:t>
            </w:r>
            <w:r>
              <w:rPr>
                <w:rFonts w:hint="eastAsia"/>
                <w:b w:val="0"/>
                <w:bCs w:val="0"/>
                <w:color w:val="000000"/>
                <w:sz w:val="24"/>
                <w:szCs w:val="24"/>
                <w:u w:val="single"/>
                <w:lang w:val="en-US" w:eastAsia="zh-CN"/>
              </w:rPr>
              <w:t>4</w:t>
            </w:r>
            <w:r>
              <w:rPr>
                <w:rFonts w:hint="eastAsia"/>
                <w:b w:val="0"/>
                <w:bCs w:val="0"/>
                <w:color w:val="000000"/>
                <w:sz w:val="24"/>
                <w:szCs w:val="24"/>
                <w:u w:val="single"/>
              </w:rPr>
              <w:t>）台账与申报登记</w:t>
            </w:r>
          </w:p>
          <w:p w14:paraId="73CC0964">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①建立医疗废物全过程管理台账，如实记录种类、产生量、流向、贮存、处置等信息；</w:t>
            </w:r>
          </w:p>
          <w:p w14:paraId="4B8CAE82">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②按规定纳入湖南省固体废物管理信息系统，每年3月31日前完成申报登记及管理计划备案。</w:t>
            </w:r>
          </w:p>
          <w:p w14:paraId="4CFD77A8">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w:t>
            </w:r>
            <w:r>
              <w:rPr>
                <w:rFonts w:hint="eastAsia"/>
                <w:b w:val="0"/>
                <w:bCs w:val="0"/>
                <w:color w:val="000000"/>
                <w:sz w:val="24"/>
                <w:szCs w:val="24"/>
                <w:u w:val="single"/>
                <w:lang w:val="en-US" w:eastAsia="zh-CN"/>
              </w:rPr>
              <w:t>5</w:t>
            </w:r>
            <w:r>
              <w:rPr>
                <w:rFonts w:hint="eastAsia"/>
                <w:b w:val="0"/>
                <w:bCs w:val="0"/>
                <w:color w:val="000000"/>
                <w:sz w:val="24"/>
                <w:szCs w:val="24"/>
                <w:u w:val="single"/>
              </w:rPr>
              <w:t>）污染防治与风险防控</w:t>
            </w:r>
          </w:p>
          <w:p w14:paraId="5178BAE1">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①医废暂存与转运过程须采取防渗、防泄漏、防遗撒、消毒杀菌等措施，防止二次污染；</w:t>
            </w:r>
          </w:p>
          <w:p w14:paraId="40FF089D">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②制定医院突发环境事件应急预案，配备应急物资，定期开展演练；</w:t>
            </w:r>
          </w:p>
          <w:p w14:paraId="7AA3F43B">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③从业人员须经专业培训、持证上岗，并落实职业健康防护；</w:t>
            </w:r>
          </w:p>
          <w:p w14:paraId="537BFB9B">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④主动接受生态环境、卫生健康部门的日常监管与联合执法检查，落实双随机、一公开监管要求；</w:t>
            </w:r>
          </w:p>
          <w:p w14:paraId="1FBFEAD5">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⑤严禁无证处置、擅自倾倒、倒卖或流失医疗废物，确保医疗废物定点定向、闭环管理、合规处置。</w:t>
            </w:r>
          </w:p>
          <w:p w14:paraId="18D1AEDA">
            <w:pPr>
              <w:spacing w:line="360" w:lineRule="auto"/>
              <w:ind w:firstLine="480" w:firstLineChars="200"/>
              <w:rPr>
                <w:rFonts w:hint="eastAsia"/>
                <w:b w:val="0"/>
                <w:bCs w:val="0"/>
                <w:color w:val="000000"/>
                <w:sz w:val="24"/>
                <w:szCs w:val="24"/>
                <w:u w:val="single"/>
              </w:rPr>
            </w:pPr>
            <w:r>
              <w:rPr>
                <w:rFonts w:hint="eastAsia"/>
                <w:b w:val="0"/>
                <w:bCs w:val="0"/>
                <w:color w:val="000000"/>
                <w:sz w:val="24"/>
                <w:szCs w:val="24"/>
                <w:u w:val="single"/>
              </w:rPr>
              <w:t>（</w:t>
            </w:r>
            <w:r>
              <w:rPr>
                <w:rFonts w:hint="eastAsia"/>
                <w:b w:val="0"/>
                <w:bCs w:val="0"/>
                <w:color w:val="000000"/>
                <w:sz w:val="24"/>
                <w:szCs w:val="24"/>
                <w:u w:val="single"/>
                <w:lang w:val="en-US" w:eastAsia="zh-CN"/>
              </w:rPr>
              <w:t>6</w:t>
            </w:r>
            <w:r>
              <w:rPr>
                <w:rFonts w:hint="eastAsia"/>
                <w:b w:val="0"/>
                <w:bCs w:val="0"/>
                <w:color w:val="000000"/>
                <w:sz w:val="24"/>
                <w:szCs w:val="24"/>
                <w:u w:val="single"/>
              </w:rPr>
              <w:t>）事故应急措施</w:t>
            </w:r>
          </w:p>
          <w:p w14:paraId="6062FCF6">
            <w:pPr>
              <w:spacing w:line="360" w:lineRule="auto"/>
              <w:ind w:firstLine="480" w:firstLineChars="200"/>
              <w:rPr>
                <w:rFonts w:hint="eastAsia" w:eastAsia="宋体"/>
                <w:b w:val="0"/>
                <w:bCs w:val="0"/>
                <w:color w:val="000000"/>
                <w:sz w:val="24"/>
                <w:szCs w:val="24"/>
                <w:u w:val="single"/>
                <w:lang w:eastAsia="zh-CN"/>
              </w:rPr>
            </w:pPr>
            <w:r>
              <w:rPr>
                <w:rFonts w:hint="eastAsia"/>
                <w:b w:val="0"/>
                <w:bCs w:val="0"/>
                <w:color w:val="000000"/>
                <w:sz w:val="24"/>
                <w:szCs w:val="24"/>
                <w:u w:val="single"/>
              </w:rPr>
              <w:t>发生医疗废物流失、泄漏、扩散和意外事故时，应当按照以下要求及时采取紧急处理措施：确定流失、泄漏、扩散的医疗废物的类别、数量、发生时间、影响范围及严重程度；组织有关人员尽快按照应急方案，对发生医疗废物泄漏、扩散的现场进行处理；对被医疗废物污染的区域进行处理时，应当尽可能减少对病人、医务人员、其它现场人员及环境的影响；采取适当的安全处置措施，对泄漏物及受污染的区域、物品进行消毒或者其他无害化处置，必要时封锁污染区域，以防扩大污染；对感染性废物污染区域进行消毒时，消毒工作从污染最轻区域向污染最严重区域进行，对可能被污染的所有使用过的工具也应当进行消毒；工作人员应当做好卫生安全防护后进行工作。处理工作结束后，医疗卫生机构应当对事件的起因进行调查，并采取有效的防范措施预防类似事件的发生</w:t>
            </w:r>
            <w:r>
              <w:rPr>
                <w:rFonts w:hint="eastAsia"/>
                <w:b w:val="0"/>
                <w:bCs w:val="0"/>
                <w:color w:val="000000"/>
                <w:sz w:val="24"/>
                <w:szCs w:val="24"/>
                <w:u w:val="single"/>
                <w:lang w:eastAsia="zh-CN"/>
              </w:rPr>
              <w:t>。</w:t>
            </w:r>
          </w:p>
          <w:p w14:paraId="394FB906">
            <w:pPr>
              <w:spacing w:line="360" w:lineRule="auto"/>
              <w:ind w:firstLine="482" w:firstLineChars="200"/>
              <w:rPr>
                <w:color w:val="000000"/>
                <w:sz w:val="24"/>
                <w:szCs w:val="24"/>
                <w:u w:val="none"/>
              </w:rPr>
            </w:pPr>
            <w:r>
              <w:rPr>
                <w:b/>
                <w:bCs/>
                <w:color w:val="000000"/>
                <w:sz w:val="24"/>
                <w:szCs w:val="24"/>
                <w:u w:val="none"/>
              </w:rPr>
              <w:t>污泥处置要求</w:t>
            </w:r>
          </w:p>
          <w:p w14:paraId="4279FF6F">
            <w:pPr>
              <w:spacing w:line="360" w:lineRule="auto"/>
              <w:ind w:firstLine="480" w:firstLineChars="200"/>
              <w:rPr>
                <w:color w:val="000000"/>
                <w:sz w:val="24"/>
                <w:szCs w:val="24"/>
                <w:u w:val="none"/>
              </w:rPr>
            </w:pPr>
            <w:r>
              <w:rPr>
                <w:rFonts w:hint="eastAsia"/>
                <w:color w:val="000000"/>
                <w:sz w:val="24"/>
                <w:szCs w:val="24"/>
                <w:u w:val="none"/>
              </w:rPr>
              <w:t>根据《医院污水处理技术指南》中“6.3.5 污泥在贮泥池中消毒，一般采用化学消毒方式；医院污泥应按危险废物处理处置要求，由具有危险废物处理处置资质的单位进行集中处置”。因此，本项目污水处理站产生的污泥定期清掏至污泥池内，采用石灰消毒，消毒后的污泥，需进行粪大肠菌群数、蛔虫卵死亡率等各项指标的检测，检测满足《医疗机构水污染物排放标准》（GB18466-2005）表 4中综合医疗机构和其他医疗机构污泥控制标准值（粪大肠菌群数≤100MPN/g、蛔虫卵死亡率&gt;95%）后委托有资质的单位密闭封装、外运，按危险废物处理处置要求进行集中处置</w:t>
            </w:r>
            <w:r>
              <w:rPr>
                <w:color w:val="000000"/>
                <w:sz w:val="24"/>
                <w:szCs w:val="24"/>
                <w:u w:val="none"/>
              </w:rPr>
              <w:t>。</w:t>
            </w:r>
          </w:p>
          <w:p w14:paraId="03BD32FF">
            <w:pPr>
              <w:pStyle w:val="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color w:val="000000"/>
                <w:sz w:val="24"/>
                <w:szCs w:val="24"/>
                <w:u w:val="single"/>
                <w:lang w:val="en-US" w:eastAsia="zh-CN"/>
              </w:rPr>
            </w:pPr>
            <w:r>
              <w:rPr>
                <w:rFonts w:hint="eastAsia"/>
                <w:color w:val="000000"/>
                <w:sz w:val="24"/>
                <w:szCs w:val="24"/>
                <w:u w:val="single"/>
                <w:lang w:val="en-US" w:eastAsia="zh-CN"/>
              </w:rPr>
              <w:t>医疗废物暂存间设置</w:t>
            </w:r>
          </w:p>
          <w:p w14:paraId="609C42C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sz w:val="24"/>
                <w:szCs w:val="28"/>
                <w:u w:val="single"/>
                <w:lang w:val="en-US" w:eastAsia="zh-CN"/>
              </w:rPr>
            </w:pPr>
            <w:r>
              <w:rPr>
                <w:rFonts w:hint="default"/>
                <w:sz w:val="24"/>
                <w:szCs w:val="28"/>
                <w:u w:val="single"/>
                <w:lang w:val="en-US" w:eastAsia="zh-CN"/>
              </w:rPr>
              <w:t>建设单位在</w:t>
            </w:r>
            <w:r>
              <w:rPr>
                <w:rFonts w:hint="eastAsia"/>
                <w:sz w:val="24"/>
                <w:szCs w:val="28"/>
                <w:u w:val="single"/>
                <w:lang w:val="en-US" w:eastAsia="zh-CN"/>
              </w:rPr>
              <w:t>医疗综合楼</w:t>
            </w:r>
            <w:r>
              <w:rPr>
                <w:rFonts w:hint="default"/>
                <w:sz w:val="24"/>
                <w:szCs w:val="28"/>
                <w:u w:val="single"/>
                <w:lang w:val="en-US" w:eastAsia="zh-CN"/>
              </w:rPr>
              <w:t>区</w:t>
            </w:r>
            <w:r>
              <w:rPr>
                <w:rFonts w:hint="eastAsia"/>
                <w:sz w:val="24"/>
                <w:szCs w:val="28"/>
                <w:u w:val="single"/>
                <w:lang w:val="en-US" w:eastAsia="zh-CN"/>
              </w:rPr>
              <w:t>东南</w:t>
            </w:r>
            <w:r>
              <w:rPr>
                <w:rFonts w:hint="default"/>
                <w:sz w:val="24"/>
                <w:szCs w:val="28"/>
                <w:u w:val="single"/>
                <w:lang w:val="en-US" w:eastAsia="zh-CN"/>
              </w:rPr>
              <w:t>侧区域设置了专门的医疗废物暂存间，占地面积约</w:t>
            </w:r>
            <w:r>
              <w:rPr>
                <w:rFonts w:hint="eastAsia"/>
                <w:sz w:val="24"/>
                <w:szCs w:val="28"/>
                <w:u w:val="single"/>
                <w:lang w:val="en-US" w:eastAsia="zh-CN"/>
              </w:rPr>
              <w:t>30</w:t>
            </w:r>
            <w:r>
              <w:rPr>
                <w:rFonts w:hint="default"/>
                <w:sz w:val="24"/>
                <w:szCs w:val="28"/>
                <w:u w:val="single"/>
                <w:lang w:val="en-US" w:eastAsia="zh-CN"/>
              </w:rPr>
              <w:t>m</w:t>
            </w:r>
            <w:r>
              <w:rPr>
                <w:rFonts w:hint="default"/>
                <w:sz w:val="24"/>
                <w:szCs w:val="28"/>
                <w:u w:val="single"/>
                <w:vertAlign w:val="superscript"/>
                <w:lang w:val="en-US" w:eastAsia="zh-CN"/>
              </w:rPr>
              <w:t>2</w:t>
            </w:r>
            <w:r>
              <w:rPr>
                <w:rFonts w:hint="default"/>
                <w:sz w:val="24"/>
                <w:szCs w:val="28"/>
                <w:u w:val="single"/>
                <w:lang w:val="en-US" w:eastAsia="zh-CN"/>
              </w:rPr>
              <w:t>，本单位产生的医疗废物，按照类别分置于防渗漏、防锐器穿透的专用包装物或者密闭的容器内，项目医疗废物暂存间为室内形式，地面及裙角做防渗处理 ，能满足“防风、防晒、防雨、防漏、防渗、防腐”的要求。医疗废物暂存间设专人管理、防鼠、防蟑螂、防盗窃、防儿童接触等安全措施（对暂存间进行加锁）；医疗废物暂存间内部设置照明设施（日光灯），张贴醒目的“禁止吸烟、饮食”的警示标识和“损伤性废物”、“感染性及其它废物”（字样）。</w:t>
            </w:r>
          </w:p>
          <w:p w14:paraId="49E8BAD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sz w:val="24"/>
                <w:szCs w:val="28"/>
                <w:u w:val="single"/>
                <w:lang w:val="en-US" w:eastAsia="zh-CN"/>
              </w:rPr>
            </w:pPr>
            <w:r>
              <w:rPr>
                <w:rFonts w:hint="default"/>
                <w:sz w:val="24"/>
                <w:szCs w:val="28"/>
                <w:u w:val="single"/>
                <w:lang w:val="en-US" w:eastAsia="zh-CN"/>
              </w:rPr>
              <w:t>医疗废物暂存间的设置需满足《危险废物贮存污染控制标准》（GB18597-2023）的要求，并做好防扬尘、防雨淋、防火、防渗漏，设置视频监控等措施；委托有资质的危废处置单位处置的同时建立废物转移五联单制度，详细记录入库的危险废物种类和数量以及其他相关资料并长期保存，供随时查阅。</w:t>
            </w:r>
          </w:p>
          <w:p w14:paraId="3B15E83E">
            <w:pPr>
              <w:adjustRightInd w:val="0"/>
              <w:snapToGrid w:val="0"/>
              <w:spacing w:line="360" w:lineRule="auto"/>
              <w:rPr>
                <w:b/>
                <w:color w:val="000000"/>
                <w:sz w:val="24"/>
                <w:szCs w:val="24"/>
              </w:rPr>
            </w:pPr>
            <w:r>
              <w:rPr>
                <w:b/>
                <w:color w:val="000000"/>
                <w:sz w:val="24"/>
                <w:szCs w:val="24"/>
              </w:rPr>
              <w:t>5 地下水、土壤</w:t>
            </w:r>
          </w:p>
          <w:p w14:paraId="527B6F5C">
            <w:pPr>
              <w:pStyle w:val="24"/>
              <w:ind w:firstLine="480"/>
              <w:rPr>
                <w:rFonts w:ascii="Times New Roman" w:hAnsi="Times New Roman"/>
                <w:bCs/>
                <w:snapToGrid w:val="0"/>
                <w:color w:val="000000"/>
              </w:rPr>
            </w:pPr>
            <w:r>
              <w:rPr>
                <w:rFonts w:ascii="Times New Roman" w:hAnsi="Times New Roman"/>
                <w:bCs/>
                <w:snapToGrid w:val="0"/>
                <w:color w:val="000000"/>
              </w:rPr>
              <w:t>本项目外排废气主要是少量无组织排放的污水处理站废气(NH</w:t>
            </w:r>
            <w:r>
              <w:rPr>
                <w:rFonts w:ascii="Times New Roman" w:hAnsi="Times New Roman"/>
                <w:bCs/>
                <w:snapToGrid w:val="0"/>
                <w:color w:val="000000"/>
                <w:vertAlign w:val="subscript"/>
              </w:rPr>
              <w:t>3</w:t>
            </w:r>
            <w:r>
              <w:rPr>
                <w:rFonts w:ascii="Times New Roman" w:hAnsi="Times New Roman"/>
                <w:bCs/>
                <w:snapToGrid w:val="0"/>
                <w:color w:val="000000"/>
              </w:rPr>
              <w:t>和H</w:t>
            </w:r>
            <w:r>
              <w:rPr>
                <w:rFonts w:ascii="Times New Roman" w:hAnsi="Times New Roman"/>
                <w:bCs/>
                <w:snapToGrid w:val="0"/>
                <w:color w:val="000000"/>
                <w:vertAlign w:val="subscript"/>
              </w:rPr>
              <w:t>2</w:t>
            </w:r>
            <w:r>
              <w:rPr>
                <w:rFonts w:ascii="Times New Roman" w:hAnsi="Times New Roman"/>
                <w:bCs/>
                <w:snapToGrid w:val="0"/>
                <w:color w:val="000000"/>
              </w:rPr>
              <w:t>S)，各废气污染物产生和排放量较小，污染影响较小，因外排废气大气沉降对周围土壤环境的影响极小</w:t>
            </w:r>
            <w:r>
              <w:rPr>
                <w:rFonts w:hint="eastAsia" w:ascii="Times New Roman" w:hAnsi="Times New Roman"/>
                <w:bCs/>
                <w:snapToGrid w:val="0"/>
                <w:color w:val="000000"/>
              </w:rPr>
              <w:t>；</w:t>
            </w:r>
            <w:r>
              <w:rPr>
                <w:rFonts w:ascii="Times New Roman" w:hAnsi="Times New Roman"/>
                <w:bCs/>
                <w:snapToGrid w:val="0"/>
                <w:color w:val="000000"/>
              </w:rPr>
              <w:t>外排废水主要是医疗废水和生活污水，废水水质情况较简单，各污染物浓度较低，正常工况下不会出现废水地面漫流对周围土壤环境的影响</w:t>
            </w:r>
            <w:r>
              <w:rPr>
                <w:rFonts w:hint="eastAsia" w:ascii="Times New Roman" w:hAnsi="Times New Roman"/>
                <w:bCs/>
                <w:snapToGrid w:val="0"/>
                <w:color w:val="000000"/>
              </w:rPr>
              <w:t>；</w:t>
            </w:r>
            <w:r>
              <w:rPr>
                <w:rFonts w:ascii="Times New Roman" w:hAnsi="Times New Roman"/>
                <w:bCs/>
                <w:snapToGrid w:val="0"/>
                <w:color w:val="000000"/>
              </w:rPr>
              <w:t>考虑到医院废水的渗漏可能对评价区的地下水水质造成污染，本次评价仅对地下水污染提出防治措施</w:t>
            </w:r>
            <w:r>
              <w:rPr>
                <w:rFonts w:hint="eastAsia" w:ascii="Times New Roman" w:hAnsi="Times New Roman"/>
                <w:bCs/>
                <w:snapToGrid w:val="0"/>
                <w:color w:val="000000"/>
              </w:rPr>
              <w:t>：</w:t>
            </w:r>
          </w:p>
          <w:p w14:paraId="646BF848">
            <w:pPr>
              <w:pStyle w:val="24"/>
              <w:ind w:firstLine="480"/>
              <w:rPr>
                <w:rFonts w:ascii="Times New Roman" w:hAnsi="Times New Roman"/>
                <w:bCs/>
                <w:snapToGrid w:val="0"/>
                <w:color w:val="000000"/>
              </w:rPr>
            </w:pPr>
            <w:r>
              <w:rPr>
                <w:rFonts w:ascii="Times New Roman" w:hAnsi="Times New Roman"/>
                <w:bCs/>
                <w:snapToGrid w:val="0"/>
                <w:color w:val="000000"/>
              </w:rPr>
              <w:t>医院产生的废水中含有粪大肠菌群，为防止废水传输过程中跑、冒、滴、漏等对医院地下水、土壤的污染，要求项目在污水处理设施、医疗废物暂存</w:t>
            </w:r>
            <w:r>
              <w:rPr>
                <w:rFonts w:hint="eastAsia" w:ascii="宋体" w:hAnsi="宋体" w:cs="宋体"/>
                <w:bCs/>
                <w:snapToGrid w:val="0"/>
                <w:color w:val="000000"/>
              </w:rPr>
              <w:t>间(污物间)的地面做</w:t>
            </w:r>
            <w:r>
              <w:rPr>
                <w:rFonts w:ascii="Times New Roman" w:hAnsi="Times New Roman"/>
                <w:bCs/>
                <w:snapToGrid w:val="0"/>
                <w:color w:val="000000"/>
              </w:rPr>
              <w:t>混凝土硬化并设防渗结构层处理措施。</w:t>
            </w:r>
          </w:p>
          <w:p w14:paraId="1D20D686">
            <w:pPr>
              <w:pStyle w:val="24"/>
              <w:ind w:firstLine="480"/>
              <w:rPr>
                <w:rFonts w:ascii="Times New Roman" w:hAnsi="Times New Roman"/>
                <w:bCs/>
                <w:snapToGrid w:val="0"/>
                <w:color w:val="000000"/>
              </w:rPr>
            </w:pPr>
            <w:r>
              <w:rPr>
                <w:rFonts w:ascii="Times New Roman" w:hAnsi="Times New Roman"/>
                <w:bCs/>
                <w:snapToGrid w:val="0"/>
                <w:color w:val="000000"/>
              </w:rPr>
              <w:t>项目污水处理设施、</w:t>
            </w:r>
            <w:r>
              <w:rPr>
                <w:rFonts w:hint="eastAsia" w:ascii="Times New Roman" w:hAnsi="Times New Roman"/>
                <w:bCs/>
                <w:snapToGrid w:val="0"/>
                <w:color w:val="000000"/>
              </w:rPr>
              <w:t>医疗废物暂存</w:t>
            </w:r>
            <w:r>
              <w:rPr>
                <w:rFonts w:ascii="Times New Roman" w:hAnsi="Times New Roman"/>
                <w:bCs/>
                <w:snapToGrid w:val="0"/>
                <w:color w:val="000000"/>
              </w:rPr>
              <w:t>间地面</w:t>
            </w:r>
            <w:r>
              <w:rPr>
                <w:rFonts w:hint="eastAsia" w:ascii="Times New Roman" w:hAnsi="Times New Roman"/>
                <w:bCs/>
                <w:snapToGrid w:val="0"/>
                <w:color w:val="000000"/>
              </w:rPr>
              <w:t>等</w:t>
            </w:r>
            <w:r>
              <w:rPr>
                <w:rFonts w:ascii="Times New Roman" w:hAnsi="Times New Roman"/>
                <w:bCs/>
                <w:snapToGrid w:val="0"/>
                <w:color w:val="000000"/>
              </w:rPr>
              <w:t>均为重点防渗区，要求在建筑底层、地面和裙角采用坚固、防渗的材料建造，场所基础做防渗处理，防渗层为至少2mm厚高密度聚乙烯，或至少2mm厚的其它人工材料，渗透系数</w:t>
            </w:r>
            <w:r>
              <w:rPr>
                <w:rFonts w:hint="eastAsia" w:ascii="Times New Roman" w:hAnsi="Times New Roman"/>
                <w:bCs/>
                <w:snapToGrid w:val="0"/>
                <w:color w:val="000000"/>
              </w:rPr>
              <w:t>≤</w:t>
            </w:r>
            <w:r>
              <w:rPr>
                <w:rFonts w:ascii="Times New Roman" w:hAnsi="Times New Roman"/>
                <w:bCs/>
                <w:snapToGrid w:val="0"/>
                <w:color w:val="000000"/>
              </w:rPr>
              <w:t>10</w:t>
            </w:r>
            <w:r>
              <w:rPr>
                <w:rFonts w:ascii="Times New Roman" w:hAnsi="Times New Roman"/>
                <w:bCs/>
                <w:snapToGrid w:val="0"/>
                <w:color w:val="000000"/>
                <w:vertAlign w:val="superscript"/>
              </w:rPr>
              <w:t>-</w:t>
            </w:r>
            <w:r>
              <w:rPr>
                <w:rFonts w:hint="eastAsia" w:ascii="Times New Roman" w:hAnsi="Times New Roman"/>
                <w:bCs/>
                <w:snapToGrid w:val="0"/>
                <w:color w:val="000000"/>
                <w:vertAlign w:val="superscript"/>
              </w:rPr>
              <w:t>10</w:t>
            </w:r>
            <w:r>
              <w:rPr>
                <w:rFonts w:ascii="Times New Roman" w:hAnsi="Times New Roman"/>
                <w:bCs/>
                <w:snapToGrid w:val="0"/>
                <w:color w:val="000000"/>
              </w:rPr>
              <w:t>cm/s，敷设耐腐蚀的材料硬化地面，且表面无裂隙。其余院区地面均为一般防渗，一般污染防治区</w:t>
            </w:r>
            <w:r>
              <w:rPr>
                <w:rFonts w:hint="eastAsia" w:ascii="Times New Roman" w:hAnsi="Times New Roman"/>
                <w:bCs/>
                <w:snapToGrid w:val="0"/>
                <w:color w:val="000000"/>
              </w:rPr>
              <w:t>：</w:t>
            </w:r>
            <w:r>
              <w:rPr>
                <w:rFonts w:ascii="Times New Roman" w:hAnsi="Times New Roman"/>
                <w:bCs/>
                <w:snapToGrid w:val="0"/>
                <w:color w:val="000000"/>
              </w:rPr>
              <w:t>采用厚度20cmP4等级混凝土，确保渗透系数K</w:t>
            </w:r>
            <w:r>
              <w:rPr>
                <w:rFonts w:hint="eastAsia" w:ascii="Times New Roman" w:hAnsi="Times New Roman"/>
                <w:bCs/>
                <w:snapToGrid w:val="0"/>
                <w:color w:val="000000"/>
              </w:rPr>
              <w:t>≤</w:t>
            </w:r>
            <w:r>
              <w:rPr>
                <w:rFonts w:ascii="Times New Roman" w:hAnsi="Times New Roman"/>
                <w:bCs/>
                <w:snapToGrid w:val="0"/>
                <w:color w:val="000000"/>
              </w:rPr>
              <w:t>1.0×10</w:t>
            </w:r>
            <w:r>
              <w:rPr>
                <w:rFonts w:ascii="Times New Roman" w:hAnsi="Times New Roman"/>
                <w:bCs/>
                <w:snapToGrid w:val="0"/>
                <w:color w:val="000000"/>
                <w:vertAlign w:val="superscript"/>
              </w:rPr>
              <w:t>-7</w:t>
            </w:r>
            <w:r>
              <w:rPr>
                <w:rFonts w:ascii="Times New Roman" w:hAnsi="Times New Roman"/>
                <w:bCs/>
                <w:snapToGrid w:val="0"/>
                <w:color w:val="000000"/>
              </w:rPr>
              <w:t>cm/s。</w:t>
            </w:r>
          </w:p>
          <w:p w14:paraId="0FD28988">
            <w:pPr>
              <w:pStyle w:val="24"/>
              <w:ind w:firstLine="480"/>
              <w:rPr>
                <w:rFonts w:ascii="Times New Roman" w:hAnsi="Times New Roman"/>
                <w:bCs/>
                <w:snapToGrid w:val="0"/>
                <w:color w:val="000000"/>
              </w:rPr>
            </w:pPr>
            <w:r>
              <w:rPr>
                <w:rFonts w:ascii="Times New Roman" w:hAnsi="Times New Roman"/>
                <w:bCs/>
                <w:snapToGrid w:val="0"/>
                <w:color w:val="000000"/>
              </w:rPr>
              <w:t>采取以上措施后正常状态下，医院内的地表与地下的水力联系基本被切断，污染物不会规模性渗入地下水。</w:t>
            </w:r>
          </w:p>
          <w:p w14:paraId="1AF2D863">
            <w:pPr>
              <w:adjustRightInd w:val="0"/>
              <w:snapToGrid w:val="0"/>
              <w:spacing w:line="360" w:lineRule="auto"/>
              <w:rPr>
                <w:b/>
                <w:color w:val="000000"/>
                <w:sz w:val="24"/>
                <w:szCs w:val="24"/>
              </w:rPr>
            </w:pPr>
            <w:r>
              <w:rPr>
                <w:b/>
                <w:color w:val="000000"/>
                <w:sz w:val="24"/>
                <w:szCs w:val="24"/>
              </w:rPr>
              <w:t>6 环境风险</w:t>
            </w:r>
          </w:p>
          <w:p w14:paraId="7164075B">
            <w:pPr>
              <w:adjustRightInd w:val="0"/>
              <w:snapToGrid w:val="0"/>
              <w:spacing w:line="360" w:lineRule="auto"/>
              <w:ind w:firstLine="480" w:firstLineChars="200"/>
              <w:rPr>
                <w:bCs/>
                <w:color w:val="000000"/>
                <w:sz w:val="24"/>
                <w:szCs w:val="24"/>
                <w:u w:val="single"/>
              </w:rPr>
            </w:pPr>
            <w:r>
              <w:rPr>
                <w:bCs/>
                <w:color w:val="000000"/>
                <w:sz w:val="24"/>
                <w:szCs w:val="24"/>
                <w:u w:val="single"/>
              </w:rPr>
              <w:t>（1）环境风险识别内容</w:t>
            </w:r>
          </w:p>
          <w:p w14:paraId="257B3382">
            <w:pPr>
              <w:adjustRightInd w:val="0"/>
              <w:snapToGrid w:val="0"/>
              <w:spacing w:line="360" w:lineRule="auto"/>
              <w:ind w:firstLine="480" w:firstLineChars="200"/>
              <w:rPr>
                <w:bCs/>
                <w:color w:val="000000"/>
                <w:sz w:val="24"/>
                <w:szCs w:val="24"/>
                <w:u w:val="single"/>
              </w:rPr>
            </w:pPr>
            <w:r>
              <w:rPr>
                <w:bCs/>
                <w:color w:val="000000"/>
                <w:sz w:val="24"/>
                <w:szCs w:val="24"/>
                <w:u w:val="single"/>
              </w:rPr>
              <w:t>环境风险识别主要包括物质危险性识别、生产系统危险性识别和危险物质向环境转移的途径识别。</w:t>
            </w:r>
          </w:p>
          <w:p w14:paraId="0273C90A">
            <w:pPr>
              <w:adjustRightInd w:val="0"/>
              <w:snapToGrid w:val="0"/>
              <w:spacing w:line="360" w:lineRule="auto"/>
              <w:ind w:firstLine="480" w:firstLineChars="200"/>
              <w:rPr>
                <w:rFonts w:hint="eastAsia" w:eastAsia="宋体"/>
                <w:bCs/>
                <w:color w:val="000000"/>
                <w:sz w:val="24"/>
                <w:szCs w:val="24"/>
                <w:u w:val="single"/>
                <w:lang w:eastAsia="zh-CN"/>
              </w:rPr>
            </w:pPr>
            <w:r>
              <w:rPr>
                <w:rFonts w:hint="eastAsia"/>
                <w:bCs/>
                <w:color w:val="000000"/>
                <w:sz w:val="24"/>
                <w:szCs w:val="24"/>
                <w:u w:val="single"/>
              </w:rPr>
              <w:t>（2）环境风险</w:t>
            </w:r>
            <w:r>
              <w:rPr>
                <w:rFonts w:hint="eastAsia"/>
                <w:bCs/>
                <w:color w:val="000000"/>
                <w:sz w:val="24"/>
                <w:szCs w:val="24"/>
                <w:u w:val="single"/>
                <w:lang w:val="en-US" w:eastAsia="zh-CN"/>
              </w:rPr>
              <w:t>识别</w:t>
            </w:r>
          </w:p>
          <w:p w14:paraId="2EF42AB3">
            <w:pPr>
              <w:adjustRightInd w:val="0"/>
              <w:snapToGrid w:val="0"/>
              <w:spacing w:line="360" w:lineRule="auto"/>
              <w:ind w:firstLine="480" w:firstLineChars="200"/>
              <w:rPr>
                <w:bCs/>
                <w:color w:val="000000"/>
                <w:sz w:val="24"/>
                <w:szCs w:val="24"/>
                <w:u w:val="single"/>
              </w:rPr>
            </w:pPr>
            <w:r>
              <w:rPr>
                <w:bCs/>
                <w:color w:val="000000"/>
                <w:sz w:val="24"/>
                <w:szCs w:val="24"/>
                <w:u w:val="single"/>
              </w:rPr>
              <w:fldChar w:fldCharType="begin"/>
            </w:r>
            <w:r>
              <w:rPr>
                <w:bCs/>
                <w:color w:val="000000"/>
                <w:sz w:val="24"/>
                <w:szCs w:val="24"/>
                <w:u w:val="single"/>
              </w:rPr>
              <w:instrText xml:space="preserve"> = 1 \* GB3 </w:instrText>
            </w:r>
            <w:r>
              <w:rPr>
                <w:bCs/>
                <w:color w:val="000000"/>
                <w:sz w:val="24"/>
                <w:szCs w:val="24"/>
                <w:u w:val="single"/>
              </w:rPr>
              <w:fldChar w:fldCharType="separate"/>
            </w:r>
            <w:r>
              <w:rPr>
                <w:rFonts w:hint="eastAsia" w:ascii="宋体" w:hAnsi="宋体" w:cs="宋体"/>
                <w:bCs/>
                <w:color w:val="000000"/>
                <w:sz w:val="24"/>
                <w:szCs w:val="24"/>
                <w:u w:val="single"/>
              </w:rPr>
              <w:t>①</w:t>
            </w:r>
            <w:r>
              <w:rPr>
                <w:bCs/>
                <w:color w:val="000000"/>
                <w:sz w:val="24"/>
                <w:szCs w:val="24"/>
                <w:u w:val="single"/>
              </w:rPr>
              <w:fldChar w:fldCharType="end"/>
            </w:r>
            <w:r>
              <w:rPr>
                <w:bCs/>
                <w:color w:val="000000"/>
                <w:sz w:val="24"/>
                <w:szCs w:val="24"/>
                <w:u w:val="single"/>
              </w:rPr>
              <w:t>物质危险性识别</w:t>
            </w:r>
          </w:p>
          <w:p w14:paraId="6816D2FE">
            <w:pPr>
              <w:adjustRightInd w:val="0"/>
              <w:snapToGrid w:val="0"/>
              <w:spacing w:line="360" w:lineRule="auto"/>
              <w:ind w:firstLine="480" w:firstLineChars="200"/>
              <w:rPr>
                <w:bCs/>
                <w:color w:val="000000"/>
                <w:sz w:val="24"/>
                <w:szCs w:val="24"/>
                <w:u w:val="single"/>
              </w:rPr>
            </w:pPr>
            <w:r>
              <w:rPr>
                <w:rFonts w:hint="eastAsia"/>
                <w:bCs/>
                <w:color w:val="000000"/>
                <w:sz w:val="24"/>
                <w:szCs w:val="24"/>
                <w:u w:val="single"/>
              </w:rPr>
              <w:t>根据《建设项目环境风险评价技术导则》(HJ169-2018)，计算所涉及的项目涉及的突然环境事件风险物质的最大存在总量与其在附录B中对应临界量的比值Q。</w:t>
            </w:r>
          </w:p>
          <w:p w14:paraId="4EA9536F">
            <w:pPr>
              <w:adjustRightInd w:val="0"/>
              <w:snapToGrid w:val="0"/>
              <w:spacing w:line="360" w:lineRule="auto"/>
              <w:ind w:firstLine="480" w:firstLineChars="200"/>
              <w:rPr>
                <w:bCs/>
                <w:color w:val="000000"/>
                <w:sz w:val="24"/>
                <w:szCs w:val="24"/>
                <w:u w:val="single"/>
              </w:rPr>
            </w:pPr>
            <w:r>
              <w:rPr>
                <w:rFonts w:hint="eastAsia"/>
                <w:bCs/>
                <w:color w:val="000000"/>
                <w:sz w:val="24"/>
                <w:szCs w:val="24"/>
                <w:u w:val="single"/>
              </w:rPr>
              <w:t>当只涉及一种危险物质时，计算该物质的总量与其临界量比值，即为Q；</w:t>
            </w:r>
          </w:p>
          <w:p w14:paraId="50F29826">
            <w:pPr>
              <w:adjustRightInd w:val="0"/>
              <w:snapToGrid w:val="0"/>
              <w:spacing w:line="360" w:lineRule="auto"/>
              <w:ind w:firstLine="480" w:firstLineChars="200"/>
              <w:rPr>
                <w:bCs/>
                <w:color w:val="000000"/>
                <w:sz w:val="24"/>
                <w:szCs w:val="24"/>
                <w:u w:val="single"/>
              </w:rPr>
            </w:pPr>
            <w:r>
              <w:rPr>
                <w:rFonts w:hint="eastAsia"/>
                <w:bCs/>
                <w:color w:val="000000"/>
                <w:sz w:val="24"/>
                <w:szCs w:val="24"/>
                <w:u w:val="single"/>
              </w:rPr>
              <w:t>当存在多种危险物质时，则按下式计算物质总量与其临界量比值(Q)；</w:t>
            </w:r>
          </w:p>
          <w:p w14:paraId="05C3C6F2">
            <w:pPr>
              <w:adjustRightInd w:val="0"/>
              <w:snapToGrid w:val="0"/>
              <w:spacing w:line="360" w:lineRule="auto"/>
              <w:ind w:firstLine="420" w:firstLineChars="200"/>
              <w:jc w:val="center"/>
              <w:rPr>
                <w:bCs/>
                <w:color w:val="000000"/>
                <w:sz w:val="24"/>
                <w:szCs w:val="24"/>
                <w:u w:val="single"/>
              </w:rPr>
            </w:pPr>
            <w:r>
              <w:rPr>
                <w:u w:val="single"/>
              </w:rPr>
              <w:drawing>
                <wp:inline distT="0" distB="0" distL="0" distR="0">
                  <wp:extent cx="2676525" cy="733425"/>
                  <wp:effectExtent l="0" t="0" r="0" b="0"/>
                  <wp:docPr id="2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676525" cy="733425"/>
                          </a:xfrm>
                          <a:prstGeom prst="rect">
                            <a:avLst/>
                          </a:prstGeom>
                          <a:noFill/>
                          <a:ln>
                            <a:noFill/>
                          </a:ln>
                        </pic:spPr>
                      </pic:pic>
                    </a:graphicData>
                  </a:graphic>
                </wp:inline>
              </w:drawing>
            </w:r>
          </w:p>
          <w:p w14:paraId="42B3DCEC">
            <w:pPr>
              <w:adjustRightInd w:val="0"/>
              <w:snapToGrid w:val="0"/>
              <w:spacing w:line="360" w:lineRule="auto"/>
              <w:ind w:firstLine="480" w:firstLineChars="200"/>
              <w:rPr>
                <w:bCs/>
                <w:color w:val="000000"/>
                <w:sz w:val="24"/>
                <w:szCs w:val="24"/>
                <w:u w:val="single"/>
              </w:rPr>
            </w:pPr>
            <w:r>
              <w:rPr>
                <w:rFonts w:hint="eastAsia"/>
                <w:bCs/>
                <w:color w:val="000000"/>
                <w:sz w:val="24"/>
                <w:szCs w:val="24"/>
                <w:u w:val="single"/>
              </w:rPr>
              <w:t>式中：q</w:t>
            </w:r>
            <w:r>
              <w:rPr>
                <w:rFonts w:hint="eastAsia"/>
                <w:bCs/>
                <w:color w:val="000000"/>
                <w:sz w:val="24"/>
                <w:szCs w:val="24"/>
                <w:u w:val="single"/>
                <w:vertAlign w:val="subscript"/>
              </w:rPr>
              <w:t>1</w:t>
            </w:r>
            <w:r>
              <w:rPr>
                <w:rFonts w:hint="eastAsia"/>
                <w:bCs/>
                <w:color w:val="000000"/>
                <w:sz w:val="24"/>
                <w:szCs w:val="24"/>
                <w:u w:val="single"/>
              </w:rPr>
              <w:t>，q</w:t>
            </w:r>
            <w:r>
              <w:rPr>
                <w:rFonts w:hint="eastAsia"/>
                <w:bCs/>
                <w:color w:val="000000"/>
                <w:sz w:val="24"/>
                <w:szCs w:val="24"/>
                <w:u w:val="single"/>
                <w:vertAlign w:val="subscript"/>
              </w:rPr>
              <w:t>2</w:t>
            </w:r>
            <w:r>
              <w:rPr>
                <w:rFonts w:hint="eastAsia"/>
                <w:bCs/>
                <w:color w:val="000000"/>
                <w:sz w:val="24"/>
                <w:szCs w:val="24"/>
                <w:u w:val="single"/>
              </w:rPr>
              <w:t>，…，q——每种危险物质的最大存在总量，t；</w:t>
            </w:r>
          </w:p>
          <w:p w14:paraId="092F2D9E">
            <w:pPr>
              <w:adjustRightInd w:val="0"/>
              <w:snapToGrid w:val="0"/>
              <w:spacing w:line="360" w:lineRule="auto"/>
              <w:ind w:firstLine="480" w:firstLineChars="200"/>
              <w:rPr>
                <w:bCs/>
                <w:color w:val="000000"/>
                <w:sz w:val="24"/>
                <w:szCs w:val="24"/>
                <w:u w:val="single"/>
              </w:rPr>
            </w:pPr>
            <w:r>
              <w:rPr>
                <w:rFonts w:hint="eastAsia"/>
                <w:bCs/>
                <w:color w:val="000000"/>
                <w:sz w:val="24"/>
                <w:szCs w:val="24"/>
                <w:u w:val="single"/>
              </w:rPr>
              <w:t>Q</w:t>
            </w:r>
            <w:r>
              <w:rPr>
                <w:rFonts w:hint="eastAsia"/>
                <w:bCs/>
                <w:color w:val="000000"/>
                <w:sz w:val="24"/>
                <w:szCs w:val="24"/>
                <w:u w:val="single"/>
                <w:vertAlign w:val="subscript"/>
              </w:rPr>
              <w:t>1</w:t>
            </w:r>
            <w:r>
              <w:rPr>
                <w:rFonts w:hint="eastAsia"/>
                <w:bCs/>
                <w:color w:val="000000"/>
                <w:sz w:val="24"/>
                <w:szCs w:val="24"/>
                <w:u w:val="single"/>
              </w:rPr>
              <w:t>，Q</w:t>
            </w:r>
            <w:r>
              <w:rPr>
                <w:rFonts w:hint="eastAsia"/>
                <w:bCs/>
                <w:color w:val="000000"/>
                <w:sz w:val="24"/>
                <w:szCs w:val="24"/>
                <w:u w:val="single"/>
                <w:vertAlign w:val="subscript"/>
              </w:rPr>
              <w:t>2</w:t>
            </w:r>
            <w:r>
              <w:rPr>
                <w:rFonts w:hint="eastAsia"/>
                <w:bCs/>
                <w:color w:val="000000"/>
                <w:sz w:val="24"/>
                <w:szCs w:val="24"/>
                <w:u w:val="single"/>
              </w:rPr>
              <w:t>，…，Q</w:t>
            </w:r>
            <w:r>
              <w:rPr>
                <w:rFonts w:hint="eastAsia"/>
                <w:bCs/>
                <w:color w:val="000000"/>
                <w:sz w:val="24"/>
                <w:szCs w:val="24"/>
                <w:u w:val="single"/>
                <w:vertAlign w:val="subscript"/>
              </w:rPr>
              <w:t>n</w:t>
            </w:r>
            <w:r>
              <w:rPr>
                <w:rFonts w:hint="eastAsia"/>
                <w:bCs/>
                <w:color w:val="000000"/>
                <w:sz w:val="24"/>
                <w:szCs w:val="24"/>
                <w:u w:val="single"/>
              </w:rPr>
              <w:t>——每种危险物质的临界量，t。</w:t>
            </w:r>
          </w:p>
          <w:p w14:paraId="71F5BEBE">
            <w:pPr>
              <w:adjustRightInd w:val="0"/>
              <w:snapToGrid w:val="0"/>
              <w:spacing w:line="360" w:lineRule="auto"/>
              <w:ind w:firstLine="480" w:firstLineChars="200"/>
              <w:rPr>
                <w:bCs/>
                <w:color w:val="000000"/>
                <w:sz w:val="24"/>
                <w:szCs w:val="24"/>
                <w:u w:val="single"/>
              </w:rPr>
            </w:pPr>
            <w:r>
              <w:rPr>
                <w:rFonts w:hint="eastAsia"/>
                <w:bCs/>
                <w:color w:val="000000"/>
                <w:sz w:val="24"/>
                <w:szCs w:val="24"/>
                <w:u w:val="single"/>
              </w:rPr>
              <w:t>当 Q&lt;1 时，该项目环境风险潜势为</w:t>
            </w:r>
            <w:r>
              <w:rPr>
                <w:bCs/>
                <w:sz w:val="24"/>
                <w:szCs w:val="24"/>
                <w:u w:val="single"/>
              </w:rPr>
              <w:t>I</w:t>
            </w:r>
            <w:r>
              <w:rPr>
                <w:rFonts w:hint="eastAsia"/>
                <w:bCs/>
                <w:color w:val="000000"/>
                <w:sz w:val="24"/>
                <w:szCs w:val="24"/>
                <w:u w:val="single"/>
              </w:rPr>
              <w:t>。</w:t>
            </w:r>
          </w:p>
          <w:p w14:paraId="7BA36FA3">
            <w:pPr>
              <w:adjustRightInd w:val="0"/>
              <w:snapToGrid w:val="0"/>
              <w:spacing w:line="360" w:lineRule="auto"/>
              <w:ind w:firstLine="480" w:firstLineChars="200"/>
              <w:rPr>
                <w:bCs/>
                <w:color w:val="000000"/>
                <w:sz w:val="24"/>
                <w:szCs w:val="24"/>
                <w:u w:val="single"/>
              </w:rPr>
            </w:pPr>
            <w:r>
              <w:rPr>
                <w:rFonts w:hint="eastAsia"/>
                <w:bCs/>
                <w:color w:val="000000"/>
                <w:sz w:val="24"/>
                <w:szCs w:val="24"/>
                <w:u w:val="single"/>
              </w:rPr>
              <w:t>当Q≥1 时，将Q值划分为：</w:t>
            </w:r>
            <w:r>
              <w:rPr>
                <w:bCs/>
                <w:color w:val="000000"/>
                <w:sz w:val="24"/>
                <w:szCs w:val="24"/>
                <w:u w:val="single"/>
              </w:rPr>
              <w:t>(1)1≤Q&lt;10</w:t>
            </w:r>
            <w:r>
              <w:rPr>
                <w:rFonts w:hint="eastAsia"/>
                <w:bCs/>
                <w:color w:val="000000"/>
                <w:sz w:val="24"/>
                <w:szCs w:val="24"/>
                <w:u w:val="single"/>
              </w:rPr>
              <w:t>；</w:t>
            </w:r>
            <w:r>
              <w:rPr>
                <w:bCs/>
                <w:color w:val="000000"/>
                <w:sz w:val="24"/>
                <w:szCs w:val="24"/>
                <w:u w:val="single"/>
              </w:rPr>
              <w:t>(2)10≤Q&lt;100</w:t>
            </w:r>
            <w:r>
              <w:rPr>
                <w:rFonts w:hint="eastAsia"/>
                <w:bCs/>
                <w:color w:val="000000"/>
                <w:sz w:val="24"/>
                <w:szCs w:val="24"/>
                <w:u w:val="single"/>
              </w:rPr>
              <w:t>；(3)Q&gt;100。</w:t>
            </w:r>
          </w:p>
          <w:p w14:paraId="47FEC0B7">
            <w:pPr>
              <w:adjustRightInd w:val="0"/>
              <w:snapToGrid w:val="0"/>
              <w:spacing w:line="360" w:lineRule="auto"/>
              <w:ind w:firstLine="480" w:firstLineChars="200"/>
              <w:rPr>
                <w:bCs/>
                <w:sz w:val="24"/>
                <w:szCs w:val="24"/>
                <w:u w:val="single"/>
              </w:rPr>
            </w:pPr>
            <w:r>
              <w:rPr>
                <w:rFonts w:hint="eastAsia"/>
                <w:bCs/>
                <w:color w:val="000000"/>
                <w:sz w:val="24"/>
                <w:szCs w:val="24"/>
                <w:u w:val="single"/>
              </w:rPr>
              <w:t>根据附录B中所列风险物质，结合本项目生产中使用的各种原辅材料、生产的产品以及排放的“三废”污染物，本项目危险物质数量与临界量见下表</w:t>
            </w:r>
            <w:r>
              <w:rPr>
                <w:bCs/>
                <w:sz w:val="24"/>
                <w:szCs w:val="24"/>
                <w:u w:val="single"/>
              </w:rPr>
              <w:t>所示。</w:t>
            </w:r>
          </w:p>
          <w:p w14:paraId="45A15857">
            <w:pPr>
              <w:tabs>
                <w:tab w:val="left" w:pos="2196"/>
              </w:tabs>
              <w:spacing w:line="360" w:lineRule="auto"/>
              <w:jc w:val="center"/>
              <w:rPr>
                <w:b/>
                <w:sz w:val="24"/>
                <w:szCs w:val="24"/>
                <w:u w:val="single"/>
              </w:rPr>
            </w:pPr>
          </w:p>
          <w:p w14:paraId="70BE1D73">
            <w:pPr>
              <w:tabs>
                <w:tab w:val="left" w:pos="2196"/>
              </w:tabs>
              <w:spacing w:line="360" w:lineRule="auto"/>
              <w:jc w:val="center"/>
              <w:rPr>
                <w:b/>
                <w:sz w:val="24"/>
                <w:szCs w:val="24"/>
                <w:u w:val="single"/>
              </w:rPr>
            </w:pPr>
          </w:p>
          <w:p w14:paraId="51DB1374">
            <w:pPr>
              <w:tabs>
                <w:tab w:val="left" w:pos="2196"/>
              </w:tabs>
              <w:spacing w:line="360" w:lineRule="auto"/>
              <w:jc w:val="center"/>
              <w:rPr>
                <w:b/>
                <w:sz w:val="24"/>
                <w:szCs w:val="24"/>
                <w:u w:val="single"/>
              </w:rPr>
            </w:pPr>
          </w:p>
          <w:p w14:paraId="13341A1B">
            <w:pPr>
              <w:tabs>
                <w:tab w:val="left" w:pos="2196"/>
              </w:tabs>
              <w:spacing w:line="360" w:lineRule="auto"/>
              <w:jc w:val="center"/>
              <w:rPr>
                <w:b/>
                <w:sz w:val="24"/>
                <w:szCs w:val="24"/>
                <w:u w:val="single"/>
              </w:rPr>
            </w:pPr>
            <w:r>
              <w:rPr>
                <w:b/>
                <w:sz w:val="24"/>
                <w:szCs w:val="24"/>
                <w:u w:val="single"/>
              </w:rPr>
              <w:t>表4-</w:t>
            </w:r>
            <w:r>
              <w:rPr>
                <w:rFonts w:hint="eastAsia"/>
                <w:b/>
                <w:sz w:val="24"/>
                <w:szCs w:val="24"/>
                <w:u w:val="single"/>
                <w:lang w:val="en-US" w:eastAsia="zh-CN"/>
              </w:rPr>
              <w:t>20</w:t>
            </w:r>
            <w:r>
              <w:rPr>
                <w:b/>
                <w:sz w:val="24"/>
                <w:szCs w:val="24"/>
                <w:u w:val="single"/>
              </w:rPr>
              <w:t xml:space="preserve">  项目环境风险识别一览表</w:t>
            </w:r>
          </w:p>
          <w:tbl>
            <w:tblPr>
              <w:tblStyle w:val="47"/>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94"/>
              <w:gridCol w:w="928"/>
              <w:gridCol w:w="959"/>
              <w:gridCol w:w="728"/>
              <w:gridCol w:w="942"/>
              <w:gridCol w:w="842"/>
              <w:gridCol w:w="3392"/>
            </w:tblGrid>
            <w:tr w14:paraId="06188E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9" w:hRule="atLeast"/>
                <w:tblHeader/>
                <w:jc w:val="center"/>
              </w:trPr>
              <w:tc>
                <w:tcPr>
                  <w:tcW w:w="298" w:type="pct"/>
                  <w:vAlign w:val="center"/>
                </w:tcPr>
                <w:p w14:paraId="3D6B819D">
                  <w:pPr>
                    <w:pStyle w:val="168"/>
                    <w:spacing w:after="0"/>
                    <w:ind w:firstLine="0" w:firstLineChars="0"/>
                    <w:jc w:val="center"/>
                    <w:rPr>
                      <w:b/>
                      <w:color w:val="000000" w:themeColor="text1"/>
                      <w:szCs w:val="21"/>
                      <w:u w:val="single"/>
                      <w14:textFill>
                        <w14:solidFill>
                          <w14:schemeClr w14:val="tx1"/>
                        </w14:solidFill>
                      </w14:textFill>
                    </w:rPr>
                  </w:pPr>
                  <w:r>
                    <w:rPr>
                      <w:b/>
                      <w:color w:val="000000" w:themeColor="text1"/>
                      <w:szCs w:val="21"/>
                      <w:u w:val="single"/>
                      <w14:textFill>
                        <w14:solidFill>
                          <w14:schemeClr w14:val="tx1"/>
                        </w14:solidFill>
                      </w14:textFill>
                    </w:rPr>
                    <w:t>序号</w:t>
                  </w:r>
                </w:p>
              </w:tc>
              <w:tc>
                <w:tcPr>
                  <w:tcW w:w="560" w:type="pct"/>
                  <w:vAlign w:val="center"/>
                </w:tcPr>
                <w:p w14:paraId="5053EAF0">
                  <w:pPr>
                    <w:pStyle w:val="168"/>
                    <w:spacing w:after="0"/>
                    <w:ind w:firstLine="0" w:firstLineChars="0"/>
                    <w:jc w:val="center"/>
                    <w:rPr>
                      <w:b/>
                      <w:color w:val="000000" w:themeColor="text1"/>
                      <w:szCs w:val="21"/>
                      <w:u w:val="single"/>
                      <w14:textFill>
                        <w14:solidFill>
                          <w14:schemeClr w14:val="tx1"/>
                        </w14:solidFill>
                      </w14:textFill>
                    </w:rPr>
                  </w:pPr>
                  <w:r>
                    <w:rPr>
                      <w:b/>
                      <w:color w:val="000000" w:themeColor="text1"/>
                      <w:szCs w:val="21"/>
                      <w:u w:val="single"/>
                      <w14:textFill>
                        <w14:solidFill>
                          <w14:schemeClr w14:val="tx1"/>
                        </w14:solidFill>
                      </w14:textFill>
                    </w:rPr>
                    <w:t>名称</w:t>
                  </w:r>
                </w:p>
              </w:tc>
              <w:tc>
                <w:tcPr>
                  <w:tcW w:w="578" w:type="pct"/>
                  <w:vAlign w:val="center"/>
                </w:tcPr>
                <w:p w14:paraId="3830659B">
                  <w:pPr>
                    <w:pStyle w:val="168"/>
                    <w:spacing w:after="0"/>
                    <w:ind w:firstLine="0" w:firstLineChars="0"/>
                    <w:jc w:val="center"/>
                    <w:rPr>
                      <w:b/>
                      <w:color w:val="000000" w:themeColor="text1"/>
                      <w:szCs w:val="21"/>
                      <w:u w:val="single"/>
                      <w14:textFill>
                        <w14:solidFill>
                          <w14:schemeClr w14:val="tx1"/>
                        </w14:solidFill>
                      </w14:textFill>
                    </w:rPr>
                  </w:pPr>
                  <w:r>
                    <w:rPr>
                      <w:b/>
                      <w:color w:val="000000" w:themeColor="text1"/>
                      <w:szCs w:val="21"/>
                      <w:u w:val="single"/>
                      <w14:textFill>
                        <w14:solidFill>
                          <w14:schemeClr w14:val="tx1"/>
                        </w14:solidFill>
                      </w14:textFill>
                    </w:rPr>
                    <w:t>最大</w:t>
                  </w:r>
                  <w:r>
                    <w:rPr>
                      <w:rFonts w:hint="eastAsia"/>
                      <w:b/>
                      <w:color w:val="000000" w:themeColor="text1"/>
                      <w:szCs w:val="21"/>
                      <w:u w:val="single"/>
                      <w14:textFill>
                        <w14:solidFill>
                          <w14:schemeClr w14:val="tx1"/>
                        </w14:solidFill>
                      </w14:textFill>
                    </w:rPr>
                    <w:t>储存</w:t>
                  </w:r>
                  <w:r>
                    <w:rPr>
                      <w:b/>
                      <w:color w:val="000000" w:themeColor="text1"/>
                      <w:szCs w:val="21"/>
                      <w:u w:val="single"/>
                      <w14:textFill>
                        <w14:solidFill>
                          <w14:schemeClr w14:val="tx1"/>
                        </w14:solidFill>
                      </w14:textFill>
                    </w:rPr>
                    <w:t>量t/a</w:t>
                  </w:r>
                </w:p>
              </w:tc>
              <w:tc>
                <w:tcPr>
                  <w:tcW w:w="439" w:type="pct"/>
                  <w:vAlign w:val="center"/>
                </w:tcPr>
                <w:p w14:paraId="6B40F20C">
                  <w:pPr>
                    <w:pStyle w:val="168"/>
                    <w:spacing w:after="0"/>
                    <w:ind w:firstLine="0" w:firstLineChars="0"/>
                    <w:jc w:val="center"/>
                    <w:rPr>
                      <w:b/>
                      <w:color w:val="000000" w:themeColor="text1"/>
                      <w:szCs w:val="21"/>
                      <w:u w:val="single"/>
                      <w14:textFill>
                        <w14:solidFill>
                          <w14:schemeClr w14:val="tx1"/>
                        </w14:solidFill>
                      </w14:textFill>
                    </w:rPr>
                  </w:pPr>
                  <w:r>
                    <w:rPr>
                      <w:b/>
                      <w:color w:val="000000" w:themeColor="text1"/>
                      <w:szCs w:val="21"/>
                      <w:u w:val="single"/>
                      <w14:textFill>
                        <w14:solidFill>
                          <w14:schemeClr w14:val="tx1"/>
                        </w14:solidFill>
                      </w14:textFill>
                    </w:rPr>
                    <w:t>临界</w:t>
                  </w:r>
                  <w:r>
                    <w:rPr>
                      <w:rFonts w:hint="eastAsia"/>
                      <w:b/>
                      <w:color w:val="000000" w:themeColor="text1"/>
                      <w:szCs w:val="21"/>
                      <w:u w:val="single"/>
                      <w14:textFill>
                        <w14:solidFill>
                          <w14:schemeClr w14:val="tx1"/>
                        </w14:solidFill>
                      </w14:textFill>
                    </w:rPr>
                    <w:t>量t</w:t>
                  </w:r>
                </w:p>
              </w:tc>
              <w:tc>
                <w:tcPr>
                  <w:tcW w:w="568" w:type="pct"/>
                  <w:vAlign w:val="center"/>
                </w:tcPr>
                <w:p w14:paraId="69E49051">
                  <w:pPr>
                    <w:pStyle w:val="168"/>
                    <w:spacing w:after="0"/>
                    <w:ind w:firstLine="0" w:firstLineChars="0"/>
                    <w:jc w:val="center"/>
                    <w:rPr>
                      <w:b/>
                      <w:color w:val="000000" w:themeColor="text1"/>
                      <w:szCs w:val="21"/>
                      <w:u w:val="single"/>
                      <w14:textFill>
                        <w14:solidFill>
                          <w14:schemeClr w14:val="tx1"/>
                        </w14:solidFill>
                      </w14:textFill>
                    </w:rPr>
                  </w:pPr>
                  <w:r>
                    <w:rPr>
                      <w:b/>
                      <w:color w:val="000000" w:themeColor="text1"/>
                      <w:szCs w:val="21"/>
                      <w:u w:val="single"/>
                      <w14:textFill>
                        <w14:solidFill>
                          <w14:schemeClr w14:val="tx1"/>
                        </w14:solidFill>
                      </w14:textFill>
                    </w:rPr>
                    <w:t>临界值比值Q</w:t>
                  </w:r>
                </w:p>
              </w:tc>
              <w:tc>
                <w:tcPr>
                  <w:tcW w:w="508" w:type="pct"/>
                  <w:vAlign w:val="center"/>
                </w:tcPr>
                <w:p w14:paraId="559DEB68">
                  <w:pPr>
                    <w:pStyle w:val="168"/>
                    <w:spacing w:after="0"/>
                    <w:ind w:firstLine="0" w:firstLineChars="0"/>
                    <w:jc w:val="center"/>
                    <w:rPr>
                      <w:b/>
                      <w:color w:val="000000" w:themeColor="text1"/>
                      <w:szCs w:val="21"/>
                      <w:u w:val="single"/>
                      <w14:textFill>
                        <w14:solidFill>
                          <w14:schemeClr w14:val="tx1"/>
                        </w14:solidFill>
                      </w14:textFill>
                    </w:rPr>
                  </w:pPr>
                  <w:r>
                    <w:rPr>
                      <w:b/>
                      <w:color w:val="000000" w:themeColor="text1"/>
                      <w:szCs w:val="21"/>
                      <w:u w:val="single"/>
                      <w14:textFill>
                        <w14:solidFill>
                          <w14:schemeClr w14:val="tx1"/>
                        </w14:solidFill>
                      </w14:textFill>
                    </w:rPr>
                    <w:t>环境风险类型</w:t>
                  </w:r>
                </w:p>
              </w:tc>
              <w:tc>
                <w:tcPr>
                  <w:tcW w:w="2047" w:type="pct"/>
                  <w:vAlign w:val="center"/>
                </w:tcPr>
                <w:p w14:paraId="192E61FD">
                  <w:pPr>
                    <w:pStyle w:val="168"/>
                    <w:spacing w:after="0"/>
                    <w:ind w:firstLine="0" w:firstLineChars="0"/>
                    <w:jc w:val="center"/>
                    <w:rPr>
                      <w:b/>
                      <w:color w:val="000000" w:themeColor="text1"/>
                      <w:szCs w:val="21"/>
                      <w:u w:val="single"/>
                      <w14:textFill>
                        <w14:solidFill>
                          <w14:schemeClr w14:val="tx1"/>
                        </w14:solidFill>
                      </w14:textFill>
                    </w:rPr>
                  </w:pPr>
                  <w:r>
                    <w:rPr>
                      <w:b/>
                      <w:color w:val="000000" w:themeColor="text1"/>
                      <w:szCs w:val="21"/>
                      <w:u w:val="single"/>
                      <w14:textFill>
                        <w14:solidFill>
                          <w14:schemeClr w14:val="tx1"/>
                        </w14:solidFill>
                      </w14:textFill>
                    </w:rPr>
                    <w:t>环境风险防范措施</w:t>
                  </w:r>
                </w:p>
              </w:tc>
            </w:tr>
            <w:tr w14:paraId="5F719F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98" w:type="pct"/>
                  <w:vAlign w:val="center"/>
                </w:tcPr>
                <w:p w14:paraId="03DE689F">
                  <w:pPr>
                    <w:pStyle w:val="17"/>
                    <w:spacing w:after="0"/>
                    <w:ind w:firstLine="0" w:firstLineChars="0"/>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1</w:t>
                  </w:r>
                </w:p>
              </w:tc>
              <w:tc>
                <w:tcPr>
                  <w:tcW w:w="560" w:type="pct"/>
                  <w:vAlign w:val="center"/>
                </w:tcPr>
                <w:p w14:paraId="280673E2">
                  <w:pPr>
                    <w:jc w:val="center"/>
                    <w:rPr>
                      <w:color w:val="000000" w:themeColor="text1"/>
                      <w:szCs w:val="21"/>
                      <w:u w:val="single"/>
                      <w14:textFill>
                        <w14:solidFill>
                          <w14:schemeClr w14:val="tx1"/>
                        </w14:solidFill>
                      </w14:textFill>
                    </w:rPr>
                  </w:pPr>
                  <w:r>
                    <w:rPr>
                      <w:color w:val="000000" w:themeColor="text1"/>
                      <w:szCs w:val="21"/>
                      <w:u w:val="single"/>
                      <w14:textFill>
                        <w14:solidFill>
                          <w14:schemeClr w14:val="tx1"/>
                        </w14:solidFill>
                      </w14:textFill>
                    </w:rPr>
                    <w:t>84消毒液</w:t>
                  </w:r>
                </w:p>
              </w:tc>
              <w:tc>
                <w:tcPr>
                  <w:tcW w:w="578" w:type="pct"/>
                  <w:vAlign w:val="center"/>
                </w:tcPr>
                <w:p w14:paraId="211D0B8F">
                  <w:pPr>
                    <w:pStyle w:val="17"/>
                    <w:spacing w:after="0"/>
                    <w:ind w:firstLine="0" w:firstLineChars="0"/>
                    <w:jc w:val="center"/>
                    <w:rPr>
                      <w:rFonts w:hint="default" w:eastAsia="宋体"/>
                      <w:color w:val="000000" w:themeColor="text1"/>
                      <w:szCs w:val="21"/>
                      <w:u w:val="single"/>
                      <w:lang w:val="en-US"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0.54</w:t>
                  </w:r>
                </w:p>
              </w:tc>
              <w:tc>
                <w:tcPr>
                  <w:tcW w:w="439" w:type="pct"/>
                  <w:vAlign w:val="center"/>
                </w:tcPr>
                <w:p w14:paraId="4FA065CB">
                  <w:pPr>
                    <w:pStyle w:val="17"/>
                    <w:spacing w:after="0"/>
                    <w:ind w:firstLine="0" w:firstLineChars="0"/>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5</w:t>
                  </w:r>
                </w:p>
              </w:tc>
              <w:tc>
                <w:tcPr>
                  <w:tcW w:w="568" w:type="pct"/>
                  <w:vAlign w:val="center"/>
                </w:tcPr>
                <w:p w14:paraId="5ABC0418">
                  <w:pPr>
                    <w:pStyle w:val="17"/>
                    <w:spacing w:after="0"/>
                    <w:ind w:firstLine="0" w:firstLineChars="0"/>
                    <w:jc w:val="center"/>
                    <w:rPr>
                      <w:rFonts w:hint="default" w:eastAsia="宋体"/>
                      <w:color w:val="000000" w:themeColor="text1"/>
                      <w:szCs w:val="21"/>
                      <w:u w:val="single"/>
                      <w:lang w:val="en-US"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0.108</w:t>
                  </w:r>
                </w:p>
              </w:tc>
              <w:tc>
                <w:tcPr>
                  <w:tcW w:w="508" w:type="pct"/>
                  <w:vAlign w:val="center"/>
                </w:tcPr>
                <w:p w14:paraId="4ED5BBD4">
                  <w:pPr>
                    <w:pStyle w:val="17"/>
                    <w:spacing w:after="0"/>
                    <w:ind w:firstLine="0" w:firstLineChars="0"/>
                    <w:jc w:val="center"/>
                    <w:rPr>
                      <w:color w:val="000000" w:themeColor="text1"/>
                      <w:szCs w:val="21"/>
                      <w:u w:val="single"/>
                      <w14:textFill>
                        <w14:solidFill>
                          <w14:schemeClr w14:val="tx1"/>
                        </w14:solidFill>
                      </w14:textFill>
                    </w:rPr>
                  </w:pPr>
                  <w:r>
                    <w:rPr>
                      <w:rFonts w:ascii="宋体" w:hAnsi="宋体" w:cs="宋体"/>
                      <w:color w:val="000000" w:themeColor="text1"/>
                      <w:szCs w:val="21"/>
                      <w:u w:val="single"/>
                      <w14:textFill>
                        <w14:solidFill>
                          <w14:schemeClr w14:val="tx1"/>
                        </w14:solidFill>
                      </w14:textFill>
                    </w:rPr>
                    <w:t>泄漏</w:t>
                  </w:r>
                </w:p>
              </w:tc>
              <w:tc>
                <w:tcPr>
                  <w:tcW w:w="2047" w:type="pct"/>
                  <w:vAlign w:val="center"/>
                </w:tcPr>
                <w:p w14:paraId="5A4FCEE5">
                  <w:pPr>
                    <w:pStyle w:val="17"/>
                    <w:spacing w:after="0"/>
                    <w:ind w:firstLine="0" w:firstLineChars="0"/>
                    <w:rPr>
                      <w:color w:val="000000" w:themeColor="text1"/>
                      <w:szCs w:val="21"/>
                      <w:u w:val="single"/>
                      <w14:textFill>
                        <w14:solidFill>
                          <w14:schemeClr w14:val="tx1"/>
                        </w14:solidFill>
                      </w14:textFill>
                    </w:rPr>
                  </w:pPr>
                  <w:r>
                    <w:rPr>
                      <w:color w:val="000000" w:themeColor="text1"/>
                      <w:szCs w:val="21"/>
                      <w:u w:val="single"/>
                      <w14:textFill>
                        <w14:solidFill>
                          <w14:schemeClr w14:val="tx1"/>
                        </w14:solidFill>
                      </w14:textFill>
                    </w:rPr>
                    <w:t>1.泄漏后应迅速撤离泄漏污染区人员至安全区，并进行隔离，严格限制出入。</w:t>
                  </w:r>
                </w:p>
                <w:p w14:paraId="478433CA">
                  <w:pPr>
                    <w:pStyle w:val="17"/>
                    <w:spacing w:after="0"/>
                    <w:ind w:firstLine="0" w:firstLineChars="0"/>
                    <w:rPr>
                      <w:color w:val="000000" w:themeColor="text1"/>
                      <w:szCs w:val="21"/>
                      <w:u w:val="single"/>
                      <w14:textFill>
                        <w14:solidFill>
                          <w14:schemeClr w14:val="tx1"/>
                        </w14:solidFill>
                      </w14:textFill>
                    </w:rPr>
                  </w:pPr>
                  <w:r>
                    <w:rPr>
                      <w:color w:val="000000" w:themeColor="text1"/>
                      <w:szCs w:val="21"/>
                      <w:u w:val="single"/>
                      <w14:textFill>
                        <w14:solidFill>
                          <w14:schemeClr w14:val="tx1"/>
                        </w14:solidFill>
                      </w14:textFill>
                    </w:rPr>
                    <w:t>2.尽可能切泄漏源，防止进入下水道、排洪沟等限制性空间。</w:t>
                  </w:r>
                </w:p>
              </w:tc>
            </w:tr>
            <w:tr w14:paraId="4C021A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98" w:type="pct"/>
                  <w:vAlign w:val="center"/>
                </w:tcPr>
                <w:p w14:paraId="52B3031F">
                  <w:pPr>
                    <w:pStyle w:val="17"/>
                    <w:spacing w:after="0"/>
                    <w:ind w:firstLine="0" w:firstLineChars="0"/>
                    <w:jc w:val="center"/>
                    <w:rPr>
                      <w:rFonts w:hint="eastAsia" w:eastAsia="宋体"/>
                      <w:color w:val="000000" w:themeColor="text1"/>
                      <w:szCs w:val="21"/>
                      <w:u w:val="single"/>
                      <w:lang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2</w:t>
                  </w:r>
                </w:p>
              </w:tc>
              <w:tc>
                <w:tcPr>
                  <w:tcW w:w="560" w:type="pct"/>
                  <w:vAlign w:val="center"/>
                </w:tcPr>
                <w:p w14:paraId="47F17C93">
                  <w:pPr>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云氧药剂</w:t>
                  </w:r>
                </w:p>
              </w:tc>
              <w:tc>
                <w:tcPr>
                  <w:tcW w:w="578" w:type="pct"/>
                  <w:vAlign w:val="center"/>
                </w:tcPr>
                <w:p w14:paraId="43340194">
                  <w:pPr>
                    <w:pStyle w:val="17"/>
                    <w:spacing w:after="0"/>
                    <w:ind w:firstLine="0" w:firstLineChars="0"/>
                    <w:jc w:val="center"/>
                    <w:rPr>
                      <w:rFonts w:hint="default" w:eastAsia="宋体"/>
                      <w:color w:val="000000" w:themeColor="text1"/>
                      <w:szCs w:val="21"/>
                      <w:u w:val="single"/>
                      <w:lang w:val="en-US"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0.05</w:t>
                  </w:r>
                </w:p>
              </w:tc>
              <w:tc>
                <w:tcPr>
                  <w:tcW w:w="439" w:type="pct"/>
                  <w:vAlign w:val="center"/>
                </w:tcPr>
                <w:p w14:paraId="274A775B">
                  <w:pPr>
                    <w:pStyle w:val="17"/>
                    <w:spacing w:after="0"/>
                    <w:ind w:firstLine="0" w:firstLineChars="0"/>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50</w:t>
                  </w:r>
                </w:p>
              </w:tc>
              <w:tc>
                <w:tcPr>
                  <w:tcW w:w="568" w:type="pct"/>
                  <w:vAlign w:val="center"/>
                </w:tcPr>
                <w:p w14:paraId="6CDAE969">
                  <w:pPr>
                    <w:pStyle w:val="17"/>
                    <w:spacing w:after="0"/>
                    <w:ind w:firstLine="0" w:firstLineChars="0"/>
                    <w:jc w:val="center"/>
                    <w:rPr>
                      <w:rFonts w:hint="eastAsia" w:eastAsia="宋体"/>
                      <w:color w:val="000000" w:themeColor="text1"/>
                      <w:szCs w:val="21"/>
                      <w:u w:val="single"/>
                      <w:lang w:eastAsia="zh-CN"/>
                      <w14:textFill>
                        <w14:solidFill>
                          <w14:schemeClr w14:val="tx1"/>
                        </w14:solidFill>
                      </w14:textFill>
                    </w:rPr>
                  </w:pPr>
                  <w:r>
                    <w:rPr>
                      <w:rFonts w:hint="eastAsia"/>
                      <w:color w:val="000000" w:themeColor="text1"/>
                      <w:szCs w:val="21"/>
                      <w:u w:val="single"/>
                      <w14:textFill>
                        <w14:solidFill>
                          <w14:schemeClr w14:val="tx1"/>
                        </w14:solidFill>
                      </w14:textFill>
                    </w:rPr>
                    <w:t>0.00</w:t>
                  </w:r>
                  <w:r>
                    <w:rPr>
                      <w:rFonts w:hint="eastAsia"/>
                      <w:color w:val="000000" w:themeColor="text1"/>
                      <w:szCs w:val="21"/>
                      <w:u w:val="single"/>
                      <w:lang w:val="en-US" w:eastAsia="zh-CN"/>
                      <w14:textFill>
                        <w14:solidFill>
                          <w14:schemeClr w14:val="tx1"/>
                        </w14:solidFill>
                      </w14:textFill>
                    </w:rPr>
                    <w:t>1</w:t>
                  </w:r>
                </w:p>
              </w:tc>
              <w:tc>
                <w:tcPr>
                  <w:tcW w:w="508" w:type="pct"/>
                  <w:vAlign w:val="center"/>
                </w:tcPr>
                <w:p w14:paraId="5439D11C">
                  <w:pPr>
                    <w:pStyle w:val="17"/>
                    <w:spacing w:after="0"/>
                    <w:ind w:firstLine="0" w:firstLineChars="0"/>
                    <w:jc w:val="center"/>
                    <w:rPr>
                      <w:color w:val="000000" w:themeColor="text1"/>
                      <w:szCs w:val="21"/>
                      <w:u w:val="single"/>
                      <w14:textFill>
                        <w14:solidFill>
                          <w14:schemeClr w14:val="tx1"/>
                        </w14:solidFill>
                      </w14:textFill>
                    </w:rPr>
                  </w:pPr>
                  <w:r>
                    <w:rPr>
                      <w:rFonts w:hint="eastAsia"/>
                      <w:color w:val="000000" w:themeColor="text1"/>
                      <w:u w:val="single"/>
                      <w14:textFill>
                        <w14:solidFill>
                          <w14:schemeClr w14:val="tx1"/>
                        </w14:solidFill>
                      </w14:textFill>
                    </w:rPr>
                    <w:t>泄漏</w:t>
                  </w:r>
                </w:p>
              </w:tc>
              <w:tc>
                <w:tcPr>
                  <w:tcW w:w="2047" w:type="pct"/>
                  <w:vAlign w:val="center"/>
                </w:tcPr>
                <w:p w14:paraId="62A0E113">
                  <w:pPr>
                    <w:pStyle w:val="17"/>
                    <w:spacing w:after="0"/>
                    <w:ind w:firstLine="0" w:firstLineChars="0"/>
                    <w:rPr>
                      <w:color w:val="000000" w:themeColor="text1"/>
                      <w:szCs w:val="21"/>
                      <w:u w:val="single"/>
                      <w14:textFill>
                        <w14:solidFill>
                          <w14:schemeClr w14:val="tx1"/>
                        </w14:solidFill>
                      </w14:textFill>
                    </w:rPr>
                  </w:pPr>
                  <w:r>
                    <w:rPr>
                      <w:color w:val="000000" w:themeColor="text1"/>
                      <w:szCs w:val="21"/>
                      <w:u w:val="single"/>
                      <w14:textFill>
                        <w14:solidFill>
                          <w14:schemeClr w14:val="tx1"/>
                        </w14:solidFill>
                      </w14:textFill>
                    </w:rPr>
                    <w:t>1.发现泄漏及时清扫收集。</w:t>
                  </w:r>
                </w:p>
                <w:p w14:paraId="178CC342">
                  <w:pPr>
                    <w:pStyle w:val="17"/>
                    <w:spacing w:after="0"/>
                    <w:ind w:firstLine="0" w:firstLineChars="0"/>
                    <w:rPr>
                      <w:color w:val="000000" w:themeColor="text1"/>
                      <w:szCs w:val="21"/>
                      <w:u w:val="single"/>
                      <w14:textFill>
                        <w14:solidFill>
                          <w14:schemeClr w14:val="tx1"/>
                        </w14:solidFill>
                      </w14:textFill>
                    </w:rPr>
                  </w:pPr>
                  <w:r>
                    <w:rPr>
                      <w:color w:val="000000" w:themeColor="text1"/>
                      <w:szCs w:val="21"/>
                      <w:u w:val="single"/>
                      <w14:textFill>
                        <w14:solidFill>
                          <w14:schemeClr w14:val="tx1"/>
                        </w14:solidFill>
                      </w14:textFill>
                    </w:rPr>
                    <w:t>2.严禁将洒落的药剂与含氯消毒剂、还原剂、酸性物质混合，防止产生有毒气体或引发剧烈反应。</w:t>
                  </w:r>
                </w:p>
              </w:tc>
            </w:tr>
            <w:tr w14:paraId="3D835B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98" w:type="pct"/>
                  <w:vAlign w:val="center"/>
                </w:tcPr>
                <w:p w14:paraId="5AF14B1D">
                  <w:pPr>
                    <w:pStyle w:val="17"/>
                    <w:spacing w:after="0"/>
                    <w:ind w:firstLine="0" w:firstLineChars="0"/>
                    <w:jc w:val="center"/>
                    <w:rPr>
                      <w:rFonts w:hint="eastAsia" w:eastAsia="宋体"/>
                      <w:color w:val="000000" w:themeColor="text1"/>
                      <w:szCs w:val="21"/>
                      <w:u w:val="single"/>
                      <w:lang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3</w:t>
                  </w:r>
                </w:p>
              </w:tc>
              <w:tc>
                <w:tcPr>
                  <w:tcW w:w="560" w:type="pct"/>
                  <w:vAlign w:val="center"/>
                </w:tcPr>
                <w:p w14:paraId="728D511F">
                  <w:pPr>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漂白粉</w:t>
                  </w:r>
                </w:p>
              </w:tc>
              <w:tc>
                <w:tcPr>
                  <w:tcW w:w="578" w:type="pct"/>
                  <w:vAlign w:val="center"/>
                </w:tcPr>
                <w:p w14:paraId="527DB968">
                  <w:pPr>
                    <w:pStyle w:val="17"/>
                    <w:spacing w:after="0"/>
                    <w:ind w:firstLine="0" w:firstLineChars="0"/>
                    <w:jc w:val="center"/>
                    <w:rPr>
                      <w:rFonts w:hint="default" w:eastAsia="宋体"/>
                      <w:color w:val="000000" w:themeColor="text1"/>
                      <w:szCs w:val="21"/>
                      <w:u w:val="single"/>
                      <w:lang w:val="en-US"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0.05</w:t>
                  </w:r>
                </w:p>
              </w:tc>
              <w:tc>
                <w:tcPr>
                  <w:tcW w:w="439" w:type="pct"/>
                  <w:vAlign w:val="center"/>
                </w:tcPr>
                <w:p w14:paraId="091AED9D">
                  <w:pPr>
                    <w:pStyle w:val="17"/>
                    <w:spacing w:after="0"/>
                    <w:ind w:firstLine="0" w:firstLineChars="0"/>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50</w:t>
                  </w:r>
                </w:p>
              </w:tc>
              <w:tc>
                <w:tcPr>
                  <w:tcW w:w="568" w:type="pct"/>
                  <w:vAlign w:val="center"/>
                </w:tcPr>
                <w:p w14:paraId="5D12FAD0">
                  <w:pPr>
                    <w:pStyle w:val="17"/>
                    <w:spacing w:after="0"/>
                    <w:ind w:firstLine="0" w:firstLineChars="0"/>
                    <w:jc w:val="center"/>
                    <w:rPr>
                      <w:rFonts w:hint="eastAsia" w:eastAsia="宋体"/>
                      <w:color w:val="000000" w:themeColor="text1"/>
                      <w:szCs w:val="21"/>
                      <w:u w:val="single"/>
                      <w:lang w:eastAsia="zh-CN"/>
                      <w14:textFill>
                        <w14:solidFill>
                          <w14:schemeClr w14:val="tx1"/>
                        </w14:solidFill>
                      </w14:textFill>
                    </w:rPr>
                  </w:pPr>
                  <w:r>
                    <w:rPr>
                      <w:rFonts w:hint="eastAsia"/>
                      <w:color w:val="000000" w:themeColor="text1"/>
                      <w:szCs w:val="21"/>
                      <w:u w:val="single"/>
                      <w14:textFill>
                        <w14:solidFill>
                          <w14:schemeClr w14:val="tx1"/>
                        </w14:solidFill>
                      </w14:textFill>
                    </w:rPr>
                    <w:t>0.00</w:t>
                  </w:r>
                  <w:r>
                    <w:rPr>
                      <w:rFonts w:hint="eastAsia"/>
                      <w:color w:val="000000" w:themeColor="text1"/>
                      <w:szCs w:val="21"/>
                      <w:u w:val="single"/>
                      <w:lang w:val="en-US" w:eastAsia="zh-CN"/>
                      <w14:textFill>
                        <w14:solidFill>
                          <w14:schemeClr w14:val="tx1"/>
                        </w14:solidFill>
                      </w14:textFill>
                    </w:rPr>
                    <w:t>1</w:t>
                  </w:r>
                </w:p>
              </w:tc>
              <w:tc>
                <w:tcPr>
                  <w:tcW w:w="508" w:type="pct"/>
                  <w:vAlign w:val="center"/>
                </w:tcPr>
                <w:p w14:paraId="6C1700B2">
                  <w:pPr>
                    <w:pStyle w:val="17"/>
                    <w:spacing w:after="0"/>
                    <w:ind w:firstLine="0" w:firstLineChars="0"/>
                    <w:jc w:val="center"/>
                    <w:rPr>
                      <w:color w:val="000000" w:themeColor="text1"/>
                      <w:u w:val="single"/>
                      <w14:textFill>
                        <w14:solidFill>
                          <w14:schemeClr w14:val="tx1"/>
                        </w14:solidFill>
                      </w14:textFill>
                    </w:rPr>
                  </w:pPr>
                  <w:r>
                    <w:rPr>
                      <w:rFonts w:hint="eastAsia"/>
                      <w:color w:val="000000" w:themeColor="text1"/>
                      <w:u w:val="single"/>
                      <w14:textFill>
                        <w14:solidFill>
                          <w14:schemeClr w14:val="tx1"/>
                        </w14:solidFill>
                      </w14:textFill>
                    </w:rPr>
                    <w:t>泄漏</w:t>
                  </w:r>
                </w:p>
              </w:tc>
              <w:tc>
                <w:tcPr>
                  <w:tcW w:w="2047" w:type="pct"/>
                  <w:vAlign w:val="center"/>
                </w:tcPr>
                <w:p w14:paraId="6A0C1754">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1.</w:t>
                  </w:r>
                  <w:r>
                    <w:rPr>
                      <w:color w:val="000000" w:themeColor="text1"/>
                      <w:szCs w:val="21"/>
                      <w:u w:val="single"/>
                      <w14:textFill>
                        <w14:solidFill>
                          <w14:schemeClr w14:val="tx1"/>
                        </w14:solidFill>
                      </w14:textFill>
                    </w:rPr>
                    <w:t>采用密封防潮的塑料桶或覆膜编织包装，存放于阴凉干燥、通风良好</w:t>
                  </w:r>
                  <w:r>
                    <w:rPr>
                      <w:rFonts w:hint="eastAsia"/>
                      <w:color w:val="000000" w:themeColor="text1"/>
                      <w:szCs w:val="21"/>
                      <w:u w:val="single"/>
                      <w14:textFill>
                        <w14:solidFill>
                          <w14:schemeClr w14:val="tx1"/>
                        </w14:solidFill>
                      </w14:textFill>
                    </w:rPr>
                    <w:t>；</w:t>
                  </w:r>
                </w:p>
                <w:p w14:paraId="701E909D">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2.</w:t>
                  </w:r>
                  <w:r>
                    <w:rPr>
                      <w:color w:val="000000" w:themeColor="text1"/>
                      <w:szCs w:val="21"/>
                      <w:u w:val="single"/>
                      <w14:textFill>
                        <w14:solidFill>
                          <w14:schemeClr w14:val="tx1"/>
                        </w14:solidFill>
                      </w14:textFill>
                    </w:rPr>
                    <w:t>与酸性物质（盐酸、硫酸）、还原剂代硫酸钠）、易燃物（酒精、木屑）分仓存放，安全间距</w:t>
                  </w:r>
                  <w:r>
                    <w:rPr>
                      <w:rFonts w:hint="eastAsia"/>
                      <w:color w:val="000000" w:themeColor="text1"/>
                      <w:szCs w:val="21"/>
                      <w:u w:val="single"/>
                      <w14:textFill>
                        <w14:solidFill>
                          <w14:schemeClr w14:val="tx1"/>
                        </w14:solidFill>
                      </w14:textFill>
                    </w:rPr>
                    <w:t>；</w:t>
                  </w:r>
                </w:p>
              </w:tc>
            </w:tr>
            <w:tr w14:paraId="3845A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98" w:type="pct"/>
                  <w:vAlign w:val="center"/>
                </w:tcPr>
                <w:p w14:paraId="7830C186">
                  <w:pPr>
                    <w:pStyle w:val="17"/>
                    <w:spacing w:after="0"/>
                    <w:ind w:firstLine="0" w:firstLineChars="0"/>
                    <w:jc w:val="center"/>
                    <w:rPr>
                      <w:rFonts w:hint="eastAsia" w:eastAsia="宋体"/>
                      <w:color w:val="000000" w:themeColor="text1"/>
                      <w:szCs w:val="21"/>
                      <w:u w:val="single"/>
                      <w:lang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4</w:t>
                  </w:r>
                </w:p>
              </w:tc>
              <w:tc>
                <w:tcPr>
                  <w:tcW w:w="560" w:type="pct"/>
                  <w:vAlign w:val="center"/>
                </w:tcPr>
                <w:p w14:paraId="3B003632">
                  <w:pPr>
                    <w:jc w:val="center"/>
                    <w:rPr>
                      <w:color w:val="000000" w:themeColor="text1"/>
                      <w:szCs w:val="21"/>
                      <w:u w:val="single"/>
                      <w14:textFill>
                        <w14:solidFill>
                          <w14:schemeClr w14:val="tx1"/>
                        </w14:solidFill>
                      </w14:textFill>
                    </w:rPr>
                  </w:pPr>
                  <w:r>
                    <w:rPr>
                      <w:color w:val="000000" w:themeColor="text1"/>
                      <w:szCs w:val="21"/>
                      <w:u w:val="single"/>
                      <w14:textFill>
                        <w14:solidFill>
                          <w14:schemeClr w14:val="tx1"/>
                        </w14:solidFill>
                      </w14:textFill>
                    </w:rPr>
                    <w:t>75%医用酒精</w:t>
                  </w:r>
                </w:p>
              </w:tc>
              <w:tc>
                <w:tcPr>
                  <w:tcW w:w="578" w:type="pct"/>
                  <w:vAlign w:val="center"/>
                </w:tcPr>
                <w:p w14:paraId="5F1B5E4D">
                  <w:pPr>
                    <w:pStyle w:val="17"/>
                    <w:spacing w:after="0"/>
                    <w:ind w:firstLine="0" w:firstLineChars="0"/>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0.</w:t>
                  </w:r>
                  <w:r>
                    <w:rPr>
                      <w:rFonts w:hint="eastAsia"/>
                      <w:color w:val="000000" w:themeColor="text1"/>
                      <w:szCs w:val="21"/>
                      <w:u w:val="single"/>
                      <w:lang w:val="en-US" w:eastAsia="zh-CN"/>
                      <w14:textFill>
                        <w14:solidFill>
                          <w14:schemeClr w14:val="tx1"/>
                        </w14:solidFill>
                      </w14:textFill>
                    </w:rPr>
                    <w:t>0</w:t>
                  </w:r>
                  <w:r>
                    <w:rPr>
                      <w:rFonts w:hint="eastAsia"/>
                      <w:color w:val="000000" w:themeColor="text1"/>
                      <w:szCs w:val="21"/>
                      <w:u w:val="single"/>
                      <w14:textFill>
                        <w14:solidFill>
                          <w14:schemeClr w14:val="tx1"/>
                        </w14:solidFill>
                      </w14:textFill>
                    </w:rPr>
                    <w:t>21875</w:t>
                  </w:r>
                </w:p>
              </w:tc>
              <w:tc>
                <w:tcPr>
                  <w:tcW w:w="439" w:type="pct"/>
                  <w:vAlign w:val="center"/>
                </w:tcPr>
                <w:p w14:paraId="566F51BE">
                  <w:pPr>
                    <w:pStyle w:val="17"/>
                    <w:spacing w:after="0"/>
                    <w:ind w:firstLine="0" w:firstLineChars="0"/>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50</w:t>
                  </w:r>
                </w:p>
              </w:tc>
              <w:tc>
                <w:tcPr>
                  <w:tcW w:w="568" w:type="pct"/>
                  <w:vAlign w:val="center"/>
                </w:tcPr>
                <w:p w14:paraId="62D88533">
                  <w:pPr>
                    <w:pStyle w:val="17"/>
                    <w:spacing w:after="0"/>
                    <w:ind w:firstLine="0" w:firstLineChars="0"/>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0.00</w:t>
                  </w:r>
                  <w:r>
                    <w:rPr>
                      <w:rFonts w:hint="eastAsia"/>
                      <w:color w:val="000000" w:themeColor="text1"/>
                      <w:szCs w:val="21"/>
                      <w:u w:val="single"/>
                      <w:lang w:val="en-US" w:eastAsia="zh-CN"/>
                      <w14:textFill>
                        <w14:solidFill>
                          <w14:schemeClr w14:val="tx1"/>
                        </w14:solidFill>
                      </w14:textFill>
                    </w:rPr>
                    <w:t>0</w:t>
                  </w:r>
                  <w:r>
                    <w:rPr>
                      <w:rFonts w:hint="eastAsia"/>
                      <w:color w:val="000000" w:themeColor="text1"/>
                      <w:szCs w:val="21"/>
                      <w:u w:val="single"/>
                      <w14:textFill>
                        <w14:solidFill>
                          <w14:schemeClr w14:val="tx1"/>
                        </w14:solidFill>
                      </w14:textFill>
                    </w:rPr>
                    <w:t>4375</w:t>
                  </w:r>
                </w:p>
              </w:tc>
              <w:tc>
                <w:tcPr>
                  <w:tcW w:w="508" w:type="pct"/>
                  <w:vAlign w:val="center"/>
                </w:tcPr>
                <w:p w14:paraId="4F2F7E5C">
                  <w:pPr>
                    <w:pStyle w:val="17"/>
                    <w:spacing w:after="0"/>
                    <w:ind w:firstLine="0" w:firstLineChars="0"/>
                    <w:jc w:val="center"/>
                    <w:rPr>
                      <w:color w:val="000000" w:themeColor="text1"/>
                      <w:u w:val="single"/>
                      <w14:textFill>
                        <w14:solidFill>
                          <w14:schemeClr w14:val="tx1"/>
                        </w14:solidFill>
                      </w14:textFill>
                    </w:rPr>
                  </w:pPr>
                  <w:r>
                    <w:rPr>
                      <w:rFonts w:hint="eastAsia"/>
                      <w:color w:val="000000" w:themeColor="text1"/>
                      <w:u w:val="single"/>
                      <w14:textFill>
                        <w14:solidFill>
                          <w14:schemeClr w14:val="tx1"/>
                        </w14:solidFill>
                      </w14:textFill>
                    </w:rPr>
                    <w:t>泄漏</w:t>
                  </w:r>
                </w:p>
              </w:tc>
              <w:tc>
                <w:tcPr>
                  <w:tcW w:w="2047" w:type="pct"/>
                  <w:vAlign w:val="center"/>
                </w:tcPr>
                <w:p w14:paraId="1D380797">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75%医用酒精属于易燃液体，闪点约22℃，易挥发、蒸气与空气可形成爆炸性混合物，遇明火、高热极易燃烧爆炸。</w:t>
                  </w:r>
                </w:p>
                <w:p w14:paraId="7C74C383">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单独设置专用储存间/医疗废物暂存间，严禁与氧化剂、酸类、食品、易燃易爆品混存，远离火源、热源、电源，环境温度≤30℃，避免阳光直射。</w:t>
                  </w:r>
                </w:p>
                <w:p w14:paraId="5706C8AE">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储存容器必须密封完好，采用防爆型照明、通风设施，开关设置在室外，严禁使用易产生火花的机械设备和工具。</w:t>
                  </w:r>
                </w:p>
              </w:tc>
            </w:tr>
            <w:tr w14:paraId="0BFBEA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98" w:type="pct"/>
                  <w:vAlign w:val="center"/>
                </w:tcPr>
                <w:p w14:paraId="67910AC9">
                  <w:pPr>
                    <w:pStyle w:val="17"/>
                    <w:spacing w:after="0"/>
                    <w:ind w:firstLine="0" w:firstLineChars="0"/>
                    <w:jc w:val="center"/>
                    <w:rPr>
                      <w:rFonts w:hint="eastAsia" w:eastAsia="宋体"/>
                      <w:color w:val="000000" w:themeColor="text1"/>
                      <w:szCs w:val="21"/>
                      <w:u w:val="single"/>
                      <w:lang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5</w:t>
                  </w:r>
                </w:p>
              </w:tc>
              <w:tc>
                <w:tcPr>
                  <w:tcW w:w="560" w:type="pct"/>
                  <w:vAlign w:val="center"/>
                </w:tcPr>
                <w:p w14:paraId="5B85208C">
                  <w:pPr>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医疗废物</w:t>
                  </w:r>
                </w:p>
              </w:tc>
              <w:tc>
                <w:tcPr>
                  <w:tcW w:w="578" w:type="pct"/>
                  <w:vAlign w:val="center"/>
                </w:tcPr>
                <w:p w14:paraId="34A30834">
                  <w:pPr>
                    <w:pStyle w:val="17"/>
                    <w:spacing w:after="0"/>
                    <w:ind w:firstLine="0" w:firstLineChars="0"/>
                    <w:jc w:val="center"/>
                    <w:rPr>
                      <w:rFonts w:hint="default" w:eastAsia="宋体"/>
                      <w:color w:val="000000" w:themeColor="text1"/>
                      <w:szCs w:val="21"/>
                      <w:u w:val="single"/>
                      <w:lang w:val="en-US"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0.042</w:t>
                  </w:r>
                </w:p>
              </w:tc>
              <w:tc>
                <w:tcPr>
                  <w:tcW w:w="439" w:type="pct"/>
                  <w:vAlign w:val="center"/>
                </w:tcPr>
                <w:p w14:paraId="1F3662A9">
                  <w:pPr>
                    <w:pStyle w:val="17"/>
                    <w:spacing w:after="0"/>
                    <w:ind w:firstLine="0" w:firstLineChars="0"/>
                    <w:jc w:val="center"/>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50</w:t>
                  </w:r>
                </w:p>
              </w:tc>
              <w:tc>
                <w:tcPr>
                  <w:tcW w:w="568" w:type="pct"/>
                  <w:vAlign w:val="center"/>
                </w:tcPr>
                <w:p w14:paraId="06FE5BF0">
                  <w:pPr>
                    <w:pStyle w:val="17"/>
                    <w:spacing w:after="0"/>
                    <w:ind w:firstLine="0" w:firstLineChars="0"/>
                    <w:jc w:val="center"/>
                    <w:rPr>
                      <w:rFonts w:hint="default" w:eastAsia="宋体"/>
                      <w:color w:val="000000" w:themeColor="text1"/>
                      <w:szCs w:val="21"/>
                      <w:u w:val="single"/>
                      <w:lang w:val="en-US" w:eastAsia="zh-CN"/>
                      <w14:textFill>
                        <w14:solidFill>
                          <w14:schemeClr w14:val="tx1"/>
                        </w14:solidFill>
                      </w14:textFill>
                    </w:rPr>
                  </w:pPr>
                  <w:r>
                    <w:rPr>
                      <w:rFonts w:hint="eastAsia"/>
                      <w:color w:val="000000" w:themeColor="text1"/>
                      <w:szCs w:val="21"/>
                      <w:u w:val="single"/>
                      <w14:textFill>
                        <w14:solidFill>
                          <w14:schemeClr w14:val="tx1"/>
                        </w14:solidFill>
                      </w14:textFill>
                    </w:rPr>
                    <w:t>0.0</w:t>
                  </w:r>
                  <w:r>
                    <w:rPr>
                      <w:rFonts w:hint="eastAsia"/>
                      <w:color w:val="000000" w:themeColor="text1"/>
                      <w:szCs w:val="21"/>
                      <w:u w:val="single"/>
                      <w:lang w:val="en-US" w:eastAsia="zh-CN"/>
                      <w14:textFill>
                        <w14:solidFill>
                          <w14:schemeClr w14:val="tx1"/>
                        </w14:solidFill>
                      </w14:textFill>
                    </w:rPr>
                    <w:t>084</w:t>
                  </w:r>
                </w:p>
              </w:tc>
              <w:tc>
                <w:tcPr>
                  <w:tcW w:w="508" w:type="pct"/>
                  <w:vAlign w:val="center"/>
                </w:tcPr>
                <w:p w14:paraId="2843F6F6">
                  <w:pPr>
                    <w:pStyle w:val="17"/>
                    <w:spacing w:after="0"/>
                    <w:ind w:firstLine="0" w:firstLineChars="0"/>
                    <w:jc w:val="center"/>
                    <w:rPr>
                      <w:color w:val="000000" w:themeColor="text1"/>
                      <w:u w:val="single"/>
                      <w14:textFill>
                        <w14:solidFill>
                          <w14:schemeClr w14:val="tx1"/>
                        </w14:solidFill>
                      </w14:textFill>
                    </w:rPr>
                  </w:pPr>
                  <w:r>
                    <w:rPr>
                      <w:rFonts w:hint="eastAsia"/>
                      <w:color w:val="000000" w:themeColor="text1"/>
                      <w:u w:val="single"/>
                      <w14:textFill>
                        <w14:solidFill>
                          <w14:schemeClr w14:val="tx1"/>
                        </w14:solidFill>
                      </w14:textFill>
                    </w:rPr>
                    <w:t>泄漏</w:t>
                  </w:r>
                </w:p>
              </w:tc>
              <w:tc>
                <w:tcPr>
                  <w:tcW w:w="2047" w:type="pct"/>
                  <w:vAlign w:val="center"/>
                </w:tcPr>
                <w:p w14:paraId="38FA1EB2">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严格按照类别分类收集，感染性、病理性、损伤性、药物性、化学性废物分开存放，严禁混装、混放。</w:t>
                  </w:r>
                </w:p>
                <w:p w14:paraId="67AE146A">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使用符合标准的专用黄色医疗废物包装袋、利器盒，包装完好、无破损、无渗漏，及时封口。</w:t>
                  </w:r>
                </w:p>
                <w:p w14:paraId="703CA3E7">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收集点设置防渗托盘、洗手消毒设施，地面防渗防腐，避免血液、废液渗漏污染土壤和地面。</w:t>
                  </w:r>
                </w:p>
                <w:p w14:paraId="1C676816">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收集人员穿戴防护服、口罩、手套、护目镜，做好个人防护，防止针刺、接触感染。</w:t>
                  </w:r>
                </w:p>
                <w:p w14:paraId="3774BA08">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发生医疗废物散落、泄漏时，立即封锁现场，疏散无关人员，设立警戒区。</w:t>
                  </w:r>
                </w:p>
                <w:p w14:paraId="6529C9E2">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处置人员做好全套防护，使用专用工具收集污染物，严禁徒手接触。</w:t>
                  </w:r>
                </w:p>
                <w:p w14:paraId="5C9E7384">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污染区域用含氯消毒剂反复消毒，被污染的土壤、物品统一按医疗废物收集处置。</w:t>
                  </w:r>
                </w:p>
                <w:p w14:paraId="1209E616">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废液、冲洗废水全部收集处理，严禁随意外排或渗入地下。</w:t>
                  </w:r>
                </w:p>
                <w:p w14:paraId="075AD69B">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及时上报主管部门，做好记录与溯源。</w:t>
                  </w:r>
                </w:p>
              </w:tc>
            </w:tr>
            <w:tr w14:paraId="6CBC99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98" w:type="pct"/>
                  <w:vAlign w:val="center"/>
                </w:tcPr>
                <w:p w14:paraId="42D59F76">
                  <w:pPr>
                    <w:pStyle w:val="17"/>
                    <w:spacing w:after="0"/>
                    <w:ind w:firstLine="0" w:firstLineChars="0"/>
                    <w:jc w:val="center"/>
                    <w:rPr>
                      <w:rFonts w:hint="default"/>
                      <w:color w:val="000000" w:themeColor="text1"/>
                      <w:szCs w:val="21"/>
                      <w:u w:val="single"/>
                      <w:lang w:val="en-US"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6</w:t>
                  </w:r>
                </w:p>
              </w:tc>
              <w:tc>
                <w:tcPr>
                  <w:tcW w:w="560" w:type="pct"/>
                  <w:vAlign w:val="center"/>
                </w:tcPr>
                <w:p w14:paraId="36D0457A">
                  <w:pPr>
                    <w:jc w:val="center"/>
                    <w:rPr>
                      <w:rFonts w:hint="eastAsia" w:eastAsia="宋体"/>
                      <w:color w:val="000000" w:themeColor="text1"/>
                      <w:szCs w:val="21"/>
                      <w:u w:val="single"/>
                      <w:lang w:val="en-US"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污泥</w:t>
                  </w:r>
                </w:p>
              </w:tc>
              <w:tc>
                <w:tcPr>
                  <w:tcW w:w="578" w:type="pct"/>
                  <w:vAlign w:val="center"/>
                </w:tcPr>
                <w:p w14:paraId="21FD1D28">
                  <w:pPr>
                    <w:pStyle w:val="17"/>
                    <w:spacing w:after="0"/>
                    <w:ind w:firstLine="0" w:firstLineChars="0"/>
                    <w:jc w:val="center"/>
                    <w:rPr>
                      <w:rFonts w:hint="default"/>
                      <w:color w:val="000000" w:themeColor="text1"/>
                      <w:szCs w:val="21"/>
                      <w:u w:val="single"/>
                      <w:lang w:val="en-US"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0.585</w:t>
                  </w:r>
                </w:p>
              </w:tc>
              <w:tc>
                <w:tcPr>
                  <w:tcW w:w="439" w:type="pct"/>
                  <w:vAlign w:val="center"/>
                </w:tcPr>
                <w:p w14:paraId="085626A9">
                  <w:pPr>
                    <w:pStyle w:val="17"/>
                    <w:spacing w:after="0"/>
                    <w:ind w:firstLine="0" w:firstLineChars="0"/>
                    <w:jc w:val="center"/>
                    <w:rPr>
                      <w:rFonts w:hint="default" w:eastAsia="宋体"/>
                      <w:color w:val="000000" w:themeColor="text1"/>
                      <w:szCs w:val="21"/>
                      <w:u w:val="single"/>
                      <w:lang w:val="en-US"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50</w:t>
                  </w:r>
                </w:p>
              </w:tc>
              <w:tc>
                <w:tcPr>
                  <w:tcW w:w="568" w:type="pct"/>
                  <w:vAlign w:val="center"/>
                </w:tcPr>
                <w:p w14:paraId="1ECCE098">
                  <w:pPr>
                    <w:pStyle w:val="17"/>
                    <w:spacing w:after="0"/>
                    <w:ind w:firstLine="0" w:firstLineChars="0"/>
                    <w:jc w:val="center"/>
                    <w:rPr>
                      <w:rFonts w:hint="default" w:eastAsia="宋体"/>
                      <w:color w:val="000000" w:themeColor="text1"/>
                      <w:szCs w:val="21"/>
                      <w:u w:val="single"/>
                      <w:lang w:val="en-US"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0.0117</w:t>
                  </w:r>
                </w:p>
              </w:tc>
              <w:tc>
                <w:tcPr>
                  <w:tcW w:w="508" w:type="pct"/>
                  <w:vAlign w:val="center"/>
                </w:tcPr>
                <w:p w14:paraId="549C49B8">
                  <w:pPr>
                    <w:pStyle w:val="17"/>
                    <w:spacing w:after="0"/>
                    <w:ind w:firstLine="0" w:firstLineChars="0"/>
                    <w:jc w:val="center"/>
                    <w:rPr>
                      <w:rFonts w:hint="eastAsia"/>
                      <w:color w:val="000000" w:themeColor="text1"/>
                      <w:u w:val="single"/>
                      <w14:textFill>
                        <w14:solidFill>
                          <w14:schemeClr w14:val="tx1"/>
                        </w14:solidFill>
                      </w14:textFill>
                    </w:rPr>
                  </w:pPr>
                  <w:r>
                    <w:rPr>
                      <w:rFonts w:hint="eastAsia"/>
                      <w:color w:val="000000" w:themeColor="text1"/>
                      <w:u w:val="single"/>
                      <w14:textFill>
                        <w14:solidFill>
                          <w14:schemeClr w14:val="tx1"/>
                        </w14:solidFill>
                      </w14:textFill>
                    </w:rPr>
                    <w:t>泄漏</w:t>
                  </w:r>
                </w:p>
              </w:tc>
              <w:tc>
                <w:tcPr>
                  <w:tcW w:w="2047" w:type="pct"/>
                  <w:vAlign w:val="center"/>
                </w:tcPr>
                <w:p w14:paraId="4B1A6A27">
                  <w:pPr>
                    <w:pStyle w:val="17"/>
                    <w:spacing w:after="0"/>
                    <w:ind w:firstLine="0" w:firstLineChars="0"/>
                    <w:rPr>
                      <w:rFonts w:hint="eastAsia" w:eastAsia="宋体"/>
                      <w:color w:val="000000" w:themeColor="text1"/>
                      <w:szCs w:val="21"/>
                      <w:u w:val="single"/>
                      <w:lang w:eastAsia="zh-CN"/>
                      <w14:textFill>
                        <w14:solidFill>
                          <w14:schemeClr w14:val="tx1"/>
                        </w14:solidFill>
                      </w14:textFill>
                    </w:rPr>
                  </w:pPr>
                  <w:r>
                    <w:rPr>
                      <w:rFonts w:hint="eastAsia" w:eastAsia="宋体"/>
                      <w:color w:val="000000" w:themeColor="text1"/>
                      <w:szCs w:val="21"/>
                      <w:u w:val="single"/>
                      <w:lang w:eastAsia="zh-CN"/>
                      <w14:textFill>
                        <w14:solidFill>
                          <w14:schemeClr w14:val="tx1"/>
                        </w14:solidFill>
                      </w14:textFill>
                    </w:rPr>
                    <w:t>污泥池采取重点防渗、防腐、防溢流设计，定期检查池体有无开裂渗漏；污泥清掏前按规范消毒，满足《医疗机构水污染物排放标准》（GB 18466</w:t>
                  </w:r>
                  <w:r>
                    <w:rPr>
                      <w:rFonts w:hint="eastAsia" w:eastAsia="宋体"/>
                      <w:color w:val="000000" w:themeColor="text1"/>
                      <w:szCs w:val="21"/>
                      <w:u w:val="single"/>
                      <w:lang w:eastAsia="zh-CN"/>
                      <w14:textFill>
                        <w14:solidFill>
                          <w14:schemeClr w14:val="tx1"/>
                        </w14:solidFill>
                      </w14:textFill>
                    </w:rPr>
                    <w:noBreakHyphen/>
                  </w:r>
                  <w:r>
                    <w:rPr>
                      <w:rFonts w:hint="eastAsia" w:eastAsia="宋体"/>
                      <w:color w:val="000000" w:themeColor="text1"/>
                      <w:szCs w:val="21"/>
                      <w:u w:val="single"/>
                      <w:lang w:eastAsia="zh-CN"/>
                      <w14:textFill>
                        <w14:solidFill>
                          <w14:schemeClr w14:val="tx1"/>
                        </w14:solidFill>
                      </w14:textFill>
                    </w:rPr>
                    <w:t>2005）污泥控制指标要求后转运；采用密闭防渗漏专用容器盛装，粘贴危废标识，禁止敞口堆放。</w:t>
                  </w:r>
                </w:p>
                <w:p w14:paraId="02222EC4">
                  <w:pPr>
                    <w:pStyle w:val="17"/>
                    <w:spacing w:after="0"/>
                    <w:ind w:firstLine="0" w:firstLineChars="0"/>
                    <w:rPr>
                      <w:rFonts w:hint="eastAsia" w:eastAsia="宋体"/>
                      <w:color w:val="000000" w:themeColor="text1"/>
                      <w:szCs w:val="21"/>
                      <w:u w:val="single"/>
                      <w:lang w:eastAsia="zh-CN"/>
                      <w14:textFill>
                        <w14:solidFill>
                          <w14:schemeClr w14:val="tx1"/>
                        </w14:solidFill>
                      </w14:textFill>
                    </w:rPr>
                  </w:pPr>
                  <w:r>
                    <w:rPr>
                      <w:rFonts w:hint="eastAsia" w:eastAsia="宋体"/>
                      <w:color w:val="000000" w:themeColor="text1"/>
                      <w:szCs w:val="21"/>
                      <w:u w:val="single"/>
                      <w:lang w:eastAsia="zh-CN"/>
                      <w14:textFill>
                        <w14:solidFill>
                          <w14:schemeClr w14:val="tx1"/>
                        </w14:solidFill>
                      </w14:textFill>
                    </w:rPr>
                    <w:t>污泥转运使用密闭、防渗漏专用工具及车辆，避开人员密集区域；严格执行危废转移联单制度，即清即运，严禁随意倾倒。</w:t>
                  </w:r>
                </w:p>
                <w:p w14:paraId="470C795C">
                  <w:pPr>
                    <w:pStyle w:val="17"/>
                    <w:spacing w:after="0"/>
                    <w:ind w:firstLine="0" w:firstLineChars="0"/>
                    <w:rPr>
                      <w:rFonts w:hint="eastAsia" w:eastAsia="宋体"/>
                      <w:color w:val="000000" w:themeColor="text1"/>
                      <w:szCs w:val="21"/>
                      <w:u w:val="single"/>
                      <w:lang w:eastAsia="zh-CN"/>
                      <w14:textFill>
                        <w14:solidFill>
                          <w14:schemeClr w14:val="tx1"/>
                        </w14:solidFill>
                      </w14:textFill>
                    </w:rPr>
                  </w:pPr>
                  <w:r>
                    <w:rPr>
                      <w:rFonts w:hint="eastAsia" w:eastAsia="宋体"/>
                      <w:color w:val="000000" w:themeColor="text1"/>
                      <w:szCs w:val="21"/>
                      <w:u w:val="single"/>
                      <w:lang w:eastAsia="zh-CN"/>
                      <w14:textFill>
                        <w14:solidFill>
                          <w14:schemeClr w14:val="tx1"/>
                        </w14:solidFill>
                      </w14:textFill>
                    </w:rPr>
                    <w:t>发生污泥泄漏时，立即划定隔离区，作业人员做好防护；用沙土吸附收集泄漏污泥及废液，全部按危废处置；泄漏区域全面消毒，冲洗废水导入污水处理站，严禁外排。</w:t>
                  </w:r>
                </w:p>
                <w:p w14:paraId="00AF303F">
                  <w:pPr>
                    <w:pStyle w:val="17"/>
                    <w:spacing w:after="0"/>
                    <w:ind w:firstLine="0" w:firstLineChars="0"/>
                    <w:rPr>
                      <w:rFonts w:hint="eastAsia"/>
                      <w:color w:val="000000" w:themeColor="text1"/>
                      <w:szCs w:val="21"/>
                      <w:u w:val="single"/>
                      <w14:textFill>
                        <w14:solidFill>
                          <w14:schemeClr w14:val="tx1"/>
                        </w14:solidFill>
                      </w14:textFill>
                    </w:rPr>
                  </w:pPr>
                  <w:r>
                    <w:rPr>
                      <w:rFonts w:hint="eastAsia" w:eastAsia="宋体"/>
                      <w:color w:val="000000" w:themeColor="text1"/>
                      <w:szCs w:val="21"/>
                      <w:u w:val="single"/>
                      <w:lang w:eastAsia="zh-CN"/>
                      <w14:textFill>
                        <w14:solidFill>
                          <w14:schemeClr w14:val="tx1"/>
                        </w14:solidFill>
                      </w14:textFill>
                    </w:rPr>
                    <w:t>建立污泥台账，记录产生量、消毒、转运情况；定期检查维护污泥池及转运工具；对作业人员开展培训，掌握应急处置流程。</w:t>
                  </w:r>
                </w:p>
              </w:tc>
            </w:tr>
            <w:tr w14:paraId="7587E6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76" w:type="pct"/>
                  <w:gridSpan w:val="4"/>
                  <w:vAlign w:val="center"/>
                </w:tcPr>
                <w:p w14:paraId="558CF46E">
                  <w:pPr>
                    <w:pStyle w:val="17"/>
                    <w:spacing w:after="0"/>
                    <w:ind w:firstLine="0" w:firstLineChars="0"/>
                    <w:jc w:val="center"/>
                    <w:rPr>
                      <w:rFonts w:hint="eastAsia" w:eastAsia="宋体"/>
                      <w:color w:val="000000" w:themeColor="text1"/>
                      <w:szCs w:val="21"/>
                      <w:u w:val="single"/>
                      <w:lang w:val="en-US" w:eastAsia="zh-CN"/>
                      <w14:textFill>
                        <w14:solidFill>
                          <w14:schemeClr w14:val="tx1"/>
                        </w14:solidFill>
                      </w14:textFill>
                    </w:rPr>
                  </w:pPr>
                  <w:r>
                    <w:rPr>
                      <w:rFonts w:hint="eastAsia"/>
                      <w:color w:val="000000" w:themeColor="text1"/>
                      <w:szCs w:val="21"/>
                      <w:u w:val="single"/>
                      <w:lang w:val="en-US" w:eastAsia="zh-CN"/>
                      <w14:textFill>
                        <w14:solidFill>
                          <w14:schemeClr w14:val="tx1"/>
                        </w14:solidFill>
                      </w14:textFill>
                    </w:rPr>
                    <w:t>合计</w:t>
                  </w:r>
                </w:p>
              </w:tc>
              <w:tc>
                <w:tcPr>
                  <w:tcW w:w="3123" w:type="pct"/>
                  <w:gridSpan w:val="3"/>
                  <w:vAlign w:val="center"/>
                </w:tcPr>
                <w:p w14:paraId="082C1760">
                  <w:pPr>
                    <w:pStyle w:val="17"/>
                    <w:spacing w:after="0"/>
                    <w:ind w:firstLine="0" w:firstLineChars="0"/>
                    <w:jc w:val="center"/>
                    <w:rPr>
                      <w:rFonts w:hint="eastAsia"/>
                      <w:b/>
                      <w:bCs/>
                      <w:u w:val="single"/>
                      <w:lang w:val="en-US" w:eastAsia="zh-CN"/>
                    </w:rPr>
                  </w:pPr>
                  <w:r>
                    <w:rPr>
                      <w:rFonts w:hint="eastAsia"/>
                      <w:b/>
                      <w:bCs/>
                      <w:u w:val="single"/>
                      <w:lang w:val="en-US" w:eastAsia="zh-CN"/>
                    </w:rPr>
                    <w:t>0.130538</w:t>
                  </w:r>
                </w:p>
              </w:tc>
            </w:tr>
            <w:tr w14:paraId="5F775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00" w:type="pct"/>
                  <w:gridSpan w:val="7"/>
                  <w:vAlign w:val="center"/>
                </w:tcPr>
                <w:p w14:paraId="5D1EAB66">
                  <w:pPr>
                    <w:pStyle w:val="17"/>
                    <w:spacing w:after="0"/>
                    <w:ind w:firstLine="0" w:firstLineChars="0"/>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备注：</w:t>
                  </w:r>
                  <w:r>
                    <w:rPr>
                      <w:color w:val="000000" w:themeColor="text1"/>
                      <w:szCs w:val="21"/>
                      <w:u w:val="single"/>
                      <w14:textFill>
                        <w14:solidFill>
                          <w14:schemeClr w14:val="tx1"/>
                        </w14:solidFill>
                      </w14:textFill>
                    </w:rPr>
                    <w:t>75%医用酒精</w:t>
                  </w:r>
                  <w:r>
                    <w:rPr>
                      <w:rFonts w:hint="eastAsia"/>
                      <w:color w:val="000000" w:themeColor="text1"/>
                      <w:szCs w:val="21"/>
                      <w:u w:val="single"/>
                      <w14:textFill>
                        <w14:solidFill>
                          <w14:schemeClr w14:val="tx1"/>
                        </w14:solidFill>
                      </w14:textFill>
                    </w:rPr>
                    <w:t>：20℃时约0.87-0.88kg/L，行业通用核算值取0.875kg/L，单瓶容量按500ml计；单瓶容量：500mL=0.5L；总容积：500瓶×0.5L/瓶=25L；按密度0.875 kg/L计算：总质量=250×0.875=21</w:t>
                  </w:r>
                  <w:r>
                    <w:rPr>
                      <w:rFonts w:hint="eastAsia"/>
                      <w:color w:val="000000" w:themeColor="text1"/>
                      <w:szCs w:val="21"/>
                      <w:u w:val="single"/>
                      <w:lang w:val="en-US" w:eastAsia="zh-CN"/>
                      <w14:textFill>
                        <w14:solidFill>
                          <w14:schemeClr w14:val="tx1"/>
                        </w14:solidFill>
                      </w14:textFill>
                    </w:rPr>
                    <w:t>.8</w:t>
                  </w:r>
                  <w:r>
                    <w:rPr>
                      <w:rFonts w:hint="eastAsia"/>
                      <w:color w:val="000000" w:themeColor="text1"/>
                      <w:szCs w:val="21"/>
                      <w:u w:val="single"/>
                      <w14:textFill>
                        <w14:solidFill>
                          <w14:schemeClr w14:val="tx1"/>
                        </w14:solidFill>
                      </w14:textFill>
                    </w:rPr>
                    <w:t>75kg；</w:t>
                  </w:r>
                </w:p>
                <w:p w14:paraId="1057F53C">
                  <w:pPr>
                    <w:pStyle w:val="17"/>
                    <w:spacing w:after="0"/>
                    <w:ind w:firstLine="0" w:firstLineChars="0"/>
                    <w:rPr>
                      <w:color w:val="FF0000"/>
                      <w:szCs w:val="21"/>
                      <w:u w:val="single"/>
                    </w:rPr>
                  </w:pPr>
                  <w:r>
                    <w:rPr>
                      <w:rFonts w:hint="eastAsia"/>
                      <w:color w:val="000000" w:themeColor="text1"/>
                      <w:szCs w:val="21"/>
                      <w:u w:val="single"/>
                      <w14:textFill>
                        <w14:solidFill>
                          <w14:schemeClr w14:val="tx1"/>
                        </w14:solidFill>
                      </w14:textFill>
                    </w:rPr>
                    <w:t>84消毒液：密度≈1.05-1.10 kg/L，默认取1.08kg/L，单瓶容量按</w:t>
                  </w:r>
                  <w:r>
                    <w:rPr>
                      <w:rFonts w:hint="eastAsia"/>
                      <w:color w:val="000000" w:themeColor="text1"/>
                      <w:szCs w:val="21"/>
                      <w:u w:val="single"/>
                      <w:lang w:val="en-US" w:eastAsia="zh-CN"/>
                      <w14:textFill>
                        <w14:solidFill>
                          <w14:schemeClr w14:val="tx1"/>
                        </w14:solidFill>
                      </w14:textFill>
                    </w:rPr>
                    <w:t>5</w:t>
                  </w:r>
                  <w:r>
                    <w:rPr>
                      <w:rFonts w:hint="eastAsia"/>
                      <w:color w:val="000000" w:themeColor="text1"/>
                      <w:szCs w:val="21"/>
                      <w:u w:val="single"/>
                      <w14:textFill>
                        <w14:solidFill>
                          <w14:schemeClr w14:val="tx1"/>
                        </w14:solidFill>
                      </w14:textFill>
                    </w:rPr>
                    <w:t>00ml计</w:t>
                  </w:r>
                  <w:r>
                    <w:rPr>
                      <w:rFonts w:hint="eastAsia"/>
                      <w:color w:val="000000" w:themeColor="text1"/>
                      <w:szCs w:val="21"/>
                      <w:u w:val="single"/>
                      <w:lang w:eastAsia="zh-CN"/>
                      <w14:textFill>
                        <w14:solidFill>
                          <w14:schemeClr w14:val="tx1"/>
                        </w14:solidFill>
                      </w14:textFill>
                    </w:rPr>
                    <w:t>，</w:t>
                  </w:r>
                  <w:r>
                    <w:rPr>
                      <w:rFonts w:hint="eastAsia"/>
                      <w:color w:val="000000" w:themeColor="text1"/>
                      <w:szCs w:val="21"/>
                      <w:u w:val="single"/>
                      <w:lang w:val="en-US" w:eastAsia="zh-CN"/>
                      <w14:textFill>
                        <w14:solidFill>
                          <w14:schemeClr w14:val="tx1"/>
                        </w14:solidFill>
                      </w14:textFill>
                    </w:rPr>
                    <w:t>总容积：1000瓶×</w:t>
                  </w:r>
                  <w:r>
                    <w:rPr>
                      <w:rFonts w:hint="eastAsia"/>
                      <w:color w:val="000000" w:themeColor="text1"/>
                      <w:szCs w:val="21"/>
                      <w:u w:val="single"/>
                      <w14:textFill>
                        <w14:solidFill>
                          <w14:schemeClr w14:val="tx1"/>
                        </w14:solidFill>
                      </w14:textFill>
                    </w:rPr>
                    <w:t>0.5L/瓶=</w:t>
                  </w:r>
                  <w:r>
                    <w:rPr>
                      <w:rFonts w:hint="eastAsia"/>
                      <w:color w:val="000000" w:themeColor="text1"/>
                      <w:szCs w:val="21"/>
                      <w:u w:val="single"/>
                      <w:lang w:val="en-US" w:eastAsia="zh-CN"/>
                      <w14:textFill>
                        <w14:solidFill>
                          <w14:schemeClr w14:val="tx1"/>
                        </w14:solidFill>
                      </w14:textFill>
                    </w:rPr>
                    <w:t>500L，总质量：</w:t>
                  </w:r>
                  <w:r>
                    <w:rPr>
                      <w:rFonts w:hint="eastAsia"/>
                      <w:color w:val="000000" w:themeColor="text1"/>
                      <w:szCs w:val="21"/>
                      <w:u w:val="single"/>
                      <w14:textFill>
                        <w14:solidFill>
                          <w14:schemeClr w14:val="tx1"/>
                        </w14:solidFill>
                      </w14:textFill>
                    </w:rPr>
                    <w:t>=</w:t>
                  </w:r>
                  <w:r>
                    <w:rPr>
                      <w:rFonts w:hint="eastAsia"/>
                      <w:color w:val="000000" w:themeColor="text1"/>
                      <w:szCs w:val="21"/>
                      <w:u w:val="single"/>
                      <w:lang w:val="en-US" w:eastAsia="zh-CN"/>
                      <w14:textFill>
                        <w14:solidFill>
                          <w14:schemeClr w14:val="tx1"/>
                        </w14:solidFill>
                      </w14:textFill>
                    </w:rPr>
                    <w:t>50</w:t>
                  </w:r>
                  <w:r>
                    <w:rPr>
                      <w:rFonts w:hint="eastAsia"/>
                      <w:color w:val="000000" w:themeColor="text1"/>
                      <w:szCs w:val="21"/>
                      <w:u w:val="single"/>
                      <w14:textFill>
                        <w14:solidFill>
                          <w14:schemeClr w14:val="tx1"/>
                        </w14:solidFill>
                      </w14:textFill>
                    </w:rPr>
                    <w:t>0</w:t>
                  </w:r>
                  <w:r>
                    <w:rPr>
                      <w:rFonts w:hint="eastAsia"/>
                      <w:color w:val="000000" w:themeColor="text1"/>
                      <w:szCs w:val="21"/>
                      <w:u w:val="single"/>
                      <w:lang w:val="en-US" w:eastAsia="zh-CN"/>
                      <w14:textFill>
                        <w14:solidFill>
                          <w14:schemeClr w14:val="tx1"/>
                        </w14:solidFill>
                      </w14:textFill>
                    </w:rPr>
                    <w:t>L</w:t>
                  </w:r>
                  <w:r>
                    <w:rPr>
                      <w:rFonts w:hint="eastAsia"/>
                      <w:color w:val="000000" w:themeColor="text1"/>
                      <w:szCs w:val="21"/>
                      <w:u w:val="single"/>
                      <w14:textFill>
                        <w14:solidFill>
                          <w14:schemeClr w14:val="tx1"/>
                        </w14:solidFill>
                      </w14:textFill>
                    </w:rPr>
                    <w:t>×1.08kg/L=</w:t>
                  </w:r>
                  <w:r>
                    <w:rPr>
                      <w:rFonts w:hint="eastAsia"/>
                      <w:color w:val="000000" w:themeColor="text1"/>
                      <w:szCs w:val="21"/>
                      <w:u w:val="single"/>
                      <w:lang w:val="en-US" w:eastAsia="zh-CN"/>
                      <w14:textFill>
                        <w14:solidFill>
                          <w14:schemeClr w14:val="tx1"/>
                        </w14:solidFill>
                      </w14:textFill>
                    </w:rPr>
                    <w:t>540kg</w:t>
                  </w:r>
                  <w:r>
                    <w:rPr>
                      <w:rFonts w:hint="eastAsia"/>
                      <w:color w:val="000000" w:themeColor="text1"/>
                      <w:szCs w:val="21"/>
                      <w:u w:val="single"/>
                      <w14:textFill>
                        <w14:solidFill>
                          <w14:schemeClr w14:val="tx1"/>
                        </w14:solidFill>
                      </w14:textFill>
                    </w:rPr>
                    <w:t>。</w:t>
                  </w:r>
                </w:p>
              </w:tc>
            </w:tr>
          </w:tbl>
          <w:p w14:paraId="53DB9974">
            <w:pPr>
              <w:adjustRightInd w:val="0"/>
              <w:spacing w:line="360" w:lineRule="auto"/>
              <w:ind w:firstLine="480" w:firstLineChars="200"/>
              <w:rPr>
                <w:bCs/>
                <w:sz w:val="24"/>
                <w:szCs w:val="24"/>
                <w:u w:val="single"/>
              </w:rPr>
            </w:pPr>
            <w:r>
              <w:rPr>
                <w:bCs/>
                <w:sz w:val="24"/>
                <w:szCs w:val="24"/>
                <w:u w:val="single"/>
              </w:rPr>
              <w:t>本项目危险物质数量与临界比值</w:t>
            </w:r>
            <w:r>
              <w:rPr>
                <w:bCs/>
                <w:sz w:val="24"/>
                <w:szCs w:val="24"/>
                <w:highlight w:val="none"/>
                <w:u w:val="single"/>
              </w:rPr>
              <w:t>Q=</w:t>
            </w:r>
            <w:r>
              <w:rPr>
                <w:rFonts w:hint="eastAsia"/>
                <w:bCs/>
                <w:sz w:val="24"/>
                <w:szCs w:val="24"/>
                <w:highlight w:val="none"/>
                <w:u w:val="single"/>
                <w:lang w:val="en-US" w:eastAsia="zh-CN"/>
              </w:rPr>
              <w:t>0.130538</w:t>
            </w:r>
            <w:r>
              <w:rPr>
                <w:bCs/>
                <w:sz w:val="24"/>
                <w:szCs w:val="24"/>
                <w:u w:val="single"/>
              </w:rPr>
              <w:t>，Q&lt;1，该项目环境风险潜势为I。</w:t>
            </w:r>
          </w:p>
          <w:p w14:paraId="2A9AD387">
            <w:pPr>
              <w:adjustRightInd w:val="0"/>
              <w:snapToGrid w:val="0"/>
              <w:spacing w:line="360" w:lineRule="auto"/>
              <w:ind w:firstLine="480" w:firstLineChars="200"/>
              <w:rPr>
                <w:bCs/>
                <w:color w:val="000000"/>
                <w:sz w:val="24"/>
                <w:szCs w:val="24"/>
              </w:rPr>
            </w:pPr>
            <w:r>
              <w:rPr>
                <w:bCs/>
                <w:color w:val="000000"/>
                <w:sz w:val="24"/>
                <w:szCs w:val="24"/>
              </w:rPr>
              <w:fldChar w:fldCharType="begin"/>
            </w:r>
            <w:r>
              <w:rPr>
                <w:bCs/>
                <w:color w:val="000000"/>
                <w:sz w:val="24"/>
                <w:szCs w:val="24"/>
              </w:rPr>
              <w:instrText xml:space="preserve"> = 2 \* GB3 </w:instrText>
            </w:r>
            <w:r>
              <w:rPr>
                <w:bCs/>
                <w:color w:val="000000"/>
                <w:sz w:val="24"/>
                <w:szCs w:val="24"/>
              </w:rPr>
              <w:fldChar w:fldCharType="separate"/>
            </w:r>
            <w:r>
              <w:rPr>
                <w:rFonts w:hint="eastAsia" w:ascii="宋体" w:hAnsi="宋体" w:cs="宋体"/>
                <w:bCs/>
                <w:color w:val="000000"/>
                <w:sz w:val="24"/>
                <w:szCs w:val="24"/>
              </w:rPr>
              <w:t>②</w:t>
            </w:r>
            <w:r>
              <w:rPr>
                <w:bCs/>
                <w:color w:val="000000"/>
                <w:sz w:val="24"/>
                <w:szCs w:val="24"/>
              </w:rPr>
              <w:fldChar w:fldCharType="end"/>
            </w:r>
            <w:r>
              <w:rPr>
                <w:bCs/>
                <w:color w:val="000000"/>
                <w:sz w:val="24"/>
                <w:szCs w:val="24"/>
              </w:rPr>
              <w:t>生产系统危险性识别</w:t>
            </w:r>
          </w:p>
          <w:p w14:paraId="10B1BA76">
            <w:pPr>
              <w:adjustRightInd w:val="0"/>
              <w:snapToGrid w:val="0"/>
              <w:spacing w:line="360" w:lineRule="auto"/>
              <w:ind w:firstLine="480" w:firstLineChars="200"/>
              <w:rPr>
                <w:bCs/>
                <w:color w:val="000000"/>
                <w:sz w:val="24"/>
                <w:szCs w:val="24"/>
              </w:rPr>
            </w:pPr>
            <w:r>
              <w:rPr>
                <w:bCs/>
                <w:color w:val="000000"/>
                <w:sz w:val="24"/>
                <w:szCs w:val="24"/>
              </w:rPr>
              <w:t>生产系统危险性识别，包括主要生产装置、储运设施、公用工程和辅助生产设施，以及环境保护设施等。本项目生产系统危险性识别主要考虑废水处理设施、废气处理设施等，具体生产系统危险性识别内容如下表所示。</w:t>
            </w:r>
          </w:p>
          <w:p w14:paraId="5A5EA97F">
            <w:pPr>
              <w:tabs>
                <w:tab w:val="left" w:pos="2196"/>
              </w:tabs>
              <w:spacing w:line="360" w:lineRule="auto"/>
              <w:ind w:firstLine="482"/>
              <w:jc w:val="center"/>
              <w:rPr>
                <w:b/>
                <w:color w:val="000000"/>
                <w:sz w:val="24"/>
                <w:szCs w:val="24"/>
              </w:rPr>
            </w:pPr>
          </w:p>
          <w:p w14:paraId="0D4B013C">
            <w:pPr>
              <w:tabs>
                <w:tab w:val="left" w:pos="2196"/>
              </w:tabs>
              <w:spacing w:line="360" w:lineRule="auto"/>
              <w:ind w:firstLine="482"/>
              <w:jc w:val="center"/>
              <w:rPr>
                <w:b/>
                <w:color w:val="000000"/>
                <w:sz w:val="24"/>
                <w:szCs w:val="24"/>
              </w:rPr>
            </w:pPr>
            <w:r>
              <w:rPr>
                <w:b/>
                <w:color w:val="000000"/>
                <w:sz w:val="24"/>
                <w:szCs w:val="24"/>
              </w:rPr>
              <w:t>表4-</w:t>
            </w:r>
            <w:r>
              <w:rPr>
                <w:rFonts w:hint="eastAsia"/>
                <w:b/>
                <w:color w:val="000000"/>
                <w:sz w:val="24"/>
                <w:szCs w:val="24"/>
                <w:lang w:val="en-US" w:eastAsia="zh-CN"/>
              </w:rPr>
              <w:t>21</w:t>
            </w:r>
            <w:r>
              <w:rPr>
                <w:b/>
                <w:color w:val="000000"/>
                <w:sz w:val="24"/>
                <w:szCs w:val="24"/>
              </w:rPr>
              <w:t xml:space="preserve">  本项目生产系统危险性识别一览表</w:t>
            </w:r>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62"/>
              <w:gridCol w:w="2075"/>
              <w:gridCol w:w="1188"/>
              <w:gridCol w:w="2919"/>
              <w:gridCol w:w="1143"/>
            </w:tblGrid>
            <w:tr w14:paraId="22557F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580" w:type="pct"/>
                  <w:vAlign w:val="center"/>
                </w:tcPr>
                <w:p w14:paraId="117B0F66">
                  <w:pPr>
                    <w:pStyle w:val="168"/>
                    <w:spacing w:after="0"/>
                    <w:ind w:firstLine="0" w:firstLineChars="0"/>
                    <w:jc w:val="center"/>
                    <w:rPr>
                      <w:b/>
                      <w:color w:val="000000"/>
                      <w:szCs w:val="21"/>
                    </w:rPr>
                  </w:pPr>
                  <w:r>
                    <w:rPr>
                      <w:b/>
                      <w:color w:val="000000"/>
                      <w:szCs w:val="21"/>
                    </w:rPr>
                    <w:t>序号</w:t>
                  </w:r>
                </w:p>
              </w:tc>
              <w:tc>
                <w:tcPr>
                  <w:tcW w:w="1251" w:type="pct"/>
                  <w:vAlign w:val="center"/>
                </w:tcPr>
                <w:p w14:paraId="390A832A">
                  <w:pPr>
                    <w:pStyle w:val="168"/>
                    <w:spacing w:after="0"/>
                    <w:ind w:firstLine="0" w:firstLineChars="0"/>
                    <w:jc w:val="center"/>
                    <w:rPr>
                      <w:b/>
                      <w:color w:val="000000"/>
                      <w:szCs w:val="21"/>
                    </w:rPr>
                  </w:pPr>
                  <w:r>
                    <w:rPr>
                      <w:b/>
                      <w:color w:val="000000"/>
                      <w:szCs w:val="21"/>
                    </w:rPr>
                    <w:t>生产系统名称</w:t>
                  </w:r>
                </w:p>
              </w:tc>
              <w:tc>
                <w:tcPr>
                  <w:tcW w:w="717" w:type="pct"/>
                  <w:vAlign w:val="center"/>
                </w:tcPr>
                <w:p w14:paraId="6356A431">
                  <w:pPr>
                    <w:pStyle w:val="168"/>
                    <w:spacing w:after="0"/>
                    <w:ind w:firstLine="0" w:firstLineChars="0"/>
                    <w:jc w:val="center"/>
                    <w:rPr>
                      <w:b/>
                      <w:color w:val="000000"/>
                      <w:szCs w:val="21"/>
                    </w:rPr>
                  </w:pPr>
                  <w:r>
                    <w:rPr>
                      <w:b/>
                      <w:color w:val="000000"/>
                      <w:szCs w:val="21"/>
                    </w:rPr>
                    <w:t>数量</w:t>
                  </w:r>
                </w:p>
              </w:tc>
              <w:tc>
                <w:tcPr>
                  <w:tcW w:w="1760" w:type="pct"/>
                  <w:vAlign w:val="center"/>
                </w:tcPr>
                <w:p w14:paraId="0DE5E603">
                  <w:pPr>
                    <w:pStyle w:val="168"/>
                    <w:spacing w:after="0"/>
                    <w:ind w:firstLine="0" w:firstLineChars="0"/>
                    <w:jc w:val="center"/>
                    <w:rPr>
                      <w:b/>
                      <w:color w:val="000000"/>
                      <w:szCs w:val="21"/>
                    </w:rPr>
                  </w:pPr>
                  <w:r>
                    <w:rPr>
                      <w:b/>
                      <w:color w:val="000000"/>
                      <w:szCs w:val="21"/>
                    </w:rPr>
                    <w:t>危险性识别</w:t>
                  </w:r>
                </w:p>
              </w:tc>
              <w:tc>
                <w:tcPr>
                  <w:tcW w:w="690" w:type="pct"/>
                  <w:vAlign w:val="center"/>
                </w:tcPr>
                <w:p w14:paraId="47B5BE62">
                  <w:pPr>
                    <w:pStyle w:val="168"/>
                    <w:spacing w:after="0"/>
                    <w:ind w:firstLine="0" w:firstLineChars="0"/>
                    <w:jc w:val="center"/>
                    <w:rPr>
                      <w:b/>
                      <w:color w:val="000000"/>
                      <w:szCs w:val="21"/>
                    </w:rPr>
                  </w:pPr>
                  <w:r>
                    <w:rPr>
                      <w:b/>
                      <w:color w:val="000000"/>
                      <w:szCs w:val="21"/>
                    </w:rPr>
                    <w:t>备注</w:t>
                  </w:r>
                </w:p>
              </w:tc>
            </w:tr>
            <w:tr w14:paraId="3ACF75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80" w:type="pct"/>
                  <w:vAlign w:val="center"/>
                </w:tcPr>
                <w:p w14:paraId="45058F66">
                  <w:pPr>
                    <w:pStyle w:val="17"/>
                    <w:spacing w:after="0"/>
                    <w:ind w:firstLine="0" w:firstLineChars="0"/>
                    <w:jc w:val="center"/>
                    <w:rPr>
                      <w:color w:val="000000"/>
                      <w:szCs w:val="21"/>
                    </w:rPr>
                  </w:pPr>
                  <w:r>
                    <w:rPr>
                      <w:color w:val="000000"/>
                      <w:szCs w:val="21"/>
                    </w:rPr>
                    <w:t>1</w:t>
                  </w:r>
                </w:p>
              </w:tc>
              <w:tc>
                <w:tcPr>
                  <w:tcW w:w="1251" w:type="pct"/>
                  <w:vAlign w:val="center"/>
                </w:tcPr>
                <w:p w14:paraId="015B1500">
                  <w:pPr>
                    <w:jc w:val="center"/>
                    <w:rPr>
                      <w:color w:val="000000"/>
                      <w:szCs w:val="21"/>
                    </w:rPr>
                  </w:pPr>
                  <w:r>
                    <w:rPr>
                      <w:color w:val="000000"/>
                      <w:szCs w:val="21"/>
                    </w:rPr>
                    <w:t>废水处理系统</w:t>
                  </w:r>
                </w:p>
              </w:tc>
              <w:tc>
                <w:tcPr>
                  <w:tcW w:w="717" w:type="pct"/>
                  <w:vAlign w:val="center"/>
                </w:tcPr>
                <w:p w14:paraId="1E41456B">
                  <w:pPr>
                    <w:pStyle w:val="358"/>
                    <w:spacing w:after="0"/>
                    <w:ind w:firstLine="0" w:firstLineChars="0"/>
                    <w:jc w:val="center"/>
                    <w:rPr>
                      <w:color w:val="000000"/>
                      <w:szCs w:val="21"/>
                    </w:rPr>
                  </w:pPr>
                  <w:r>
                    <w:rPr>
                      <w:color w:val="000000"/>
                      <w:szCs w:val="21"/>
                    </w:rPr>
                    <w:t>1套</w:t>
                  </w:r>
                </w:p>
              </w:tc>
              <w:tc>
                <w:tcPr>
                  <w:tcW w:w="1760" w:type="pct"/>
                  <w:vAlign w:val="center"/>
                </w:tcPr>
                <w:p w14:paraId="4910D7FD">
                  <w:pPr>
                    <w:pStyle w:val="358"/>
                    <w:spacing w:after="0"/>
                    <w:ind w:firstLine="0" w:firstLineChars="0"/>
                    <w:jc w:val="center"/>
                    <w:rPr>
                      <w:color w:val="000000"/>
                      <w:szCs w:val="21"/>
                    </w:rPr>
                  </w:pPr>
                  <w:r>
                    <w:rPr>
                      <w:color w:val="000000"/>
                      <w:szCs w:val="21"/>
                    </w:rPr>
                    <w:t>废水</w:t>
                  </w:r>
                  <w:r>
                    <w:rPr>
                      <w:rFonts w:hint="eastAsia"/>
                      <w:color w:val="000000"/>
                      <w:szCs w:val="21"/>
                    </w:rPr>
                    <w:t>泄漏</w:t>
                  </w:r>
                  <w:r>
                    <w:rPr>
                      <w:color w:val="000000"/>
                      <w:szCs w:val="21"/>
                    </w:rPr>
                    <w:t>风险</w:t>
                  </w:r>
                </w:p>
              </w:tc>
              <w:tc>
                <w:tcPr>
                  <w:tcW w:w="690" w:type="pct"/>
                  <w:vAlign w:val="center"/>
                </w:tcPr>
                <w:p w14:paraId="263ADA25">
                  <w:pPr>
                    <w:pStyle w:val="17"/>
                    <w:spacing w:after="0"/>
                    <w:ind w:firstLine="0" w:firstLineChars="0"/>
                    <w:jc w:val="center"/>
                    <w:rPr>
                      <w:color w:val="000000"/>
                      <w:szCs w:val="21"/>
                    </w:rPr>
                  </w:pPr>
                  <w:r>
                    <w:rPr>
                      <w:rFonts w:hint="eastAsia"/>
                      <w:color w:val="000000"/>
                      <w:szCs w:val="21"/>
                    </w:rPr>
                    <w:t>/</w:t>
                  </w:r>
                </w:p>
              </w:tc>
            </w:tr>
            <w:tr w14:paraId="41B348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80" w:type="pct"/>
                  <w:vAlign w:val="center"/>
                </w:tcPr>
                <w:p w14:paraId="43D5516A">
                  <w:pPr>
                    <w:pStyle w:val="17"/>
                    <w:spacing w:after="0"/>
                    <w:ind w:firstLine="0" w:firstLineChars="0"/>
                    <w:jc w:val="center"/>
                    <w:rPr>
                      <w:color w:val="000000"/>
                      <w:szCs w:val="21"/>
                    </w:rPr>
                  </w:pPr>
                  <w:r>
                    <w:rPr>
                      <w:color w:val="000000"/>
                      <w:szCs w:val="21"/>
                    </w:rPr>
                    <w:t>2</w:t>
                  </w:r>
                </w:p>
              </w:tc>
              <w:tc>
                <w:tcPr>
                  <w:tcW w:w="1251" w:type="pct"/>
                  <w:vAlign w:val="center"/>
                </w:tcPr>
                <w:p w14:paraId="69A11BEF">
                  <w:pPr>
                    <w:jc w:val="center"/>
                    <w:rPr>
                      <w:color w:val="000000"/>
                      <w:szCs w:val="21"/>
                    </w:rPr>
                  </w:pPr>
                  <w:r>
                    <w:rPr>
                      <w:rFonts w:hint="eastAsia"/>
                      <w:color w:val="000000"/>
                      <w:szCs w:val="21"/>
                    </w:rPr>
                    <w:t>原辅材料区</w:t>
                  </w:r>
                </w:p>
              </w:tc>
              <w:tc>
                <w:tcPr>
                  <w:tcW w:w="717" w:type="pct"/>
                  <w:vAlign w:val="center"/>
                </w:tcPr>
                <w:p w14:paraId="64B98427">
                  <w:pPr>
                    <w:pStyle w:val="17"/>
                    <w:spacing w:after="0"/>
                    <w:ind w:firstLine="0" w:firstLineChars="0"/>
                    <w:jc w:val="center"/>
                    <w:rPr>
                      <w:color w:val="000000"/>
                      <w:szCs w:val="21"/>
                    </w:rPr>
                  </w:pPr>
                  <w:r>
                    <w:rPr>
                      <w:rFonts w:hint="eastAsia"/>
                      <w:color w:val="000000"/>
                      <w:szCs w:val="21"/>
                    </w:rPr>
                    <w:t>1处</w:t>
                  </w:r>
                </w:p>
              </w:tc>
              <w:tc>
                <w:tcPr>
                  <w:tcW w:w="1760" w:type="pct"/>
                  <w:vAlign w:val="center"/>
                </w:tcPr>
                <w:p w14:paraId="3C0FAE53">
                  <w:pPr>
                    <w:jc w:val="center"/>
                    <w:rPr>
                      <w:color w:val="000000"/>
                      <w:szCs w:val="21"/>
                    </w:rPr>
                  </w:pPr>
                  <w:r>
                    <w:rPr>
                      <w:rFonts w:hint="eastAsia"/>
                      <w:color w:val="000000"/>
                      <w:szCs w:val="21"/>
                    </w:rPr>
                    <w:t>风险物质泄漏风险</w:t>
                  </w:r>
                </w:p>
              </w:tc>
              <w:tc>
                <w:tcPr>
                  <w:tcW w:w="690" w:type="pct"/>
                  <w:vAlign w:val="center"/>
                </w:tcPr>
                <w:p w14:paraId="409F7E0B">
                  <w:pPr>
                    <w:pStyle w:val="17"/>
                    <w:spacing w:after="0"/>
                    <w:ind w:firstLine="0" w:firstLineChars="0"/>
                    <w:jc w:val="center"/>
                    <w:rPr>
                      <w:color w:val="000000"/>
                      <w:szCs w:val="21"/>
                    </w:rPr>
                  </w:pPr>
                  <w:r>
                    <w:rPr>
                      <w:rFonts w:hint="eastAsia"/>
                      <w:color w:val="000000"/>
                      <w:szCs w:val="21"/>
                    </w:rPr>
                    <w:t>/</w:t>
                  </w:r>
                </w:p>
              </w:tc>
            </w:tr>
            <w:tr w14:paraId="6CED7F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80" w:type="pct"/>
                  <w:vAlign w:val="center"/>
                </w:tcPr>
                <w:p w14:paraId="15E9D026">
                  <w:pPr>
                    <w:pStyle w:val="17"/>
                    <w:spacing w:after="0"/>
                    <w:ind w:firstLine="0" w:firstLineChars="0"/>
                    <w:jc w:val="center"/>
                    <w:rPr>
                      <w:color w:val="000000"/>
                      <w:szCs w:val="21"/>
                    </w:rPr>
                  </w:pPr>
                  <w:r>
                    <w:rPr>
                      <w:rFonts w:hint="eastAsia"/>
                      <w:color w:val="000000"/>
                      <w:szCs w:val="21"/>
                    </w:rPr>
                    <w:t>3</w:t>
                  </w:r>
                </w:p>
              </w:tc>
              <w:tc>
                <w:tcPr>
                  <w:tcW w:w="1251" w:type="pct"/>
                  <w:vAlign w:val="center"/>
                </w:tcPr>
                <w:p w14:paraId="45E3064A">
                  <w:pPr>
                    <w:jc w:val="center"/>
                    <w:rPr>
                      <w:color w:val="000000"/>
                      <w:szCs w:val="21"/>
                    </w:rPr>
                  </w:pPr>
                  <w:r>
                    <w:rPr>
                      <w:rFonts w:hint="eastAsia"/>
                      <w:color w:val="000000"/>
                      <w:szCs w:val="21"/>
                    </w:rPr>
                    <w:t>医疗废物</w:t>
                  </w:r>
                  <w:r>
                    <w:rPr>
                      <w:color w:val="000000"/>
                      <w:szCs w:val="21"/>
                    </w:rPr>
                    <w:t>暂存间</w:t>
                  </w:r>
                </w:p>
              </w:tc>
              <w:tc>
                <w:tcPr>
                  <w:tcW w:w="717" w:type="pct"/>
                  <w:vAlign w:val="center"/>
                </w:tcPr>
                <w:p w14:paraId="31751F79">
                  <w:pPr>
                    <w:pStyle w:val="358"/>
                    <w:spacing w:after="0"/>
                    <w:ind w:firstLine="0" w:firstLineChars="0"/>
                    <w:jc w:val="center"/>
                    <w:rPr>
                      <w:color w:val="000000"/>
                      <w:szCs w:val="21"/>
                    </w:rPr>
                  </w:pPr>
                  <w:r>
                    <w:rPr>
                      <w:color w:val="000000"/>
                      <w:szCs w:val="21"/>
                    </w:rPr>
                    <w:t>1间</w:t>
                  </w:r>
                </w:p>
              </w:tc>
              <w:tc>
                <w:tcPr>
                  <w:tcW w:w="1760" w:type="pct"/>
                  <w:vAlign w:val="center"/>
                </w:tcPr>
                <w:p w14:paraId="75452F95">
                  <w:pPr>
                    <w:pStyle w:val="358"/>
                    <w:widowControl/>
                    <w:spacing w:after="0"/>
                    <w:ind w:firstLine="0" w:firstLineChars="0"/>
                    <w:jc w:val="center"/>
                    <w:rPr>
                      <w:color w:val="000000"/>
                      <w:szCs w:val="21"/>
                    </w:rPr>
                  </w:pPr>
                  <w:r>
                    <w:rPr>
                      <w:color w:val="000000"/>
                      <w:szCs w:val="21"/>
                    </w:rPr>
                    <w:t>危废</w:t>
                  </w:r>
                  <w:r>
                    <w:rPr>
                      <w:rFonts w:hint="eastAsia"/>
                      <w:color w:val="000000"/>
                      <w:szCs w:val="21"/>
                    </w:rPr>
                    <w:t>泄漏</w:t>
                  </w:r>
                  <w:r>
                    <w:rPr>
                      <w:color w:val="000000"/>
                      <w:szCs w:val="21"/>
                    </w:rPr>
                    <w:t>风险</w:t>
                  </w:r>
                </w:p>
              </w:tc>
              <w:tc>
                <w:tcPr>
                  <w:tcW w:w="690" w:type="pct"/>
                  <w:vAlign w:val="center"/>
                </w:tcPr>
                <w:p w14:paraId="7A3F6408">
                  <w:pPr>
                    <w:pStyle w:val="17"/>
                    <w:spacing w:after="0"/>
                    <w:ind w:firstLine="0" w:firstLineChars="0"/>
                    <w:jc w:val="center"/>
                    <w:rPr>
                      <w:color w:val="000000"/>
                      <w:szCs w:val="21"/>
                    </w:rPr>
                  </w:pPr>
                  <w:r>
                    <w:rPr>
                      <w:rFonts w:hint="eastAsia"/>
                      <w:color w:val="000000"/>
                      <w:szCs w:val="21"/>
                    </w:rPr>
                    <w:t>/</w:t>
                  </w:r>
                </w:p>
              </w:tc>
            </w:tr>
          </w:tbl>
          <w:p w14:paraId="6E3A1C5E">
            <w:pPr>
              <w:adjustRightInd w:val="0"/>
              <w:snapToGrid w:val="0"/>
              <w:spacing w:line="360" w:lineRule="auto"/>
              <w:ind w:firstLine="480" w:firstLineChars="200"/>
              <w:rPr>
                <w:bCs/>
                <w:color w:val="000000"/>
                <w:sz w:val="24"/>
                <w:szCs w:val="24"/>
              </w:rPr>
            </w:pPr>
            <w:r>
              <w:rPr>
                <w:bCs/>
                <w:color w:val="000000"/>
                <w:sz w:val="24"/>
                <w:szCs w:val="24"/>
              </w:rPr>
              <w:fldChar w:fldCharType="begin"/>
            </w:r>
            <w:r>
              <w:rPr>
                <w:bCs/>
                <w:color w:val="000000"/>
                <w:sz w:val="24"/>
                <w:szCs w:val="24"/>
              </w:rPr>
              <w:instrText xml:space="preserve"> = 3 \* GB3 </w:instrText>
            </w:r>
            <w:r>
              <w:rPr>
                <w:bCs/>
                <w:color w:val="000000"/>
                <w:sz w:val="24"/>
                <w:szCs w:val="24"/>
              </w:rPr>
              <w:fldChar w:fldCharType="separate"/>
            </w:r>
            <w:r>
              <w:rPr>
                <w:rFonts w:hint="eastAsia" w:ascii="宋体" w:hAnsi="宋体" w:cs="宋体"/>
                <w:bCs/>
                <w:color w:val="000000"/>
                <w:sz w:val="24"/>
                <w:szCs w:val="24"/>
              </w:rPr>
              <w:t>③</w:t>
            </w:r>
            <w:r>
              <w:rPr>
                <w:bCs/>
                <w:color w:val="000000"/>
                <w:sz w:val="24"/>
                <w:szCs w:val="24"/>
              </w:rPr>
              <w:fldChar w:fldCharType="end"/>
            </w:r>
            <w:r>
              <w:rPr>
                <w:bCs/>
                <w:color w:val="000000"/>
                <w:sz w:val="24"/>
                <w:szCs w:val="24"/>
              </w:rPr>
              <w:t>危险物质向环境转移的途径识别</w:t>
            </w:r>
          </w:p>
          <w:p w14:paraId="465F292D">
            <w:pPr>
              <w:adjustRightInd w:val="0"/>
              <w:spacing w:line="360" w:lineRule="auto"/>
              <w:ind w:firstLine="480" w:firstLineChars="200"/>
              <w:rPr>
                <w:bCs/>
                <w:color w:val="000000"/>
                <w:sz w:val="24"/>
                <w:szCs w:val="24"/>
              </w:rPr>
            </w:pPr>
            <w:r>
              <w:rPr>
                <w:bCs/>
                <w:color w:val="000000"/>
                <w:sz w:val="24"/>
                <w:szCs w:val="24"/>
              </w:rPr>
              <w:t>危险物质向环境转移的途径识别，包括分析危险物质特性及可能的环境风险类型，识别危险物质影响环境的途径，分析可能影响的环境敏感目标。</w:t>
            </w:r>
          </w:p>
          <w:p w14:paraId="4BBB73E5">
            <w:pPr>
              <w:adjustRightInd w:val="0"/>
              <w:snapToGrid w:val="0"/>
              <w:spacing w:line="360" w:lineRule="auto"/>
              <w:ind w:firstLine="480" w:firstLineChars="200"/>
              <w:rPr>
                <w:bCs/>
                <w:color w:val="000000"/>
                <w:sz w:val="24"/>
                <w:szCs w:val="24"/>
              </w:rPr>
            </w:pPr>
            <w:r>
              <w:rPr>
                <w:bCs/>
                <w:color w:val="000000"/>
                <w:sz w:val="24"/>
                <w:szCs w:val="24"/>
              </w:rPr>
              <w:t>根据上述物质及生产系统危险性识别结果，综合分析，主要考虑本项目环境风险类型为废水</w:t>
            </w:r>
            <w:r>
              <w:rPr>
                <w:rFonts w:hint="eastAsia"/>
                <w:bCs/>
                <w:color w:val="000000"/>
                <w:sz w:val="24"/>
                <w:szCs w:val="24"/>
              </w:rPr>
              <w:t>泄漏</w:t>
            </w:r>
            <w:r>
              <w:rPr>
                <w:bCs/>
                <w:color w:val="000000"/>
                <w:sz w:val="24"/>
                <w:szCs w:val="24"/>
              </w:rPr>
              <w:t>、</w:t>
            </w:r>
            <w:r>
              <w:rPr>
                <w:rFonts w:hint="eastAsia"/>
                <w:bCs/>
                <w:color w:val="000000"/>
                <w:sz w:val="24"/>
                <w:szCs w:val="24"/>
              </w:rPr>
              <w:t>风险物质泄漏</w:t>
            </w:r>
            <w:r>
              <w:rPr>
                <w:bCs/>
                <w:color w:val="000000"/>
                <w:sz w:val="24"/>
                <w:szCs w:val="24"/>
              </w:rPr>
              <w:t>及危废</w:t>
            </w:r>
            <w:r>
              <w:rPr>
                <w:rFonts w:hint="eastAsia"/>
                <w:bCs/>
                <w:color w:val="000000"/>
                <w:sz w:val="24"/>
                <w:szCs w:val="24"/>
              </w:rPr>
              <w:t>泄漏</w:t>
            </w:r>
            <w:r>
              <w:rPr>
                <w:bCs/>
                <w:color w:val="000000"/>
                <w:sz w:val="24"/>
                <w:szCs w:val="24"/>
              </w:rPr>
              <w:t>风险，对项目周围地表水环境、地下水环境及大气环境的影响。</w:t>
            </w:r>
          </w:p>
          <w:p w14:paraId="7159FC25">
            <w:pPr>
              <w:adjustRightInd w:val="0"/>
              <w:snapToGrid w:val="0"/>
              <w:spacing w:line="360" w:lineRule="auto"/>
              <w:ind w:firstLine="480" w:firstLineChars="200"/>
              <w:rPr>
                <w:bCs/>
                <w:color w:val="000000"/>
                <w:sz w:val="24"/>
                <w:szCs w:val="24"/>
              </w:rPr>
            </w:pPr>
            <w:r>
              <w:rPr>
                <w:bCs/>
                <w:color w:val="000000"/>
                <w:sz w:val="24"/>
                <w:szCs w:val="24"/>
              </w:rPr>
              <w:t>（</w:t>
            </w:r>
            <w:r>
              <w:rPr>
                <w:rFonts w:hint="eastAsia"/>
                <w:bCs/>
                <w:color w:val="000000"/>
                <w:sz w:val="24"/>
                <w:szCs w:val="24"/>
              </w:rPr>
              <w:t>3</w:t>
            </w:r>
            <w:r>
              <w:rPr>
                <w:bCs/>
                <w:color w:val="000000"/>
                <w:sz w:val="24"/>
                <w:szCs w:val="24"/>
              </w:rPr>
              <w:t>）环境风险防范措施</w:t>
            </w:r>
          </w:p>
          <w:p w14:paraId="242AFD1F">
            <w:pPr>
              <w:spacing w:line="360" w:lineRule="auto"/>
              <w:ind w:firstLine="480" w:firstLineChars="200"/>
              <w:rPr>
                <w:color w:val="000000"/>
                <w:sz w:val="24"/>
              </w:rPr>
            </w:pPr>
            <w:r>
              <w:rPr>
                <w:color w:val="000000"/>
                <w:sz w:val="24"/>
              </w:rPr>
              <w:t>企业在生产操作过程中，必须加强安全管理，提高事故风险防范措施。突发性污染事故，特别是易燃易爆有毒等化学品的重大事故将对事故现场人员的生命和健康造成严重危害，还将造成直接或间接的经济损失，还可能成为社会不安定的因素，同时对生态环境也会造成严重的破坏。因此，做好突发性环境污染事故的预防，提高对突发性污染事故的应急处理和处置能力，对企业具有重要的意义。</w:t>
            </w:r>
          </w:p>
          <w:p w14:paraId="203D5479">
            <w:pPr>
              <w:spacing w:line="360" w:lineRule="auto"/>
              <w:ind w:firstLine="482" w:firstLineChars="200"/>
              <w:rPr>
                <w:b/>
                <w:color w:val="000000"/>
                <w:sz w:val="24"/>
                <w:u w:val="none"/>
              </w:rPr>
            </w:pPr>
            <w:r>
              <w:rPr>
                <w:rFonts w:hint="eastAsia" w:ascii="宋体" w:hAnsi="宋体" w:cs="宋体"/>
                <w:b/>
                <w:color w:val="000000"/>
                <w:sz w:val="24"/>
                <w:u w:val="none"/>
              </w:rPr>
              <w:t>① 医疗废物泄漏对环境的影响及风险防范措施</w:t>
            </w:r>
          </w:p>
          <w:p w14:paraId="622C614A">
            <w:pPr>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医疗废物与其他危险废物的污染特性不同，它除了可以造成对环境的污染和破坏之外，还具有感染性和毒性，可直接对人体健康造成威胁。在医疗废物的收集、运输过程中与周围民众的接触几率较大、接触距离较短，在其中可能存在的传染性病原体容易因此而向社会传播。可见，如果对医疗废物管理不恰当，则对环境和人体健康造成的危害是巨大的。出现医疗废物收集及处置不当的原因主要有人为管理及操作，包括：</w:t>
            </w:r>
          </w:p>
          <w:p w14:paraId="54E72075">
            <w:pPr>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1）收集容器不符合规范要求，如塑料袋强度、韧性不够、废物箱强度及密封性不够等，导致医疗废物散落或漏失。</w:t>
            </w:r>
          </w:p>
          <w:p w14:paraId="404B2D2B">
            <w:pPr>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2）医疗废物存放地不满足医疗废物存放要求，导致医疗废物包装破损，废物腐坏，或经水浸、风雨及动物、雀鸟、鼠类、昆虫等途径扩散。</w:t>
            </w:r>
          </w:p>
          <w:p w14:paraId="6F28236E">
            <w:pPr>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3）运输及搬运过程中，抛掷、投下、</w:t>
            </w:r>
            <w:r>
              <w:rPr>
                <w:rFonts w:hint="eastAsia" w:cs="Times New Roman"/>
                <w:sz w:val="24"/>
                <w:szCs w:val="24"/>
                <w:u w:val="none"/>
                <w:lang w:eastAsia="zh-CN"/>
              </w:rPr>
              <w:t>踩踏</w:t>
            </w:r>
            <w:r>
              <w:rPr>
                <w:rFonts w:hint="default" w:ascii="Times New Roman" w:hAnsi="Times New Roman" w:eastAsia="宋体" w:cs="Times New Roman"/>
                <w:sz w:val="24"/>
                <w:szCs w:val="24"/>
                <w:u w:val="none"/>
              </w:rPr>
              <w:t>或在地上拖动载有医疗废物的容器，使医疗废物散落或漏失。</w:t>
            </w:r>
          </w:p>
          <w:p w14:paraId="16C9933F">
            <w:pPr>
              <w:spacing w:line="360" w:lineRule="auto"/>
              <w:ind w:firstLine="480" w:firstLineChars="200"/>
              <w:rPr>
                <w:rFonts w:hint="default" w:ascii="Times New Roman" w:hAnsi="Times New Roman" w:eastAsia="宋体" w:cs="Times New Roman"/>
                <w:b w:val="0"/>
                <w:bCs/>
                <w:sz w:val="24"/>
                <w:szCs w:val="24"/>
                <w:u w:val="none"/>
              </w:rPr>
            </w:pPr>
            <w:r>
              <w:rPr>
                <w:rFonts w:hint="eastAsia" w:ascii="宋体" w:hAnsi="宋体" w:cs="宋体"/>
                <w:b w:val="0"/>
                <w:bCs/>
                <w:color w:val="000000"/>
                <w:sz w:val="24"/>
                <w:u w:val="none"/>
              </w:rPr>
              <w:t>医疗废物泄漏</w:t>
            </w:r>
            <w:r>
              <w:rPr>
                <w:rFonts w:hint="eastAsia" w:ascii="宋体" w:hAnsi="宋体" w:cs="宋体"/>
                <w:b w:val="0"/>
                <w:bCs/>
                <w:color w:val="000000"/>
                <w:sz w:val="24"/>
                <w:u w:val="none"/>
                <w:lang w:val="en-US" w:eastAsia="zh-CN"/>
              </w:rPr>
              <w:t>的风险</w:t>
            </w:r>
            <w:r>
              <w:rPr>
                <w:rFonts w:hint="eastAsia" w:ascii="宋体" w:hAnsi="宋体" w:cs="宋体"/>
                <w:b w:val="0"/>
                <w:bCs/>
                <w:color w:val="000000"/>
                <w:sz w:val="24"/>
                <w:u w:val="none"/>
              </w:rPr>
              <w:t>防范</w:t>
            </w:r>
            <w:r>
              <w:rPr>
                <w:rFonts w:hint="default" w:ascii="Times New Roman" w:hAnsi="Times New Roman" w:eastAsia="宋体" w:cs="Times New Roman"/>
                <w:b w:val="0"/>
                <w:bCs/>
                <w:sz w:val="24"/>
                <w:szCs w:val="24"/>
                <w:u w:val="none"/>
              </w:rPr>
              <w:t>措施</w:t>
            </w:r>
          </w:p>
          <w:p w14:paraId="76A4B74A">
            <w:pPr>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a 医疗废物按类别分置于防渗漏、防锐器穿透的专用包装物或者密闭的容器内，医疗废物专用包装物、容器均有明显的警示标志和警示说明。</w:t>
            </w:r>
          </w:p>
          <w:p w14:paraId="0D683A6B">
            <w:pPr>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b 医废暂存间地面采取防重点防渗措施，并设计堵截泄漏的墙裙，墙裙应进行防腐、防渗处理，地面与墙裙所围建的容积不低于堵截最大容器的最大储量或总储量的五分之一。地面有良好的排水性能，易于清洁和消毒。</w:t>
            </w:r>
          </w:p>
          <w:p w14:paraId="5ABCC9B3">
            <w:pPr>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c 医院应制定医疗废物暂存管理的规章制度、工作程序以及应急处理措施。</w:t>
            </w:r>
          </w:p>
          <w:p w14:paraId="38D87798">
            <w:pPr>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d 为保证项目产生的医疗废物得到有效处置，使其风险减少到最低程度，而不会对环境造成不良影响。针对医疗危险废物的处理特点，医院应严格执行《医疗卫生机构医疗废物管理办法》。</w:t>
            </w:r>
          </w:p>
          <w:p w14:paraId="4D3C1BEF">
            <w:pPr>
              <w:spacing w:line="360" w:lineRule="auto"/>
              <w:ind w:firstLine="482" w:firstLineChars="200"/>
              <w:rPr>
                <w:bCs/>
                <w:sz w:val="24"/>
                <w:u w:val="none"/>
              </w:rPr>
            </w:pPr>
            <w:r>
              <w:rPr>
                <w:rFonts w:hint="eastAsia" w:ascii="宋体" w:hAnsi="宋体" w:cs="宋体"/>
                <w:b/>
                <w:sz w:val="24"/>
                <w:u w:val="none"/>
              </w:rPr>
              <w:t>② 医用酒精泄漏对环境的影响及风险防范措施</w:t>
            </w:r>
          </w:p>
          <w:p w14:paraId="16087F10">
            <w:pPr>
              <w:spacing w:line="360" w:lineRule="auto"/>
              <w:ind w:firstLine="480" w:firstLineChars="200"/>
              <w:rPr>
                <w:bCs/>
                <w:sz w:val="24"/>
                <w:u w:val="none"/>
              </w:rPr>
            </w:pPr>
            <w:r>
              <w:rPr>
                <w:rFonts w:ascii="宋体" w:hAnsi="宋体" w:cs="宋体"/>
                <w:sz w:val="24"/>
                <w:szCs w:val="24"/>
                <w:u w:val="none"/>
              </w:rPr>
              <w:t>本项目可能发生的事故主要为医用酒精泄漏，本项目的医用酒精存放量较少，即使发生泄漏，扩散量很小，进入空气后很快消散。由于医院暂存的医用酒精存放量较少，酒精泄漏遇到明火不会引发大面积火灾，可采用泡沫灭火器对其进行灭火。因此只要收集和处理及时，不会大范围地扩散，对环境空气产生影响很小，也不会发生爆炸事故</w:t>
            </w:r>
            <w:r>
              <w:rPr>
                <w:bCs/>
                <w:sz w:val="24"/>
                <w:u w:val="none"/>
              </w:rPr>
              <w:t>。</w:t>
            </w:r>
          </w:p>
          <w:p w14:paraId="5EFF371E">
            <w:pPr>
              <w:spacing w:line="360" w:lineRule="auto"/>
              <w:ind w:firstLine="482" w:firstLineChars="200"/>
              <w:rPr>
                <w:b/>
                <w:sz w:val="24"/>
                <w:u w:val="none"/>
              </w:rPr>
            </w:pPr>
            <w:r>
              <w:rPr>
                <w:rFonts w:ascii="宋体" w:hAnsi="宋体"/>
                <w:b/>
                <w:sz w:val="24"/>
                <w:u w:val="none"/>
              </w:rPr>
              <w:t>③</w:t>
            </w:r>
            <w:r>
              <w:rPr>
                <w:rFonts w:hint="eastAsia" w:ascii="宋体" w:hAnsi="宋体"/>
                <w:b/>
                <w:sz w:val="24"/>
                <w:u w:val="none"/>
              </w:rPr>
              <w:t xml:space="preserve"> </w:t>
            </w:r>
            <w:r>
              <w:rPr>
                <w:b/>
                <w:sz w:val="24"/>
                <w:u w:val="none"/>
              </w:rPr>
              <w:t>84</w:t>
            </w:r>
            <w:r>
              <w:rPr>
                <w:rFonts w:ascii="宋体" w:hAnsi="宋体"/>
                <w:b/>
                <w:sz w:val="24"/>
                <w:u w:val="none"/>
              </w:rPr>
              <w:t>消毒液泄漏对环境的影响及风险防范措施</w:t>
            </w:r>
          </w:p>
          <w:p w14:paraId="7FF25D79">
            <w:pPr>
              <w:pStyle w:val="444"/>
              <w:widowControl/>
              <w:ind w:firstLine="480"/>
              <w:rPr>
                <w:bCs/>
                <w:u w:val="none"/>
              </w:rPr>
            </w:pPr>
            <w:r>
              <w:rPr>
                <w:bCs/>
                <w:u w:val="none"/>
              </w:rPr>
              <w:t>本项目储存84消毒液量少，发生84消毒液泄漏后立即隔离泄漏区域，设置警示标识，严禁无关</w:t>
            </w:r>
            <w:r>
              <w:rPr>
                <w:rFonts w:hint="eastAsia" w:ascii="宋体" w:hAnsi="宋体" w:cs="宋体"/>
                <w:bCs/>
                <w:u w:val="none"/>
              </w:rPr>
              <w:t>人员进入；用防渗漏吸附棉、沙土围堵并吸附泄漏液，防止流入雨水沟或地下水；将吸附后的吸附棉/沙土装入专用危废</w:t>
            </w:r>
            <w:r>
              <w:rPr>
                <w:bCs/>
                <w:u w:val="none"/>
              </w:rPr>
              <w:t>桶，</w:t>
            </w:r>
            <w:r>
              <w:rPr>
                <w:rFonts w:hint="eastAsia" w:ascii="宋体" w:hAnsi="宋体" w:cs="宋体"/>
                <w:bCs/>
                <w:u w:val="none"/>
              </w:rPr>
              <w:t>密封标注“废</w:t>
            </w:r>
            <w:r>
              <w:rPr>
                <w:bCs/>
                <w:u w:val="none"/>
              </w:rPr>
              <w:t>弃84消毒液污染</w:t>
            </w:r>
            <w:r>
              <w:rPr>
                <w:rFonts w:hint="eastAsia" w:ascii="宋体" w:hAnsi="宋体" w:cs="宋体"/>
                <w:bCs/>
                <w:u w:val="none"/>
              </w:rPr>
              <w:t>废物”；污染地面用</w:t>
            </w:r>
            <w:r>
              <w:rPr>
                <w:bCs/>
                <w:u w:val="none"/>
              </w:rPr>
              <w:t>稀盐酸（5%）或柠檬酸溶液中和至pH6.5–7.5</w:t>
            </w:r>
            <w:r>
              <w:rPr>
                <w:rFonts w:hint="eastAsia" w:ascii="宋体" w:hAnsi="宋体" w:cs="宋体"/>
                <w:bCs/>
                <w:u w:val="none"/>
              </w:rPr>
              <w:t>，再用清水冲洗，冲洗水收集至污水处理站处理，严禁排入雨水管网</w:t>
            </w:r>
            <w:r>
              <w:rPr>
                <w:bCs/>
                <w:u w:val="none"/>
              </w:rPr>
              <w:t>。</w:t>
            </w:r>
          </w:p>
          <w:p w14:paraId="0FF8FA86">
            <w:pPr>
              <w:adjustRightInd w:val="0"/>
              <w:snapToGrid w:val="0"/>
              <w:spacing w:line="360" w:lineRule="auto"/>
              <w:ind w:firstLine="482" w:firstLineChars="200"/>
              <w:rPr>
                <w:b/>
                <w:color w:val="000000"/>
                <w:spacing w:val="-10"/>
                <w:sz w:val="24"/>
                <w:u w:val="none"/>
              </w:rPr>
            </w:pPr>
            <w:r>
              <w:rPr>
                <w:rFonts w:hint="eastAsia" w:ascii="宋体" w:hAnsi="宋体" w:cs="宋体"/>
                <w:b/>
                <w:sz w:val="24"/>
                <w:u w:val="none"/>
              </w:rPr>
              <w:t>④ 云氧药剂（活性氧类消毒剂）洒落对环境的影响及风险防范措施</w:t>
            </w:r>
          </w:p>
          <w:p w14:paraId="5DAF9B0E">
            <w:pPr>
              <w:adjustRightInd w:val="0"/>
              <w:snapToGrid w:val="0"/>
              <w:spacing w:line="360" w:lineRule="auto"/>
              <w:ind w:firstLine="480" w:firstLineChars="200"/>
              <w:rPr>
                <w:bCs/>
                <w:color w:val="000000"/>
                <w:spacing w:val="-10"/>
                <w:sz w:val="24"/>
                <w:u w:val="none"/>
              </w:rPr>
            </w:pPr>
            <w:r>
              <w:rPr>
                <w:sz w:val="24"/>
                <w:szCs w:val="24"/>
                <w:u w:val="none"/>
              </w:rPr>
              <w:t>固体药剂采用密封塑料桶/覆膜编织袋包装，放置于防渗漏托盘上，托盘高度≥10cm，容积≥药剂总容积的110%。搬运时轻拿轻放，严禁抛掷、撞击包装；稀释投加时，在带围堰的操作区进行，围堰高度≥30cm，防止稀释液飞溅或泄漏扩散；操作人员佩戴耐酸碱手套、护目镜、防滑鞋，避免药剂接触皮肤。应急处置时，操作人员需佩戴防毒口罩、防护服，避免吸入药剂挥发的刺激性气体；严禁将洒落的药剂与含氯消毒剂、还原剂、酸性物质混合，防止产生有毒气体或引发剧烈反应；处置完成后，需对污染区域进行跟踪监测（土壤pH、水体溶解氧/粪大肠菌群），确保环境指标达标</w:t>
            </w:r>
            <w:r>
              <w:rPr>
                <w:bCs/>
                <w:color w:val="000000"/>
                <w:spacing w:val="-10"/>
                <w:sz w:val="24"/>
                <w:u w:val="none"/>
              </w:rPr>
              <w:t>。</w:t>
            </w:r>
            <w:r>
              <w:rPr>
                <w:rFonts w:hint="eastAsia" w:ascii="宋体" w:hAnsi="宋体" w:cs="宋体"/>
                <w:bCs/>
                <w:color w:val="000000"/>
                <w:spacing w:val="-10"/>
                <w:sz w:val="24"/>
                <w:u w:val="none"/>
              </w:rPr>
              <w:t>固体云氧药剂泄漏应立即用干燥沙土或蛭石覆盖洒落区域，吸附药剂并防止扬尘扩散；用干净的塑料铲将吸附药剂的沙土收集至专用危废桶，密封标注 “废弃活性氧消毒剂”；用清水冲洗污染地面，冲洗水收集至污水处理站调节池，严禁排入雨水管网；严禁用扫帚清扫或用水直接冲刷，防止药剂扩散至周边环境。</w:t>
            </w:r>
          </w:p>
          <w:p w14:paraId="719640D0">
            <w:pPr>
              <w:adjustRightInd w:val="0"/>
              <w:snapToGrid w:val="0"/>
              <w:spacing w:line="360" w:lineRule="auto"/>
              <w:ind w:firstLine="482" w:firstLineChars="200"/>
              <w:rPr>
                <w:rFonts w:hint="eastAsia" w:ascii="宋体" w:hAnsi="宋体"/>
                <w:b/>
                <w:sz w:val="24"/>
                <w:highlight w:val="none"/>
                <w:u w:val="none"/>
              </w:rPr>
            </w:pPr>
            <w:r>
              <w:rPr>
                <w:rFonts w:hint="eastAsia" w:ascii="宋体" w:hAnsi="宋体" w:cs="宋体"/>
                <w:b/>
                <w:i w:val="0"/>
                <w:iCs w:val="0"/>
                <w:sz w:val="24"/>
                <w:highlight w:val="none"/>
                <w:u w:val="none"/>
              </w:rPr>
              <w:t>⑤</w:t>
            </w:r>
            <w:r>
              <w:rPr>
                <w:rFonts w:hint="eastAsia"/>
                <w:b/>
                <w:sz w:val="24"/>
                <w:highlight w:val="none"/>
                <w:u w:val="none"/>
              </w:rPr>
              <w:t xml:space="preserve"> 漂白粉</w:t>
            </w:r>
            <w:r>
              <w:rPr>
                <w:rFonts w:ascii="宋体" w:hAnsi="宋体"/>
                <w:b/>
                <w:sz w:val="24"/>
                <w:highlight w:val="none"/>
                <w:u w:val="none"/>
              </w:rPr>
              <w:t>泄漏对环境的影响及风险防范措施</w:t>
            </w:r>
          </w:p>
          <w:p w14:paraId="2C4159C9">
            <w:pPr>
              <w:adjustRightInd w:val="0"/>
              <w:snapToGrid w:val="0"/>
              <w:spacing w:line="360" w:lineRule="auto"/>
              <w:ind w:firstLine="480" w:firstLineChars="200"/>
              <w:rPr>
                <w:bCs/>
                <w:sz w:val="24"/>
                <w:highlight w:val="none"/>
                <w:u w:val="none"/>
              </w:rPr>
            </w:pPr>
            <w:r>
              <w:rPr>
                <w:bCs/>
                <w:sz w:val="24"/>
                <w:highlight w:val="none"/>
                <w:u w:val="none"/>
              </w:rPr>
              <w:t>漂白粉（核心成分次氯酸钙，有效氯25%–32%）因强氧化性、腐蚀性、含氯特性，泄漏后会对水体、土壤、动植物造成直接危害，且可能产生有毒氯气，储存防护</w:t>
            </w:r>
            <w:r>
              <w:rPr>
                <w:rFonts w:hint="eastAsia"/>
                <w:bCs/>
                <w:sz w:val="24"/>
                <w:highlight w:val="none"/>
                <w:u w:val="none"/>
              </w:rPr>
              <w:t>。</w:t>
            </w:r>
            <w:r>
              <w:rPr>
                <w:bCs/>
                <w:sz w:val="24"/>
                <w:highlight w:val="none"/>
                <w:u w:val="none"/>
              </w:rPr>
              <w:t>采用密封防潮的塑料桶或覆膜编织袋包装，存放于阴凉干燥、通风良好的专用仓库，仓库地面做防渗漏环氧地坪，并设置围堰（高度≥30cm）；与酸性物质（盐酸、硫酸）、还原剂（硫代硫酸钠）、易燃物（酒精、木屑）分仓存放，安全间距≥2m；堆放高度不超过1.5m，避免底层包装受压破损，仓库内严禁使用铁质工具，防止摩擦产生火花。</w:t>
            </w:r>
          </w:p>
          <w:p w14:paraId="621E3A86">
            <w:pPr>
              <w:adjustRightInd w:val="0"/>
              <w:snapToGrid w:val="0"/>
              <w:spacing w:line="360" w:lineRule="auto"/>
              <w:ind w:firstLine="480" w:firstLineChars="200"/>
              <w:rPr>
                <w:bCs/>
                <w:sz w:val="24"/>
                <w:highlight w:val="none"/>
                <w:u w:val="none"/>
              </w:rPr>
            </w:pPr>
            <w:r>
              <w:rPr>
                <w:rFonts w:hint="eastAsia" w:ascii="宋体" w:hAnsi="宋体" w:cs="宋体"/>
                <w:bCs/>
                <w:sz w:val="24"/>
                <w:highlight w:val="none"/>
                <w:u w:val="none"/>
              </w:rPr>
              <w:t>漂白粉泄漏应立即隔离泄漏区域，设置警示标识，严禁无关人员进入；用干燥沙土或蛭石覆盖洒落药剂，吸附并防止扬尘扩散，严禁用水直接冲刷；用塑料铲将吸附药剂的沙土收集至专用危废桶，密封标注“废弃漂白粉”；污染</w:t>
            </w:r>
            <w:r>
              <w:rPr>
                <w:bCs/>
                <w:sz w:val="24"/>
                <w:highlight w:val="none"/>
                <w:u w:val="none"/>
              </w:rPr>
              <w:t>地面用5%碳酸钠溶液（弱碱性）中和，再用清水冲洗，冲洗水收集至污水处理站处理，严禁排入雨水管网。</w:t>
            </w:r>
          </w:p>
          <w:p w14:paraId="3CB823F6">
            <w:pPr>
              <w:adjustRightInd w:val="0"/>
              <w:snapToGrid w:val="0"/>
              <w:spacing w:line="360" w:lineRule="auto"/>
              <w:ind w:firstLine="482" w:firstLineChars="200"/>
              <w:rPr>
                <w:rFonts w:hint="eastAsia" w:ascii="宋体" w:hAnsi="宋体" w:cs="宋体"/>
                <w:b/>
                <w:sz w:val="24"/>
                <w:u w:val="none"/>
              </w:rPr>
            </w:pPr>
            <w:r>
              <w:rPr>
                <w:rFonts w:hint="eastAsia"/>
                <w:b/>
                <w:sz w:val="24"/>
                <w:highlight w:val="none"/>
                <w:u w:val="none"/>
              </w:rPr>
              <w:t>⑥</w:t>
            </w:r>
            <w:r>
              <w:rPr>
                <w:rFonts w:hint="eastAsia" w:ascii="宋体" w:hAnsi="宋体" w:cs="宋体"/>
                <w:b/>
                <w:sz w:val="24"/>
                <w:u w:val="none"/>
              </w:rPr>
              <w:t xml:space="preserve"> 废水事故排放影响分析及风险防范措施 </w:t>
            </w:r>
          </w:p>
          <w:p w14:paraId="22BCBC79">
            <w:pPr>
              <w:adjustRightInd w:val="0"/>
              <w:snapToGrid w:val="0"/>
              <w:spacing w:line="360" w:lineRule="auto"/>
              <w:ind w:firstLine="480" w:firstLineChars="200"/>
              <w:rPr>
                <w:rFonts w:ascii="宋体" w:hAnsi="宋体" w:cs="宋体"/>
                <w:sz w:val="24"/>
                <w:szCs w:val="24"/>
                <w:u w:val="none"/>
              </w:rPr>
            </w:pPr>
            <w:r>
              <w:rPr>
                <w:rFonts w:hint="eastAsia" w:ascii="宋体" w:hAnsi="宋体" w:cs="宋体"/>
                <w:sz w:val="24"/>
                <w:szCs w:val="24"/>
                <w:u w:val="none"/>
              </w:rPr>
              <w:t>项目因污染物防治设施非正常使用，如：管道破裂、泵设备损坏或失效、人为操作失误等，造成废水处理工艺的处理出水标准值超过《医疗机构水污染物排放标准》（</w:t>
            </w:r>
            <w:r>
              <w:rPr>
                <w:rFonts w:hint="default" w:ascii="Times New Roman" w:hAnsi="Times New Roman" w:cs="Times New Roman"/>
                <w:sz w:val="24"/>
                <w:szCs w:val="24"/>
                <w:u w:val="none"/>
              </w:rPr>
              <w:t>GB18466-2005</w:t>
            </w:r>
            <w:r>
              <w:rPr>
                <w:rFonts w:hint="eastAsia" w:ascii="宋体" w:hAnsi="宋体" w:cs="宋体"/>
                <w:sz w:val="24"/>
                <w:szCs w:val="24"/>
                <w:u w:val="none"/>
              </w:rPr>
              <w:t>）表</w:t>
            </w:r>
            <w:r>
              <w:rPr>
                <w:rFonts w:hint="default" w:ascii="Times New Roman" w:hAnsi="Times New Roman" w:cs="Times New Roman"/>
                <w:sz w:val="24"/>
                <w:szCs w:val="24"/>
                <w:u w:val="none"/>
              </w:rPr>
              <w:t>2</w:t>
            </w:r>
            <w:r>
              <w:rPr>
                <w:rFonts w:hint="eastAsia" w:ascii="宋体" w:hAnsi="宋体" w:cs="宋体"/>
                <w:sz w:val="24"/>
                <w:szCs w:val="24"/>
                <w:u w:val="none"/>
              </w:rPr>
              <w:t>排放标准限值排放。废水未经处理排放</w:t>
            </w:r>
            <w:r>
              <w:rPr>
                <w:rFonts w:ascii="宋体" w:hAnsi="宋体" w:cs="宋体"/>
                <w:sz w:val="24"/>
                <w:szCs w:val="24"/>
                <w:u w:val="none"/>
              </w:rPr>
              <w:t>进入</w:t>
            </w:r>
            <w:r>
              <w:rPr>
                <w:rFonts w:hint="eastAsia" w:ascii="宋体" w:hAnsi="宋体" w:cs="宋体"/>
                <w:sz w:val="24"/>
                <w:szCs w:val="24"/>
                <w:u w:val="none"/>
                <w:lang w:val="en-US" w:eastAsia="zh-CN"/>
              </w:rPr>
              <w:t>安化县</w:t>
            </w:r>
            <w:r>
              <w:rPr>
                <w:rFonts w:ascii="宋体" w:hAnsi="宋体" w:cs="宋体"/>
                <w:sz w:val="24"/>
                <w:szCs w:val="24"/>
                <w:u w:val="none"/>
              </w:rPr>
              <w:t>污水处理厂的水质会造成一定的冲击，</w:t>
            </w:r>
            <w:r>
              <w:rPr>
                <w:rFonts w:hint="eastAsia" w:ascii="宋体" w:hAnsi="宋体" w:cs="宋体"/>
                <w:sz w:val="24"/>
                <w:szCs w:val="24"/>
                <w:u w:val="none"/>
              </w:rPr>
              <w:t>给</w:t>
            </w:r>
            <w:r>
              <w:rPr>
                <w:rFonts w:hint="eastAsia" w:ascii="宋体" w:hAnsi="宋体" w:cs="宋体"/>
                <w:sz w:val="24"/>
                <w:szCs w:val="24"/>
                <w:u w:val="none"/>
                <w:lang w:val="en-US" w:eastAsia="zh-CN"/>
              </w:rPr>
              <w:t>安化县</w:t>
            </w:r>
            <w:r>
              <w:rPr>
                <w:rFonts w:ascii="宋体" w:hAnsi="宋体" w:cs="宋体"/>
                <w:sz w:val="24"/>
                <w:szCs w:val="24"/>
                <w:u w:val="none"/>
              </w:rPr>
              <w:t>污水处理厂</w:t>
            </w:r>
            <w:r>
              <w:rPr>
                <w:rFonts w:hint="eastAsia" w:ascii="宋体" w:hAnsi="宋体" w:cs="宋体"/>
                <w:sz w:val="24"/>
                <w:szCs w:val="24"/>
                <w:u w:val="none"/>
              </w:rPr>
              <w:t>带来安全隐患和环境风险。为了避免医院废水处理设施事故排放，建设单位应加强管理，做好各项环保措施，环评建议</w:t>
            </w:r>
            <w:r>
              <w:rPr>
                <w:rFonts w:hint="eastAsia" w:ascii="宋体" w:hAnsi="宋体" w:cs="宋体"/>
                <w:sz w:val="24"/>
                <w:szCs w:val="24"/>
                <w:u w:val="none"/>
                <w:lang w:val="en-US" w:eastAsia="zh-CN"/>
              </w:rPr>
              <w:t>建设单位</w:t>
            </w:r>
            <w:r>
              <w:rPr>
                <w:rFonts w:hint="eastAsia" w:ascii="宋体" w:hAnsi="宋体" w:cs="宋体"/>
                <w:sz w:val="24"/>
                <w:szCs w:val="24"/>
                <w:u w:val="none"/>
              </w:rPr>
              <w:t>修建环境风险事故应急池。一旦如果项目污水处理站发生事故，项目废水经收集进入事故应急池，不流出医院，从而确保废（污）水达标排放，不会对周围水体和环境造成影响。</w:t>
            </w:r>
          </w:p>
          <w:p w14:paraId="2BD2ECFD">
            <w:pPr>
              <w:adjustRightInd w:val="0"/>
              <w:snapToGrid w:val="0"/>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为避免废水事故排放造成污染，做好污水事故排放的防范措施十分重要，防范措施如下：</w:t>
            </w:r>
          </w:p>
          <w:p w14:paraId="5F543A86">
            <w:pPr>
              <w:adjustRightInd w:val="0"/>
              <w:snapToGrid w:val="0"/>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1）污水处理站定期清淤，排污管道及污水处理设施定期检修，确保污水管网通畅。若发现污水外溢，沿途市政管网受损，应立即通知相关部门进行检修。督促政府市政部门加强市政管网巡线管理，发现隐患及时解决，杜绝沿线污水直接外排。</w:t>
            </w:r>
          </w:p>
          <w:p w14:paraId="2BC416DD">
            <w:pPr>
              <w:adjustRightInd w:val="0"/>
              <w:snapToGrid w:val="0"/>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2）医院须对污水处理系统进行专项检查、定期检查，及时维修或更换老化的设备及部件，消除隐患，防止事故发生；加强管理，对污水处理系统操作人员进行环保教育和职业技能培训，做到安全正常运行。</w:t>
            </w:r>
          </w:p>
          <w:p w14:paraId="033CD066">
            <w:pPr>
              <w:adjustRightInd w:val="0"/>
              <w:snapToGrid w:val="0"/>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3）医院需要对污水处理站配备应急电源，在断电时，启用应急电源，优先保证污水处理系统的用电，使其正常运转。</w:t>
            </w:r>
          </w:p>
          <w:p w14:paraId="6BA70BB7">
            <w:pPr>
              <w:adjustRightInd w:val="0"/>
              <w:snapToGrid w:val="0"/>
              <w:spacing w:line="360" w:lineRule="auto"/>
              <w:ind w:firstLine="480" w:firstLineChars="200"/>
              <w:rPr>
                <w:rFonts w:hint="default" w:ascii="Times New Roman" w:hAnsi="Times New Roman" w:eastAsia="宋体" w:cs="Times New Roman"/>
                <w:sz w:val="24"/>
                <w:szCs w:val="24"/>
                <w:u w:val="none"/>
              </w:rPr>
            </w:pPr>
            <w:r>
              <w:rPr>
                <w:rFonts w:hint="default" w:ascii="Times New Roman" w:hAnsi="Times New Roman" w:eastAsia="宋体" w:cs="Times New Roman"/>
                <w:sz w:val="24"/>
                <w:szCs w:val="24"/>
                <w:u w:val="none"/>
              </w:rPr>
              <w:t>4）医院须备有应急含氯消毒剂，采用人工添加消毒剂的方式对污水进行消毒处理，做到达标排放。</w:t>
            </w:r>
          </w:p>
          <w:p w14:paraId="1EB565AF">
            <w:pPr>
              <w:adjustRightInd w:val="0"/>
              <w:snapToGrid w:val="0"/>
              <w:spacing w:line="360" w:lineRule="auto"/>
              <w:ind w:firstLine="480" w:firstLineChars="200"/>
              <w:rPr>
                <w:rFonts w:ascii="宋体" w:hAnsi="宋体" w:cs="宋体"/>
                <w:sz w:val="24"/>
                <w:szCs w:val="24"/>
                <w:u w:val="single"/>
              </w:rPr>
            </w:pPr>
            <w:r>
              <w:rPr>
                <w:rFonts w:hint="default" w:ascii="Times New Roman" w:hAnsi="Times New Roman" w:eastAsia="宋体" w:cs="Times New Roman"/>
                <w:sz w:val="24"/>
                <w:szCs w:val="24"/>
                <w:u w:val="none"/>
              </w:rPr>
              <w:t>5）</w:t>
            </w:r>
            <w:r>
              <w:rPr>
                <w:rFonts w:hint="default" w:ascii="Times New Roman" w:hAnsi="Times New Roman" w:eastAsia="宋体" w:cs="Times New Roman"/>
                <w:sz w:val="24"/>
                <w:szCs w:val="24"/>
                <w:u w:val="single"/>
              </w:rPr>
              <w:t>为避免事故排放，医院污水处理工程应设应急事故池，以贮存处理系统事故或其他突发事件时医院污水。根据《医疗机构污水处理工程技术标准》（GB51459-2024）中“非传染病医院污水处理工程应急事故池容积不小于日排放量的30%”。本项目综合废水日排放量 47.36m³/d，经计算事故池最小有效容积为 14.21m³，建设单位拟设置有效容积</w:t>
            </w:r>
            <w:r>
              <w:rPr>
                <w:rFonts w:hint="eastAsia" w:cs="Times New Roman"/>
                <w:sz w:val="24"/>
                <w:szCs w:val="24"/>
                <w:u w:val="single"/>
                <w:lang w:val="en-US" w:eastAsia="zh-CN"/>
              </w:rPr>
              <w:t>20</w:t>
            </w:r>
            <w:r>
              <w:rPr>
                <w:rFonts w:hint="default" w:ascii="Times New Roman" w:hAnsi="Times New Roman" w:eastAsia="宋体" w:cs="Times New Roman"/>
                <w:sz w:val="24"/>
                <w:szCs w:val="24"/>
                <w:u w:val="single"/>
              </w:rPr>
              <w:t>m³应急事故池，可满足事故状态下暂存污水需求，杜绝未经处理废水直接排入市政管网，防范事故排放环境风险。该区域位于</w:t>
            </w:r>
            <w:r>
              <w:rPr>
                <w:rFonts w:hint="eastAsia" w:cs="Times New Roman"/>
                <w:sz w:val="24"/>
                <w:szCs w:val="24"/>
                <w:u w:val="single"/>
                <w:lang w:val="en-US" w:eastAsia="zh-CN"/>
              </w:rPr>
              <w:t>医疗综合楼</w:t>
            </w:r>
            <w:r>
              <w:rPr>
                <w:rFonts w:hint="default" w:ascii="Times New Roman" w:hAnsi="Times New Roman" w:eastAsia="宋体" w:cs="Times New Roman"/>
                <w:sz w:val="24"/>
                <w:szCs w:val="24"/>
                <w:u w:val="single"/>
              </w:rPr>
              <w:t>地势较低处，且靠近污水处理站末端，同时对池体采取必要的防渗、防腐、防洪和抗震措施，确保在污水处理设施出现事故的时候，可暂时将污水排入事故池，待污水处理设施恢复到正常处理状态时，再将废水逐渐进行处理。能够保证在事故状态下，污水处理设施有足够的维修时间，废水不会未经处理直接排</w:t>
            </w:r>
            <w:r>
              <w:rPr>
                <w:rFonts w:hint="eastAsia" w:ascii="宋体" w:hAnsi="宋体" w:cs="宋体"/>
                <w:sz w:val="24"/>
                <w:szCs w:val="24"/>
                <w:u w:val="single"/>
              </w:rPr>
              <w:t>放，从而给</w:t>
            </w:r>
            <w:r>
              <w:rPr>
                <w:rFonts w:hint="eastAsia" w:ascii="宋体" w:hAnsi="宋体" w:cs="宋体"/>
                <w:sz w:val="24"/>
                <w:szCs w:val="24"/>
                <w:u w:val="single"/>
                <w:lang w:val="en-US" w:eastAsia="zh-CN"/>
              </w:rPr>
              <w:t>安化县</w:t>
            </w:r>
            <w:r>
              <w:rPr>
                <w:rFonts w:hint="eastAsia" w:ascii="宋体" w:hAnsi="宋体" w:cs="宋体"/>
                <w:sz w:val="24"/>
                <w:szCs w:val="24"/>
                <w:u w:val="single"/>
              </w:rPr>
              <w:t>污水处理厂带来安全隐患和环境风险。</w:t>
            </w:r>
          </w:p>
          <w:p w14:paraId="0A387C08">
            <w:pPr>
              <w:adjustRightInd w:val="0"/>
              <w:snapToGrid w:val="0"/>
              <w:spacing w:line="360" w:lineRule="auto"/>
              <w:ind w:firstLine="482" w:firstLineChars="200"/>
              <w:rPr>
                <w:rFonts w:hint="eastAsia" w:ascii="宋体" w:hAnsi="宋体"/>
                <w:b/>
                <w:sz w:val="24"/>
                <w:highlight w:val="none"/>
                <w:u w:val="single"/>
              </w:rPr>
            </w:pPr>
            <w:r>
              <w:rPr>
                <w:rFonts w:hint="eastAsia"/>
                <w:b/>
                <w:sz w:val="24"/>
                <w:u w:val="single"/>
              </w:rPr>
              <w:t xml:space="preserve">⑦ </w:t>
            </w:r>
            <w:r>
              <w:rPr>
                <w:rFonts w:hint="eastAsia"/>
                <w:b/>
                <w:sz w:val="24"/>
                <w:u w:val="single"/>
                <w:lang w:val="en-US" w:eastAsia="zh-CN"/>
              </w:rPr>
              <w:t>污泥泄漏对</w:t>
            </w:r>
            <w:r>
              <w:rPr>
                <w:rFonts w:ascii="宋体" w:hAnsi="宋体"/>
                <w:b/>
                <w:sz w:val="24"/>
                <w:highlight w:val="none"/>
                <w:u w:val="single"/>
              </w:rPr>
              <w:t>环境的影响及风险防范措施</w:t>
            </w:r>
          </w:p>
          <w:p w14:paraId="6053F7FF">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eastAsia" w:cs="Times New Roman"/>
                <w:sz w:val="24"/>
                <w:szCs w:val="24"/>
                <w:u w:val="single"/>
                <w:lang w:val="en-US" w:eastAsia="zh-CN"/>
              </w:rPr>
              <w:t>1.</w:t>
            </w:r>
            <w:r>
              <w:rPr>
                <w:rFonts w:hint="default" w:ascii="Times New Roman" w:hAnsi="Times New Roman" w:eastAsia="宋体" w:cs="Times New Roman"/>
                <w:sz w:val="24"/>
                <w:szCs w:val="24"/>
                <w:u w:val="single"/>
              </w:rPr>
              <w:t>日常源头预防</w:t>
            </w:r>
          </w:p>
          <w:p w14:paraId="40757739">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①污泥池按重点防渗区设计，防渗、防腐、防溢流，参照 GB18597</w:t>
            </w:r>
            <w:r>
              <w:rPr>
                <w:rFonts w:hint="default" w:ascii="Times New Roman" w:hAnsi="Times New Roman" w:eastAsia="宋体" w:cs="Times New Roman"/>
                <w:sz w:val="24"/>
                <w:szCs w:val="24"/>
                <w:u w:val="single"/>
              </w:rPr>
              <w:noBreakHyphen/>
            </w:r>
            <w:r>
              <w:rPr>
                <w:rFonts w:hint="default" w:ascii="Times New Roman" w:hAnsi="Times New Roman" w:eastAsia="宋体" w:cs="Times New Roman"/>
                <w:sz w:val="24"/>
                <w:szCs w:val="24"/>
                <w:u w:val="single"/>
              </w:rPr>
              <w:t>2023 防渗要求；定期巡检池体，检查池壁、池底有无开裂、渗漏，做好巡检记录。 ②污泥清掏前必须进行消毒处理，污泥控制指标满足《医疗机构水污染物排放标准》（GB 18466</w:t>
            </w:r>
            <w:r>
              <w:rPr>
                <w:rFonts w:hint="default" w:ascii="Times New Roman" w:hAnsi="Times New Roman" w:eastAsia="宋体" w:cs="Times New Roman"/>
                <w:sz w:val="24"/>
                <w:szCs w:val="24"/>
                <w:u w:val="single"/>
              </w:rPr>
              <w:noBreakHyphen/>
            </w:r>
            <w:r>
              <w:rPr>
                <w:rFonts w:hint="default" w:ascii="Times New Roman" w:hAnsi="Times New Roman" w:eastAsia="宋体" w:cs="Times New Roman"/>
                <w:sz w:val="24"/>
                <w:szCs w:val="24"/>
                <w:u w:val="single"/>
              </w:rPr>
              <w:t>2005）相关要求后方可清掏转运。</w:t>
            </w:r>
          </w:p>
          <w:p w14:paraId="3B7CAA2E">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2、贮存管控</w:t>
            </w:r>
          </w:p>
          <w:p w14:paraId="2C62AB1C">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清掏后的污泥采用密闭防渗专用容器盛装，张贴危险废物标识标签，禁止敞口堆放；尽量做到即清即运，最大限度缩短场内暂存时间；暂存区域设置防渗托盘、导流沟，防止渗滤液漫流。</w:t>
            </w:r>
          </w:p>
          <w:p w14:paraId="11C2CBB1">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3、转运过程风险防控</w:t>
            </w:r>
          </w:p>
          <w:p w14:paraId="34661E5B">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①场内转运采用密闭、防遗撒、防渗漏工具，转运路线避开人员密集区域； ②委托具备危险废物处置资质单位处置，严格执行危险废物转移联单制度，严禁私自倾倒、随意处置污泥。</w:t>
            </w:r>
          </w:p>
          <w:p w14:paraId="4BBE85B4">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4、泄漏事故应急处置（事故发生后）</w:t>
            </w:r>
          </w:p>
          <w:p w14:paraId="04CFA983">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 xml:space="preserve">①污泥发生泄漏遗撒，第一时间划定隔离警戒区域，疏散无关人员，作业人员穿戴防护服、手套、口罩等全套防护用品； </w:t>
            </w:r>
          </w:p>
          <w:p w14:paraId="4B1B8DF8">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 xml:space="preserve">②采用沙土吸附收集散落污泥、渗滤液，全部收集作为危险废物交由资质单位处置，严禁直接用水冲洗直排雨水管网； </w:t>
            </w:r>
          </w:p>
          <w:p w14:paraId="495BBDCA">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 xml:space="preserve">③泄漏污染地面使用含氯消毒剂反复消毒； </w:t>
            </w:r>
          </w:p>
          <w:p w14:paraId="50145AEE">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 xml:space="preserve">④消毒产生的冲洗废水全部收集进入本项目污水处理站处理，不得外排； </w:t>
            </w:r>
          </w:p>
          <w:p w14:paraId="74FF4A14">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⑤发生较大泄漏事件及时上报生态环境主管部门。</w:t>
            </w:r>
          </w:p>
          <w:p w14:paraId="7DB5DA93">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5、台账与人员管理</w:t>
            </w:r>
          </w:p>
          <w:p w14:paraId="00D83F4E">
            <w:pPr>
              <w:adjustRightInd w:val="0"/>
              <w:snapToGrid w:val="0"/>
              <w:spacing w:line="360" w:lineRule="auto"/>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u w:val="single"/>
              </w:rPr>
              <w:t>建立污泥专项台账，记录污泥产生量、消毒情况、清掏时间、转运联单、接收处置单位信息；定期对污泥池、转运容器开展维护；对作业人员开展污泥泄漏应急处置专项培训。</w:t>
            </w:r>
          </w:p>
          <w:p w14:paraId="7D34F4DB">
            <w:pPr>
              <w:spacing w:line="360" w:lineRule="auto"/>
              <w:ind w:firstLine="482" w:firstLineChars="200"/>
              <w:rPr>
                <w:rFonts w:hint="eastAsia"/>
                <w:b/>
                <w:sz w:val="24"/>
              </w:rPr>
            </w:pPr>
            <w:r>
              <w:rPr>
                <w:rFonts w:hint="eastAsia"/>
                <w:b/>
                <w:bCs w:val="0"/>
                <w:sz w:val="24"/>
              </w:rPr>
              <w:t>⑧</w:t>
            </w:r>
            <w:r>
              <w:rPr>
                <w:rFonts w:hint="eastAsia"/>
                <w:b/>
                <w:bCs w:val="0"/>
                <w:sz w:val="24"/>
                <w:lang w:val="en-US" w:eastAsia="zh-CN"/>
              </w:rPr>
              <w:t xml:space="preserve"> </w:t>
            </w:r>
            <w:r>
              <w:rPr>
                <w:rFonts w:hint="eastAsia"/>
                <w:b/>
                <w:sz w:val="24"/>
              </w:rPr>
              <w:t>火灾风险事故防范措施</w:t>
            </w:r>
          </w:p>
          <w:p w14:paraId="5DD83DA9">
            <w:pPr>
              <w:spacing w:line="360" w:lineRule="auto"/>
              <w:ind w:firstLine="480" w:firstLineChars="200"/>
              <w:rPr>
                <w:rFonts w:hint="eastAsia"/>
                <w:b w:val="0"/>
                <w:bCs/>
                <w:sz w:val="24"/>
              </w:rPr>
            </w:pPr>
            <w:r>
              <w:rPr>
                <w:rFonts w:hint="eastAsia"/>
                <w:b w:val="0"/>
                <w:bCs/>
                <w:sz w:val="24"/>
              </w:rPr>
              <w:t>①消防设施均按照国家相关规范设计实施，根据《建筑灭火器配置设计规范》的规定，在项目内配备足够的消防器材。</w:t>
            </w:r>
          </w:p>
          <w:p w14:paraId="0103D0AC">
            <w:pPr>
              <w:spacing w:line="360" w:lineRule="auto"/>
              <w:ind w:firstLine="480" w:firstLineChars="200"/>
              <w:rPr>
                <w:rFonts w:hint="eastAsia"/>
                <w:b w:val="0"/>
                <w:bCs/>
                <w:sz w:val="24"/>
              </w:rPr>
            </w:pPr>
            <w:r>
              <w:rPr>
                <w:rFonts w:hint="eastAsia"/>
                <w:b w:val="0"/>
                <w:bCs/>
                <w:sz w:val="24"/>
              </w:rPr>
              <w:t>②安装火灾烟雾报警器，以便及时发现险情。</w:t>
            </w:r>
          </w:p>
          <w:p w14:paraId="36D0219C">
            <w:pPr>
              <w:spacing w:line="360" w:lineRule="auto"/>
              <w:ind w:firstLine="480" w:firstLineChars="200"/>
              <w:rPr>
                <w:rFonts w:hint="eastAsia"/>
                <w:b w:val="0"/>
                <w:bCs/>
                <w:sz w:val="24"/>
              </w:rPr>
            </w:pPr>
            <w:r>
              <w:rPr>
                <w:rFonts w:hint="eastAsia"/>
                <w:b w:val="0"/>
                <w:bCs/>
                <w:sz w:val="24"/>
              </w:rPr>
              <w:t>④加强人员的安全防火意识，电气设备定期巡检，防止电气火灾发生。</w:t>
            </w:r>
          </w:p>
          <w:p w14:paraId="6C98E6CF">
            <w:pPr>
              <w:spacing w:line="360" w:lineRule="auto"/>
              <w:ind w:firstLine="480" w:firstLineChars="200"/>
              <w:rPr>
                <w:rFonts w:hint="eastAsia"/>
                <w:b w:val="0"/>
                <w:bCs/>
                <w:sz w:val="24"/>
              </w:rPr>
            </w:pPr>
            <w:r>
              <w:rPr>
                <w:rFonts w:hint="eastAsia"/>
                <w:b w:val="0"/>
                <w:bCs/>
                <w:sz w:val="24"/>
              </w:rPr>
              <w:t>④火灾一旦发生，在消防员未赶到前全体员工必须听从指挥，根据职责和要求，分头迅速开展火灾抢救、报警、开启应急通道，疏散人流，切断电源等工作；必须保持消防通道畅通，出入口有明显标志，应急照明，消防通道及安全门不能锁闭，疏散路线有明显的引导图例；当火灾发生时，采用适当的方法组织灭火、疏散，必须配备足够的消防器材；所有参加灭火与应急疏散工作的领导、工作人员应打开通信工具，确保通讯畅通，确保行动协调统一指挥。</w:t>
            </w:r>
          </w:p>
          <w:p w14:paraId="222953C1">
            <w:pPr>
              <w:spacing w:line="360" w:lineRule="auto"/>
              <w:ind w:firstLine="482" w:firstLineChars="200"/>
              <w:rPr>
                <w:b/>
                <w:bCs w:val="0"/>
                <w:sz w:val="24"/>
              </w:rPr>
            </w:pPr>
            <w:r>
              <w:rPr>
                <w:rFonts w:hint="eastAsia"/>
                <w:b/>
                <w:bCs w:val="0"/>
                <w:sz w:val="24"/>
              </w:rPr>
              <w:t>⑧</w:t>
            </w:r>
            <w:r>
              <w:rPr>
                <w:rFonts w:hint="eastAsia"/>
                <w:b/>
                <w:bCs w:val="0"/>
                <w:sz w:val="24"/>
                <w:lang w:val="en-US" w:eastAsia="zh-CN"/>
              </w:rPr>
              <w:t xml:space="preserve"> </w:t>
            </w:r>
            <w:r>
              <w:rPr>
                <w:b/>
                <w:bCs w:val="0"/>
                <w:sz w:val="24"/>
              </w:rPr>
              <w:t>提高事故应急处理能力</w:t>
            </w:r>
          </w:p>
          <w:p w14:paraId="443AD46C">
            <w:pPr>
              <w:spacing w:line="360" w:lineRule="auto"/>
              <w:ind w:firstLine="480" w:firstLineChars="200"/>
              <w:rPr>
                <w:sz w:val="24"/>
              </w:rPr>
            </w:pPr>
            <w:r>
              <w:rPr>
                <w:sz w:val="24"/>
              </w:rPr>
              <w:t>企业对具有高危害设备设置保险措施，对危险车间可设置消防装置等必备设施，并辅以适当的通讯工具，定期进行安全环保宣传教育以及紧急事故模拟演习，提高事故应变能力。</w:t>
            </w:r>
          </w:p>
          <w:p w14:paraId="1485196D">
            <w:pPr>
              <w:spacing w:line="360" w:lineRule="auto"/>
              <w:rPr>
                <w:sz w:val="24"/>
              </w:rPr>
            </w:pPr>
          </w:p>
          <w:p w14:paraId="5F9B1A30">
            <w:pPr>
              <w:spacing w:line="360" w:lineRule="auto"/>
              <w:rPr>
                <w:sz w:val="24"/>
              </w:rPr>
            </w:pPr>
          </w:p>
          <w:p w14:paraId="2DD94FC0">
            <w:pPr>
              <w:pStyle w:val="2"/>
              <w:rPr>
                <w:sz w:val="24"/>
              </w:rPr>
            </w:pPr>
          </w:p>
          <w:p w14:paraId="34765D05">
            <w:pPr>
              <w:rPr>
                <w:sz w:val="24"/>
              </w:rPr>
            </w:pPr>
          </w:p>
          <w:p w14:paraId="688058CA">
            <w:pPr>
              <w:pStyle w:val="2"/>
              <w:rPr>
                <w:sz w:val="24"/>
              </w:rPr>
            </w:pPr>
          </w:p>
          <w:p w14:paraId="3DB4A63F">
            <w:pPr>
              <w:rPr>
                <w:sz w:val="24"/>
              </w:rPr>
            </w:pPr>
          </w:p>
          <w:p w14:paraId="1CD766EF">
            <w:pPr>
              <w:pStyle w:val="2"/>
              <w:rPr>
                <w:sz w:val="24"/>
              </w:rPr>
            </w:pPr>
          </w:p>
          <w:p w14:paraId="77870ED7">
            <w:pPr>
              <w:rPr>
                <w:sz w:val="24"/>
              </w:rPr>
            </w:pPr>
          </w:p>
          <w:p w14:paraId="61443B9F">
            <w:pPr>
              <w:pStyle w:val="2"/>
              <w:rPr>
                <w:sz w:val="24"/>
              </w:rPr>
            </w:pPr>
          </w:p>
          <w:p w14:paraId="6188D0BD">
            <w:pPr>
              <w:rPr>
                <w:sz w:val="24"/>
              </w:rPr>
            </w:pPr>
          </w:p>
          <w:p w14:paraId="09600ABF">
            <w:pPr>
              <w:pStyle w:val="2"/>
              <w:rPr>
                <w:sz w:val="24"/>
              </w:rPr>
            </w:pPr>
          </w:p>
          <w:p w14:paraId="559C231E">
            <w:pPr>
              <w:rPr>
                <w:sz w:val="24"/>
              </w:rPr>
            </w:pPr>
          </w:p>
          <w:p w14:paraId="6125E0CC">
            <w:pPr>
              <w:pStyle w:val="2"/>
              <w:rPr>
                <w:sz w:val="24"/>
              </w:rPr>
            </w:pPr>
          </w:p>
          <w:p w14:paraId="23F60DC3">
            <w:pPr>
              <w:rPr>
                <w:sz w:val="24"/>
              </w:rPr>
            </w:pPr>
          </w:p>
          <w:p w14:paraId="57EFA3E1">
            <w:pPr>
              <w:pStyle w:val="2"/>
              <w:rPr>
                <w:sz w:val="24"/>
              </w:rPr>
            </w:pPr>
          </w:p>
          <w:p w14:paraId="40416289"/>
        </w:tc>
      </w:tr>
    </w:tbl>
    <w:p w14:paraId="64B895ED">
      <w:pPr>
        <w:pStyle w:val="111"/>
        <w:autoSpaceDE/>
        <w:autoSpaceDN/>
        <w:adjustRightInd/>
        <w:rPr>
          <w:rFonts w:ascii="Times New Roman"/>
          <w:color w:val="FF0000"/>
        </w:rPr>
      </w:pPr>
    </w:p>
    <w:p w14:paraId="185CA168">
      <w:pPr>
        <w:widowControl/>
        <w:spacing w:line="360" w:lineRule="auto"/>
        <w:jc w:val="left"/>
        <w:rPr>
          <w:b/>
          <w:color w:val="FF0000"/>
          <w:kern w:val="0"/>
          <w:sz w:val="24"/>
          <w:szCs w:val="24"/>
        </w:rPr>
        <w:sectPr>
          <w:pgSz w:w="11907" w:h="16840"/>
          <w:pgMar w:top="1701" w:right="1440" w:bottom="1701" w:left="1440" w:header="851" w:footer="851" w:gutter="0"/>
          <w:cols w:space="720" w:num="1"/>
        </w:sectPr>
      </w:pPr>
    </w:p>
    <w:p w14:paraId="34A8D35F">
      <w:pPr>
        <w:pStyle w:val="44"/>
        <w:spacing w:before="120" w:beforeLines="50" w:beforeAutospacing="0" w:after="120" w:afterLines="50" w:afterAutospacing="0"/>
        <w:jc w:val="center"/>
        <w:outlineLvl w:val="0"/>
        <w:rPr>
          <w:rFonts w:hint="eastAsia"/>
          <w:b/>
          <w:bCs/>
          <w:snapToGrid w:val="0"/>
          <w:color w:val="000000"/>
          <w:sz w:val="30"/>
          <w:szCs w:val="30"/>
        </w:rPr>
      </w:pPr>
      <w:bookmarkStart w:id="18" w:name="_Toc163829137"/>
      <w:bookmarkStart w:id="19" w:name="_Hlk73614767"/>
      <w:r>
        <w:rPr>
          <w:b/>
          <w:bCs/>
          <w:snapToGrid w:val="0"/>
          <w:color w:val="000000"/>
          <w:sz w:val="30"/>
          <w:szCs w:val="30"/>
        </w:rPr>
        <w:t>五、</w:t>
      </w:r>
      <w:bookmarkStart w:id="20" w:name="_Hlk54167917"/>
      <w:r>
        <w:rPr>
          <w:b/>
          <w:bCs/>
          <w:snapToGrid w:val="0"/>
          <w:color w:val="000000"/>
          <w:sz w:val="30"/>
          <w:szCs w:val="30"/>
        </w:rPr>
        <w:t>环境保护措施监督检查清单</w:t>
      </w:r>
      <w:bookmarkEnd w:id="18"/>
      <w:bookmarkEnd w:id="20"/>
    </w:p>
    <w:bookmarkEnd w:id="19"/>
    <w:tbl>
      <w:tblPr>
        <w:tblStyle w:val="47"/>
        <w:tblW w:w="4891"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19"/>
        <w:gridCol w:w="1570"/>
        <w:gridCol w:w="1713"/>
        <w:gridCol w:w="2121"/>
        <w:gridCol w:w="2477"/>
      </w:tblGrid>
      <w:tr w14:paraId="203AD8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tcBorders>
              <w:top w:val="single" w:color="auto" w:sz="6" w:space="0"/>
              <w:left w:val="single" w:color="auto" w:sz="6" w:space="0"/>
              <w:bottom w:val="single" w:color="auto" w:sz="6" w:space="0"/>
              <w:tl2br w:val="single" w:color="000000" w:sz="4" w:space="0"/>
            </w:tcBorders>
            <w:vAlign w:val="center"/>
          </w:tcPr>
          <w:p w14:paraId="4BC1AD04">
            <w:pPr>
              <w:adjustRightInd w:val="0"/>
              <w:snapToGrid w:val="0"/>
              <w:ind w:left="-105" w:leftChars="-50" w:right="-105" w:rightChars="-50"/>
              <w:jc w:val="right"/>
              <w:rPr>
                <w:b/>
                <w:color w:val="000000"/>
                <w:sz w:val="24"/>
                <w:szCs w:val="24"/>
                <w:u w:val="single"/>
              </w:rPr>
            </w:pPr>
            <w:r>
              <w:rPr>
                <w:b/>
                <w:color w:val="000000"/>
                <w:sz w:val="24"/>
                <w:szCs w:val="24"/>
                <w:u w:val="single"/>
              </w:rPr>
              <w:t>内容</w:t>
            </w:r>
          </w:p>
          <w:p w14:paraId="6017538F">
            <w:pPr>
              <w:adjustRightInd w:val="0"/>
              <w:snapToGrid w:val="0"/>
              <w:ind w:left="-105" w:leftChars="-50" w:right="-105" w:rightChars="-50"/>
              <w:rPr>
                <w:b/>
                <w:color w:val="000000"/>
                <w:sz w:val="24"/>
                <w:szCs w:val="24"/>
                <w:u w:val="single"/>
              </w:rPr>
            </w:pPr>
            <w:r>
              <w:rPr>
                <w:b/>
                <w:color w:val="000000"/>
                <w:sz w:val="24"/>
                <w:szCs w:val="24"/>
                <w:u w:val="single"/>
              </w:rPr>
              <w:t>要素</w:t>
            </w:r>
          </w:p>
        </w:tc>
        <w:tc>
          <w:tcPr>
            <w:tcW w:w="892" w:type="pct"/>
            <w:tcBorders>
              <w:top w:val="single" w:color="auto" w:sz="6" w:space="0"/>
              <w:bottom w:val="single" w:color="auto" w:sz="6" w:space="0"/>
            </w:tcBorders>
            <w:vAlign w:val="center"/>
          </w:tcPr>
          <w:p w14:paraId="79ED7E5F">
            <w:pPr>
              <w:adjustRightInd w:val="0"/>
              <w:snapToGrid w:val="0"/>
              <w:ind w:left="-105" w:leftChars="-50" w:right="-105" w:rightChars="-50"/>
              <w:jc w:val="center"/>
              <w:rPr>
                <w:b/>
                <w:color w:val="000000"/>
                <w:sz w:val="24"/>
                <w:szCs w:val="24"/>
                <w:u w:val="single"/>
              </w:rPr>
            </w:pPr>
            <w:r>
              <w:rPr>
                <w:b/>
                <w:color w:val="000000"/>
                <w:sz w:val="24"/>
                <w:szCs w:val="24"/>
                <w:u w:val="single"/>
              </w:rPr>
              <w:t>排放口(编号、名称)/污染源</w:t>
            </w:r>
          </w:p>
        </w:tc>
        <w:tc>
          <w:tcPr>
            <w:tcW w:w="973" w:type="pct"/>
            <w:tcBorders>
              <w:top w:val="single" w:color="auto" w:sz="6" w:space="0"/>
              <w:bottom w:val="single" w:color="auto" w:sz="6" w:space="0"/>
            </w:tcBorders>
            <w:vAlign w:val="center"/>
          </w:tcPr>
          <w:p w14:paraId="2715F228">
            <w:pPr>
              <w:adjustRightInd w:val="0"/>
              <w:snapToGrid w:val="0"/>
              <w:ind w:left="-105" w:leftChars="-50" w:right="-105" w:rightChars="-50"/>
              <w:jc w:val="center"/>
              <w:rPr>
                <w:b/>
                <w:color w:val="000000"/>
                <w:sz w:val="24"/>
                <w:szCs w:val="24"/>
                <w:u w:val="single"/>
              </w:rPr>
            </w:pPr>
            <w:r>
              <w:rPr>
                <w:b/>
                <w:color w:val="000000"/>
                <w:sz w:val="24"/>
                <w:szCs w:val="24"/>
                <w:u w:val="single"/>
              </w:rPr>
              <w:t>污染物项目</w:t>
            </w:r>
          </w:p>
        </w:tc>
        <w:tc>
          <w:tcPr>
            <w:tcW w:w="1205" w:type="pct"/>
            <w:tcBorders>
              <w:top w:val="single" w:color="auto" w:sz="6" w:space="0"/>
              <w:bottom w:val="single" w:color="auto" w:sz="6" w:space="0"/>
            </w:tcBorders>
            <w:vAlign w:val="center"/>
          </w:tcPr>
          <w:p w14:paraId="0FF7B4E3">
            <w:pPr>
              <w:adjustRightInd w:val="0"/>
              <w:snapToGrid w:val="0"/>
              <w:ind w:left="-105" w:leftChars="-50" w:right="-105" w:rightChars="-50"/>
              <w:jc w:val="center"/>
              <w:rPr>
                <w:b/>
                <w:color w:val="000000"/>
                <w:sz w:val="24"/>
                <w:szCs w:val="24"/>
                <w:u w:val="single"/>
              </w:rPr>
            </w:pPr>
            <w:r>
              <w:rPr>
                <w:b/>
                <w:color w:val="000000"/>
                <w:sz w:val="24"/>
                <w:szCs w:val="24"/>
                <w:u w:val="single"/>
              </w:rPr>
              <w:t>环境保护措施</w:t>
            </w:r>
          </w:p>
        </w:tc>
        <w:tc>
          <w:tcPr>
            <w:tcW w:w="1405" w:type="pct"/>
            <w:tcBorders>
              <w:top w:val="single" w:color="auto" w:sz="6" w:space="0"/>
              <w:bottom w:val="single" w:color="auto" w:sz="6" w:space="0"/>
              <w:right w:val="single" w:color="auto" w:sz="6" w:space="0"/>
            </w:tcBorders>
            <w:vAlign w:val="center"/>
          </w:tcPr>
          <w:p w14:paraId="2CE31F77">
            <w:pPr>
              <w:adjustRightInd w:val="0"/>
              <w:snapToGrid w:val="0"/>
              <w:ind w:left="-105" w:leftChars="-50" w:right="-105" w:rightChars="-50"/>
              <w:jc w:val="center"/>
              <w:rPr>
                <w:b/>
                <w:color w:val="000000"/>
                <w:sz w:val="24"/>
                <w:szCs w:val="24"/>
                <w:u w:val="single"/>
              </w:rPr>
            </w:pPr>
            <w:r>
              <w:rPr>
                <w:b/>
                <w:color w:val="000000"/>
                <w:sz w:val="24"/>
                <w:szCs w:val="24"/>
                <w:u w:val="single"/>
              </w:rPr>
              <w:t>执行标准</w:t>
            </w:r>
          </w:p>
        </w:tc>
      </w:tr>
      <w:tr w14:paraId="159049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vMerge w:val="restart"/>
            <w:tcBorders>
              <w:top w:val="single" w:color="auto" w:sz="6" w:space="0"/>
              <w:left w:val="single" w:color="auto" w:sz="6" w:space="0"/>
            </w:tcBorders>
            <w:vAlign w:val="center"/>
          </w:tcPr>
          <w:p w14:paraId="0C82DAF6">
            <w:pPr>
              <w:adjustRightInd w:val="0"/>
              <w:snapToGrid w:val="0"/>
              <w:ind w:left="-105" w:leftChars="-50" w:right="-105" w:rightChars="-50"/>
              <w:jc w:val="center"/>
              <w:rPr>
                <w:color w:val="000000"/>
                <w:sz w:val="24"/>
                <w:szCs w:val="24"/>
                <w:u w:val="single"/>
              </w:rPr>
            </w:pPr>
            <w:r>
              <w:rPr>
                <w:color w:val="000000"/>
                <w:sz w:val="24"/>
                <w:szCs w:val="24"/>
                <w:u w:val="single"/>
              </w:rPr>
              <w:t>大气</w:t>
            </w:r>
          </w:p>
          <w:p w14:paraId="1316C8D7">
            <w:pPr>
              <w:adjustRightInd w:val="0"/>
              <w:snapToGrid w:val="0"/>
              <w:ind w:left="-105" w:leftChars="-50" w:right="-105" w:rightChars="-50"/>
              <w:jc w:val="center"/>
              <w:rPr>
                <w:color w:val="000000"/>
                <w:sz w:val="24"/>
                <w:szCs w:val="24"/>
                <w:u w:val="single"/>
              </w:rPr>
            </w:pPr>
            <w:r>
              <w:rPr>
                <w:color w:val="000000"/>
                <w:sz w:val="24"/>
                <w:szCs w:val="24"/>
                <w:u w:val="single"/>
              </w:rPr>
              <w:t>环境</w:t>
            </w:r>
          </w:p>
        </w:tc>
        <w:tc>
          <w:tcPr>
            <w:tcW w:w="892" w:type="pct"/>
            <w:tcBorders>
              <w:top w:val="single" w:color="auto" w:sz="6" w:space="0"/>
              <w:bottom w:val="single" w:color="auto" w:sz="6" w:space="0"/>
            </w:tcBorders>
            <w:vAlign w:val="center"/>
          </w:tcPr>
          <w:p w14:paraId="6C239FCB">
            <w:pPr>
              <w:pStyle w:val="156"/>
              <w:adjustRightInd w:val="0"/>
              <w:snapToGrid w:val="0"/>
              <w:rPr>
                <w:color w:val="000000"/>
                <w:sz w:val="24"/>
                <w:szCs w:val="24"/>
                <w:u w:val="single"/>
              </w:rPr>
            </w:pPr>
            <w:r>
              <w:rPr>
                <w:rFonts w:hint="eastAsia"/>
                <w:color w:val="000000"/>
                <w:sz w:val="24"/>
                <w:szCs w:val="24"/>
                <w:u w:val="single"/>
              </w:rPr>
              <w:t>污水处理站废气</w:t>
            </w:r>
          </w:p>
        </w:tc>
        <w:tc>
          <w:tcPr>
            <w:tcW w:w="973" w:type="pct"/>
            <w:tcBorders>
              <w:top w:val="single" w:color="auto" w:sz="6" w:space="0"/>
              <w:bottom w:val="single" w:color="auto" w:sz="6" w:space="0"/>
            </w:tcBorders>
            <w:vAlign w:val="center"/>
          </w:tcPr>
          <w:p w14:paraId="2DB617B9">
            <w:pPr>
              <w:pStyle w:val="115"/>
              <w:adjustRightInd/>
              <w:snapToGrid/>
              <w:spacing w:beforeLines="0" w:line="240" w:lineRule="auto"/>
              <w:rPr>
                <w:rFonts w:ascii="Times New Roman" w:hAnsi="Times New Roman"/>
                <w:color w:val="000000"/>
                <w:sz w:val="24"/>
                <w:szCs w:val="24"/>
                <w:u w:val="single"/>
              </w:rPr>
            </w:pPr>
            <w:r>
              <w:rPr>
                <w:rFonts w:hint="eastAsia" w:ascii="Times New Roman" w:hAnsi="Times New Roman"/>
                <w:color w:val="000000"/>
                <w:sz w:val="24"/>
                <w:szCs w:val="24"/>
                <w:u w:val="single"/>
              </w:rPr>
              <w:t>氨、硫化氢、臭气浓度、甲烷</w:t>
            </w:r>
          </w:p>
        </w:tc>
        <w:tc>
          <w:tcPr>
            <w:tcW w:w="1205" w:type="pct"/>
            <w:tcBorders>
              <w:top w:val="single" w:color="auto" w:sz="6" w:space="0"/>
              <w:bottom w:val="single" w:color="auto" w:sz="6" w:space="0"/>
            </w:tcBorders>
            <w:vAlign w:val="center"/>
          </w:tcPr>
          <w:p w14:paraId="3DB8DA1E">
            <w:pPr>
              <w:jc w:val="center"/>
              <w:rPr>
                <w:sz w:val="24"/>
                <w:szCs w:val="24"/>
                <w:u w:val="single"/>
              </w:rPr>
            </w:pPr>
            <w:r>
              <w:rPr>
                <w:rFonts w:hint="eastAsia"/>
                <w:sz w:val="24"/>
                <w:szCs w:val="24"/>
                <w:u w:val="single"/>
              </w:rPr>
              <w:t>地埋式密闭设施，定期喷洒除臭剂，加强管理</w:t>
            </w:r>
          </w:p>
        </w:tc>
        <w:tc>
          <w:tcPr>
            <w:tcW w:w="1405" w:type="pct"/>
            <w:tcBorders>
              <w:top w:val="single" w:color="auto" w:sz="6" w:space="0"/>
              <w:bottom w:val="single" w:color="auto" w:sz="6" w:space="0"/>
              <w:right w:val="single" w:color="auto" w:sz="6" w:space="0"/>
            </w:tcBorders>
            <w:vAlign w:val="center"/>
          </w:tcPr>
          <w:p w14:paraId="7794766E">
            <w:pPr>
              <w:tabs>
                <w:tab w:val="left" w:pos="1021"/>
              </w:tabs>
              <w:adjustRightInd w:val="0"/>
              <w:snapToGrid w:val="0"/>
              <w:ind w:left="-105" w:leftChars="-50" w:right="-105" w:rightChars="-50"/>
              <w:jc w:val="center"/>
              <w:rPr>
                <w:color w:val="000000"/>
                <w:sz w:val="24"/>
                <w:szCs w:val="24"/>
                <w:u w:val="single"/>
              </w:rPr>
            </w:pPr>
            <w:r>
              <w:rPr>
                <w:rFonts w:hint="eastAsia"/>
                <w:color w:val="000000"/>
                <w:sz w:val="24"/>
                <w:szCs w:val="24"/>
                <w:u w:val="single"/>
              </w:rPr>
              <w:t>《医疗机构水污染物排放标准》(GB18466-2005)表3中医院周边大气污染物最高允许浓度</w:t>
            </w:r>
          </w:p>
        </w:tc>
      </w:tr>
      <w:tr w14:paraId="648480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vMerge w:val="continue"/>
            <w:tcBorders>
              <w:left w:val="single" w:color="auto" w:sz="6" w:space="0"/>
            </w:tcBorders>
            <w:vAlign w:val="center"/>
          </w:tcPr>
          <w:p w14:paraId="5B5BEBF9">
            <w:pPr>
              <w:adjustRightInd w:val="0"/>
              <w:snapToGrid w:val="0"/>
              <w:ind w:left="-105" w:leftChars="-50" w:right="-105" w:rightChars="-50"/>
              <w:jc w:val="center"/>
              <w:rPr>
                <w:color w:val="FF0000"/>
                <w:sz w:val="24"/>
                <w:szCs w:val="24"/>
                <w:u w:val="single"/>
              </w:rPr>
            </w:pPr>
          </w:p>
        </w:tc>
        <w:tc>
          <w:tcPr>
            <w:tcW w:w="892" w:type="pct"/>
            <w:tcBorders>
              <w:top w:val="single" w:color="auto" w:sz="6" w:space="0"/>
              <w:bottom w:val="single" w:color="auto" w:sz="6" w:space="0"/>
            </w:tcBorders>
            <w:vAlign w:val="center"/>
          </w:tcPr>
          <w:p w14:paraId="70789236">
            <w:pPr>
              <w:pStyle w:val="156"/>
              <w:adjustRightInd w:val="0"/>
              <w:snapToGrid w:val="0"/>
              <w:rPr>
                <w:color w:val="000000"/>
                <w:sz w:val="24"/>
                <w:szCs w:val="24"/>
                <w:u w:val="single"/>
              </w:rPr>
            </w:pPr>
            <w:r>
              <w:rPr>
                <w:rFonts w:hint="eastAsia"/>
                <w:color w:val="000000"/>
                <w:sz w:val="24"/>
                <w:szCs w:val="24"/>
                <w:u w:val="single"/>
                <w:lang w:val="en-US" w:eastAsia="zh-CN"/>
              </w:rPr>
              <w:t>医疗废物暂存间</w:t>
            </w:r>
            <w:r>
              <w:rPr>
                <w:rFonts w:hint="eastAsia"/>
                <w:color w:val="000000"/>
                <w:sz w:val="24"/>
                <w:szCs w:val="24"/>
                <w:u w:val="single"/>
              </w:rPr>
              <w:t>废气</w:t>
            </w:r>
          </w:p>
        </w:tc>
        <w:tc>
          <w:tcPr>
            <w:tcW w:w="973" w:type="pct"/>
            <w:tcBorders>
              <w:top w:val="single" w:color="auto" w:sz="6" w:space="0"/>
              <w:bottom w:val="single" w:color="auto" w:sz="6" w:space="0"/>
            </w:tcBorders>
            <w:vAlign w:val="center"/>
          </w:tcPr>
          <w:p w14:paraId="5C8E0AE4">
            <w:pPr>
              <w:pStyle w:val="115"/>
              <w:adjustRightInd/>
              <w:snapToGrid/>
              <w:spacing w:beforeLines="0" w:line="240" w:lineRule="auto"/>
              <w:jc w:val="center"/>
              <w:rPr>
                <w:rFonts w:ascii="Times New Roman" w:hAnsi="Times New Roman"/>
                <w:color w:val="000000"/>
                <w:sz w:val="24"/>
                <w:szCs w:val="24"/>
                <w:u w:val="single"/>
              </w:rPr>
            </w:pPr>
            <w:r>
              <w:rPr>
                <w:rFonts w:hint="eastAsia" w:ascii="Times New Roman" w:hAnsi="Times New Roman"/>
                <w:color w:val="000000"/>
                <w:sz w:val="24"/>
                <w:szCs w:val="24"/>
                <w:u w:val="single"/>
              </w:rPr>
              <w:t>异味</w:t>
            </w:r>
          </w:p>
        </w:tc>
        <w:tc>
          <w:tcPr>
            <w:tcW w:w="1205" w:type="pct"/>
            <w:tcBorders>
              <w:top w:val="single" w:color="auto" w:sz="6" w:space="0"/>
              <w:bottom w:val="single" w:color="auto" w:sz="6" w:space="0"/>
            </w:tcBorders>
            <w:vAlign w:val="center"/>
          </w:tcPr>
          <w:p w14:paraId="5044AE9C">
            <w:pPr>
              <w:jc w:val="center"/>
              <w:rPr>
                <w:sz w:val="24"/>
                <w:szCs w:val="24"/>
                <w:u w:val="single"/>
              </w:rPr>
            </w:pPr>
            <w:r>
              <w:rPr>
                <w:rFonts w:hint="eastAsia"/>
                <w:sz w:val="24"/>
                <w:szCs w:val="24"/>
                <w:highlight w:val="none"/>
                <w:u w:val="single"/>
              </w:rPr>
              <w:t>分类储存，通过加强管理，加强消毒</w:t>
            </w:r>
          </w:p>
        </w:tc>
        <w:tc>
          <w:tcPr>
            <w:tcW w:w="1405" w:type="pct"/>
            <w:vMerge w:val="restart"/>
            <w:tcBorders>
              <w:top w:val="single" w:color="auto" w:sz="6" w:space="0"/>
              <w:right w:val="single" w:color="auto" w:sz="6" w:space="0"/>
            </w:tcBorders>
            <w:vAlign w:val="center"/>
          </w:tcPr>
          <w:p w14:paraId="75EB7215">
            <w:pPr>
              <w:tabs>
                <w:tab w:val="left" w:pos="1021"/>
              </w:tabs>
              <w:adjustRightInd w:val="0"/>
              <w:snapToGrid w:val="0"/>
              <w:ind w:left="-105" w:leftChars="-50" w:right="-105" w:rightChars="-50"/>
              <w:jc w:val="center"/>
              <w:rPr>
                <w:color w:val="000000"/>
                <w:sz w:val="24"/>
                <w:szCs w:val="24"/>
                <w:u w:val="single"/>
              </w:rPr>
            </w:pPr>
            <w:r>
              <w:rPr>
                <w:rFonts w:hint="eastAsia"/>
                <w:color w:val="000000"/>
                <w:sz w:val="24"/>
                <w:szCs w:val="24"/>
                <w:u w:val="single"/>
              </w:rPr>
              <w:t>《恶臭污染物排放标准》(GB14554-93)表1中二级新改扩建限值标准</w:t>
            </w:r>
          </w:p>
        </w:tc>
      </w:tr>
      <w:tr w14:paraId="4D673E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vMerge w:val="continue"/>
            <w:tcBorders>
              <w:left w:val="single" w:color="auto" w:sz="6" w:space="0"/>
            </w:tcBorders>
            <w:vAlign w:val="center"/>
          </w:tcPr>
          <w:p w14:paraId="176551DC">
            <w:pPr>
              <w:adjustRightInd w:val="0"/>
              <w:snapToGrid w:val="0"/>
              <w:ind w:left="-105" w:leftChars="-50" w:right="-105" w:rightChars="-50"/>
              <w:jc w:val="center"/>
              <w:rPr>
                <w:color w:val="FF0000"/>
                <w:sz w:val="24"/>
                <w:szCs w:val="24"/>
                <w:u w:val="single"/>
              </w:rPr>
            </w:pPr>
          </w:p>
        </w:tc>
        <w:tc>
          <w:tcPr>
            <w:tcW w:w="892" w:type="pct"/>
            <w:tcBorders>
              <w:top w:val="single" w:color="auto" w:sz="6" w:space="0"/>
              <w:bottom w:val="single" w:color="auto" w:sz="6" w:space="0"/>
            </w:tcBorders>
            <w:vAlign w:val="center"/>
          </w:tcPr>
          <w:p w14:paraId="65566BE7">
            <w:pPr>
              <w:pStyle w:val="156"/>
              <w:adjustRightInd w:val="0"/>
              <w:snapToGrid w:val="0"/>
              <w:rPr>
                <w:rFonts w:hint="default" w:eastAsia="宋体"/>
                <w:color w:val="000000"/>
                <w:sz w:val="24"/>
                <w:szCs w:val="24"/>
                <w:u w:val="single"/>
                <w:lang w:val="en-US" w:eastAsia="zh-CN"/>
              </w:rPr>
            </w:pPr>
            <w:r>
              <w:rPr>
                <w:rFonts w:hint="eastAsia"/>
                <w:color w:val="000000"/>
                <w:sz w:val="24"/>
                <w:szCs w:val="24"/>
                <w:u w:val="single"/>
                <w:lang w:val="en-US" w:eastAsia="zh-CN"/>
              </w:rPr>
              <w:t>一般固废暂存间废气</w:t>
            </w:r>
          </w:p>
        </w:tc>
        <w:tc>
          <w:tcPr>
            <w:tcW w:w="973" w:type="pct"/>
            <w:tcBorders>
              <w:top w:val="single" w:color="auto" w:sz="6" w:space="0"/>
              <w:bottom w:val="single" w:color="auto" w:sz="6" w:space="0"/>
            </w:tcBorders>
            <w:vAlign w:val="center"/>
          </w:tcPr>
          <w:p w14:paraId="1D60DAC8">
            <w:pPr>
              <w:adjustRightInd/>
              <w:snapToGrid/>
              <w:spacing w:beforeLines="0" w:line="240" w:lineRule="auto"/>
              <w:jc w:val="center"/>
              <w:rPr>
                <w:rFonts w:hint="eastAsia" w:ascii="Times New Roman" w:hAnsi="Times New Roman"/>
                <w:color w:val="000000"/>
                <w:sz w:val="24"/>
                <w:szCs w:val="24"/>
                <w:u w:val="single"/>
              </w:rPr>
            </w:pPr>
            <w:r>
              <w:rPr>
                <w:rFonts w:hint="eastAsia" w:ascii="Times New Roman" w:hAnsi="Times New Roman"/>
                <w:color w:val="000000"/>
                <w:sz w:val="24"/>
                <w:szCs w:val="24"/>
                <w:u w:val="single"/>
              </w:rPr>
              <w:t>异味</w:t>
            </w:r>
          </w:p>
        </w:tc>
        <w:tc>
          <w:tcPr>
            <w:tcW w:w="1205" w:type="pct"/>
            <w:tcBorders>
              <w:top w:val="single" w:color="auto" w:sz="6" w:space="0"/>
              <w:bottom w:val="single" w:color="auto" w:sz="6" w:space="0"/>
            </w:tcBorders>
            <w:vAlign w:val="center"/>
          </w:tcPr>
          <w:p w14:paraId="74339AE8">
            <w:pPr>
              <w:jc w:val="center"/>
              <w:rPr>
                <w:rFonts w:hint="eastAsia"/>
                <w:sz w:val="24"/>
                <w:szCs w:val="24"/>
                <w:u w:val="single"/>
              </w:rPr>
            </w:pPr>
            <w:r>
              <w:rPr>
                <w:rFonts w:hint="eastAsia"/>
                <w:sz w:val="24"/>
                <w:szCs w:val="24"/>
                <w:highlight w:val="none"/>
                <w:u w:val="single"/>
              </w:rPr>
              <w:t>密闭管理，定期清洗消毒</w:t>
            </w:r>
            <w:r>
              <w:rPr>
                <w:rFonts w:hint="eastAsia"/>
                <w:sz w:val="24"/>
                <w:szCs w:val="24"/>
                <w:highlight w:val="none"/>
                <w:u w:val="single"/>
                <w:lang w:eastAsia="zh-CN"/>
              </w:rPr>
              <w:t>，生活垃圾“日产日清”</w:t>
            </w:r>
          </w:p>
        </w:tc>
        <w:tc>
          <w:tcPr>
            <w:tcW w:w="1405" w:type="pct"/>
            <w:vMerge w:val="continue"/>
            <w:tcBorders>
              <w:right w:val="single" w:color="auto" w:sz="6" w:space="0"/>
            </w:tcBorders>
            <w:vAlign w:val="center"/>
          </w:tcPr>
          <w:p w14:paraId="3AA0DDE4">
            <w:pPr>
              <w:tabs>
                <w:tab w:val="left" w:pos="1021"/>
              </w:tabs>
              <w:adjustRightInd w:val="0"/>
              <w:snapToGrid w:val="0"/>
              <w:ind w:left="-105" w:leftChars="-50" w:right="-105" w:rightChars="-50"/>
              <w:jc w:val="center"/>
              <w:rPr>
                <w:rFonts w:hint="eastAsia"/>
                <w:color w:val="000000"/>
                <w:sz w:val="24"/>
                <w:szCs w:val="24"/>
                <w:u w:val="single"/>
              </w:rPr>
            </w:pPr>
          </w:p>
        </w:tc>
      </w:tr>
      <w:tr w14:paraId="1C086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vMerge w:val="continue"/>
            <w:tcBorders>
              <w:left w:val="single" w:color="auto" w:sz="6" w:space="0"/>
            </w:tcBorders>
            <w:vAlign w:val="center"/>
          </w:tcPr>
          <w:p w14:paraId="00CC56ED">
            <w:pPr>
              <w:adjustRightInd w:val="0"/>
              <w:snapToGrid w:val="0"/>
              <w:ind w:left="-105" w:leftChars="-50" w:right="-105" w:rightChars="-50"/>
              <w:jc w:val="center"/>
              <w:rPr>
                <w:color w:val="FF0000"/>
                <w:sz w:val="24"/>
                <w:szCs w:val="24"/>
                <w:u w:val="single"/>
              </w:rPr>
            </w:pPr>
          </w:p>
        </w:tc>
        <w:tc>
          <w:tcPr>
            <w:tcW w:w="892" w:type="pct"/>
            <w:tcBorders>
              <w:top w:val="single" w:color="auto" w:sz="6" w:space="0"/>
              <w:bottom w:val="single" w:color="auto" w:sz="6" w:space="0"/>
            </w:tcBorders>
            <w:vAlign w:val="center"/>
          </w:tcPr>
          <w:p w14:paraId="653AA85B">
            <w:pPr>
              <w:pStyle w:val="156"/>
              <w:adjustRightInd w:val="0"/>
              <w:snapToGrid w:val="0"/>
              <w:rPr>
                <w:rFonts w:hint="default" w:eastAsia="宋体"/>
                <w:color w:val="000000"/>
                <w:sz w:val="24"/>
                <w:szCs w:val="24"/>
                <w:u w:val="single"/>
                <w:lang w:val="en-US" w:eastAsia="zh-CN"/>
              </w:rPr>
            </w:pPr>
            <w:r>
              <w:rPr>
                <w:rFonts w:hint="eastAsia"/>
                <w:color w:val="000000"/>
                <w:sz w:val="24"/>
                <w:szCs w:val="24"/>
                <w:u w:val="single"/>
                <w:lang w:val="en-US" w:eastAsia="zh-CN"/>
              </w:rPr>
              <w:t>消毒水异味</w:t>
            </w:r>
          </w:p>
        </w:tc>
        <w:tc>
          <w:tcPr>
            <w:tcW w:w="973" w:type="pct"/>
            <w:tcBorders>
              <w:top w:val="single" w:color="auto" w:sz="6" w:space="0"/>
              <w:bottom w:val="single" w:color="auto" w:sz="6" w:space="0"/>
            </w:tcBorders>
            <w:vAlign w:val="center"/>
          </w:tcPr>
          <w:p w14:paraId="4EC42F67">
            <w:pPr>
              <w:adjustRightInd/>
              <w:snapToGrid/>
              <w:spacing w:beforeLines="0" w:line="240" w:lineRule="auto"/>
              <w:jc w:val="center"/>
              <w:rPr>
                <w:rFonts w:hint="eastAsia" w:ascii="Times New Roman" w:hAnsi="Times New Roman"/>
                <w:color w:val="000000"/>
                <w:sz w:val="24"/>
                <w:szCs w:val="24"/>
                <w:u w:val="single"/>
              </w:rPr>
            </w:pPr>
            <w:r>
              <w:rPr>
                <w:rFonts w:hint="eastAsia" w:ascii="Times New Roman" w:hAnsi="Times New Roman"/>
                <w:color w:val="000000"/>
                <w:sz w:val="24"/>
                <w:szCs w:val="24"/>
                <w:u w:val="single"/>
              </w:rPr>
              <w:t>异味</w:t>
            </w:r>
          </w:p>
        </w:tc>
        <w:tc>
          <w:tcPr>
            <w:tcW w:w="1205" w:type="pct"/>
            <w:tcBorders>
              <w:top w:val="single" w:color="auto" w:sz="6" w:space="0"/>
              <w:bottom w:val="single" w:color="auto" w:sz="6" w:space="0"/>
            </w:tcBorders>
            <w:vAlign w:val="center"/>
          </w:tcPr>
          <w:p w14:paraId="36798949">
            <w:pPr>
              <w:jc w:val="center"/>
              <w:rPr>
                <w:rFonts w:hint="eastAsia"/>
                <w:sz w:val="24"/>
                <w:szCs w:val="24"/>
                <w:u w:val="single"/>
              </w:rPr>
            </w:pPr>
            <w:r>
              <w:rPr>
                <w:rFonts w:hint="eastAsia"/>
                <w:sz w:val="24"/>
                <w:szCs w:val="24"/>
                <w:u w:val="single"/>
              </w:rPr>
              <w:t>加强通风</w:t>
            </w:r>
          </w:p>
        </w:tc>
        <w:tc>
          <w:tcPr>
            <w:tcW w:w="1405" w:type="pct"/>
            <w:vMerge w:val="continue"/>
            <w:tcBorders>
              <w:bottom w:val="single" w:color="auto" w:sz="6" w:space="0"/>
              <w:right w:val="single" w:color="auto" w:sz="6" w:space="0"/>
            </w:tcBorders>
            <w:vAlign w:val="center"/>
          </w:tcPr>
          <w:p w14:paraId="24A570F0">
            <w:pPr>
              <w:tabs>
                <w:tab w:val="left" w:pos="1021"/>
              </w:tabs>
              <w:adjustRightInd w:val="0"/>
              <w:snapToGrid w:val="0"/>
              <w:ind w:left="-105" w:leftChars="-50" w:right="-105" w:rightChars="-50"/>
              <w:jc w:val="center"/>
              <w:rPr>
                <w:rFonts w:hint="eastAsia"/>
                <w:color w:val="000000"/>
                <w:sz w:val="24"/>
                <w:szCs w:val="24"/>
                <w:u w:val="single"/>
              </w:rPr>
            </w:pPr>
          </w:p>
        </w:tc>
      </w:tr>
      <w:tr w14:paraId="21F99C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vMerge w:val="continue"/>
            <w:tcBorders>
              <w:left w:val="single" w:color="auto" w:sz="6" w:space="0"/>
              <w:bottom w:val="single" w:color="auto" w:sz="6" w:space="0"/>
            </w:tcBorders>
            <w:vAlign w:val="center"/>
          </w:tcPr>
          <w:p w14:paraId="1EFB0327">
            <w:pPr>
              <w:adjustRightInd w:val="0"/>
              <w:snapToGrid w:val="0"/>
              <w:ind w:left="-105" w:leftChars="-50" w:right="-105" w:rightChars="-50"/>
              <w:jc w:val="center"/>
              <w:rPr>
                <w:color w:val="FF0000"/>
                <w:sz w:val="24"/>
                <w:szCs w:val="24"/>
                <w:u w:val="single"/>
              </w:rPr>
            </w:pPr>
          </w:p>
        </w:tc>
        <w:tc>
          <w:tcPr>
            <w:tcW w:w="892" w:type="pct"/>
            <w:tcBorders>
              <w:top w:val="single" w:color="auto" w:sz="6" w:space="0"/>
              <w:bottom w:val="single" w:color="auto" w:sz="6" w:space="0"/>
            </w:tcBorders>
            <w:vAlign w:val="center"/>
          </w:tcPr>
          <w:p w14:paraId="5EC13880">
            <w:pPr>
              <w:pStyle w:val="156"/>
              <w:adjustRightInd w:val="0"/>
              <w:snapToGrid w:val="0"/>
              <w:rPr>
                <w:rFonts w:hint="default"/>
                <w:color w:val="000000"/>
                <w:sz w:val="24"/>
                <w:szCs w:val="24"/>
                <w:u w:val="single"/>
                <w:lang w:val="en-US" w:eastAsia="zh-CN"/>
              </w:rPr>
            </w:pPr>
            <w:r>
              <w:rPr>
                <w:rFonts w:hint="eastAsia"/>
                <w:color w:val="000000"/>
                <w:sz w:val="24"/>
                <w:szCs w:val="24"/>
                <w:u w:val="single"/>
                <w:lang w:val="en-US" w:eastAsia="zh-CN"/>
              </w:rPr>
              <w:t>汽车尾气</w:t>
            </w:r>
          </w:p>
        </w:tc>
        <w:tc>
          <w:tcPr>
            <w:tcW w:w="973" w:type="pct"/>
            <w:tcBorders>
              <w:top w:val="single" w:color="auto" w:sz="6" w:space="0"/>
              <w:bottom w:val="single" w:color="auto" w:sz="6" w:space="0"/>
            </w:tcBorders>
            <w:vAlign w:val="center"/>
          </w:tcPr>
          <w:p w14:paraId="12E2401E">
            <w:pPr>
              <w:pStyle w:val="115"/>
              <w:adjustRightInd/>
              <w:snapToGrid/>
              <w:spacing w:beforeLines="0" w:line="240" w:lineRule="auto"/>
              <w:rPr>
                <w:rFonts w:hint="eastAsia" w:ascii="Times New Roman" w:hAnsi="Times New Roman"/>
                <w:color w:val="000000"/>
                <w:sz w:val="24"/>
                <w:szCs w:val="24"/>
                <w:u w:val="single"/>
                <w:lang w:val="en-US" w:eastAsia="zh-CN"/>
              </w:rPr>
            </w:pPr>
            <w:r>
              <w:rPr>
                <w:rFonts w:hint="eastAsia" w:ascii="Times New Roman" w:hAnsi="Times New Roman"/>
                <w:color w:val="000000"/>
                <w:sz w:val="24"/>
                <w:szCs w:val="24"/>
                <w:u w:val="single"/>
                <w:lang w:val="en-US" w:eastAsia="zh-CN"/>
              </w:rPr>
              <w:t>CO、NOx和THC</w:t>
            </w:r>
          </w:p>
        </w:tc>
        <w:tc>
          <w:tcPr>
            <w:tcW w:w="1205" w:type="pct"/>
            <w:tcBorders>
              <w:top w:val="single" w:color="auto" w:sz="6" w:space="0"/>
              <w:bottom w:val="single" w:color="auto" w:sz="6" w:space="0"/>
            </w:tcBorders>
            <w:vAlign w:val="center"/>
          </w:tcPr>
          <w:p w14:paraId="01DE8E31">
            <w:pPr>
              <w:jc w:val="center"/>
              <w:rPr>
                <w:rFonts w:hint="eastAsia"/>
                <w:sz w:val="24"/>
                <w:szCs w:val="24"/>
                <w:u w:val="single"/>
                <w:lang w:val="en-US" w:eastAsia="zh-CN"/>
              </w:rPr>
            </w:pPr>
            <w:r>
              <w:rPr>
                <w:rFonts w:hint="eastAsia"/>
                <w:sz w:val="24"/>
                <w:szCs w:val="24"/>
                <w:u w:val="single"/>
                <w:lang w:val="en-US" w:eastAsia="zh-CN"/>
              </w:rPr>
              <w:t>加强绿化</w:t>
            </w:r>
          </w:p>
        </w:tc>
        <w:tc>
          <w:tcPr>
            <w:tcW w:w="1405" w:type="pct"/>
            <w:tcBorders>
              <w:top w:val="single" w:color="auto" w:sz="6" w:space="0"/>
              <w:bottom w:val="single" w:color="auto" w:sz="6" w:space="0"/>
              <w:right w:val="single" w:color="auto" w:sz="6" w:space="0"/>
            </w:tcBorders>
            <w:vAlign w:val="center"/>
          </w:tcPr>
          <w:p w14:paraId="079AE6C6">
            <w:pPr>
              <w:tabs>
                <w:tab w:val="left" w:pos="1021"/>
              </w:tabs>
              <w:adjustRightInd w:val="0"/>
              <w:snapToGrid w:val="0"/>
              <w:ind w:left="-105" w:leftChars="-50" w:right="-105" w:rightChars="-50"/>
              <w:jc w:val="center"/>
              <w:rPr>
                <w:rFonts w:hint="eastAsia" w:eastAsia="宋体"/>
                <w:color w:val="000000"/>
                <w:sz w:val="24"/>
                <w:szCs w:val="24"/>
                <w:u w:val="single"/>
                <w:lang w:val="en-US" w:eastAsia="zh-CN"/>
              </w:rPr>
            </w:pPr>
            <w:r>
              <w:rPr>
                <w:rFonts w:hint="eastAsia"/>
                <w:color w:val="000000"/>
                <w:sz w:val="24"/>
                <w:szCs w:val="24"/>
                <w:u w:val="single"/>
                <w:lang w:val="en-US" w:eastAsia="zh-CN"/>
              </w:rPr>
              <w:t>/</w:t>
            </w:r>
          </w:p>
        </w:tc>
      </w:tr>
      <w:tr w14:paraId="58221F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vMerge w:val="continue"/>
            <w:tcBorders>
              <w:left w:val="single" w:color="auto" w:sz="6" w:space="0"/>
              <w:bottom w:val="single" w:color="auto" w:sz="6" w:space="0"/>
            </w:tcBorders>
            <w:vAlign w:val="center"/>
          </w:tcPr>
          <w:p w14:paraId="19AECC91">
            <w:pPr>
              <w:adjustRightInd w:val="0"/>
              <w:snapToGrid w:val="0"/>
              <w:ind w:left="-105" w:leftChars="-50" w:right="-105" w:rightChars="-50"/>
              <w:jc w:val="center"/>
              <w:rPr>
                <w:color w:val="FF0000"/>
                <w:sz w:val="24"/>
                <w:szCs w:val="24"/>
                <w:u w:val="single"/>
              </w:rPr>
            </w:pPr>
          </w:p>
        </w:tc>
        <w:tc>
          <w:tcPr>
            <w:tcW w:w="892" w:type="pct"/>
            <w:tcBorders>
              <w:top w:val="single" w:color="auto" w:sz="6" w:space="0"/>
              <w:bottom w:val="single" w:color="auto" w:sz="6" w:space="0"/>
            </w:tcBorders>
            <w:vAlign w:val="center"/>
          </w:tcPr>
          <w:p w14:paraId="5594EB68">
            <w:pPr>
              <w:pStyle w:val="156"/>
              <w:adjustRightInd w:val="0"/>
              <w:snapToGrid w:val="0"/>
              <w:rPr>
                <w:rFonts w:hint="default"/>
                <w:color w:val="000000"/>
                <w:sz w:val="24"/>
                <w:szCs w:val="24"/>
                <w:u w:val="single"/>
                <w:lang w:val="en-US" w:eastAsia="zh-CN"/>
              </w:rPr>
            </w:pPr>
            <w:r>
              <w:rPr>
                <w:rFonts w:hint="eastAsia"/>
                <w:color w:val="000000"/>
                <w:sz w:val="24"/>
                <w:szCs w:val="24"/>
                <w:u w:val="single"/>
                <w:lang w:val="en-US" w:eastAsia="zh-CN"/>
              </w:rPr>
              <w:t>食堂油烟</w:t>
            </w:r>
          </w:p>
        </w:tc>
        <w:tc>
          <w:tcPr>
            <w:tcW w:w="973" w:type="pct"/>
            <w:tcBorders>
              <w:top w:val="single" w:color="auto" w:sz="6" w:space="0"/>
              <w:bottom w:val="single" w:color="auto" w:sz="6" w:space="0"/>
            </w:tcBorders>
            <w:vAlign w:val="center"/>
          </w:tcPr>
          <w:p w14:paraId="076343E8">
            <w:pPr>
              <w:pStyle w:val="115"/>
              <w:adjustRightInd/>
              <w:snapToGrid/>
              <w:spacing w:beforeLines="0" w:line="240" w:lineRule="auto"/>
              <w:rPr>
                <w:rFonts w:hint="eastAsia" w:ascii="Times New Roman" w:hAnsi="Times New Roman" w:eastAsia="宋体"/>
                <w:color w:val="000000"/>
                <w:sz w:val="24"/>
                <w:szCs w:val="24"/>
                <w:u w:val="single"/>
                <w:lang w:val="en-US" w:eastAsia="zh-CN"/>
              </w:rPr>
            </w:pPr>
            <w:r>
              <w:rPr>
                <w:rFonts w:hint="eastAsia" w:ascii="Times New Roman" w:hAnsi="Times New Roman"/>
                <w:color w:val="000000"/>
                <w:sz w:val="24"/>
                <w:szCs w:val="24"/>
                <w:u w:val="single"/>
                <w:lang w:val="en-US" w:eastAsia="zh-CN"/>
              </w:rPr>
              <w:t>油烟</w:t>
            </w:r>
          </w:p>
        </w:tc>
        <w:tc>
          <w:tcPr>
            <w:tcW w:w="1205" w:type="pct"/>
            <w:tcBorders>
              <w:top w:val="single" w:color="auto" w:sz="6" w:space="0"/>
              <w:bottom w:val="single" w:color="auto" w:sz="6" w:space="0"/>
            </w:tcBorders>
            <w:vAlign w:val="center"/>
          </w:tcPr>
          <w:p w14:paraId="3A444493">
            <w:pPr>
              <w:jc w:val="center"/>
              <w:rPr>
                <w:rFonts w:hint="default" w:eastAsia="宋体"/>
                <w:sz w:val="24"/>
                <w:szCs w:val="24"/>
                <w:u w:val="single"/>
                <w:lang w:val="en-US" w:eastAsia="zh-CN"/>
              </w:rPr>
            </w:pPr>
            <w:r>
              <w:rPr>
                <w:rFonts w:hint="eastAsia"/>
                <w:sz w:val="24"/>
                <w:szCs w:val="24"/>
                <w:u w:val="single"/>
                <w:lang w:val="en-US" w:eastAsia="zh-CN"/>
              </w:rPr>
              <w:t>油烟净化装置</w:t>
            </w:r>
          </w:p>
        </w:tc>
        <w:tc>
          <w:tcPr>
            <w:tcW w:w="1405" w:type="pct"/>
            <w:tcBorders>
              <w:top w:val="single" w:color="auto" w:sz="6" w:space="0"/>
              <w:bottom w:val="single" w:color="auto" w:sz="6" w:space="0"/>
              <w:right w:val="single" w:color="auto" w:sz="6" w:space="0"/>
            </w:tcBorders>
            <w:vAlign w:val="center"/>
          </w:tcPr>
          <w:p w14:paraId="31B246CC">
            <w:pPr>
              <w:tabs>
                <w:tab w:val="left" w:pos="1021"/>
              </w:tabs>
              <w:adjustRightInd w:val="0"/>
              <w:snapToGrid w:val="0"/>
              <w:ind w:left="-105" w:leftChars="-50" w:right="-105" w:rightChars="-50"/>
              <w:jc w:val="center"/>
              <w:rPr>
                <w:rFonts w:hint="eastAsia"/>
                <w:color w:val="000000"/>
                <w:sz w:val="24"/>
                <w:szCs w:val="24"/>
                <w:u w:val="single"/>
              </w:rPr>
            </w:pPr>
            <w:r>
              <w:rPr>
                <w:rFonts w:hint="eastAsia"/>
                <w:color w:val="000000"/>
                <w:sz w:val="24"/>
                <w:szCs w:val="24"/>
                <w:u w:val="single"/>
                <w:lang w:val="en-US" w:eastAsia="zh-CN"/>
              </w:rPr>
              <w:t>《饮食业油烟排放标准（试行）》（GB18483-2001）限值要求</w:t>
            </w:r>
          </w:p>
        </w:tc>
      </w:tr>
      <w:tr w14:paraId="5B2847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vMerge w:val="restart"/>
            <w:tcBorders>
              <w:top w:val="single" w:color="auto" w:sz="6" w:space="0"/>
              <w:left w:val="single" w:color="auto" w:sz="6" w:space="0"/>
            </w:tcBorders>
            <w:vAlign w:val="center"/>
          </w:tcPr>
          <w:p w14:paraId="4A444A82">
            <w:pPr>
              <w:adjustRightInd w:val="0"/>
              <w:snapToGrid w:val="0"/>
              <w:ind w:left="-105" w:leftChars="-50" w:right="-105" w:rightChars="-50"/>
              <w:jc w:val="center"/>
              <w:rPr>
                <w:color w:val="000000"/>
                <w:sz w:val="24"/>
                <w:szCs w:val="24"/>
                <w:u w:val="single"/>
              </w:rPr>
            </w:pPr>
            <w:r>
              <w:rPr>
                <w:color w:val="000000"/>
                <w:sz w:val="24"/>
                <w:szCs w:val="24"/>
                <w:u w:val="single"/>
              </w:rPr>
              <w:t>地表水环境</w:t>
            </w:r>
          </w:p>
        </w:tc>
        <w:tc>
          <w:tcPr>
            <w:tcW w:w="892" w:type="pct"/>
            <w:tcBorders>
              <w:top w:val="single" w:color="auto" w:sz="6" w:space="0"/>
              <w:bottom w:val="single" w:color="auto" w:sz="6" w:space="0"/>
            </w:tcBorders>
            <w:vAlign w:val="center"/>
          </w:tcPr>
          <w:p w14:paraId="38EB3A4A">
            <w:pPr>
              <w:overflowPunct w:val="0"/>
              <w:ind w:left="-105" w:leftChars="-50" w:right="-105" w:rightChars="-50"/>
              <w:jc w:val="center"/>
              <w:rPr>
                <w:color w:val="000000"/>
                <w:sz w:val="24"/>
                <w:szCs w:val="24"/>
                <w:u w:val="single"/>
              </w:rPr>
            </w:pPr>
            <w:r>
              <w:rPr>
                <w:rFonts w:hint="eastAsia"/>
                <w:color w:val="000000"/>
                <w:sz w:val="24"/>
                <w:szCs w:val="24"/>
                <w:u w:val="single"/>
              </w:rPr>
              <w:t>综合废水</w:t>
            </w:r>
          </w:p>
        </w:tc>
        <w:tc>
          <w:tcPr>
            <w:tcW w:w="973" w:type="pct"/>
            <w:tcBorders>
              <w:top w:val="single" w:color="auto" w:sz="6" w:space="0"/>
              <w:bottom w:val="single" w:color="auto" w:sz="6" w:space="0"/>
            </w:tcBorders>
            <w:vAlign w:val="center"/>
          </w:tcPr>
          <w:p w14:paraId="3327F34A">
            <w:pPr>
              <w:tabs>
                <w:tab w:val="left" w:pos="1021"/>
              </w:tabs>
              <w:adjustRightInd w:val="0"/>
              <w:snapToGrid w:val="0"/>
              <w:jc w:val="center"/>
              <w:rPr>
                <w:color w:val="000000"/>
                <w:sz w:val="24"/>
                <w:szCs w:val="24"/>
                <w:u w:val="single"/>
              </w:rPr>
            </w:pPr>
            <w:r>
              <w:rPr>
                <w:color w:val="000000"/>
                <w:sz w:val="24"/>
                <w:szCs w:val="24"/>
                <w:u w:val="single"/>
              </w:rPr>
              <w:t>pH、COD、BOD</w:t>
            </w:r>
            <w:r>
              <w:rPr>
                <w:color w:val="000000"/>
                <w:sz w:val="24"/>
                <w:szCs w:val="24"/>
                <w:u w:val="single"/>
                <w:vertAlign w:val="subscript"/>
              </w:rPr>
              <w:t>5</w:t>
            </w:r>
            <w:r>
              <w:rPr>
                <w:color w:val="000000"/>
                <w:sz w:val="24"/>
                <w:szCs w:val="24"/>
                <w:u w:val="single"/>
              </w:rPr>
              <w:t>、SS、NH</w:t>
            </w:r>
            <w:r>
              <w:rPr>
                <w:color w:val="000000"/>
                <w:sz w:val="24"/>
                <w:szCs w:val="24"/>
                <w:u w:val="single"/>
                <w:vertAlign w:val="subscript"/>
              </w:rPr>
              <w:t>3</w:t>
            </w:r>
            <w:r>
              <w:rPr>
                <w:color w:val="000000"/>
                <w:sz w:val="24"/>
                <w:szCs w:val="24"/>
                <w:u w:val="single"/>
              </w:rPr>
              <w:t>-N、</w:t>
            </w:r>
            <w:r>
              <w:rPr>
                <w:rFonts w:hint="eastAsia"/>
                <w:color w:val="000000"/>
                <w:sz w:val="24"/>
                <w:szCs w:val="24"/>
                <w:u w:val="single"/>
                <w:lang w:val="en-US" w:eastAsia="zh-CN"/>
              </w:rPr>
              <w:t>TP、TN、</w:t>
            </w:r>
            <w:r>
              <w:rPr>
                <w:rFonts w:hint="eastAsia"/>
                <w:color w:val="000000"/>
                <w:sz w:val="24"/>
                <w:szCs w:val="24"/>
                <w:u w:val="single"/>
              </w:rPr>
              <w:t>粪大肠菌群</w:t>
            </w:r>
            <w:r>
              <w:rPr>
                <w:color w:val="000000"/>
                <w:sz w:val="24"/>
                <w:szCs w:val="24"/>
                <w:u w:val="single"/>
              </w:rPr>
              <w:t>等</w:t>
            </w:r>
          </w:p>
        </w:tc>
        <w:tc>
          <w:tcPr>
            <w:tcW w:w="1205" w:type="pct"/>
            <w:tcBorders>
              <w:top w:val="single" w:color="auto" w:sz="6" w:space="0"/>
            </w:tcBorders>
            <w:vAlign w:val="center"/>
          </w:tcPr>
          <w:p w14:paraId="1EAD1F86">
            <w:pPr>
              <w:tabs>
                <w:tab w:val="left" w:pos="1021"/>
              </w:tabs>
              <w:adjustRightInd w:val="0"/>
              <w:snapToGrid w:val="0"/>
              <w:ind w:left="-105" w:leftChars="-50" w:right="-105" w:rightChars="-50"/>
              <w:jc w:val="center"/>
              <w:rPr>
                <w:color w:val="000000"/>
                <w:sz w:val="24"/>
                <w:szCs w:val="24"/>
                <w:u w:val="single"/>
              </w:rPr>
            </w:pPr>
            <w:r>
              <w:rPr>
                <w:color w:val="000000"/>
                <w:sz w:val="24"/>
                <w:szCs w:val="24"/>
                <w:u w:val="single"/>
              </w:rPr>
              <w:t>一级强化+消毒工艺</w:t>
            </w:r>
          </w:p>
        </w:tc>
        <w:tc>
          <w:tcPr>
            <w:tcW w:w="1405" w:type="pct"/>
            <w:tcBorders>
              <w:top w:val="single" w:color="auto" w:sz="6" w:space="0"/>
              <w:bottom w:val="single" w:color="auto" w:sz="6" w:space="0"/>
              <w:right w:val="single" w:color="auto" w:sz="6" w:space="0"/>
            </w:tcBorders>
            <w:vAlign w:val="center"/>
          </w:tcPr>
          <w:p w14:paraId="729F0FA6">
            <w:pPr>
              <w:tabs>
                <w:tab w:val="left" w:pos="1021"/>
              </w:tabs>
              <w:adjustRightInd w:val="0"/>
              <w:snapToGrid w:val="0"/>
              <w:ind w:left="-105" w:leftChars="-50" w:right="-105" w:rightChars="-50"/>
              <w:jc w:val="center"/>
              <w:rPr>
                <w:sz w:val="24"/>
                <w:szCs w:val="24"/>
                <w:u w:val="single"/>
              </w:rPr>
            </w:pPr>
            <w:r>
              <w:rPr>
                <w:rFonts w:hint="eastAsia"/>
                <w:bCs/>
                <w:sz w:val="24"/>
                <w:szCs w:val="24"/>
                <w:u w:val="single"/>
              </w:rPr>
              <w:t>《医疗机构水污染物排放标准》</w:t>
            </w:r>
            <w:r>
              <w:rPr>
                <w:rFonts w:hint="eastAsia" w:ascii="宋体" w:hAnsi="宋体" w:eastAsia="宋体" w:cs="宋体"/>
                <w:bCs/>
                <w:sz w:val="24"/>
                <w:szCs w:val="24"/>
                <w:u w:val="single"/>
              </w:rPr>
              <w:t>(</w:t>
            </w:r>
            <w:r>
              <w:rPr>
                <w:rFonts w:hint="eastAsia"/>
                <w:bCs/>
                <w:sz w:val="24"/>
                <w:szCs w:val="24"/>
                <w:u w:val="single"/>
              </w:rPr>
              <w:t>GB18466-2005</w:t>
            </w:r>
            <w:r>
              <w:rPr>
                <w:rFonts w:hint="eastAsia" w:ascii="宋体" w:hAnsi="宋体" w:eastAsia="宋体" w:cs="宋体"/>
                <w:bCs/>
                <w:sz w:val="24"/>
                <w:szCs w:val="24"/>
                <w:u w:val="single"/>
              </w:rPr>
              <w:t>)</w:t>
            </w:r>
            <w:r>
              <w:rPr>
                <w:rStyle w:val="87"/>
                <w:rFonts w:hint="eastAsia"/>
                <w:color w:val="000000"/>
                <w:sz w:val="24"/>
                <w:szCs w:val="24"/>
                <w:u w:val="single"/>
                <w:lang w:eastAsia="zh-CN"/>
              </w:rPr>
              <w:t>（</w:t>
            </w:r>
            <w:r>
              <w:rPr>
                <w:rStyle w:val="87"/>
                <w:rFonts w:hint="eastAsia"/>
                <w:color w:val="000000"/>
                <w:sz w:val="24"/>
                <w:szCs w:val="24"/>
                <w:u w:val="single"/>
                <w:lang w:val="en-US" w:eastAsia="zh-CN"/>
              </w:rPr>
              <w:t>含</w:t>
            </w:r>
            <w:r>
              <w:rPr>
                <w:rStyle w:val="87"/>
                <w:rFonts w:hint="default" w:ascii="Times New Roman" w:hAnsi="Times New Roman" w:cs="Times New Roman"/>
                <w:color w:val="000000"/>
                <w:sz w:val="24"/>
                <w:szCs w:val="24"/>
                <w:u w:val="single"/>
                <w:lang w:val="en-US" w:eastAsia="zh-CN"/>
              </w:rPr>
              <w:t>2026</w:t>
            </w:r>
            <w:r>
              <w:rPr>
                <w:rStyle w:val="87"/>
                <w:rFonts w:hint="eastAsia"/>
                <w:color w:val="000000"/>
                <w:sz w:val="24"/>
                <w:szCs w:val="24"/>
                <w:u w:val="single"/>
                <w:lang w:val="en-US" w:eastAsia="zh-CN"/>
              </w:rPr>
              <w:t>年修改单</w:t>
            </w:r>
            <w:r>
              <w:rPr>
                <w:rStyle w:val="87"/>
                <w:rFonts w:hint="eastAsia"/>
                <w:color w:val="000000"/>
                <w:sz w:val="24"/>
                <w:szCs w:val="24"/>
                <w:u w:val="single"/>
                <w:lang w:eastAsia="zh-CN"/>
              </w:rPr>
              <w:t>）</w:t>
            </w:r>
            <w:r>
              <w:rPr>
                <w:rFonts w:hint="eastAsia"/>
                <w:bCs/>
                <w:sz w:val="24"/>
                <w:szCs w:val="24"/>
                <w:u w:val="single"/>
              </w:rPr>
              <w:t>表2中预处理标准</w:t>
            </w:r>
            <w:r>
              <w:rPr>
                <w:rFonts w:hint="eastAsia"/>
                <w:bCs/>
                <w:sz w:val="24"/>
                <w:szCs w:val="24"/>
                <w:u w:val="single"/>
                <w:lang w:val="en-US" w:eastAsia="zh-CN"/>
              </w:rPr>
              <w:t>及安化县污水处理厂进水水质标准</w:t>
            </w:r>
          </w:p>
        </w:tc>
      </w:tr>
      <w:tr w14:paraId="69F94C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vMerge w:val="continue"/>
            <w:tcBorders>
              <w:left w:val="single" w:color="auto" w:sz="6" w:space="0"/>
              <w:bottom w:val="single" w:color="auto" w:sz="6" w:space="0"/>
            </w:tcBorders>
            <w:vAlign w:val="center"/>
          </w:tcPr>
          <w:p w14:paraId="39C93661">
            <w:pPr>
              <w:adjustRightInd w:val="0"/>
              <w:snapToGrid w:val="0"/>
              <w:ind w:left="-105" w:leftChars="-50" w:right="-105" w:rightChars="-50"/>
              <w:jc w:val="center"/>
              <w:rPr>
                <w:color w:val="000000"/>
                <w:sz w:val="24"/>
                <w:szCs w:val="24"/>
                <w:u w:val="single"/>
              </w:rPr>
            </w:pPr>
          </w:p>
        </w:tc>
        <w:tc>
          <w:tcPr>
            <w:tcW w:w="892" w:type="pct"/>
            <w:tcBorders>
              <w:top w:val="single" w:color="auto" w:sz="6" w:space="0"/>
              <w:bottom w:val="single" w:color="auto" w:sz="6" w:space="0"/>
            </w:tcBorders>
            <w:vAlign w:val="center"/>
          </w:tcPr>
          <w:p w14:paraId="35A8DFD3">
            <w:pPr>
              <w:overflowPunct w:val="0"/>
              <w:ind w:left="-105" w:leftChars="-50" w:right="-105" w:rightChars="-50"/>
              <w:jc w:val="center"/>
              <w:rPr>
                <w:rFonts w:hint="default" w:eastAsia="宋体"/>
                <w:color w:val="000000"/>
                <w:sz w:val="24"/>
                <w:szCs w:val="24"/>
                <w:u w:val="single"/>
                <w:lang w:val="en-US" w:eastAsia="zh-CN"/>
              </w:rPr>
            </w:pPr>
            <w:r>
              <w:rPr>
                <w:rFonts w:hint="eastAsia"/>
                <w:color w:val="000000"/>
                <w:sz w:val="24"/>
                <w:szCs w:val="24"/>
                <w:u w:val="single"/>
                <w:lang w:val="en-US" w:eastAsia="zh-CN"/>
              </w:rPr>
              <w:t>综合生活污水</w:t>
            </w:r>
          </w:p>
        </w:tc>
        <w:tc>
          <w:tcPr>
            <w:tcW w:w="973" w:type="pct"/>
            <w:tcBorders>
              <w:top w:val="single" w:color="auto" w:sz="6" w:space="0"/>
              <w:bottom w:val="single" w:color="auto" w:sz="6" w:space="0"/>
            </w:tcBorders>
            <w:vAlign w:val="center"/>
          </w:tcPr>
          <w:p w14:paraId="30A38DF0">
            <w:pPr>
              <w:tabs>
                <w:tab w:val="left" w:pos="1021"/>
              </w:tabs>
              <w:adjustRightInd w:val="0"/>
              <w:snapToGrid w:val="0"/>
              <w:jc w:val="center"/>
              <w:rPr>
                <w:rFonts w:hint="default" w:eastAsia="宋体"/>
                <w:color w:val="000000"/>
                <w:sz w:val="24"/>
                <w:szCs w:val="24"/>
                <w:u w:val="single"/>
                <w:lang w:val="en-US" w:eastAsia="zh-CN"/>
              </w:rPr>
            </w:pPr>
            <w:r>
              <w:rPr>
                <w:color w:val="000000"/>
                <w:sz w:val="24"/>
                <w:szCs w:val="24"/>
                <w:u w:val="single"/>
              </w:rPr>
              <w:t>pH、COD、BOD</w:t>
            </w:r>
            <w:r>
              <w:rPr>
                <w:color w:val="000000"/>
                <w:sz w:val="24"/>
                <w:szCs w:val="24"/>
                <w:u w:val="single"/>
                <w:vertAlign w:val="subscript"/>
              </w:rPr>
              <w:t>5</w:t>
            </w:r>
            <w:r>
              <w:rPr>
                <w:color w:val="000000"/>
                <w:sz w:val="24"/>
                <w:szCs w:val="24"/>
                <w:u w:val="single"/>
              </w:rPr>
              <w:t>、SS、NH</w:t>
            </w:r>
            <w:r>
              <w:rPr>
                <w:color w:val="000000"/>
                <w:sz w:val="24"/>
                <w:szCs w:val="24"/>
                <w:u w:val="single"/>
                <w:vertAlign w:val="subscript"/>
              </w:rPr>
              <w:t>3</w:t>
            </w:r>
            <w:r>
              <w:rPr>
                <w:color w:val="000000"/>
                <w:sz w:val="24"/>
                <w:szCs w:val="24"/>
                <w:u w:val="single"/>
              </w:rPr>
              <w:t>-N、</w:t>
            </w:r>
            <w:r>
              <w:rPr>
                <w:rFonts w:hint="eastAsia"/>
                <w:color w:val="000000"/>
                <w:sz w:val="24"/>
                <w:szCs w:val="24"/>
                <w:u w:val="single"/>
                <w:lang w:val="en-US" w:eastAsia="zh-CN"/>
              </w:rPr>
              <w:t>TP、TN、动植物油、LAS</w:t>
            </w:r>
          </w:p>
        </w:tc>
        <w:tc>
          <w:tcPr>
            <w:tcW w:w="1205" w:type="pct"/>
            <w:tcBorders>
              <w:top w:val="single" w:color="auto" w:sz="6" w:space="0"/>
            </w:tcBorders>
            <w:vAlign w:val="center"/>
          </w:tcPr>
          <w:p w14:paraId="799F86AD">
            <w:pPr>
              <w:tabs>
                <w:tab w:val="left" w:pos="1021"/>
              </w:tabs>
              <w:adjustRightInd w:val="0"/>
              <w:snapToGrid w:val="0"/>
              <w:ind w:left="-105" w:leftChars="-50" w:right="-105" w:rightChars="-50"/>
              <w:jc w:val="center"/>
              <w:rPr>
                <w:rFonts w:hint="default" w:eastAsia="宋体"/>
                <w:color w:val="000000"/>
                <w:sz w:val="24"/>
                <w:szCs w:val="24"/>
                <w:u w:val="single"/>
                <w:lang w:val="en-US" w:eastAsia="zh-CN"/>
              </w:rPr>
            </w:pPr>
            <w:r>
              <w:rPr>
                <w:rFonts w:hint="eastAsia"/>
                <w:color w:val="000000"/>
                <w:sz w:val="24"/>
                <w:szCs w:val="24"/>
                <w:u w:val="single"/>
                <w:lang w:val="en-US" w:eastAsia="zh-CN"/>
              </w:rPr>
              <w:t>隔油池+化粪池</w:t>
            </w:r>
          </w:p>
        </w:tc>
        <w:tc>
          <w:tcPr>
            <w:tcW w:w="1405" w:type="pct"/>
            <w:tcBorders>
              <w:top w:val="single" w:color="auto" w:sz="6" w:space="0"/>
              <w:bottom w:val="single" w:color="auto" w:sz="6" w:space="0"/>
              <w:right w:val="single" w:color="auto" w:sz="6" w:space="0"/>
            </w:tcBorders>
            <w:vAlign w:val="center"/>
          </w:tcPr>
          <w:p w14:paraId="3D61CE7F">
            <w:pPr>
              <w:tabs>
                <w:tab w:val="left" w:pos="1021"/>
              </w:tabs>
              <w:adjustRightInd w:val="0"/>
              <w:snapToGrid w:val="0"/>
              <w:ind w:left="-105" w:leftChars="-50" w:right="-105" w:rightChars="-50"/>
              <w:jc w:val="center"/>
              <w:rPr>
                <w:rFonts w:hint="eastAsia"/>
                <w:sz w:val="24"/>
                <w:szCs w:val="24"/>
                <w:u w:val="single"/>
              </w:rPr>
            </w:pPr>
            <w:r>
              <w:rPr>
                <w:rFonts w:hint="eastAsia"/>
                <w:bCs/>
                <w:sz w:val="24"/>
                <w:szCs w:val="24"/>
                <w:u w:val="single"/>
                <w:lang w:val="en-US" w:eastAsia="zh-CN"/>
              </w:rPr>
              <w:t>生活污水中SS、动植物油、LAS执行《污水综合排放标准》（GB8978-1996）表4中三级排放标准限值；COD、BOD</w:t>
            </w:r>
            <w:r>
              <w:rPr>
                <w:rFonts w:hint="eastAsia"/>
                <w:bCs/>
                <w:sz w:val="24"/>
                <w:szCs w:val="24"/>
                <w:u w:val="single"/>
                <w:vertAlign w:val="subscript"/>
                <w:lang w:val="en-US" w:eastAsia="zh-CN"/>
              </w:rPr>
              <w:t>5</w:t>
            </w:r>
            <w:r>
              <w:rPr>
                <w:rFonts w:hint="eastAsia"/>
                <w:bCs/>
                <w:sz w:val="24"/>
                <w:szCs w:val="24"/>
                <w:u w:val="single"/>
                <w:lang w:val="en-US" w:eastAsia="zh-CN"/>
              </w:rPr>
              <w:t>、氨氮、总磷执行安化县污水处理厂进水水质标准；总氮、氯化物执行《污水排入城镇下水道水质标准》(GB/T 31962-2015)表1中B级标准限值</w:t>
            </w:r>
          </w:p>
        </w:tc>
      </w:tr>
      <w:tr w14:paraId="79E67C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tcBorders>
              <w:top w:val="single" w:color="auto" w:sz="6" w:space="0"/>
              <w:left w:val="single" w:color="auto" w:sz="6" w:space="0"/>
              <w:bottom w:val="single" w:color="auto" w:sz="6" w:space="0"/>
            </w:tcBorders>
            <w:vAlign w:val="center"/>
          </w:tcPr>
          <w:p w14:paraId="3349A8DF">
            <w:pPr>
              <w:adjustRightInd w:val="0"/>
              <w:snapToGrid w:val="0"/>
              <w:ind w:left="-105" w:leftChars="-50" w:right="-105" w:rightChars="-50"/>
              <w:jc w:val="center"/>
              <w:rPr>
                <w:color w:val="000000"/>
                <w:sz w:val="24"/>
                <w:szCs w:val="24"/>
                <w:u w:val="single"/>
              </w:rPr>
            </w:pPr>
            <w:r>
              <w:rPr>
                <w:color w:val="000000"/>
                <w:sz w:val="24"/>
                <w:szCs w:val="24"/>
                <w:u w:val="single"/>
              </w:rPr>
              <w:t>声环境</w:t>
            </w:r>
          </w:p>
        </w:tc>
        <w:tc>
          <w:tcPr>
            <w:tcW w:w="892" w:type="pct"/>
            <w:tcBorders>
              <w:top w:val="single" w:color="auto" w:sz="6" w:space="0"/>
              <w:bottom w:val="single" w:color="auto" w:sz="6" w:space="0"/>
            </w:tcBorders>
            <w:vAlign w:val="center"/>
          </w:tcPr>
          <w:p w14:paraId="2BE03F4A">
            <w:pPr>
              <w:tabs>
                <w:tab w:val="left" w:pos="1021"/>
              </w:tabs>
              <w:adjustRightInd w:val="0"/>
              <w:snapToGrid w:val="0"/>
              <w:ind w:left="-105" w:leftChars="-50" w:right="-105" w:rightChars="-50"/>
              <w:jc w:val="center"/>
              <w:rPr>
                <w:color w:val="000000"/>
                <w:sz w:val="24"/>
                <w:szCs w:val="24"/>
                <w:u w:val="single"/>
              </w:rPr>
            </w:pPr>
            <w:r>
              <w:rPr>
                <w:rFonts w:hint="eastAsia"/>
                <w:color w:val="000000"/>
                <w:sz w:val="24"/>
                <w:szCs w:val="24"/>
                <w:u w:val="single"/>
              </w:rPr>
              <w:t>设备、人群噪声</w:t>
            </w:r>
          </w:p>
        </w:tc>
        <w:tc>
          <w:tcPr>
            <w:tcW w:w="973" w:type="pct"/>
            <w:tcBorders>
              <w:top w:val="single" w:color="auto" w:sz="6" w:space="0"/>
              <w:bottom w:val="single" w:color="auto" w:sz="6" w:space="0"/>
            </w:tcBorders>
            <w:vAlign w:val="center"/>
          </w:tcPr>
          <w:p w14:paraId="54E8D046">
            <w:pPr>
              <w:tabs>
                <w:tab w:val="left" w:pos="1021"/>
              </w:tabs>
              <w:adjustRightInd w:val="0"/>
              <w:snapToGrid w:val="0"/>
              <w:ind w:left="-105" w:leftChars="-50" w:right="-105" w:rightChars="-50"/>
              <w:jc w:val="center"/>
              <w:rPr>
                <w:color w:val="000000"/>
                <w:sz w:val="24"/>
                <w:szCs w:val="24"/>
                <w:u w:val="single"/>
              </w:rPr>
            </w:pPr>
            <w:r>
              <w:rPr>
                <w:color w:val="000000"/>
                <w:sz w:val="24"/>
                <w:szCs w:val="24"/>
                <w:u w:val="single"/>
              </w:rPr>
              <w:t>Leq</w:t>
            </w:r>
            <w:r>
              <w:rPr>
                <w:rFonts w:hint="eastAsia"/>
                <w:color w:val="000000"/>
                <w:sz w:val="24"/>
                <w:szCs w:val="24"/>
                <w:u w:val="single"/>
              </w:rPr>
              <w:t>(</w:t>
            </w:r>
            <w:r>
              <w:rPr>
                <w:color w:val="000000"/>
                <w:sz w:val="24"/>
                <w:szCs w:val="24"/>
                <w:u w:val="single"/>
              </w:rPr>
              <w:t>dB</w:t>
            </w:r>
            <w:r>
              <w:rPr>
                <w:rFonts w:hint="eastAsia"/>
                <w:color w:val="000000"/>
                <w:sz w:val="24"/>
                <w:szCs w:val="24"/>
                <w:u w:val="single"/>
              </w:rPr>
              <w:t>(</w:t>
            </w:r>
            <w:r>
              <w:rPr>
                <w:color w:val="000000"/>
                <w:sz w:val="24"/>
                <w:szCs w:val="24"/>
                <w:u w:val="single"/>
              </w:rPr>
              <w:t>A)</w:t>
            </w:r>
            <w:r>
              <w:rPr>
                <w:rFonts w:hint="eastAsia"/>
                <w:color w:val="000000"/>
                <w:sz w:val="24"/>
                <w:szCs w:val="24"/>
                <w:u w:val="single"/>
              </w:rPr>
              <w:t>)</w:t>
            </w:r>
          </w:p>
        </w:tc>
        <w:tc>
          <w:tcPr>
            <w:tcW w:w="1205" w:type="pct"/>
            <w:tcBorders>
              <w:top w:val="single" w:color="auto" w:sz="6" w:space="0"/>
              <w:bottom w:val="single" w:color="auto" w:sz="6" w:space="0"/>
            </w:tcBorders>
            <w:vAlign w:val="center"/>
          </w:tcPr>
          <w:p w14:paraId="028AF7D5">
            <w:pPr>
              <w:tabs>
                <w:tab w:val="left" w:pos="1021"/>
              </w:tabs>
              <w:adjustRightInd w:val="0"/>
              <w:snapToGrid w:val="0"/>
              <w:jc w:val="center"/>
              <w:rPr>
                <w:color w:val="000000"/>
                <w:sz w:val="24"/>
                <w:szCs w:val="24"/>
                <w:u w:val="single"/>
              </w:rPr>
            </w:pPr>
            <w:r>
              <w:rPr>
                <w:rFonts w:hint="eastAsia"/>
                <w:color w:val="000000"/>
                <w:sz w:val="24"/>
                <w:szCs w:val="24"/>
                <w:u w:val="single"/>
              </w:rPr>
              <w:t>减震、隔声、绿化、加强设备维护、人员管理等措施</w:t>
            </w:r>
          </w:p>
        </w:tc>
        <w:tc>
          <w:tcPr>
            <w:tcW w:w="1405" w:type="pct"/>
            <w:tcBorders>
              <w:top w:val="single" w:color="auto" w:sz="6" w:space="0"/>
              <w:bottom w:val="single" w:color="auto" w:sz="6" w:space="0"/>
              <w:right w:val="single" w:color="auto" w:sz="6" w:space="0"/>
            </w:tcBorders>
            <w:vAlign w:val="center"/>
          </w:tcPr>
          <w:p w14:paraId="28525729">
            <w:pPr>
              <w:tabs>
                <w:tab w:val="left" w:pos="1021"/>
              </w:tabs>
              <w:adjustRightInd w:val="0"/>
              <w:snapToGrid w:val="0"/>
              <w:ind w:left="-105" w:leftChars="-50" w:right="-105" w:rightChars="-50"/>
              <w:jc w:val="center"/>
              <w:rPr>
                <w:color w:val="000000"/>
                <w:sz w:val="24"/>
                <w:szCs w:val="24"/>
                <w:u w:val="single"/>
              </w:rPr>
            </w:pPr>
            <w:r>
              <w:rPr>
                <w:rFonts w:hint="eastAsia"/>
                <w:color w:val="000000"/>
                <w:sz w:val="24"/>
                <w:szCs w:val="24"/>
                <w:u w:val="single"/>
              </w:rPr>
              <w:t>《工业企业厂界环境噪声排放标准》（GB12348-2008）中2类标准</w:t>
            </w:r>
          </w:p>
        </w:tc>
      </w:tr>
      <w:tr w14:paraId="1F92BE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tcBorders>
              <w:top w:val="single" w:color="auto" w:sz="6" w:space="0"/>
              <w:left w:val="single" w:color="auto" w:sz="6" w:space="0"/>
              <w:bottom w:val="single" w:color="auto" w:sz="6" w:space="0"/>
              <w:right w:val="single" w:color="auto" w:sz="6" w:space="0"/>
            </w:tcBorders>
            <w:vAlign w:val="center"/>
          </w:tcPr>
          <w:p w14:paraId="1A51FBC4">
            <w:pPr>
              <w:adjustRightInd w:val="0"/>
              <w:snapToGrid w:val="0"/>
              <w:ind w:left="-105" w:leftChars="-50" w:right="-105" w:rightChars="-50"/>
              <w:jc w:val="center"/>
              <w:rPr>
                <w:color w:val="000000"/>
                <w:sz w:val="24"/>
                <w:szCs w:val="24"/>
                <w:u w:val="single"/>
              </w:rPr>
            </w:pPr>
            <w:r>
              <w:rPr>
                <w:color w:val="000000"/>
                <w:sz w:val="24"/>
                <w:szCs w:val="24"/>
                <w:u w:val="single"/>
              </w:rPr>
              <w:t>固体</w:t>
            </w:r>
          </w:p>
          <w:p w14:paraId="563445E0">
            <w:pPr>
              <w:adjustRightInd w:val="0"/>
              <w:snapToGrid w:val="0"/>
              <w:ind w:left="-105" w:leftChars="-50" w:right="-105" w:rightChars="-50"/>
              <w:jc w:val="center"/>
              <w:rPr>
                <w:color w:val="000000"/>
                <w:sz w:val="24"/>
                <w:szCs w:val="24"/>
                <w:u w:val="single"/>
              </w:rPr>
            </w:pPr>
            <w:r>
              <w:rPr>
                <w:color w:val="000000"/>
                <w:sz w:val="24"/>
                <w:szCs w:val="24"/>
                <w:u w:val="single"/>
              </w:rPr>
              <w:t>废物</w:t>
            </w:r>
          </w:p>
        </w:tc>
        <w:tc>
          <w:tcPr>
            <w:tcW w:w="4477" w:type="pct"/>
            <w:gridSpan w:val="4"/>
            <w:tcBorders>
              <w:top w:val="single" w:color="auto" w:sz="6" w:space="0"/>
              <w:left w:val="single" w:color="auto" w:sz="6" w:space="0"/>
              <w:bottom w:val="single" w:color="auto" w:sz="6" w:space="0"/>
              <w:right w:val="single" w:color="auto" w:sz="6" w:space="0"/>
            </w:tcBorders>
            <w:vAlign w:val="center"/>
          </w:tcPr>
          <w:p w14:paraId="736C7DA8">
            <w:pPr>
              <w:snapToGrid w:val="0"/>
              <w:rPr>
                <w:rFonts w:hint="eastAsia"/>
                <w:color w:val="000000"/>
                <w:sz w:val="24"/>
                <w:szCs w:val="24"/>
                <w:u w:val="single"/>
              </w:rPr>
            </w:pPr>
            <w:r>
              <w:rPr>
                <w:rFonts w:hint="eastAsia"/>
                <w:color w:val="000000"/>
                <w:sz w:val="24"/>
                <w:szCs w:val="24"/>
                <w:u w:val="single"/>
              </w:rPr>
              <w:t>医疗废物及</w:t>
            </w:r>
            <w:r>
              <w:rPr>
                <w:rFonts w:hint="eastAsia"/>
                <w:color w:val="000000"/>
                <w:sz w:val="24"/>
                <w:szCs w:val="24"/>
                <w:u w:val="single"/>
                <w:lang w:val="en-US" w:eastAsia="zh-CN"/>
              </w:rPr>
              <w:t>污水处理站</w:t>
            </w:r>
            <w:r>
              <w:rPr>
                <w:rFonts w:hint="eastAsia"/>
                <w:color w:val="000000"/>
                <w:sz w:val="24"/>
                <w:szCs w:val="24"/>
                <w:u w:val="single"/>
              </w:rPr>
              <w:t>污泥收集后暂存于医疗废物暂存间，定期交由医疗废物处置中心处置；</w:t>
            </w:r>
          </w:p>
          <w:p w14:paraId="177F94A9">
            <w:pPr>
              <w:snapToGrid w:val="0"/>
              <w:rPr>
                <w:rFonts w:hint="eastAsia"/>
                <w:color w:val="000000"/>
                <w:sz w:val="24"/>
                <w:szCs w:val="24"/>
                <w:u w:val="single"/>
              </w:rPr>
            </w:pPr>
            <w:r>
              <w:rPr>
                <w:rFonts w:hint="eastAsia"/>
                <w:color w:val="000000"/>
                <w:sz w:val="24"/>
                <w:szCs w:val="24"/>
                <w:u w:val="single"/>
              </w:rPr>
              <w:t>未被污染输液瓶（袋）</w:t>
            </w:r>
            <w:r>
              <w:rPr>
                <w:rFonts w:hint="eastAsia"/>
                <w:color w:val="000000"/>
                <w:sz w:val="24"/>
                <w:szCs w:val="24"/>
                <w:u w:val="single"/>
                <w:lang w:val="en-US" w:eastAsia="zh-CN"/>
              </w:rPr>
              <w:t>收集后由再生资源回收单位回收；</w:t>
            </w:r>
          </w:p>
          <w:p w14:paraId="1804047C">
            <w:pPr>
              <w:snapToGrid w:val="0"/>
              <w:rPr>
                <w:rFonts w:hint="eastAsia" w:eastAsia="宋体"/>
                <w:color w:val="000000"/>
                <w:sz w:val="24"/>
                <w:szCs w:val="24"/>
                <w:u w:val="single"/>
                <w:lang w:eastAsia="zh-CN"/>
              </w:rPr>
            </w:pPr>
            <w:r>
              <w:rPr>
                <w:rFonts w:hint="eastAsia"/>
                <w:color w:val="000000"/>
                <w:sz w:val="24"/>
                <w:szCs w:val="24"/>
                <w:u w:val="single"/>
              </w:rPr>
              <w:t>废包装物，收集后暂存于一般固废暂存间，可回收的用于回收，不能回收的统一由环卫部门清运处理</w:t>
            </w:r>
            <w:r>
              <w:rPr>
                <w:rFonts w:hint="eastAsia"/>
                <w:color w:val="000000"/>
                <w:sz w:val="24"/>
                <w:szCs w:val="24"/>
                <w:u w:val="single"/>
                <w:lang w:eastAsia="zh-CN"/>
              </w:rPr>
              <w:t>；</w:t>
            </w:r>
          </w:p>
          <w:p w14:paraId="4B5D47AD">
            <w:pPr>
              <w:snapToGrid w:val="0"/>
              <w:rPr>
                <w:rFonts w:hint="eastAsia"/>
                <w:color w:val="000000"/>
                <w:sz w:val="24"/>
                <w:szCs w:val="24"/>
                <w:u w:val="single"/>
              </w:rPr>
            </w:pPr>
            <w:r>
              <w:rPr>
                <w:rFonts w:hint="eastAsia"/>
                <w:color w:val="000000"/>
                <w:sz w:val="24"/>
                <w:szCs w:val="24"/>
                <w:u w:val="single"/>
                <w:lang w:val="en-US" w:eastAsia="zh-CN"/>
              </w:rPr>
              <w:t>厨余垃圾（含隔油池产生的油脂），</w:t>
            </w:r>
            <w:r>
              <w:rPr>
                <w:rFonts w:hint="eastAsia"/>
                <w:color w:val="000000"/>
                <w:sz w:val="24"/>
                <w:szCs w:val="24"/>
                <w:u w:val="single"/>
              </w:rPr>
              <w:t>委托有厨余垃圾资质的单位处理</w:t>
            </w:r>
            <w:r>
              <w:rPr>
                <w:rFonts w:hint="eastAsia"/>
                <w:color w:val="000000"/>
                <w:sz w:val="24"/>
                <w:szCs w:val="24"/>
                <w:u w:val="single"/>
                <w:lang w:eastAsia="zh-CN"/>
              </w:rPr>
              <w:t>；</w:t>
            </w:r>
          </w:p>
          <w:p w14:paraId="2E697AA4">
            <w:pPr>
              <w:snapToGrid w:val="0"/>
              <w:rPr>
                <w:color w:val="000000"/>
                <w:sz w:val="24"/>
                <w:szCs w:val="24"/>
                <w:u w:val="single"/>
              </w:rPr>
            </w:pPr>
            <w:r>
              <w:rPr>
                <w:rFonts w:hint="eastAsia"/>
                <w:color w:val="000000"/>
                <w:sz w:val="24"/>
                <w:szCs w:val="24"/>
                <w:u w:val="single"/>
              </w:rPr>
              <w:t>生活垃圾集中收集后，由环卫部门统一清运。</w:t>
            </w:r>
          </w:p>
        </w:tc>
      </w:tr>
      <w:tr w14:paraId="349B2D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tcBorders>
              <w:top w:val="single" w:color="auto" w:sz="6" w:space="0"/>
              <w:left w:val="single" w:color="auto" w:sz="6" w:space="0"/>
              <w:bottom w:val="single" w:color="auto" w:sz="6" w:space="0"/>
              <w:right w:val="single" w:color="auto" w:sz="6" w:space="0"/>
            </w:tcBorders>
            <w:vAlign w:val="center"/>
          </w:tcPr>
          <w:p w14:paraId="5B9DFF5A">
            <w:pPr>
              <w:adjustRightInd w:val="0"/>
              <w:snapToGrid w:val="0"/>
              <w:ind w:left="-105" w:leftChars="-50" w:right="-105" w:rightChars="-50"/>
              <w:jc w:val="center"/>
              <w:rPr>
                <w:color w:val="000000"/>
                <w:sz w:val="24"/>
                <w:szCs w:val="24"/>
                <w:u w:val="single"/>
              </w:rPr>
            </w:pPr>
            <w:r>
              <w:rPr>
                <w:color w:val="000000"/>
                <w:sz w:val="24"/>
                <w:szCs w:val="24"/>
                <w:u w:val="single"/>
              </w:rPr>
              <w:t>土壤及地下水污染防治措施</w:t>
            </w:r>
          </w:p>
        </w:tc>
        <w:tc>
          <w:tcPr>
            <w:tcW w:w="4477" w:type="pct"/>
            <w:gridSpan w:val="4"/>
            <w:tcBorders>
              <w:top w:val="single" w:color="auto" w:sz="6" w:space="0"/>
              <w:left w:val="single" w:color="auto" w:sz="6" w:space="0"/>
              <w:bottom w:val="single" w:color="auto" w:sz="6" w:space="0"/>
              <w:right w:val="single" w:color="auto" w:sz="6" w:space="0"/>
            </w:tcBorders>
            <w:vAlign w:val="center"/>
          </w:tcPr>
          <w:p w14:paraId="575A0C6A">
            <w:pPr>
              <w:adjustRightInd w:val="0"/>
              <w:snapToGrid w:val="0"/>
              <w:jc w:val="center"/>
              <w:rPr>
                <w:color w:val="000000"/>
                <w:sz w:val="24"/>
                <w:szCs w:val="24"/>
                <w:u w:val="single"/>
              </w:rPr>
            </w:pPr>
            <w:r>
              <w:rPr>
                <w:rFonts w:hint="eastAsia"/>
                <w:color w:val="000000"/>
                <w:sz w:val="24"/>
                <w:szCs w:val="24"/>
                <w:u w:val="single"/>
              </w:rPr>
              <w:t>对</w:t>
            </w:r>
            <w:r>
              <w:rPr>
                <w:rFonts w:ascii="宋体" w:hAnsi="宋体" w:cs="宋体"/>
                <w:sz w:val="24"/>
                <w:szCs w:val="24"/>
                <w:u w:val="single"/>
              </w:rPr>
              <w:t>医废暂存间、污水处理站</w:t>
            </w:r>
            <w:r>
              <w:rPr>
                <w:rFonts w:hint="eastAsia" w:ascii="宋体" w:hAnsi="宋体" w:cs="宋体"/>
                <w:sz w:val="24"/>
                <w:szCs w:val="24"/>
                <w:u w:val="single"/>
                <w:lang w:eastAsia="zh-CN"/>
              </w:rPr>
              <w:t>、</w:t>
            </w:r>
            <w:r>
              <w:rPr>
                <w:rFonts w:hint="eastAsia" w:ascii="宋体" w:hAnsi="宋体" w:cs="宋体"/>
                <w:sz w:val="24"/>
                <w:szCs w:val="24"/>
                <w:u w:val="single"/>
                <w:lang w:val="en-US" w:eastAsia="zh-CN"/>
              </w:rPr>
              <w:t>应急事故池</w:t>
            </w:r>
            <w:r>
              <w:rPr>
                <w:rFonts w:ascii="宋体" w:hAnsi="宋体" w:cs="宋体"/>
                <w:sz w:val="24"/>
                <w:szCs w:val="24"/>
                <w:u w:val="single"/>
              </w:rPr>
              <w:t>等通过采取重点防渗措施</w:t>
            </w:r>
            <w:r>
              <w:rPr>
                <w:rFonts w:hint="eastAsia"/>
                <w:color w:val="000000"/>
                <w:sz w:val="24"/>
                <w:szCs w:val="24"/>
                <w:u w:val="single"/>
              </w:rPr>
              <w:t>，其余地面均为一般防渗。</w:t>
            </w:r>
          </w:p>
        </w:tc>
      </w:tr>
      <w:tr w14:paraId="782327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tcBorders>
              <w:top w:val="single" w:color="auto" w:sz="6" w:space="0"/>
              <w:left w:val="single" w:color="auto" w:sz="6" w:space="0"/>
              <w:bottom w:val="single" w:color="auto" w:sz="6" w:space="0"/>
              <w:right w:val="single" w:color="auto" w:sz="6" w:space="0"/>
            </w:tcBorders>
            <w:vAlign w:val="center"/>
          </w:tcPr>
          <w:p w14:paraId="403ADAE3">
            <w:pPr>
              <w:adjustRightInd w:val="0"/>
              <w:snapToGrid w:val="0"/>
              <w:ind w:left="-105" w:leftChars="-50" w:right="-105" w:rightChars="-50"/>
              <w:jc w:val="center"/>
              <w:rPr>
                <w:color w:val="000000"/>
                <w:sz w:val="24"/>
                <w:szCs w:val="24"/>
                <w:u w:val="single"/>
              </w:rPr>
            </w:pPr>
            <w:r>
              <w:rPr>
                <w:rFonts w:hint="eastAsia"/>
                <w:color w:val="000000"/>
                <w:sz w:val="24"/>
                <w:szCs w:val="24"/>
                <w:u w:val="single"/>
              </w:rPr>
              <w:t>生态保护措施</w:t>
            </w:r>
          </w:p>
        </w:tc>
        <w:tc>
          <w:tcPr>
            <w:tcW w:w="4477" w:type="pct"/>
            <w:gridSpan w:val="4"/>
            <w:tcBorders>
              <w:top w:val="single" w:color="auto" w:sz="6" w:space="0"/>
              <w:left w:val="single" w:color="auto" w:sz="6" w:space="0"/>
              <w:bottom w:val="single" w:color="auto" w:sz="6" w:space="0"/>
              <w:right w:val="single" w:color="auto" w:sz="6" w:space="0"/>
            </w:tcBorders>
            <w:vAlign w:val="center"/>
          </w:tcPr>
          <w:p w14:paraId="2CEC1660">
            <w:pPr>
              <w:adjustRightInd w:val="0"/>
              <w:snapToGrid w:val="0"/>
              <w:ind w:left="-105" w:leftChars="-50" w:right="-105" w:rightChars="-50"/>
              <w:jc w:val="center"/>
              <w:rPr>
                <w:color w:val="000000"/>
                <w:sz w:val="24"/>
                <w:szCs w:val="24"/>
                <w:u w:val="single"/>
              </w:rPr>
            </w:pPr>
            <w:r>
              <w:rPr>
                <w:rFonts w:hint="eastAsia"/>
                <w:color w:val="000000"/>
                <w:sz w:val="24"/>
                <w:szCs w:val="24"/>
                <w:u w:val="single"/>
              </w:rPr>
              <w:t>/</w:t>
            </w:r>
          </w:p>
        </w:tc>
      </w:tr>
      <w:tr w14:paraId="4635C8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22" w:type="pct"/>
            <w:tcBorders>
              <w:top w:val="single" w:color="auto" w:sz="6" w:space="0"/>
              <w:left w:val="single" w:color="auto" w:sz="6" w:space="0"/>
              <w:bottom w:val="single" w:color="auto" w:sz="6" w:space="0"/>
              <w:right w:val="single" w:color="auto" w:sz="6" w:space="0"/>
            </w:tcBorders>
            <w:vAlign w:val="center"/>
          </w:tcPr>
          <w:p w14:paraId="77B07142">
            <w:pPr>
              <w:adjustRightInd w:val="0"/>
              <w:snapToGrid w:val="0"/>
              <w:ind w:left="-105" w:leftChars="-50" w:right="-105" w:rightChars="-50"/>
              <w:jc w:val="center"/>
              <w:rPr>
                <w:color w:val="000000"/>
                <w:spacing w:val="-8"/>
                <w:sz w:val="24"/>
                <w:szCs w:val="24"/>
                <w:u w:val="single"/>
              </w:rPr>
            </w:pPr>
            <w:r>
              <w:rPr>
                <w:color w:val="000000"/>
                <w:spacing w:val="-8"/>
                <w:sz w:val="24"/>
                <w:szCs w:val="24"/>
                <w:u w:val="single"/>
              </w:rPr>
              <w:t>环境风险</w:t>
            </w:r>
          </w:p>
          <w:p w14:paraId="46F5DDB3">
            <w:pPr>
              <w:adjustRightInd w:val="0"/>
              <w:snapToGrid w:val="0"/>
              <w:ind w:left="-105" w:leftChars="-50" w:right="-105" w:rightChars="-50"/>
              <w:jc w:val="center"/>
              <w:rPr>
                <w:color w:val="000000"/>
                <w:spacing w:val="-8"/>
                <w:sz w:val="24"/>
                <w:szCs w:val="24"/>
                <w:u w:val="single"/>
              </w:rPr>
            </w:pPr>
            <w:r>
              <w:rPr>
                <w:color w:val="000000"/>
                <w:spacing w:val="-8"/>
                <w:sz w:val="24"/>
                <w:szCs w:val="24"/>
                <w:u w:val="single"/>
              </w:rPr>
              <w:t>防范措施</w:t>
            </w:r>
          </w:p>
        </w:tc>
        <w:tc>
          <w:tcPr>
            <w:tcW w:w="4477" w:type="pct"/>
            <w:gridSpan w:val="4"/>
            <w:tcBorders>
              <w:top w:val="single" w:color="auto" w:sz="6" w:space="0"/>
              <w:left w:val="single" w:color="auto" w:sz="6" w:space="0"/>
              <w:bottom w:val="single" w:color="auto" w:sz="6" w:space="0"/>
              <w:right w:val="single" w:color="auto" w:sz="6" w:space="0"/>
            </w:tcBorders>
            <w:vAlign w:val="center"/>
          </w:tcPr>
          <w:p w14:paraId="6146E515">
            <w:pPr>
              <w:widowControl/>
              <w:rPr>
                <w:color w:val="000000"/>
                <w:sz w:val="24"/>
                <w:szCs w:val="24"/>
                <w:u w:val="single"/>
              </w:rPr>
            </w:pPr>
            <w:r>
              <w:rPr>
                <w:rFonts w:hint="eastAsia"/>
                <w:color w:val="000000"/>
                <w:sz w:val="24"/>
                <w:szCs w:val="24"/>
                <w:u w:val="single"/>
              </w:rPr>
              <w:t>①制订安全、防火制度，各岗位操作规范，环境管理巡查制度等，严格落实各项防火、用电安全和环境风险防范措施，加强对职工的安全教育，向项目区职工传授消防灭火知识等。</w:t>
            </w:r>
          </w:p>
          <w:p w14:paraId="77CF3449">
            <w:pPr>
              <w:widowControl/>
              <w:rPr>
                <w:color w:val="000000"/>
                <w:sz w:val="24"/>
                <w:szCs w:val="24"/>
                <w:u w:val="single"/>
              </w:rPr>
            </w:pPr>
            <w:r>
              <w:rPr>
                <w:rFonts w:hint="eastAsia"/>
                <w:color w:val="000000"/>
                <w:sz w:val="24"/>
                <w:szCs w:val="24"/>
                <w:u w:val="single"/>
              </w:rPr>
              <w:t xml:space="preserve">②加强对污染治理设施操作人员岗位培训，熟练掌握操作规程和技术；熟悉处理设施的维护和维修，确保废气污染物长期稳定达标排放；定期委托有资质监测单位进行监测。 </w:t>
            </w:r>
          </w:p>
          <w:p w14:paraId="6315D6AB">
            <w:pPr>
              <w:widowControl/>
              <w:rPr>
                <w:color w:val="000000"/>
                <w:sz w:val="24"/>
                <w:szCs w:val="24"/>
                <w:u w:val="single"/>
              </w:rPr>
            </w:pPr>
            <w:r>
              <w:rPr>
                <w:rFonts w:hint="eastAsia"/>
                <w:color w:val="000000"/>
                <w:sz w:val="24"/>
                <w:szCs w:val="24"/>
                <w:u w:val="single"/>
              </w:rPr>
              <w:t xml:space="preserve">③如果污染治理设施发生故障，应立即停止相关生产，避免污染环境。 </w:t>
            </w:r>
          </w:p>
          <w:p w14:paraId="57D94B97">
            <w:pPr>
              <w:widowControl/>
              <w:rPr>
                <w:color w:val="000000"/>
                <w:sz w:val="24"/>
                <w:szCs w:val="24"/>
                <w:u w:val="single"/>
              </w:rPr>
            </w:pPr>
            <w:r>
              <w:rPr>
                <w:rFonts w:hint="eastAsia"/>
                <w:color w:val="000000"/>
                <w:sz w:val="24"/>
                <w:szCs w:val="24"/>
                <w:u w:val="single"/>
              </w:rPr>
              <w:t>④完善的安全措施是保障安全营运的重要组成部分，对项目区实行全员、全过程、全方位的安全管理，制定安全管理规章和安全管理措施。</w:t>
            </w:r>
          </w:p>
        </w:tc>
      </w:tr>
      <w:tr w14:paraId="58025D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22" w:type="pct"/>
            <w:tcBorders>
              <w:top w:val="single" w:color="auto" w:sz="6" w:space="0"/>
              <w:left w:val="single" w:color="auto" w:sz="6" w:space="0"/>
              <w:bottom w:val="single" w:color="auto" w:sz="6" w:space="0"/>
              <w:right w:val="single" w:color="auto" w:sz="6" w:space="0"/>
            </w:tcBorders>
            <w:vAlign w:val="center"/>
          </w:tcPr>
          <w:p w14:paraId="184C7A61">
            <w:pPr>
              <w:adjustRightInd w:val="0"/>
              <w:snapToGrid w:val="0"/>
              <w:ind w:left="-105" w:leftChars="-50" w:right="-105" w:rightChars="-50"/>
              <w:jc w:val="center"/>
              <w:rPr>
                <w:color w:val="000000"/>
                <w:spacing w:val="-8"/>
                <w:sz w:val="24"/>
                <w:szCs w:val="24"/>
                <w:u w:val="single"/>
              </w:rPr>
            </w:pPr>
            <w:r>
              <w:rPr>
                <w:color w:val="000000"/>
                <w:spacing w:val="-8"/>
                <w:sz w:val="24"/>
                <w:szCs w:val="24"/>
                <w:u w:val="single"/>
              </w:rPr>
              <w:t>其他环境</w:t>
            </w:r>
          </w:p>
          <w:p w14:paraId="48FF9888">
            <w:pPr>
              <w:adjustRightInd w:val="0"/>
              <w:snapToGrid w:val="0"/>
              <w:ind w:left="-105" w:leftChars="-50" w:right="-105" w:rightChars="-50"/>
              <w:jc w:val="center"/>
              <w:rPr>
                <w:color w:val="000000"/>
                <w:spacing w:val="-8"/>
                <w:sz w:val="24"/>
                <w:szCs w:val="24"/>
                <w:u w:val="single"/>
              </w:rPr>
            </w:pPr>
            <w:r>
              <w:rPr>
                <w:color w:val="000000"/>
                <w:spacing w:val="-8"/>
                <w:sz w:val="24"/>
                <w:szCs w:val="24"/>
                <w:u w:val="single"/>
              </w:rPr>
              <w:t>管理要求</w:t>
            </w:r>
          </w:p>
        </w:tc>
        <w:tc>
          <w:tcPr>
            <w:tcW w:w="4477" w:type="pct"/>
            <w:gridSpan w:val="4"/>
            <w:tcBorders>
              <w:top w:val="single" w:color="auto" w:sz="6" w:space="0"/>
              <w:left w:val="single" w:color="auto" w:sz="6" w:space="0"/>
              <w:bottom w:val="single" w:color="auto" w:sz="6" w:space="0"/>
              <w:right w:val="single" w:color="auto" w:sz="6" w:space="0"/>
            </w:tcBorders>
            <w:vAlign w:val="center"/>
          </w:tcPr>
          <w:p w14:paraId="108B6337">
            <w:pPr>
              <w:spacing w:line="360" w:lineRule="auto"/>
              <w:rPr>
                <w:b/>
                <w:bCs/>
                <w:color w:val="000000"/>
                <w:sz w:val="24"/>
                <w:szCs w:val="24"/>
                <w:u w:val="single"/>
              </w:rPr>
            </w:pPr>
            <w:r>
              <w:rPr>
                <w:rFonts w:hint="eastAsia"/>
                <w:b/>
                <w:bCs/>
                <w:color w:val="000000"/>
                <w:sz w:val="24"/>
                <w:szCs w:val="24"/>
                <w:u w:val="single"/>
              </w:rPr>
              <w:t>1排放口信息化、规范化</w:t>
            </w:r>
          </w:p>
          <w:p w14:paraId="4E69E53C">
            <w:pPr>
              <w:spacing w:line="360" w:lineRule="auto"/>
              <w:ind w:firstLine="480" w:firstLineChars="200"/>
              <w:rPr>
                <w:color w:val="000000"/>
                <w:sz w:val="24"/>
                <w:szCs w:val="24"/>
                <w:u w:val="single"/>
              </w:rPr>
            </w:pPr>
            <w:r>
              <w:rPr>
                <w:rFonts w:hint="eastAsia"/>
                <w:color w:val="000000"/>
                <w:sz w:val="24"/>
                <w:szCs w:val="24"/>
                <w:u w:val="single"/>
              </w:rPr>
              <w:t>根据国家环境保护总局《关于开展排放口规范化整治工作的通知》《排放口规范化整治技术要求（试行）》等规定，排污单位在建设污染治理设施的同时，建设规范化排放口。</w:t>
            </w:r>
          </w:p>
          <w:p w14:paraId="4F8C07BC">
            <w:pPr>
              <w:spacing w:line="360" w:lineRule="auto"/>
              <w:ind w:firstLine="480" w:firstLineChars="200"/>
              <w:rPr>
                <w:color w:val="000000"/>
                <w:sz w:val="24"/>
                <w:szCs w:val="24"/>
                <w:u w:val="single"/>
              </w:rPr>
            </w:pPr>
            <w:r>
              <w:rPr>
                <w:rFonts w:hint="eastAsia"/>
                <w:color w:val="000000"/>
                <w:sz w:val="24"/>
                <w:szCs w:val="24"/>
                <w:u w:val="single"/>
              </w:rPr>
              <w:t>（1）废气排放口设置明确</w:t>
            </w:r>
            <w:r>
              <w:rPr>
                <w:rFonts w:hint="eastAsia"/>
                <w:color w:val="000000"/>
                <w:sz w:val="24"/>
                <w:szCs w:val="24"/>
                <w:u w:val="single"/>
                <w:lang w:eastAsia="zh-CN"/>
              </w:rPr>
              <w:t>标识</w:t>
            </w:r>
            <w:r>
              <w:rPr>
                <w:rFonts w:hint="eastAsia"/>
                <w:color w:val="000000"/>
                <w:sz w:val="24"/>
                <w:szCs w:val="24"/>
                <w:u w:val="single"/>
              </w:rPr>
              <w:t>，并设置便于采样、监测的采样口，配置安全可靠的检测平台。</w:t>
            </w:r>
          </w:p>
          <w:p w14:paraId="4A11A870">
            <w:pPr>
              <w:spacing w:line="360" w:lineRule="auto"/>
              <w:ind w:firstLine="480" w:firstLineChars="200"/>
              <w:rPr>
                <w:color w:val="000000"/>
                <w:sz w:val="24"/>
                <w:szCs w:val="24"/>
                <w:u w:val="single"/>
              </w:rPr>
            </w:pPr>
            <w:r>
              <w:rPr>
                <w:rFonts w:hint="eastAsia"/>
                <w:color w:val="000000"/>
                <w:sz w:val="24"/>
                <w:szCs w:val="24"/>
                <w:u w:val="single"/>
              </w:rPr>
              <w:t>（2）固体废物在厂暂存期间应设置专门的储存设施或堆放场所、运输通道。存放场地应采取防扬散、防流失措施，并在存放场地设置环保标志牌。</w:t>
            </w:r>
          </w:p>
          <w:p w14:paraId="2277B52B">
            <w:pPr>
              <w:spacing w:line="360" w:lineRule="auto"/>
              <w:ind w:firstLine="480" w:firstLineChars="200"/>
              <w:rPr>
                <w:color w:val="000000"/>
                <w:sz w:val="24"/>
                <w:szCs w:val="24"/>
                <w:u w:val="single"/>
              </w:rPr>
            </w:pPr>
            <w:r>
              <w:rPr>
                <w:rFonts w:hint="eastAsia"/>
                <w:color w:val="000000"/>
                <w:sz w:val="24"/>
                <w:szCs w:val="24"/>
                <w:u w:val="single"/>
              </w:rPr>
              <w:t>项目按照《环境保护图形标志-排放口（源）》（GB15562.1-1995）和《环境保护图形标志-固体废物贮存（处置）场》（GB15562.2-1995）、《危险废物识别标志设置技术规范》（HJ 1276-2022）等有关规定，在各排污口（源）挂牌标识，做到各排污口（源）的环保标志明显，便于企业管理和公众监督。</w:t>
            </w:r>
          </w:p>
          <w:p w14:paraId="656DFC59">
            <w:pPr>
              <w:spacing w:line="360" w:lineRule="auto"/>
              <w:ind w:firstLine="480" w:firstLineChars="200"/>
              <w:rPr>
                <w:color w:val="000000"/>
                <w:sz w:val="24"/>
                <w:szCs w:val="24"/>
                <w:u w:val="single"/>
              </w:rPr>
            </w:pPr>
            <w:r>
              <w:rPr>
                <w:rFonts w:hint="eastAsia"/>
                <w:color w:val="000000"/>
                <w:sz w:val="24"/>
                <w:szCs w:val="24"/>
                <w:u w:val="single"/>
              </w:rPr>
              <w:t>（3）项目应使用国家环保局统一印制的《中华人民共和国规范化排污口标志牌登记证》，并按要求填写有关内容。根据排污口管理档案内容要求，项目投产后，应将上述所有污染排放口名称、位置，以及排放污染物名称、数量、浓度、排放去向等内容进行统计，并登记上报所在地环境保护行政主管部门，以便进行验收和排放口的规范化管理，并接受社会监督。</w:t>
            </w:r>
          </w:p>
          <w:p w14:paraId="4776D858">
            <w:pPr>
              <w:spacing w:line="360" w:lineRule="auto"/>
              <w:rPr>
                <w:b/>
                <w:bCs/>
                <w:color w:val="000000"/>
                <w:sz w:val="24"/>
                <w:szCs w:val="24"/>
                <w:u w:val="single"/>
              </w:rPr>
            </w:pPr>
            <w:r>
              <w:rPr>
                <w:rFonts w:hint="eastAsia"/>
                <w:b/>
                <w:bCs/>
                <w:color w:val="000000"/>
                <w:sz w:val="24"/>
                <w:szCs w:val="24"/>
                <w:u w:val="single"/>
              </w:rPr>
              <w:t>2排污许可证申请</w:t>
            </w:r>
          </w:p>
          <w:p w14:paraId="35568508">
            <w:pPr>
              <w:spacing w:line="360" w:lineRule="auto"/>
              <w:ind w:firstLine="480" w:firstLineChars="200"/>
              <w:rPr>
                <w:color w:val="000000"/>
                <w:sz w:val="24"/>
                <w:szCs w:val="24"/>
                <w:u w:val="single"/>
              </w:rPr>
            </w:pPr>
            <w:r>
              <w:rPr>
                <w:rFonts w:hint="eastAsia"/>
                <w:color w:val="000000"/>
                <w:sz w:val="24"/>
                <w:szCs w:val="24"/>
                <w:u w:val="single"/>
              </w:rPr>
              <w:t>根据《关于做好环境影响评价制度与排污许可制衔接相关工作的通知》，为推进排污许可制与环境影响评价制度的衔接融合，深化生态环境领域“放管服”改革，进一步优化营商环境，根据生态环境部《“十四五”环境影响评价与排污许可工作实施方案》，全面推进排污许可制，推动排污许可制与环境影响评价制度的深度衔接，实行从环境准入、排污控制到执法监管的“一证式”全过程管理，解决环境管理尺度不一、企业重复申报等问题，优化环评与排污许可行政审批程序，实现建设项目环评审批与排污许可证核发 “一窗受理、一体化审批”并联办理模式，推进营商环境优化、减轻企业负担，提高行政审批效率、提升生态环境监管效能。</w:t>
            </w:r>
          </w:p>
          <w:p w14:paraId="533A4E4F">
            <w:pPr>
              <w:spacing w:line="360" w:lineRule="auto"/>
              <w:ind w:firstLine="480" w:firstLineChars="200"/>
              <w:rPr>
                <w:color w:val="000000"/>
                <w:sz w:val="24"/>
                <w:szCs w:val="24"/>
                <w:u w:val="single"/>
              </w:rPr>
            </w:pPr>
            <w:r>
              <w:rPr>
                <w:rFonts w:hint="eastAsia"/>
                <w:color w:val="000000"/>
                <w:sz w:val="24"/>
                <w:szCs w:val="24"/>
                <w:u w:val="single"/>
              </w:rPr>
              <w:t>根据《固定污染源排污许可分类管理名录》（2019年版）中划分要求，本项目属于</w:t>
            </w:r>
            <w:r>
              <w:rPr>
                <w:rFonts w:hint="eastAsia"/>
                <w:color w:val="000000"/>
                <w:sz w:val="24"/>
                <w:szCs w:val="24"/>
                <w:highlight w:val="none"/>
                <w:u w:val="single"/>
                <w:shd w:val="clear"/>
              </w:rPr>
              <w:t>“四十九、卫生84”，“107、医院841”中“</w:t>
            </w:r>
            <w:r>
              <w:rPr>
                <w:rFonts w:hint="eastAsia"/>
                <w:color w:val="000000"/>
                <w:sz w:val="24"/>
                <w:szCs w:val="24"/>
                <w:highlight w:val="none"/>
                <w:u w:val="single"/>
                <w:shd w:val="clear"/>
                <w:lang w:val="en-US" w:eastAsia="zh-CN"/>
              </w:rPr>
              <w:t>床位100张及以上的专科医院8415（精神病、康复和运动康复医院）以及疗养院8416</w:t>
            </w:r>
            <w:r>
              <w:rPr>
                <w:rFonts w:hint="eastAsia"/>
                <w:color w:val="000000"/>
                <w:sz w:val="24"/>
                <w:szCs w:val="24"/>
                <w:highlight w:val="none"/>
                <w:u w:val="single"/>
                <w:shd w:val="clear"/>
              </w:rPr>
              <w:t>”，执行简化管理，建设单位须在项目实际排污前</w:t>
            </w:r>
            <w:r>
              <w:rPr>
                <w:rFonts w:hint="eastAsia"/>
                <w:color w:val="000000"/>
                <w:sz w:val="24"/>
                <w:szCs w:val="24"/>
                <w:highlight w:val="none"/>
                <w:u w:val="single"/>
                <w:shd w:val="clear"/>
                <w:lang w:val="en-US" w:eastAsia="zh-CN"/>
              </w:rPr>
              <w:t>办理</w:t>
            </w:r>
            <w:r>
              <w:rPr>
                <w:rFonts w:hint="eastAsia"/>
                <w:color w:val="000000"/>
                <w:sz w:val="24"/>
                <w:szCs w:val="24"/>
                <w:highlight w:val="none"/>
                <w:u w:val="single"/>
                <w:shd w:val="clear"/>
              </w:rPr>
              <w:t>排污许可证</w:t>
            </w:r>
            <w:r>
              <w:rPr>
                <w:rFonts w:hint="eastAsia"/>
                <w:color w:val="000000"/>
                <w:sz w:val="24"/>
                <w:szCs w:val="24"/>
                <w:u w:val="single"/>
              </w:rPr>
              <w:t>。</w:t>
            </w:r>
          </w:p>
          <w:p w14:paraId="7EDB14B2">
            <w:pPr>
              <w:spacing w:line="360" w:lineRule="auto"/>
              <w:rPr>
                <w:b/>
                <w:bCs/>
                <w:color w:val="000000"/>
                <w:sz w:val="24"/>
                <w:szCs w:val="24"/>
                <w:u w:val="single"/>
              </w:rPr>
            </w:pPr>
            <w:r>
              <w:rPr>
                <w:rFonts w:hint="eastAsia"/>
                <w:b/>
                <w:bCs/>
                <w:color w:val="000000"/>
                <w:sz w:val="24"/>
                <w:szCs w:val="24"/>
                <w:u w:val="single"/>
              </w:rPr>
              <w:t>3环境监测</w:t>
            </w:r>
          </w:p>
          <w:p w14:paraId="35B5F55D">
            <w:pPr>
              <w:spacing w:line="360" w:lineRule="auto"/>
              <w:ind w:firstLine="480" w:firstLineChars="200"/>
              <w:rPr>
                <w:color w:val="000000"/>
                <w:sz w:val="24"/>
                <w:szCs w:val="24"/>
                <w:u w:val="single"/>
              </w:rPr>
            </w:pPr>
            <w:r>
              <w:rPr>
                <w:rFonts w:hint="eastAsia"/>
                <w:color w:val="000000"/>
                <w:sz w:val="24"/>
                <w:szCs w:val="24"/>
                <w:u w:val="single"/>
              </w:rPr>
              <w:t>为及时掌握项目对当地环境的实际影响程度及变化趋势，验证环境影响评价的科学性，了解环境保护措施的可行性，准确地把握项目建设产生的环境效益，项目应施行必要的环境监测工作，落实环境监测计划，并建立相应的长期环境监测制度。</w:t>
            </w:r>
          </w:p>
          <w:p w14:paraId="2092BEA3">
            <w:pPr>
              <w:spacing w:line="360" w:lineRule="auto"/>
              <w:rPr>
                <w:b/>
                <w:bCs/>
                <w:color w:val="000000"/>
                <w:sz w:val="24"/>
                <w:szCs w:val="24"/>
                <w:u w:val="single"/>
              </w:rPr>
            </w:pPr>
            <w:r>
              <w:rPr>
                <w:rFonts w:hint="eastAsia"/>
                <w:b/>
                <w:bCs/>
                <w:color w:val="000000"/>
                <w:sz w:val="24"/>
                <w:szCs w:val="24"/>
                <w:u w:val="single"/>
              </w:rPr>
              <w:t>4建设项目竣工环境保护验收</w:t>
            </w:r>
          </w:p>
          <w:p w14:paraId="38A8427D">
            <w:pPr>
              <w:spacing w:line="360" w:lineRule="auto"/>
              <w:ind w:firstLine="480" w:firstLineChars="200"/>
              <w:rPr>
                <w:color w:val="000000"/>
                <w:sz w:val="24"/>
                <w:szCs w:val="24"/>
                <w:u w:val="single"/>
              </w:rPr>
            </w:pPr>
            <w:r>
              <w:rPr>
                <w:rFonts w:hint="eastAsia"/>
                <w:color w:val="000000"/>
                <w:sz w:val="24"/>
                <w:szCs w:val="24"/>
                <w:u w:val="single"/>
              </w:rPr>
              <w:t>为贯彻落实新修改的《建设项目环境保护管理条例》，规范建设项目竣工后建设单位自主开展环境保护验收的程序和标准。根据《建设项目竣工环境保护验收暂行办法》（国环规环评</w:t>
            </w:r>
            <w:r>
              <w:rPr>
                <w:rFonts w:hint="eastAsia"/>
                <w:color w:val="000000"/>
                <w:sz w:val="24"/>
                <w:szCs w:val="24"/>
                <w:u w:val="single"/>
                <w:lang w:eastAsia="zh-CN"/>
              </w:rPr>
              <w:t>〔2017〕4号</w:t>
            </w:r>
            <w:r>
              <w:rPr>
                <w:rFonts w:hint="eastAsia"/>
                <w:color w:val="000000"/>
                <w:sz w:val="24"/>
                <w:szCs w:val="24"/>
                <w:u w:val="single"/>
              </w:rPr>
              <w:t>），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w:t>
            </w:r>
          </w:p>
          <w:p w14:paraId="2A0B95FF">
            <w:pPr>
              <w:spacing w:line="360" w:lineRule="auto"/>
              <w:rPr>
                <w:color w:val="000000"/>
                <w:sz w:val="24"/>
                <w:szCs w:val="24"/>
                <w:u w:val="single"/>
              </w:rPr>
            </w:pPr>
          </w:p>
          <w:p w14:paraId="19861049">
            <w:pPr>
              <w:spacing w:line="360" w:lineRule="auto"/>
              <w:rPr>
                <w:color w:val="000000"/>
                <w:sz w:val="24"/>
                <w:szCs w:val="24"/>
                <w:u w:val="single"/>
              </w:rPr>
            </w:pPr>
          </w:p>
          <w:p w14:paraId="7E0B31F4">
            <w:pPr>
              <w:pStyle w:val="2"/>
              <w:rPr>
                <w:color w:val="000000"/>
                <w:sz w:val="24"/>
                <w:szCs w:val="24"/>
                <w:u w:val="single"/>
              </w:rPr>
            </w:pPr>
          </w:p>
          <w:p w14:paraId="72A1A98E">
            <w:pPr>
              <w:rPr>
                <w:color w:val="000000"/>
                <w:sz w:val="24"/>
                <w:szCs w:val="24"/>
                <w:u w:val="single"/>
              </w:rPr>
            </w:pPr>
          </w:p>
          <w:p w14:paraId="085A2A81">
            <w:pPr>
              <w:pStyle w:val="2"/>
              <w:rPr>
                <w:color w:val="000000"/>
                <w:sz w:val="24"/>
                <w:szCs w:val="24"/>
                <w:u w:val="single"/>
              </w:rPr>
            </w:pPr>
          </w:p>
          <w:p w14:paraId="3E89A1D8">
            <w:pPr>
              <w:rPr>
                <w:color w:val="000000"/>
                <w:sz w:val="24"/>
                <w:szCs w:val="24"/>
                <w:u w:val="single"/>
              </w:rPr>
            </w:pPr>
          </w:p>
          <w:p w14:paraId="27F5B8E6">
            <w:pPr>
              <w:pStyle w:val="2"/>
              <w:rPr>
                <w:color w:val="000000"/>
                <w:sz w:val="24"/>
                <w:szCs w:val="24"/>
                <w:u w:val="single"/>
              </w:rPr>
            </w:pPr>
          </w:p>
          <w:p w14:paraId="77DDCB88">
            <w:pPr>
              <w:rPr>
                <w:color w:val="000000"/>
                <w:sz w:val="24"/>
                <w:szCs w:val="24"/>
                <w:u w:val="single"/>
              </w:rPr>
            </w:pPr>
          </w:p>
          <w:p w14:paraId="29E6AC0B">
            <w:pPr>
              <w:pStyle w:val="2"/>
              <w:rPr>
                <w:color w:val="000000"/>
                <w:sz w:val="24"/>
                <w:szCs w:val="24"/>
                <w:u w:val="single"/>
              </w:rPr>
            </w:pPr>
          </w:p>
          <w:p w14:paraId="17CDE321">
            <w:pPr>
              <w:rPr>
                <w:color w:val="000000"/>
                <w:sz w:val="24"/>
                <w:szCs w:val="24"/>
                <w:u w:val="single"/>
              </w:rPr>
            </w:pPr>
          </w:p>
          <w:p w14:paraId="6741CE6A">
            <w:pPr>
              <w:pStyle w:val="2"/>
              <w:rPr>
                <w:color w:val="000000"/>
                <w:sz w:val="24"/>
                <w:szCs w:val="24"/>
                <w:u w:val="single"/>
              </w:rPr>
            </w:pPr>
          </w:p>
          <w:p w14:paraId="35B7229B">
            <w:pPr>
              <w:rPr>
                <w:color w:val="000000"/>
                <w:sz w:val="24"/>
                <w:szCs w:val="24"/>
                <w:u w:val="single"/>
              </w:rPr>
            </w:pPr>
          </w:p>
          <w:p w14:paraId="35A39B7D">
            <w:pPr>
              <w:pStyle w:val="2"/>
              <w:rPr>
                <w:color w:val="000000"/>
                <w:sz w:val="24"/>
                <w:szCs w:val="24"/>
                <w:u w:val="single"/>
              </w:rPr>
            </w:pPr>
          </w:p>
          <w:p w14:paraId="544E0951">
            <w:pPr>
              <w:rPr>
                <w:color w:val="000000"/>
                <w:sz w:val="24"/>
                <w:szCs w:val="24"/>
                <w:u w:val="single"/>
              </w:rPr>
            </w:pPr>
          </w:p>
          <w:p w14:paraId="0EB3BC5D">
            <w:pPr>
              <w:pStyle w:val="2"/>
              <w:rPr>
                <w:color w:val="000000"/>
                <w:sz w:val="24"/>
                <w:szCs w:val="24"/>
                <w:u w:val="single"/>
              </w:rPr>
            </w:pPr>
          </w:p>
          <w:p w14:paraId="24411982">
            <w:pPr>
              <w:rPr>
                <w:color w:val="000000"/>
                <w:sz w:val="24"/>
                <w:szCs w:val="24"/>
                <w:u w:val="single"/>
              </w:rPr>
            </w:pPr>
          </w:p>
          <w:p w14:paraId="321A8CB6">
            <w:pPr>
              <w:pStyle w:val="2"/>
              <w:rPr>
                <w:color w:val="000000"/>
                <w:sz w:val="24"/>
                <w:szCs w:val="24"/>
                <w:u w:val="single"/>
              </w:rPr>
            </w:pPr>
          </w:p>
          <w:p w14:paraId="207AABEE">
            <w:pPr>
              <w:rPr>
                <w:color w:val="000000"/>
                <w:sz w:val="24"/>
                <w:szCs w:val="24"/>
                <w:u w:val="single"/>
              </w:rPr>
            </w:pPr>
          </w:p>
          <w:p w14:paraId="337AADF6">
            <w:pPr>
              <w:pStyle w:val="2"/>
              <w:rPr>
                <w:color w:val="000000"/>
                <w:sz w:val="24"/>
                <w:szCs w:val="24"/>
                <w:u w:val="single"/>
              </w:rPr>
            </w:pPr>
          </w:p>
          <w:p w14:paraId="5ADE63C7">
            <w:pPr>
              <w:rPr>
                <w:color w:val="000000"/>
                <w:sz w:val="24"/>
                <w:szCs w:val="24"/>
                <w:u w:val="single"/>
              </w:rPr>
            </w:pPr>
          </w:p>
          <w:p w14:paraId="6AA29890">
            <w:pPr>
              <w:pStyle w:val="2"/>
              <w:rPr>
                <w:color w:val="000000"/>
                <w:sz w:val="24"/>
                <w:szCs w:val="24"/>
                <w:u w:val="single"/>
              </w:rPr>
            </w:pPr>
          </w:p>
          <w:p w14:paraId="7823B766">
            <w:pPr>
              <w:rPr>
                <w:color w:val="000000"/>
                <w:sz w:val="24"/>
                <w:szCs w:val="24"/>
                <w:u w:val="single"/>
              </w:rPr>
            </w:pPr>
          </w:p>
          <w:p w14:paraId="1BADA1FB">
            <w:pPr>
              <w:pStyle w:val="2"/>
              <w:rPr>
                <w:color w:val="000000"/>
                <w:sz w:val="24"/>
                <w:szCs w:val="24"/>
                <w:u w:val="single"/>
              </w:rPr>
            </w:pPr>
          </w:p>
          <w:p w14:paraId="121623DB">
            <w:pPr>
              <w:rPr>
                <w:color w:val="000000"/>
                <w:sz w:val="24"/>
                <w:szCs w:val="24"/>
                <w:u w:val="single"/>
              </w:rPr>
            </w:pPr>
          </w:p>
          <w:p w14:paraId="0EF28B1A">
            <w:pPr>
              <w:pStyle w:val="2"/>
              <w:rPr>
                <w:u w:val="single"/>
              </w:rPr>
            </w:pPr>
          </w:p>
          <w:p w14:paraId="472B8049">
            <w:pPr>
              <w:spacing w:line="360" w:lineRule="auto"/>
              <w:rPr>
                <w:color w:val="000000"/>
                <w:sz w:val="24"/>
                <w:szCs w:val="24"/>
                <w:u w:val="single"/>
              </w:rPr>
            </w:pPr>
          </w:p>
          <w:p w14:paraId="796F30E9">
            <w:pPr>
              <w:spacing w:line="360" w:lineRule="auto"/>
              <w:rPr>
                <w:color w:val="000000"/>
                <w:sz w:val="24"/>
                <w:szCs w:val="24"/>
                <w:u w:val="single"/>
              </w:rPr>
            </w:pPr>
          </w:p>
          <w:p w14:paraId="39B46137">
            <w:pPr>
              <w:spacing w:line="360" w:lineRule="auto"/>
              <w:rPr>
                <w:color w:val="000000"/>
                <w:sz w:val="24"/>
                <w:szCs w:val="24"/>
                <w:u w:val="single"/>
              </w:rPr>
            </w:pPr>
          </w:p>
        </w:tc>
      </w:tr>
    </w:tbl>
    <w:p w14:paraId="6DCA3EF5">
      <w:pPr>
        <w:pStyle w:val="44"/>
        <w:spacing w:before="120" w:beforeLines="50" w:beforeAutospacing="0" w:after="120" w:afterLines="50" w:afterAutospacing="0"/>
        <w:jc w:val="center"/>
        <w:outlineLvl w:val="0"/>
        <w:rPr>
          <w:rFonts w:hint="eastAsia"/>
          <w:b/>
          <w:bCs/>
          <w:snapToGrid w:val="0"/>
          <w:color w:val="000000"/>
          <w:sz w:val="30"/>
          <w:szCs w:val="30"/>
        </w:rPr>
      </w:pPr>
      <w:r>
        <w:rPr>
          <w:b/>
          <w:bCs/>
          <w:snapToGrid w:val="0"/>
          <w:color w:val="FF0000"/>
          <w:sz w:val="30"/>
          <w:szCs w:val="30"/>
        </w:rPr>
        <w:br w:type="page"/>
      </w:r>
      <w:bookmarkStart w:id="21" w:name="_Toc163829138"/>
      <w:r>
        <w:rPr>
          <w:b/>
          <w:bCs/>
          <w:snapToGrid w:val="0"/>
          <w:color w:val="000000"/>
          <w:sz w:val="30"/>
          <w:szCs w:val="30"/>
        </w:rPr>
        <w:t>六、结论</w:t>
      </w:r>
      <w:bookmarkEnd w:id="21"/>
    </w:p>
    <w:tbl>
      <w:tblPr>
        <w:tblStyle w:val="47"/>
        <w:tblW w:w="9072" w:type="dxa"/>
        <w:jc w:val="center"/>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108" w:type="dxa"/>
          <w:bottom w:w="0" w:type="dxa"/>
          <w:right w:w="108" w:type="dxa"/>
        </w:tblCellMar>
      </w:tblPr>
      <w:tblGrid>
        <w:gridCol w:w="9072"/>
      </w:tblGrid>
      <w:tr w14:paraId="20274B4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12357" w:hRule="atLeast"/>
          <w:jc w:val="center"/>
        </w:trPr>
        <w:tc>
          <w:tcPr>
            <w:tcW w:w="8865" w:type="dxa"/>
            <w:vAlign w:val="center"/>
          </w:tcPr>
          <w:p w14:paraId="02DE2B14">
            <w:pPr>
              <w:spacing w:line="360" w:lineRule="auto"/>
              <w:ind w:firstLine="480" w:firstLineChars="200"/>
              <w:rPr>
                <w:color w:val="000000"/>
                <w:sz w:val="24"/>
                <w:szCs w:val="24"/>
              </w:rPr>
            </w:pPr>
            <w:r>
              <w:rPr>
                <w:rFonts w:hint="eastAsia"/>
                <w:color w:val="000000"/>
                <w:sz w:val="24"/>
                <w:szCs w:val="24"/>
              </w:rPr>
              <w:t>综上所述，安化县莲台山幸福驿站建设项目符合相关规划要求，项目建设和运营过程中，在严格落实环评中提出的各项污染治理措施的前提下，废气、废水、噪声等均可达标排放，固体废物能得到有效、安全的处置，项目产生的污染物对周围环境产生的影响在可接受的范围内。因此，本评价认为该建设项目从环保角度出发是合理可行的。</w:t>
            </w:r>
          </w:p>
        </w:tc>
      </w:tr>
    </w:tbl>
    <w:p w14:paraId="1E8082D2">
      <w:pPr>
        <w:widowControl/>
        <w:spacing w:line="360" w:lineRule="auto"/>
        <w:jc w:val="left"/>
        <w:rPr>
          <w:color w:val="FF0000"/>
          <w:sz w:val="24"/>
          <w:szCs w:val="24"/>
        </w:rPr>
        <w:sectPr>
          <w:pgSz w:w="11906" w:h="16838"/>
          <w:pgMar w:top="1701" w:right="1440" w:bottom="1701" w:left="1440" w:header="851" w:footer="851" w:gutter="0"/>
          <w:cols w:space="720" w:num="1"/>
        </w:sectPr>
      </w:pPr>
    </w:p>
    <w:p w14:paraId="43278576">
      <w:pPr>
        <w:pStyle w:val="44"/>
        <w:adjustRightInd w:val="0"/>
        <w:snapToGrid w:val="0"/>
        <w:spacing w:before="0" w:beforeAutospacing="0" w:after="0" w:afterAutospacing="0"/>
        <w:rPr>
          <w:rFonts w:hint="eastAsia"/>
          <w:b/>
          <w:bCs/>
          <w:snapToGrid w:val="0"/>
          <w:color w:val="000000"/>
          <w:kern w:val="0"/>
          <w:sz w:val="28"/>
          <w:szCs w:val="28"/>
        </w:rPr>
      </w:pPr>
      <w:r>
        <w:rPr>
          <w:b/>
          <w:bCs/>
          <w:snapToGrid w:val="0"/>
          <w:color w:val="000000"/>
          <w:sz w:val="28"/>
          <w:szCs w:val="28"/>
        </w:rPr>
        <w:t>附表</w:t>
      </w:r>
    </w:p>
    <w:p w14:paraId="5E37CB2B">
      <w:pPr>
        <w:pStyle w:val="44"/>
        <w:adjustRightInd w:val="0"/>
        <w:snapToGrid w:val="0"/>
        <w:spacing w:before="0" w:beforeAutospacing="0" w:after="0" w:afterAutospacing="0"/>
        <w:jc w:val="center"/>
        <w:rPr>
          <w:rFonts w:hint="eastAsia"/>
          <w:b/>
          <w:bCs/>
          <w:snapToGrid w:val="0"/>
          <w:color w:val="000000"/>
          <w:sz w:val="36"/>
          <w:szCs w:val="36"/>
        </w:rPr>
      </w:pPr>
      <w:r>
        <w:rPr>
          <w:b/>
          <w:bCs/>
          <w:snapToGrid w:val="0"/>
          <w:color w:val="000000"/>
          <w:sz w:val="36"/>
          <w:szCs w:val="36"/>
        </w:rPr>
        <w:t>建设项目污染物排放量汇总表</w:t>
      </w:r>
    </w:p>
    <w:tbl>
      <w:tblPr>
        <w:tblStyle w:val="47"/>
        <w:tblW w:w="13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1"/>
        <w:gridCol w:w="2552"/>
        <w:gridCol w:w="1275"/>
        <w:gridCol w:w="1276"/>
        <w:gridCol w:w="1218"/>
        <w:gridCol w:w="1539"/>
        <w:gridCol w:w="1637"/>
        <w:gridCol w:w="1580"/>
        <w:gridCol w:w="1270"/>
      </w:tblGrid>
      <w:tr w14:paraId="41AC3F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tcBorders>
              <w:top w:val="single" w:color="auto" w:sz="12" w:space="0"/>
              <w:bottom w:val="single" w:color="auto" w:sz="6" w:space="0"/>
              <w:tl2br w:val="single" w:color="000000" w:sz="4" w:space="0"/>
            </w:tcBorders>
            <w:tcMar>
              <w:top w:w="0" w:type="dxa"/>
              <w:left w:w="28" w:type="dxa"/>
              <w:bottom w:w="0" w:type="dxa"/>
              <w:right w:w="28" w:type="dxa"/>
            </w:tcMar>
            <w:vAlign w:val="center"/>
          </w:tcPr>
          <w:p w14:paraId="1D7A1F84">
            <w:pPr>
              <w:pStyle w:val="115"/>
              <w:wordWrap w:val="0"/>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t>项目</w:t>
            </w:r>
          </w:p>
          <w:p w14:paraId="7117DE32">
            <w:pPr>
              <w:pStyle w:val="115"/>
              <w:adjustRightInd/>
              <w:snapToGrid/>
              <w:spacing w:beforeLines="0" w:line="240" w:lineRule="auto"/>
              <w:ind w:firstLine="99" w:firstLineChars="50"/>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t>分类</w:t>
            </w:r>
          </w:p>
        </w:tc>
        <w:tc>
          <w:tcPr>
            <w:tcW w:w="2552" w:type="dxa"/>
            <w:tcMar>
              <w:top w:w="0" w:type="dxa"/>
              <w:left w:w="28" w:type="dxa"/>
              <w:bottom w:w="0" w:type="dxa"/>
              <w:right w:w="28" w:type="dxa"/>
            </w:tcMar>
            <w:vAlign w:val="center"/>
          </w:tcPr>
          <w:p w14:paraId="3BB41CCD">
            <w:pPr>
              <w:pStyle w:val="115"/>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t>污染物名称</w:t>
            </w:r>
          </w:p>
        </w:tc>
        <w:tc>
          <w:tcPr>
            <w:tcW w:w="1275" w:type="dxa"/>
            <w:tcMar>
              <w:top w:w="0" w:type="dxa"/>
              <w:left w:w="28" w:type="dxa"/>
              <w:bottom w:w="0" w:type="dxa"/>
              <w:right w:w="28" w:type="dxa"/>
            </w:tcMar>
            <w:vAlign w:val="center"/>
          </w:tcPr>
          <w:p w14:paraId="07C1A909">
            <w:pPr>
              <w:pStyle w:val="115"/>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t>现有工程</w:t>
            </w:r>
          </w:p>
          <w:p w14:paraId="2B7E7977">
            <w:pPr>
              <w:pStyle w:val="115"/>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t>排放量</w:t>
            </w:r>
            <w:r>
              <w:rPr>
                <w:rFonts w:ascii="Times New Roman" w:hAnsi="Times New Roman"/>
                <w:snapToGrid w:val="0"/>
                <w:color w:val="000000"/>
                <w:spacing w:val="-6"/>
                <w:kern w:val="21"/>
                <w:szCs w:val="21"/>
                <w:u w:val="none"/>
              </w:rPr>
              <w:fldChar w:fldCharType="begin"/>
            </w:r>
            <w:r>
              <w:rPr>
                <w:rFonts w:ascii="Times New Roman" w:hAnsi="Times New Roman"/>
                <w:snapToGrid w:val="0"/>
                <w:color w:val="000000"/>
                <w:spacing w:val="-6"/>
                <w:kern w:val="21"/>
                <w:szCs w:val="21"/>
                <w:u w:val="none"/>
              </w:rPr>
              <w:instrText xml:space="preserve"> = 1 \* GB3 \* MERGEFORMAT </w:instrText>
            </w:r>
            <w:r>
              <w:rPr>
                <w:rFonts w:ascii="Times New Roman" w:hAnsi="Times New Roman"/>
                <w:snapToGrid w:val="0"/>
                <w:color w:val="000000"/>
                <w:spacing w:val="-6"/>
                <w:kern w:val="21"/>
                <w:szCs w:val="21"/>
                <w:u w:val="none"/>
              </w:rPr>
              <w:fldChar w:fldCharType="separate"/>
            </w:r>
            <w:r>
              <w:rPr>
                <w:rFonts w:hint="eastAsia" w:cs="宋体"/>
                <w:color w:val="000000"/>
                <w:szCs w:val="21"/>
                <w:u w:val="none"/>
              </w:rPr>
              <w:t>①</w:t>
            </w:r>
            <w:r>
              <w:rPr>
                <w:rFonts w:ascii="Times New Roman" w:hAnsi="Times New Roman"/>
                <w:snapToGrid w:val="0"/>
                <w:color w:val="000000"/>
                <w:spacing w:val="-6"/>
                <w:kern w:val="21"/>
                <w:szCs w:val="21"/>
                <w:u w:val="none"/>
              </w:rPr>
              <w:fldChar w:fldCharType="end"/>
            </w:r>
          </w:p>
        </w:tc>
        <w:tc>
          <w:tcPr>
            <w:tcW w:w="1276" w:type="dxa"/>
            <w:tcMar>
              <w:top w:w="0" w:type="dxa"/>
              <w:left w:w="28" w:type="dxa"/>
              <w:bottom w:w="0" w:type="dxa"/>
              <w:right w:w="28" w:type="dxa"/>
            </w:tcMar>
            <w:vAlign w:val="center"/>
          </w:tcPr>
          <w:p w14:paraId="2E0690BD">
            <w:pPr>
              <w:pStyle w:val="115"/>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t>现有工程</w:t>
            </w:r>
          </w:p>
          <w:p w14:paraId="4CEB7994">
            <w:pPr>
              <w:pStyle w:val="115"/>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t>许可排放量</w:t>
            </w:r>
          </w:p>
          <w:p w14:paraId="00A3F138">
            <w:pPr>
              <w:pStyle w:val="115"/>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fldChar w:fldCharType="begin"/>
            </w:r>
            <w:r>
              <w:rPr>
                <w:rFonts w:ascii="Times New Roman" w:hAnsi="Times New Roman"/>
                <w:snapToGrid w:val="0"/>
                <w:color w:val="000000"/>
                <w:spacing w:val="-6"/>
                <w:kern w:val="21"/>
                <w:szCs w:val="21"/>
                <w:u w:val="none"/>
              </w:rPr>
              <w:instrText xml:space="preserve"> = 2 \* GB3 \* MERGEFORMAT </w:instrText>
            </w:r>
            <w:r>
              <w:rPr>
                <w:rFonts w:ascii="Times New Roman" w:hAnsi="Times New Roman"/>
                <w:snapToGrid w:val="0"/>
                <w:color w:val="000000"/>
                <w:spacing w:val="-6"/>
                <w:kern w:val="21"/>
                <w:szCs w:val="21"/>
                <w:u w:val="none"/>
              </w:rPr>
              <w:fldChar w:fldCharType="separate"/>
            </w:r>
            <w:r>
              <w:rPr>
                <w:rFonts w:hint="eastAsia" w:cs="宋体"/>
                <w:snapToGrid w:val="0"/>
                <w:color w:val="000000"/>
                <w:spacing w:val="-6"/>
                <w:kern w:val="21"/>
                <w:szCs w:val="21"/>
                <w:u w:val="none"/>
              </w:rPr>
              <w:t>②</w:t>
            </w:r>
            <w:r>
              <w:rPr>
                <w:rFonts w:ascii="Times New Roman" w:hAnsi="Times New Roman"/>
                <w:snapToGrid w:val="0"/>
                <w:color w:val="000000"/>
                <w:spacing w:val="-6"/>
                <w:kern w:val="21"/>
                <w:szCs w:val="21"/>
                <w:u w:val="none"/>
              </w:rPr>
              <w:fldChar w:fldCharType="end"/>
            </w:r>
          </w:p>
        </w:tc>
        <w:tc>
          <w:tcPr>
            <w:tcW w:w="1218" w:type="dxa"/>
            <w:tcMar>
              <w:top w:w="0" w:type="dxa"/>
              <w:left w:w="28" w:type="dxa"/>
              <w:bottom w:w="0" w:type="dxa"/>
              <w:right w:w="28" w:type="dxa"/>
            </w:tcMar>
            <w:vAlign w:val="center"/>
          </w:tcPr>
          <w:p w14:paraId="2C69ABA4">
            <w:pPr>
              <w:pStyle w:val="115"/>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t>在建工程</w:t>
            </w:r>
          </w:p>
          <w:p w14:paraId="6CEA7231">
            <w:pPr>
              <w:pStyle w:val="115"/>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t>排放量</w:t>
            </w:r>
            <w:r>
              <w:rPr>
                <w:rFonts w:ascii="Times New Roman" w:hAnsi="Times New Roman"/>
                <w:snapToGrid w:val="0"/>
                <w:color w:val="000000"/>
                <w:spacing w:val="-6"/>
                <w:kern w:val="21"/>
                <w:szCs w:val="21"/>
                <w:u w:val="none"/>
              </w:rPr>
              <w:fldChar w:fldCharType="begin"/>
            </w:r>
            <w:r>
              <w:rPr>
                <w:rFonts w:ascii="Times New Roman" w:hAnsi="Times New Roman"/>
                <w:snapToGrid w:val="0"/>
                <w:color w:val="000000"/>
                <w:spacing w:val="-6"/>
                <w:kern w:val="21"/>
                <w:szCs w:val="21"/>
                <w:u w:val="none"/>
              </w:rPr>
              <w:instrText xml:space="preserve"> = 3 \* GB3 \* MERGEFORMAT </w:instrText>
            </w:r>
            <w:r>
              <w:rPr>
                <w:rFonts w:ascii="Times New Roman" w:hAnsi="Times New Roman"/>
                <w:snapToGrid w:val="0"/>
                <w:color w:val="000000"/>
                <w:spacing w:val="-6"/>
                <w:kern w:val="21"/>
                <w:szCs w:val="21"/>
                <w:u w:val="none"/>
              </w:rPr>
              <w:fldChar w:fldCharType="separate"/>
            </w:r>
            <w:r>
              <w:rPr>
                <w:rFonts w:hint="eastAsia" w:cs="宋体"/>
                <w:color w:val="000000"/>
                <w:szCs w:val="21"/>
                <w:u w:val="none"/>
              </w:rPr>
              <w:t>③</w:t>
            </w:r>
            <w:r>
              <w:rPr>
                <w:rFonts w:ascii="Times New Roman" w:hAnsi="Times New Roman"/>
                <w:snapToGrid w:val="0"/>
                <w:color w:val="000000"/>
                <w:spacing w:val="-6"/>
                <w:kern w:val="21"/>
                <w:szCs w:val="21"/>
                <w:u w:val="none"/>
              </w:rPr>
              <w:fldChar w:fldCharType="end"/>
            </w:r>
          </w:p>
        </w:tc>
        <w:tc>
          <w:tcPr>
            <w:tcW w:w="1539" w:type="dxa"/>
            <w:tcMar>
              <w:top w:w="0" w:type="dxa"/>
              <w:left w:w="28" w:type="dxa"/>
              <w:bottom w:w="0" w:type="dxa"/>
              <w:right w:w="28" w:type="dxa"/>
            </w:tcMar>
            <w:vAlign w:val="center"/>
          </w:tcPr>
          <w:p w14:paraId="792BAF4E">
            <w:pPr>
              <w:pStyle w:val="115"/>
              <w:adjustRightInd/>
              <w:snapToGrid/>
              <w:spacing w:beforeLines="0" w:line="240" w:lineRule="auto"/>
              <w:rPr>
                <w:rFonts w:ascii="Times New Roman" w:hAnsi="Times New Roman"/>
                <w:snapToGrid w:val="0"/>
                <w:color w:val="000000"/>
                <w:spacing w:val="-6"/>
                <w:kern w:val="21"/>
                <w:szCs w:val="21"/>
                <w:u w:val="none"/>
              </w:rPr>
            </w:pPr>
            <w:r>
              <w:rPr>
                <w:rFonts w:hint="eastAsia" w:ascii="Times New Roman" w:hAnsi="Times New Roman"/>
                <w:snapToGrid w:val="0"/>
                <w:color w:val="000000"/>
                <w:spacing w:val="-6"/>
                <w:kern w:val="21"/>
                <w:szCs w:val="21"/>
                <w:u w:val="none"/>
              </w:rPr>
              <w:t>本项目</w:t>
            </w:r>
          </w:p>
          <w:p w14:paraId="1BF14258">
            <w:pPr>
              <w:pStyle w:val="115"/>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t>排放量</w:t>
            </w:r>
            <w:r>
              <w:rPr>
                <w:rFonts w:ascii="Times New Roman" w:hAnsi="Times New Roman"/>
                <w:snapToGrid w:val="0"/>
                <w:color w:val="000000"/>
                <w:spacing w:val="-6"/>
                <w:kern w:val="21"/>
                <w:szCs w:val="21"/>
                <w:u w:val="none"/>
              </w:rPr>
              <w:fldChar w:fldCharType="begin"/>
            </w:r>
            <w:r>
              <w:rPr>
                <w:rFonts w:ascii="Times New Roman" w:hAnsi="Times New Roman"/>
                <w:snapToGrid w:val="0"/>
                <w:color w:val="000000"/>
                <w:spacing w:val="-6"/>
                <w:kern w:val="21"/>
                <w:szCs w:val="21"/>
                <w:u w:val="none"/>
              </w:rPr>
              <w:instrText xml:space="preserve"> = 4 \* GB3 \* MERGEFORMAT </w:instrText>
            </w:r>
            <w:r>
              <w:rPr>
                <w:rFonts w:ascii="Times New Roman" w:hAnsi="Times New Roman"/>
                <w:snapToGrid w:val="0"/>
                <w:color w:val="000000"/>
                <w:spacing w:val="-6"/>
                <w:kern w:val="21"/>
                <w:szCs w:val="21"/>
                <w:u w:val="none"/>
              </w:rPr>
              <w:fldChar w:fldCharType="separate"/>
            </w:r>
            <w:r>
              <w:rPr>
                <w:rFonts w:hint="eastAsia" w:cs="宋体"/>
                <w:color w:val="000000"/>
                <w:szCs w:val="21"/>
                <w:u w:val="none"/>
              </w:rPr>
              <w:t>④</w:t>
            </w:r>
            <w:r>
              <w:rPr>
                <w:rFonts w:ascii="Times New Roman" w:hAnsi="Times New Roman"/>
                <w:snapToGrid w:val="0"/>
                <w:color w:val="000000"/>
                <w:spacing w:val="-6"/>
                <w:kern w:val="21"/>
                <w:szCs w:val="21"/>
                <w:u w:val="none"/>
              </w:rPr>
              <w:fldChar w:fldCharType="end"/>
            </w:r>
          </w:p>
        </w:tc>
        <w:tc>
          <w:tcPr>
            <w:tcW w:w="1637" w:type="dxa"/>
            <w:tcMar>
              <w:top w:w="0" w:type="dxa"/>
              <w:left w:w="28" w:type="dxa"/>
              <w:bottom w:w="0" w:type="dxa"/>
              <w:right w:w="28" w:type="dxa"/>
            </w:tcMar>
            <w:vAlign w:val="center"/>
          </w:tcPr>
          <w:p w14:paraId="118AD8F4">
            <w:pPr>
              <w:pStyle w:val="115"/>
              <w:adjustRightInd/>
              <w:snapToGrid/>
              <w:spacing w:beforeLines="0" w:line="240" w:lineRule="auto"/>
              <w:rPr>
                <w:rFonts w:ascii="Times New Roman" w:hAnsi="Times New Roman"/>
                <w:snapToGrid w:val="0"/>
                <w:color w:val="000000"/>
                <w:spacing w:val="-16"/>
                <w:kern w:val="21"/>
                <w:szCs w:val="21"/>
                <w:u w:val="none"/>
              </w:rPr>
            </w:pPr>
            <w:r>
              <w:rPr>
                <w:rFonts w:ascii="Times New Roman" w:hAnsi="Times New Roman"/>
                <w:snapToGrid w:val="0"/>
                <w:color w:val="000000"/>
                <w:spacing w:val="-16"/>
                <w:kern w:val="21"/>
                <w:szCs w:val="21"/>
                <w:u w:val="none"/>
              </w:rPr>
              <w:t>以新带老削减量</w:t>
            </w:r>
          </w:p>
          <w:p w14:paraId="16B1B7D9">
            <w:pPr>
              <w:pStyle w:val="115"/>
              <w:adjustRightInd/>
              <w:snapToGrid/>
              <w:spacing w:beforeLines="0" w:line="240" w:lineRule="auto"/>
              <w:rPr>
                <w:rFonts w:ascii="Times New Roman" w:hAnsi="Times New Roman"/>
                <w:snapToGrid w:val="0"/>
                <w:color w:val="000000"/>
                <w:spacing w:val="-16"/>
                <w:kern w:val="21"/>
                <w:szCs w:val="21"/>
                <w:u w:val="none"/>
              </w:rPr>
            </w:pPr>
            <w:r>
              <w:rPr>
                <w:rFonts w:ascii="Times New Roman" w:hAnsi="Times New Roman"/>
                <w:snapToGrid w:val="0"/>
                <w:color w:val="000000"/>
                <w:spacing w:val="-16"/>
                <w:kern w:val="21"/>
                <w:szCs w:val="21"/>
                <w:u w:val="none"/>
              </w:rPr>
              <w:t>（新建项目不填）</w:t>
            </w:r>
            <w:r>
              <w:rPr>
                <w:rFonts w:ascii="Times New Roman" w:hAnsi="Times New Roman"/>
                <w:snapToGrid w:val="0"/>
                <w:color w:val="000000"/>
                <w:spacing w:val="-16"/>
                <w:kern w:val="21"/>
                <w:szCs w:val="21"/>
                <w:u w:val="none"/>
              </w:rPr>
              <w:fldChar w:fldCharType="begin"/>
            </w:r>
            <w:r>
              <w:rPr>
                <w:rFonts w:ascii="Times New Roman" w:hAnsi="Times New Roman"/>
                <w:snapToGrid w:val="0"/>
                <w:color w:val="000000"/>
                <w:spacing w:val="-16"/>
                <w:kern w:val="21"/>
                <w:szCs w:val="21"/>
                <w:u w:val="none"/>
              </w:rPr>
              <w:instrText xml:space="preserve"> = 5 \* GB3 \* MERGEFORMAT </w:instrText>
            </w:r>
            <w:r>
              <w:rPr>
                <w:rFonts w:ascii="Times New Roman" w:hAnsi="Times New Roman"/>
                <w:snapToGrid w:val="0"/>
                <w:color w:val="000000"/>
                <w:spacing w:val="-16"/>
                <w:kern w:val="21"/>
                <w:szCs w:val="21"/>
                <w:u w:val="none"/>
              </w:rPr>
              <w:fldChar w:fldCharType="separate"/>
            </w:r>
            <w:r>
              <w:rPr>
                <w:rFonts w:hint="eastAsia" w:cs="宋体"/>
                <w:color w:val="000000"/>
                <w:szCs w:val="21"/>
                <w:u w:val="none"/>
              </w:rPr>
              <w:t>⑤</w:t>
            </w:r>
            <w:r>
              <w:rPr>
                <w:rFonts w:ascii="Times New Roman" w:hAnsi="Times New Roman"/>
                <w:snapToGrid w:val="0"/>
                <w:color w:val="000000"/>
                <w:spacing w:val="-16"/>
                <w:kern w:val="21"/>
                <w:szCs w:val="21"/>
                <w:u w:val="none"/>
              </w:rPr>
              <w:fldChar w:fldCharType="end"/>
            </w:r>
          </w:p>
        </w:tc>
        <w:tc>
          <w:tcPr>
            <w:tcW w:w="1580" w:type="dxa"/>
            <w:tcMar>
              <w:top w:w="0" w:type="dxa"/>
              <w:left w:w="28" w:type="dxa"/>
              <w:bottom w:w="0" w:type="dxa"/>
              <w:right w:w="28" w:type="dxa"/>
            </w:tcMar>
            <w:vAlign w:val="center"/>
          </w:tcPr>
          <w:p w14:paraId="3AE6C3F1">
            <w:pPr>
              <w:pStyle w:val="115"/>
              <w:adjustRightInd/>
              <w:snapToGrid/>
              <w:spacing w:beforeLines="0" w:line="240" w:lineRule="auto"/>
              <w:rPr>
                <w:rFonts w:ascii="Times New Roman" w:hAnsi="Times New Roman"/>
                <w:snapToGrid w:val="0"/>
                <w:color w:val="000000"/>
                <w:spacing w:val="-16"/>
                <w:kern w:val="21"/>
                <w:szCs w:val="21"/>
                <w:u w:val="none"/>
              </w:rPr>
            </w:pPr>
            <w:r>
              <w:rPr>
                <w:rFonts w:hint="eastAsia" w:ascii="Times New Roman" w:hAnsi="Times New Roman"/>
                <w:snapToGrid w:val="0"/>
                <w:color w:val="000000"/>
                <w:spacing w:val="-16"/>
                <w:kern w:val="21"/>
                <w:szCs w:val="21"/>
                <w:u w:val="none"/>
              </w:rPr>
              <w:t>本项目</w:t>
            </w:r>
            <w:r>
              <w:rPr>
                <w:rFonts w:ascii="Times New Roman" w:hAnsi="Times New Roman"/>
                <w:snapToGrid w:val="0"/>
                <w:color w:val="000000"/>
                <w:spacing w:val="-16"/>
                <w:kern w:val="21"/>
                <w:szCs w:val="21"/>
                <w:u w:val="none"/>
              </w:rPr>
              <w:t>建成后</w:t>
            </w:r>
          </w:p>
          <w:p w14:paraId="41F7D2A9">
            <w:pPr>
              <w:pStyle w:val="115"/>
              <w:adjustRightInd/>
              <w:snapToGrid/>
              <w:spacing w:beforeLines="0" w:line="240" w:lineRule="auto"/>
              <w:rPr>
                <w:rFonts w:ascii="Times New Roman" w:hAnsi="Times New Roman"/>
                <w:snapToGrid w:val="0"/>
                <w:color w:val="000000"/>
                <w:spacing w:val="-16"/>
                <w:kern w:val="21"/>
                <w:szCs w:val="21"/>
                <w:u w:val="none"/>
              </w:rPr>
            </w:pPr>
            <w:r>
              <w:rPr>
                <w:rFonts w:ascii="Times New Roman" w:hAnsi="Times New Roman"/>
                <w:snapToGrid w:val="0"/>
                <w:color w:val="000000"/>
                <w:spacing w:val="-16"/>
                <w:kern w:val="21"/>
                <w:szCs w:val="21"/>
                <w:u w:val="none"/>
              </w:rPr>
              <w:t>全厂排放量</w:t>
            </w:r>
            <w:r>
              <w:rPr>
                <w:rFonts w:ascii="Times New Roman" w:hAnsi="Times New Roman"/>
                <w:snapToGrid w:val="0"/>
                <w:color w:val="000000"/>
                <w:spacing w:val="-16"/>
                <w:kern w:val="21"/>
                <w:szCs w:val="21"/>
                <w:u w:val="none"/>
              </w:rPr>
              <w:fldChar w:fldCharType="begin"/>
            </w:r>
            <w:r>
              <w:rPr>
                <w:rFonts w:ascii="Times New Roman" w:hAnsi="Times New Roman"/>
                <w:snapToGrid w:val="0"/>
                <w:color w:val="000000"/>
                <w:spacing w:val="-16"/>
                <w:kern w:val="21"/>
                <w:szCs w:val="21"/>
                <w:u w:val="none"/>
              </w:rPr>
              <w:instrText xml:space="preserve"> = 6 \* GB3 \* MERGEFORMAT </w:instrText>
            </w:r>
            <w:r>
              <w:rPr>
                <w:rFonts w:ascii="Times New Roman" w:hAnsi="Times New Roman"/>
                <w:snapToGrid w:val="0"/>
                <w:color w:val="000000"/>
                <w:spacing w:val="-16"/>
                <w:kern w:val="21"/>
                <w:szCs w:val="21"/>
                <w:u w:val="none"/>
              </w:rPr>
              <w:fldChar w:fldCharType="separate"/>
            </w:r>
            <w:r>
              <w:rPr>
                <w:rFonts w:hint="eastAsia" w:cs="宋体"/>
                <w:color w:val="000000"/>
                <w:szCs w:val="21"/>
                <w:u w:val="none"/>
              </w:rPr>
              <w:t>⑥</w:t>
            </w:r>
            <w:r>
              <w:rPr>
                <w:rFonts w:ascii="Times New Roman" w:hAnsi="Times New Roman"/>
                <w:snapToGrid w:val="0"/>
                <w:color w:val="000000"/>
                <w:spacing w:val="-16"/>
                <w:kern w:val="21"/>
                <w:szCs w:val="21"/>
                <w:u w:val="none"/>
              </w:rPr>
              <w:fldChar w:fldCharType="end"/>
            </w:r>
          </w:p>
        </w:tc>
        <w:tc>
          <w:tcPr>
            <w:tcW w:w="1270" w:type="dxa"/>
            <w:tcMar>
              <w:top w:w="0" w:type="dxa"/>
              <w:left w:w="28" w:type="dxa"/>
              <w:bottom w:w="0" w:type="dxa"/>
              <w:right w:w="28" w:type="dxa"/>
            </w:tcMar>
            <w:vAlign w:val="center"/>
          </w:tcPr>
          <w:p w14:paraId="5B597CA1">
            <w:pPr>
              <w:pStyle w:val="115"/>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t>变化量</w:t>
            </w:r>
          </w:p>
          <w:p w14:paraId="130F0129">
            <w:pPr>
              <w:pStyle w:val="115"/>
              <w:adjustRightInd/>
              <w:snapToGrid/>
              <w:spacing w:beforeLines="0" w:line="240" w:lineRule="auto"/>
              <w:rPr>
                <w:rFonts w:ascii="Times New Roman" w:hAnsi="Times New Roman"/>
                <w:snapToGrid w:val="0"/>
                <w:color w:val="000000"/>
                <w:spacing w:val="-6"/>
                <w:kern w:val="21"/>
                <w:szCs w:val="21"/>
                <w:u w:val="none"/>
              </w:rPr>
            </w:pPr>
            <w:r>
              <w:rPr>
                <w:rFonts w:ascii="Times New Roman" w:hAnsi="Times New Roman"/>
                <w:snapToGrid w:val="0"/>
                <w:color w:val="000000"/>
                <w:spacing w:val="-6"/>
                <w:kern w:val="21"/>
                <w:szCs w:val="21"/>
                <w:u w:val="none"/>
              </w:rPr>
              <w:fldChar w:fldCharType="begin"/>
            </w:r>
            <w:r>
              <w:rPr>
                <w:rFonts w:ascii="Times New Roman" w:hAnsi="Times New Roman"/>
                <w:snapToGrid w:val="0"/>
                <w:color w:val="000000"/>
                <w:spacing w:val="-6"/>
                <w:kern w:val="21"/>
                <w:szCs w:val="21"/>
                <w:u w:val="none"/>
              </w:rPr>
              <w:instrText xml:space="preserve"> = 7 \* GB3 \* MERGEFORMAT </w:instrText>
            </w:r>
            <w:r>
              <w:rPr>
                <w:rFonts w:ascii="Times New Roman" w:hAnsi="Times New Roman"/>
                <w:snapToGrid w:val="0"/>
                <w:color w:val="000000"/>
                <w:spacing w:val="-6"/>
                <w:kern w:val="21"/>
                <w:szCs w:val="21"/>
                <w:u w:val="none"/>
              </w:rPr>
              <w:fldChar w:fldCharType="separate"/>
            </w:r>
            <w:r>
              <w:rPr>
                <w:rFonts w:hint="eastAsia" w:cs="宋体"/>
                <w:color w:val="000000"/>
                <w:szCs w:val="21"/>
                <w:u w:val="none"/>
              </w:rPr>
              <w:t>⑦</w:t>
            </w:r>
            <w:r>
              <w:rPr>
                <w:rFonts w:ascii="Times New Roman" w:hAnsi="Times New Roman"/>
                <w:snapToGrid w:val="0"/>
                <w:color w:val="000000"/>
                <w:spacing w:val="-6"/>
                <w:kern w:val="21"/>
                <w:szCs w:val="21"/>
                <w:u w:val="none"/>
              </w:rPr>
              <w:fldChar w:fldCharType="end"/>
            </w:r>
          </w:p>
        </w:tc>
      </w:tr>
      <w:tr w14:paraId="20F662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restart"/>
            <w:tcBorders>
              <w:top w:val="single" w:color="auto" w:sz="6" w:space="0"/>
            </w:tcBorders>
            <w:vAlign w:val="center"/>
          </w:tcPr>
          <w:p w14:paraId="07FDFE60">
            <w:pPr>
              <w:pStyle w:val="115"/>
              <w:adjustRightInd/>
              <w:snapToGrid/>
              <w:spacing w:beforeLines="0" w:line="240" w:lineRule="auto"/>
              <w:rPr>
                <w:rFonts w:ascii="Times New Roman" w:hAnsi="Times New Roman"/>
                <w:snapToGrid w:val="0"/>
                <w:color w:val="000000"/>
                <w:kern w:val="21"/>
                <w:szCs w:val="21"/>
                <w:u w:val="none"/>
              </w:rPr>
            </w:pPr>
            <w:r>
              <w:rPr>
                <w:rFonts w:ascii="Times New Roman" w:hAnsi="Times New Roman"/>
                <w:snapToGrid w:val="0"/>
                <w:color w:val="000000"/>
                <w:kern w:val="21"/>
                <w:szCs w:val="21"/>
                <w:u w:val="none"/>
              </w:rPr>
              <w:t>废气</w:t>
            </w:r>
          </w:p>
        </w:tc>
        <w:tc>
          <w:tcPr>
            <w:tcW w:w="2552" w:type="dxa"/>
            <w:vAlign w:val="center"/>
          </w:tcPr>
          <w:p w14:paraId="36145D40">
            <w:pPr>
              <w:jc w:val="center"/>
              <w:rPr>
                <w:color w:val="000000"/>
                <w:szCs w:val="21"/>
                <w:u w:val="none"/>
              </w:rPr>
            </w:pPr>
            <w:r>
              <w:rPr>
                <w:rFonts w:hint="eastAsia"/>
                <w:color w:val="000000"/>
                <w:szCs w:val="21"/>
                <w:u w:val="none"/>
              </w:rPr>
              <w:t>NH</w:t>
            </w:r>
            <w:r>
              <w:rPr>
                <w:rFonts w:hint="eastAsia"/>
                <w:color w:val="000000"/>
                <w:szCs w:val="21"/>
                <w:u w:val="none"/>
                <w:vertAlign w:val="subscript"/>
              </w:rPr>
              <w:t>3</w:t>
            </w:r>
          </w:p>
        </w:tc>
        <w:tc>
          <w:tcPr>
            <w:tcW w:w="1275" w:type="dxa"/>
            <w:vAlign w:val="center"/>
          </w:tcPr>
          <w:p w14:paraId="464A38D1">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276" w:type="dxa"/>
            <w:vAlign w:val="center"/>
          </w:tcPr>
          <w:p w14:paraId="2872783A">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218" w:type="dxa"/>
            <w:vAlign w:val="center"/>
          </w:tcPr>
          <w:p w14:paraId="4A7B1BCA">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39" w:type="dxa"/>
            <w:vAlign w:val="center"/>
          </w:tcPr>
          <w:p w14:paraId="6FE6029A">
            <w:pPr>
              <w:jc w:val="center"/>
              <w:rPr>
                <w:highlight w:val="yellow"/>
                <w:u w:val="none"/>
              </w:rPr>
            </w:pPr>
            <w:r>
              <w:rPr>
                <w:sz w:val="21"/>
                <w:szCs w:val="21"/>
                <w:highlight w:val="none"/>
              </w:rPr>
              <w:t>0.0</w:t>
            </w:r>
            <w:r>
              <w:rPr>
                <w:rFonts w:hint="eastAsia"/>
                <w:sz w:val="21"/>
                <w:szCs w:val="21"/>
                <w:highlight w:val="none"/>
              </w:rPr>
              <w:t>0</w:t>
            </w:r>
            <w:r>
              <w:rPr>
                <w:rFonts w:hint="eastAsia"/>
                <w:sz w:val="21"/>
                <w:szCs w:val="21"/>
                <w:highlight w:val="none"/>
                <w:lang w:val="en-US" w:eastAsia="zh-CN"/>
              </w:rPr>
              <w:t>64</w:t>
            </w:r>
            <w:r>
              <w:rPr>
                <w:sz w:val="21"/>
                <w:szCs w:val="21"/>
                <w:highlight w:val="none"/>
              </w:rPr>
              <w:t>t/a</w:t>
            </w:r>
          </w:p>
        </w:tc>
        <w:tc>
          <w:tcPr>
            <w:tcW w:w="1637" w:type="dxa"/>
            <w:vAlign w:val="center"/>
          </w:tcPr>
          <w:p w14:paraId="65FEAF33">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80" w:type="dxa"/>
            <w:vAlign w:val="center"/>
          </w:tcPr>
          <w:p w14:paraId="76942F09">
            <w:pPr>
              <w:jc w:val="center"/>
              <w:rPr>
                <w:highlight w:val="yellow"/>
                <w:u w:val="none"/>
              </w:rPr>
            </w:pPr>
            <w:r>
              <w:rPr>
                <w:sz w:val="21"/>
                <w:szCs w:val="21"/>
                <w:highlight w:val="none"/>
              </w:rPr>
              <w:t>0.0</w:t>
            </w:r>
            <w:r>
              <w:rPr>
                <w:rFonts w:hint="eastAsia"/>
                <w:sz w:val="21"/>
                <w:szCs w:val="21"/>
                <w:highlight w:val="none"/>
              </w:rPr>
              <w:t>0</w:t>
            </w:r>
            <w:r>
              <w:rPr>
                <w:rFonts w:hint="eastAsia"/>
                <w:sz w:val="21"/>
                <w:szCs w:val="21"/>
                <w:highlight w:val="none"/>
                <w:lang w:val="en-US" w:eastAsia="zh-CN"/>
              </w:rPr>
              <w:t>64</w:t>
            </w:r>
            <w:r>
              <w:rPr>
                <w:sz w:val="21"/>
                <w:szCs w:val="21"/>
                <w:highlight w:val="none"/>
              </w:rPr>
              <w:t>t/a</w:t>
            </w:r>
          </w:p>
        </w:tc>
        <w:tc>
          <w:tcPr>
            <w:tcW w:w="1270" w:type="dxa"/>
            <w:vAlign w:val="center"/>
          </w:tcPr>
          <w:p w14:paraId="2DDD619C">
            <w:pPr>
              <w:jc w:val="center"/>
              <w:rPr>
                <w:rFonts w:eastAsia="等线"/>
                <w:b/>
                <w:bCs/>
                <w:color w:val="000000"/>
                <w:szCs w:val="21"/>
                <w:u w:val="none"/>
              </w:rPr>
            </w:pPr>
          </w:p>
        </w:tc>
      </w:tr>
      <w:tr w14:paraId="1EC3C9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272ED27A">
            <w:pPr>
              <w:pStyle w:val="115"/>
              <w:adjustRightInd/>
              <w:snapToGrid/>
              <w:spacing w:beforeLines="0" w:line="240" w:lineRule="auto"/>
              <w:rPr>
                <w:rFonts w:ascii="Times New Roman" w:hAnsi="Times New Roman"/>
                <w:snapToGrid w:val="0"/>
                <w:color w:val="000000"/>
                <w:kern w:val="21"/>
                <w:szCs w:val="21"/>
                <w:u w:val="none"/>
              </w:rPr>
            </w:pPr>
          </w:p>
        </w:tc>
        <w:tc>
          <w:tcPr>
            <w:tcW w:w="2552" w:type="dxa"/>
            <w:vAlign w:val="center"/>
          </w:tcPr>
          <w:p w14:paraId="4A4D4858">
            <w:pPr>
              <w:jc w:val="center"/>
              <w:rPr>
                <w:color w:val="000000"/>
                <w:szCs w:val="21"/>
                <w:highlight w:val="yellow"/>
                <w:u w:val="none"/>
              </w:rPr>
            </w:pPr>
            <w:r>
              <w:rPr>
                <w:rFonts w:hint="eastAsia"/>
                <w:color w:val="000000"/>
                <w:szCs w:val="21"/>
                <w:u w:val="none"/>
              </w:rPr>
              <w:t>H</w:t>
            </w:r>
            <w:r>
              <w:rPr>
                <w:rFonts w:hint="eastAsia"/>
                <w:color w:val="000000"/>
                <w:szCs w:val="21"/>
                <w:u w:val="none"/>
                <w:vertAlign w:val="subscript"/>
              </w:rPr>
              <w:t>2</w:t>
            </w:r>
            <w:r>
              <w:rPr>
                <w:rFonts w:hint="eastAsia"/>
                <w:color w:val="000000"/>
                <w:szCs w:val="21"/>
                <w:u w:val="none"/>
              </w:rPr>
              <w:t>S</w:t>
            </w:r>
          </w:p>
        </w:tc>
        <w:tc>
          <w:tcPr>
            <w:tcW w:w="1275" w:type="dxa"/>
            <w:vAlign w:val="center"/>
          </w:tcPr>
          <w:p w14:paraId="11DD3063">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276" w:type="dxa"/>
            <w:vAlign w:val="center"/>
          </w:tcPr>
          <w:p w14:paraId="6D960653">
            <w:pPr>
              <w:pStyle w:val="115"/>
              <w:adjustRightInd/>
              <w:snapToGrid/>
              <w:spacing w:beforeLines="0" w:line="240" w:lineRule="auto"/>
              <w:rPr>
                <w:rFonts w:ascii="Times New Roman" w:hAnsi="Times New Roman"/>
                <w:color w:val="000000"/>
                <w:szCs w:val="21"/>
                <w:highlight w:val="yellow"/>
                <w:u w:val="none"/>
              </w:rPr>
            </w:pPr>
          </w:p>
        </w:tc>
        <w:tc>
          <w:tcPr>
            <w:tcW w:w="1218" w:type="dxa"/>
            <w:vAlign w:val="center"/>
          </w:tcPr>
          <w:p w14:paraId="2F7D9F7B">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39" w:type="dxa"/>
            <w:vAlign w:val="center"/>
          </w:tcPr>
          <w:p w14:paraId="015BF8F2">
            <w:pPr>
              <w:jc w:val="center"/>
              <w:rPr>
                <w:highlight w:val="yellow"/>
                <w:u w:val="none"/>
              </w:rPr>
            </w:pPr>
            <w:r>
              <w:rPr>
                <w:sz w:val="21"/>
                <w:szCs w:val="21"/>
                <w:highlight w:val="none"/>
              </w:rPr>
              <w:t>0.00</w:t>
            </w:r>
            <w:r>
              <w:rPr>
                <w:rFonts w:hint="eastAsia"/>
                <w:sz w:val="21"/>
                <w:szCs w:val="21"/>
                <w:highlight w:val="none"/>
              </w:rPr>
              <w:t>0</w:t>
            </w:r>
            <w:r>
              <w:rPr>
                <w:rFonts w:hint="eastAsia"/>
                <w:sz w:val="21"/>
                <w:szCs w:val="21"/>
                <w:highlight w:val="none"/>
                <w:lang w:val="en-US" w:eastAsia="zh-CN"/>
              </w:rPr>
              <w:t>25</w:t>
            </w:r>
            <w:r>
              <w:rPr>
                <w:sz w:val="21"/>
                <w:szCs w:val="21"/>
                <w:highlight w:val="none"/>
              </w:rPr>
              <w:t>t/a</w:t>
            </w:r>
          </w:p>
        </w:tc>
        <w:tc>
          <w:tcPr>
            <w:tcW w:w="1637" w:type="dxa"/>
            <w:vAlign w:val="center"/>
          </w:tcPr>
          <w:p w14:paraId="406A056D">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80" w:type="dxa"/>
            <w:vAlign w:val="center"/>
          </w:tcPr>
          <w:p w14:paraId="3E5EF234">
            <w:pPr>
              <w:jc w:val="center"/>
              <w:rPr>
                <w:highlight w:val="yellow"/>
                <w:u w:val="none"/>
              </w:rPr>
            </w:pPr>
            <w:r>
              <w:rPr>
                <w:sz w:val="21"/>
                <w:szCs w:val="21"/>
                <w:highlight w:val="none"/>
              </w:rPr>
              <w:t>0.00</w:t>
            </w:r>
            <w:r>
              <w:rPr>
                <w:rFonts w:hint="eastAsia"/>
                <w:sz w:val="21"/>
                <w:szCs w:val="21"/>
                <w:highlight w:val="none"/>
              </w:rPr>
              <w:t>0</w:t>
            </w:r>
            <w:r>
              <w:rPr>
                <w:rFonts w:hint="eastAsia"/>
                <w:sz w:val="21"/>
                <w:szCs w:val="21"/>
                <w:highlight w:val="none"/>
                <w:lang w:val="en-US" w:eastAsia="zh-CN"/>
              </w:rPr>
              <w:t>25</w:t>
            </w:r>
            <w:r>
              <w:rPr>
                <w:sz w:val="21"/>
                <w:szCs w:val="21"/>
                <w:highlight w:val="none"/>
              </w:rPr>
              <w:t>t/a</w:t>
            </w:r>
          </w:p>
        </w:tc>
        <w:tc>
          <w:tcPr>
            <w:tcW w:w="1270" w:type="dxa"/>
            <w:vAlign w:val="center"/>
          </w:tcPr>
          <w:p w14:paraId="5B7E7E65">
            <w:pPr>
              <w:jc w:val="center"/>
              <w:rPr>
                <w:color w:val="000000"/>
                <w:szCs w:val="21"/>
                <w:u w:val="none"/>
              </w:rPr>
            </w:pPr>
          </w:p>
        </w:tc>
      </w:tr>
      <w:tr w14:paraId="2D5CCA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0AB44E9C">
            <w:pPr>
              <w:pStyle w:val="115"/>
              <w:adjustRightInd/>
              <w:snapToGrid/>
              <w:spacing w:beforeLines="0" w:line="240" w:lineRule="auto"/>
              <w:rPr>
                <w:rFonts w:ascii="Times New Roman" w:hAnsi="Times New Roman"/>
                <w:snapToGrid w:val="0"/>
                <w:color w:val="000000"/>
                <w:kern w:val="21"/>
                <w:szCs w:val="21"/>
                <w:u w:val="none"/>
              </w:rPr>
            </w:pPr>
          </w:p>
        </w:tc>
        <w:tc>
          <w:tcPr>
            <w:tcW w:w="2552" w:type="dxa"/>
            <w:vAlign w:val="center"/>
          </w:tcPr>
          <w:p w14:paraId="69D4B695">
            <w:pPr>
              <w:jc w:val="center"/>
              <w:rPr>
                <w:rFonts w:hint="eastAsia" w:eastAsia="宋体"/>
                <w:color w:val="000000"/>
                <w:szCs w:val="21"/>
                <w:u w:val="none"/>
                <w:lang w:val="en-US" w:eastAsia="zh-CN"/>
              </w:rPr>
            </w:pPr>
            <w:r>
              <w:rPr>
                <w:rFonts w:hint="eastAsia"/>
                <w:color w:val="000000"/>
                <w:szCs w:val="21"/>
                <w:u w:val="none"/>
                <w:lang w:val="en-US" w:eastAsia="zh-CN"/>
              </w:rPr>
              <w:t>油烟</w:t>
            </w:r>
          </w:p>
        </w:tc>
        <w:tc>
          <w:tcPr>
            <w:tcW w:w="1275" w:type="dxa"/>
            <w:vAlign w:val="center"/>
          </w:tcPr>
          <w:p w14:paraId="7CEE6918">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276" w:type="dxa"/>
            <w:vAlign w:val="center"/>
          </w:tcPr>
          <w:p w14:paraId="4C8E4E2D">
            <w:pPr>
              <w:pStyle w:val="115"/>
              <w:adjustRightInd/>
              <w:snapToGrid/>
              <w:spacing w:beforeLines="0" w:line="240" w:lineRule="auto"/>
              <w:rPr>
                <w:rFonts w:ascii="Times New Roman" w:hAnsi="Times New Roman"/>
                <w:color w:val="000000"/>
                <w:szCs w:val="21"/>
                <w:highlight w:val="yellow"/>
                <w:u w:val="none"/>
              </w:rPr>
            </w:pPr>
          </w:p>
        </w:tc>
        <w:tc>
          <w:tcPr>
            <w:tcW w:w="1218" w:type="dxa"/>
            <w:vAlign w:val="center"/>
          </w:tcPr>
          <w:p w14:paraId="78FDA0B6">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39" w:type="dxa"/>
            <w:vAlign w:val="center"/>
          </w:tcPr>
          <w:p w14:paraId="430A522B">
            <w:pPr>
              <w:jc w:val="center"/>
              <w:rPr>
                <w:rFonts w:hint="default"/>
                <w:sz w:val="21"/>
                <w:szCs w:val="21"/>
                <w:highlight w:val="none"/>
                <w:lang w:val="en-US"/>
              </w:rPr>
            </w:pPr>
            <w:r>
              <w:rPr>
                <w:rFonts w:hint="eastAsia"/>
                <w:szCs w:val="21"/>
                <w:lang w:val="en-US" w:eastAsia="zh-CN"/>
              </w:rPr>
              <w:t>0.02612t/a</w:t>
            </w:r>
          </w:p>
        </w:tc>
        <w:tc>
          <w:tcPr>
            <w:tcW w:w="1637" w:type="dxa"/>
            <w:vAlign w:val="center"/>
          </w:tcPr>
          <w:p w14:paraId="08B963D1">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80" w:type="dxa"/>
            <w:vAlign w:val="center"/>
          </w:tcPr>
          <w:p w14:paraId="0CA04250">
            <w:pPr>
              <w:jc w:val="center"/>
              <w:rPr>
                <w:sz w:val="21"/>
                <w:szCs w:val="21"/>
                <w:highlight w:val="none"/>
              </w:rPr>
            </w:pPr>
            <w:r>
              <w:rPr>
                <w:rFonts w:hint="eastAsia"/>
                <w:szCs w:val="21"/>
                <w:lang w:val="en-US" w:eastAsia="zh-CN"/>
              </w:rPr>
              <w:t>0.02612t/a</w:t>
            </w:r>
          </w:p>
        </w:tc>
        <w:tc>
          <w:tcPr>
            <w:tcW w:w="1270" w:type="dxa"/>
            <w:vAlign w:val="center"/>
          </w:tcPr>
          <w:p w14:paraId="23418C16">
            <w:pPr>
              <w:jc w:val="center"/>
              <w:rPr>
                <w:color w:val="000000"/>
                <w:szCs w:val="21"/>
                <w:u w:val="none"/>
              </w:rPr>
            </w:pPr>
          </w:p>
        </w:tc>
      </w:tr>
      <w:tr w14:paraId="5FC9E6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restart"/>
            <w:vAlign w:val="center"/>
          </w:tcPr>
          <w:p w14:paraId="58218088">
            <w:pPr>
              <w:pStyle w:val="115"/>
              <w:adjustRightInd/>
              <w:snapToGrid/>
              <w:spacing w:beforeLines="0" w:line="240" w:lineRule="auto"/>
              <w:rPr>
                <w:rFonts w:ascii="Times New Roman" w:hAnsi="Times New Roman"/>
                <w:snapToGrid w:val="0"/>
                <w:color w:val="000000"/>
                <w:kern w:val="21"/>
                <w:szCs w:val="21"/>
                <w:u w:val="none"/>
              </w:rPr>
            </w:pPr>
            <w:r>
              <w:rPr>
                <w:rFonts w:ascii="Times New Roman" w:hAnsi="Times New Roman"/>
                <w:snapToGrid w:val="0"/>
                <w:color w:val="000000"/>
                <w:kern w:val="21"/>
                <w:szCs w:val="21"/>
                <w:u w:val="none"/>
              </w:rPr>
              <w:t>废水</w:t>
            </w:r>
          </w:p>
        </w:tc>
        <w:tc>
          <w:tcPr>
            <w:tcW w:w="2552" w:type="dxa"/>
            <w:vAlign w:val="center"/>
          </w:tcPr>
          <w:p w14:paraId="184CD10D">
            <w:pPr>
              <w:keepNext w:val="0"/>
              <w:keepLines w:val="0"/>
              <w:widowControl/>
              <w:suppressLineNumbers w:val="0"/>
              <w:jc w:val="center"/>
              <w:textAlignment w:val="center"/>
              <w:rPr>
                <w:rFonts w:hint="default" w:ascii="Times New Roman" w:hAnsi="Times New Roman" w:cs="Times New Roman"/>
                <w:color w:val="000000"/>
                <w:szCs w:val="21"/>
                <w:highlight w:val="yellow"/>
                <w:u w:val="none"/>
              </w:rPr>
            </w:pPr>
            <w:r>
              <w:rPr>
                <w:rFonts w:hint="default" w:ascii="Times New Roman" w:hAnsi="Times New Roman" w:eastAsia="宋体" w:cs="Times New Roman"/>
                <w:i w:val="0"/>
                <w:iCs w:val="0"/>
                <w:color w:val="000000"/>
                <w:kern w:val="0"/>
                <w:sz w:val="21"/>
                <w:szCs w:val="21"/>
                <w:u w:val="none"/>
                <w:lang w:val="en-US" w:eastAsia="zh-CN" w:bidi="ar"/>
              </w:rPr>
              <w:t>COD</w:t>
            </w:r>
          </w:p>
        </w:tc>
        <w:tc>
          <w:tcPr>
            <w:tcW w:w="1275" w:type="dxa"/>
            <w:vAlign w:val="center"/>
          </w:tcPr>
          <w:p w14:paraId="55FCABEC">
            <w:pPr>
              <w:pStyle w:val="133"/>
              <w:overflowPunct/>
              <w:autoSpaceDE/>
              <w:autoSpaceDN/>
              <w:adjustRightInd/>
              <w:spacing w:line="240" w:lineRule="auto"/>
              <w:jc w:val="center"/>
              <w:rPr>
                <w:color w:val="000000"/>
                <w:sz w:val="21"/>
                <w:u w:val="none"/>
              </w:rPr>
            </w:pPr>
          </w:p>
        </w:tc>
        <w:tc>
          <w:tcPr>
            <w:tcW w:w="1276" w:type="dxa"/>
            <w:vAlign w:val="center"/>
          </w:tcPr>
          <w:p w14:paraId="595C7285">
            <w:pPr>
              <w:jc w:val="center"/>
              <w:rPr>
                <w:color w:val="000000"/>
                <w:szCs w:val="21"/>
                <w:highlight w:val="yellow"/>
                <w:u w:val="none"/>
              </w:rPr>
            </w:pPr>
          </w:p>
        </w:tc>
        <w:tc>
          <w:tcPr>
            <w:tcW w:w="1218" w:type="dxa"/>
            <w:vAlign w:val="center"/>
          </w:tcPr>
          <w:p w14:paraId="4AA246D6">
            <w:pPr>
              <w:pStyle w:val="133"/>
              <w:overflowPunct/>
              <w:autoSpaceDE/>
              <w:autoSpaceDN/>
              <w:adjustRightInd/>
              <w:spacing w:line="240" w:lineRule="auto"/>
              <w:jc w:val="center"/>
              <w:rPr>
                <w:color w:val="000000"/>
                <w:sz w:val="21"/>
                <w:highlight w:val="yellow"/>
                <w:u w:val="none"/>
              </w:rPr>
            </w:pPr>
          </w:p>
        </w:tc>
        <w:tc>
          <w:tcPr>
            <w:tcW w:w="1539" w:type="dxa"/>
            <w:vAlign w:val="center"/>
          </w:tcPr>
          <w:p w14:paraId="4E845682">
            <w:pPr>
              <w:keepNext w:val="0"/>
              <w:keepLines w:val="0"/>
              <w:widowControl/>
              <w:suppressLineNumbers w:val="0"/>
              <w:jc w:val="center"/>
              <w:textAlignment w:val="center"/>
              <w:rPr>
                <w:rFonts w:hint="default"/>
                <w:color w:val="000000" w:themeColor="text1"/>
                <w:sz w:val="21"/>
                <w:u w:val="none"/>
                <w:lang w:val="en-US"/>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0.864</w:t>
            </w:r>
            <w:r>
              <w:rPr>
                <w:rFonts w:hint="eastAsia" w:ascii="Times New Roman" w:hAnsi="Times New Roman" w:eastAsia="宋体" w:cs="Times New Roman"/>
                <w:i w:val="0"/>
                <w:iCs w:val="0"/>
                <w:color w:val="000000"/>
                <w:kern w:val="0"/>
                <w:sz w:val="21"/>
                <w:szCs w:val="21"/>
                <w:u w:val="none"/>
                <w:lang w:val="en-US" w:eastAsia="zh-CN" w:bidi="ar"/>
              </w:rPr>
              <w:t>t/a</w:t>
            </w:r>
          </w:p>
        </w:tc>
        <w:tc>
          <w:tcPr>
            <w:tcW w:w="1637" w:type="dxa"/>
            <w:vAlign w:val="center"/>
          </w:tcPr>
          <w:p w14:paraId="45F7A01A">
            <w:pPr>
              <w:pStyle w:val="115"/>
              <w:adjustRightInd/>
              <w:snapToGrid/>
              <w:spacing w:beforeLines="0" w:line="240" w:lineRule="auto"/>
              <w:rPr>
                <w:rFonts w:ascii="Times New Roman" w:hAnsi="Times New Roman"/>
                <w:snapToGrid w:val="0"/>
                <w:color w:val="000000" w:themeColor="text1"/>
                <w:kern w:val="21"/>
                <w:szCs w:val="21"/>
                <w:highlight w:val="yellow"/>
                <w:u w:val="none"/>
                <w14:textFill>
                  <w14:solidFill>
                    <w14:schemeClr w14:val="tx1"/>
                  </w14:solidFill>
                </w14:textFill>
              </w:rPr>
            </w:pPr>
          </w:p>
        </w:tc>
        <w:tc>
          <w:tcPr>
            <w:tcW w:w="1580" w:type="dxa"/>
            <w:vAlign w:val="center"/>
          </w:tcPr>
          <w:p w14:paraId="47C5EE58">
            <w:pPr>
              <w:keepNext w:val="0"/>
              <w:keepLines w:val="0"/>
              <w:widowControl/>
              <w:suppressLineNumbers w:val="0"/>
              <w:jc w:val="center"/>
              <w:textAlignment w:val="center"/>
              <w:rPr>
                <w:color w:val="000000" w:themeColor="text1"/>
                <w:u w:val="none"/>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0.864</w:t>
            </w:r>
            <w:r>
              <w:rPr>
                <w:rFonts w:hint="eastAsia" w:ascii="Times New Roman" w:hAnsi="Times New Roman" w:eastAsia="宋体" w:cs="Times New Roman"/>
                <w:i w:val="0"/>
                <w:iCs w:val="0"/>
                <w:color w:val="000000"/>
                <w:kern w:val="0"/>
                <w:sz w:val="21"/>
                <w:szCs w:val="21"/>
                <w:u w:val="none"/>
                <w:lang w:val="en-US" w:eastAsia="zh-CN" w:bidi="ar"/>
              </w:rPr>
              <w:t>t/a</w:t>
            </w:r>
          </w:p>
        </w:tc>
        <w:tc>
          <w:tcPr>
            <w:tcW w:w="1270" w:type="dxa"/>
            <w:vAlign w:val="center"/>
          </w:tcPr>
          <w:p w14:paraId="0F558B33">
            <w:pPr>
              <w:jc w:val="center"/>
              <w:rPr>
                <w:color w:val="FF0000"/>
                <w:szCs w:val="21"/>
                <w:u w:val="none"/>
              </w:rPr>
            </w:pPr>
          </w:p>
        </w:tc>
      </w:tr>
      <w:tr w14:paraId="2DE6C1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5F9198C8">
            <w:pPr>
              <w:pStyle w:val="115"/>
              <w:adjustRightInd/>
              <w:snapToGrid/>
              <w:spacing w:beforeLines="0" w:line="240" w:lineRule="auto"/>
              <w:rPr>
                <w:rFonts w:ascii="Times New Roman" w:hAnsi="Times New Roman"/>
                <w:snapToGrid w:val="0"/>
                <w:color w:val="000000"/>
                <w:kern w:val="21"/>
                <w:szCs w:val="21"/>
                <w:u w:val="none"/>
              </w:rPr>
            </w:pPr>
          </w:p>
        </w:tc>
        <w:tc>
          <w:tcPr>
            <w:tcW w:w="2552" w:type="dxa"/>
            <w:vAlign w:val="center"/>
          </w:tcPr>
          <w:p w14:paraId="6F9F1176">
            <w:pPr>
              <w:keepNext w:val="0"/>
              <w:keepLines w:val="0"/>
              <w:widowControl/>
              <w:suppressLineNumbers w:val="0"/>
              <w:jc w:val="center"/>
              <w:textAlignment w:val="center"/>
              <w:rPr>
                <w:rFonts w:hint="default" w:ascii="Times New Roman" w:hAnsi="Times New Roman" w:cs="Times New Roman"/>
                <w:color w:val="000000"/>
                <w:szCs w:val="21"/>
                <w:highlight w:val="yellow"/>
                <w:u w:val="none"/>
              </w:rPr>
            </w:pPr>
            <w:r>
              <w:rPr>
                <w:rFonts w:hint="default" w:ascii="Times New Roman" w:hAnsi="Times New Roman" w:eastAsia="宋体" w:cs="Times New Roman"/>
                <w:i w:val="0"/>
                <w:iCs w:val="0"/>
                <w:color w:val="000000"/>
                <w:kern w:val="0"/>
                <w:sz w:val="21"/>
                <w:szCs w:val="21"/>
                <w:u w:val="none"/>
                <w:lang w:val="en-US" w:eastAsia="zh-CN" w:bidi="ar"/>
              </w:rPr>
              <w:t>BOD</w:t>
            </w:r>
          </w:p>
        </w:tc>
        <w:tc>
          <w:tcPr>
            <w:tcW w:w="1275" w:type="dxa"/>
            <w:vAlign w:val="center"/>
          </w:tcPr>
          <w:p w14:paraId="446DCFC8">
            <w:pPr>
              <w:pStyle w:val="133"/>
              <w:overflowPunct/>
              <w:autoSpaceDE/>
              <w:autoSpaceDN/>
              <w:adjustRightInd/>
              <w:spacing w:line="240" w:lineRule="auto"/>
              <w:jc w:val="center"/>
              <w:rPr>
                <w:color w:val="000000"/>
                <w:sz w:val="21"/>
                <w:u w:val="none"/>
              </w:rPr>
            </w:pPr>
          </w:p>
        </w:tc>
        <w:tc>
          <w:tcPr>
            <w:tcW w:w="1276" w:type="dxa"/>
            <w:vAlign w:val="center"/>
          </w:tcPr>
          <w:p w14:paraId="43C9057F">
            <w:pPr>
              <w:jc w:val="center"/>
              <w:rPr>
                <w:color w:val="000000"/>
                <w:szCs w:val="21"/>
                <w:highlight w:val="yellow"/>
                <w:u w:val="none"/>
              </w:rPr>
            </w:pPr>
          </w:p>
        </w:tc>
        <w:tc>
          <w:tcPr>
            <w:tcW w:w="1218" w:type="dxa"/>
            <w:vAlign w:val="center"/>
          </w:tcPr>
          <w:p w14:paraId="11E4AAD0">
            <w:pPr>
              <w:pStyle w:val="133"/>
              <w:overflowPunct/>
              <w:autoSpaceDE/>
              <w:autoSpaceDN/>
              <w:adjustRightInd/>
              <w:spacing w:line="240" w:lineRule="auto"/>
              <w:jc w:val="center"/>
              <w:rPr>
                <w:color w:val="000000"/>
                <w:sz w:val="21"/>
                <w:highlight w:val="yellow"/>
                <w:u w:val="none"/>
              </w:rPr>
            </w:pPr>
          </w:p>
        </w:tc>
        <w:tc>
          <w:tcPr>
            <w:tcW w:w="1539" w:type="dxa"/>
            <w:vAlign w:val="center"/>
          </w:tcPr>
          <w:p w14:paraId="0C79A098">
            <w:pPr>
              <w:keepNext w:val="0"/>
              <w:keepLines w:val="0"/>
              <w:widowControl/>
              <w:suppressLineNumbers w:val="0"/>
              <w:jc w:val="center"/>
              <w:textAlignment w:val="center"/>
              <w:rPr>
                <w:rFonts w:hint="default"/>
                <w:color w:val="000000" w:themeColor="text1"/>
                <w:sz w:val="21"/>
                <w:u w:val="none"/>
                <w:lang w:val="en-US"/>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0.173</w:t>
            </w:r>
            <w:r>
              <w:rPr>
                <w:rFonts w:hint="eastAsia" w:ascii="Times New Roman" w:hAnsi="Times New Roman" w:eastAsia="宋体" w:cs="Times New Roman"/>
                <w:i w:val="0"/>
                <w:iCs w:val="0"/>
                <w:color w:val="000000"/>
                <w:kern w:val="0"/>
                <w:sz w:val="21"/>
                <w:szCs w:val="21"/>
                <w:u w:val="none"/>
                <w:lang w:val="en-US" w:eastAsia="zh-CN" w:bidi="ar"/>
              </w:rPr>
              <w:t>t/a</w:t>
            </w:r>
          </w:p>
        </w:tc>
        <w:tc>
          <w:tcPr>
            <w:tcW w:w="1637" w:type="dxa"/>
            <w:vAlign w:val="center"/>
          </w:tcPr>
          <w:p w14:paraId="31128F15">
            <w:pPr>
              <w:pStyle w:val="115"/>
              <w:adjustRightInd/>
              <w:snapToGrid/>
              <w:spacing w:beforeLines="0" w:line="240" w:lineRule="auto"/>
              <w:rPr>
                <w:rFonts w:ascii="Times New Roman" w:hAnsi="Times New Roman"/>
                <w:snapToGrid w:val="0"/>
                <w:color w:val="000000" w:themeColor="text1"/>
                <w:kern w:val="21"/>
                <w:szCs w:val="21"/>
                <w:highlight w:val="yellow"/>
                <w:u w:val="none"/>
                <w14:textFill>
                  <w14:solidFill>
                    <w14:schemeClr w14:val="tx1"/>
                  </w14:solidFill>
                </w14:textFill>
              </w:rPr>
            </w:pPr>
          </w:p>
        </w:tc>
        <w:tc>
          <w:tcPr>
            <w:tcW w:w="1580" w:type="dxa"/>
            <w:vAlign w:val="center"/>
          </w:tcPr>
          <w:p w14:paraId="3007E462">
            <w:pPr>
              <w:keepNext w:val="0"/>
              <w:keepLines w:val="0"/>
              <w:widowControl/>
              <w:suppressLineNumbers w:val="0"/>
              <w:jc w:val="center"/>
              <w:textAlignment w:val="center"/>
              <w:rPr>
                <w:color w:val="000000" w:themeColor="text1"/>
                <w:u w:val="none"/>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0.173</w:t>
            </w:r>
            <w:r>
              <w:rPr>
                <w:rFonts w:hint="eastAsia" w:ascii="Times New Roman" w:hAnsi="Times New Roman" w:eastAsia="宋体" w:cs="Times New Roman"/>
                <w:i w:val="0"/>
                <w:iCs w:val="0"/>
                <w:color w:val="000000"/>
                <w:kern w:val="0"/>
                <w:sz w:val="21"/>
                <w:szCs w:val="21"/>
                <w:u w:val="none"/>
                <w:lang w:val="en-US" w:eastAsia="zh-CN" w:bidi="ar"/>
              </w:rPr>
              <w:t>t/a</w:t>
            </w:r>
          </w:p>
        </w:tc>
        <w:tc>
          <w:tcPr>
            <w:tcW w:w="1270" w:type="dxa"/>
            <w:vAlign w:val="center"/>
          </w:tcPr>
          <w:p w14:paraId="39D14F94">
            <w:pPr>
              <w:jc w:val="center"/>
              <w:rPr>
                <w:color w:val="FF0000"/>
                <w:szCs w:val="21"/>
                <w:u w:val="none"/>
              </w:rPr>
            </w:pPr>
          </w:p>
        </w:tc>
      </w:tr>
      <w:tr w14:paraId="5A85FD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34681C95">
            <w:pPr>
              <w:pStyle w:val="115"/>
              <w:adjustRightInd/>
              <w:snapToGrid/>
              <w:spacing w:beforeLines="0" w:line="240" w:lineRule="auto"/>
              <w:rPr>
                <w:rFonts w:ascii="Times New Roman" w:hAnsi="Times New Roman"/>
                <w:snapToGrid w:val="0"/>
                <w:color w:val="000000"/>
                <w:kern w:val="21"/>
                <w:szCs w:val="21"/>
                <w:u w:val="none"/>
              </w:rPr>
            </w:pPr>
          </w:p>
        </w:tc>
        <w:tc>
          <w:tcPr>
            <w:tcW w:w="2552" w:type="dxa"/>
            <w:vAlign w:val="center"/>
          </w:tcPr>
          <w:p w14:paraId="633B0E9B">
            <w:pPr>
              <w:pStyle w:val="115"/>
              <w:adjustRightInd/>
              <w:snapToGrid/>
              <w:spacing w:beforeLines="0" w:line="240" w:lineRule="auto"/>
              <w:ind w:left="-105" w:leftChars="-50" w:right="-105" w:rightChars="-50"/>
              <w:rPr>
                <w:rFonts w:hint="default" w:ascii="Times New Roman" w:hAnsi="Times New Roman" w:eastAsia="宋体" w:cs="Times New Roman"/>
                <w:szCs w:val="21"/>
                <w:u w:val="none"/>
              </w:rPr>
            </w:pPr>
            <w:r>
              <w:rPr>
                <w:rFonts w:hint="eastAsia" w:ascii="Times New Roman" w:hAnsi="Times New Roman" w:eastAsia="宋体" w:cs="Times New Roman"/>
                <w:szCs w:val="21"/>
                <w:u w:val="none"/>
                <w:lang w:val="en-US" w:eastAsia="zh-CN"/>
              </w:rPr>
              <w:t>氨氮</w:t>
            </w:r>
          </w:p>
        </w:tc>
        <w:tc>
          <w:tcPr>
            <w:tcW w:w="1275" w:type="dxa"/>
            <w:vAlign w:val="center"/>
          </w:tcPr>
          <w:p w14:paraId="13341B64">
            <w:pPr>
              <w:pStyle w:val="133"/>
              <w:overflowPunct/>
              <w:autoSpaceDE/>
              <w:autoSpaceDN/>
              <w:adjustRightInd/>
              <w:spacing w:line="240" w:lineRule="auto"/>
              <w:jc w:val="center"/>
              <w:rPr>
                <w:color w:val="000000"/>
                <w:sz w:val="21"/>
                <w:u w:val="none"/>
              </w:rPr>
            </w:pPr>
          </w:p>
        </w:tc>
        <w:tc>
          <w:tcPr>
            <w:tcW w:w="1276" w:type="dxa"/>
            <w:vAlign w:val="center"/>
          </w:tcPr>
          <w:p w14:paraId="64C44571">
            <w:pPr>
              <w:jc w:val="center"/>
              <w:rPr>
                <w:color w:val="000000"/>
                <w:szCs w:val="21"/>
                <w:highlight w:val="yellow"/>
                <w:u w:val="none"/>
              </w:rPr>
            </w:pPr>
          </w:p>
        </w:tc>
        <w:tc>
          <w:tcPr>
            <w:tcW w:w="1218" w:type="dxa"/>
            <w:vAlign w:val="center"/>
          </w:tcPr>
          <w:p w14:paraId="76706120">
            <w:pPr>
              <w:pStyle w:val="133"/>
              <w:overflowPunct/>
              <w:autoSpaceDE/>
              <w:autoSpaceDN/>
              <w:adjustRightInd/>
              <w:spacing w:line="240" w:lineRule="auto"/>
              <w:jc w:val="center"/>
              <w:rPr>
                <w:color w:val="000000"/>
                <w:sz w:val="21"/>
                <w:highlight w:val="yellow"/>
                <w:u w:val="none"/>
              </w:rPr>
            </w:pPr>
          </w:p>
        </w:tc>
        <w:tc>
          <w:tcPr>
            <w:tcW w:w="1539" w:type="dxa"/>
            <w:vAlign w:val="center"/>
          </w:tcPr>
          <w:p w14:paraId="217E26D0">
            <w:pPr>
              <w:keepNext w:val="0"/>
              <w:keepLines w:val="0"/>
              <w:widowControl/>
              <w:suppressLineNumbers w:val="0"/>
              <w:jc w:val="center"/>
              <w:textAlignment w:val="center"/>
              <w:rPr>
                <w:rFonts w:hint="default"/>
                <w:color w:val="000000" w:themeColor="text1"/>
                <w:sz w:val="21"/>
                <w:u w:val="none"/>
                <w:lang w:val="en-US"/>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0.086</w:t>
            </w:r>
            <w:r>
              <w:rPr>
                <w:rFonts w:hint="eastAsia" w:ascii="Times New Roman" w:hAnsi="Times New Roman" w:eastAsia="宋体" w:cs="Times New Roman"/>
                <w:i w:val="0"/>
                <w:iCs w:val="0"/>
                <w:color w:val="000000"/>
                <w:kern w:val="0"/>
                <w:sz w:val="21"/>
                <w:szCs w:val="21"/>
                <w:u w:val="none"/>
                <w:lang w:val="en-US" w:eastAsia="zh-CN" w:bidi="ar"/>
              </w:rPr>
              <w:t>t/a</w:t>
            </w:r>
          </w:p>
        </w:tc>
        <w:tc>
          <w:tcPr>
            <w:tcW w:w="1637" w:type="dxa"/>
            <w:vAlign w:val="center"/>
          </w:tcPr>
          <w:p w14:paraId="206313E2">
            <w:pPr>
              <w:pStyle w:val="115"/>
              <w:adjustRightInd/>
              <w:snapToGrid/>
              <w:spacing w:beforeLines="0" w:line="240" w:lineRule="auto"/>
              <w:rPr>
                <w:rFonts w:ascii="Times New Roman" w:hAnsi="Times New Roman"/>
                <w:snapToGrid w:val="0"/>
                <w:color w:val="000000" w:themeColor="text1"/>
                <w:kern w:val="21"/>
                <w:szCs w:val="21"/>
                <w:highlight w:val="yellow"/>
                <w:u w:val="none"/>
                <w14:textFill>
                  <w14:solidFill>
                    <w14:schemeClr w14:val="tx1"/>
                  </w14:solidFill>
                </w14:textFill>
              </w:rPr>
            </w:pPr>
          </w:p>
        </w:tc>
        <w:tc>
          <w:tcPr>
            <w:tcW w:w="1580" w:type="dxa"/>
            <w:vAlign w:val="center"/>
          </w:tcPr>
          <w:p w14:paraId="1D992476">
            <w:pPr>
              <w:keepNext w:val="0"/>
              <w:keepLines w:val="0"/>
              <w:widowControl/>
              <w:suppressLineNumbers w:val="0"/>
              <w:jc w:val="center"/>
              <w:textAlignment w:val="center"/>
              <w:rPr>
                <w:color w:val="000000" w:themeColor="text1"/>
                <w:u w:val="none"/>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0.086</w:t>
            </w:r>
            <w:r>
              <w:rPr>
                <w:rFonts w:hint="eastAsia" w:ascii="Times New Roman" w:hAnsi="Times New Roman" w:eastAsia="宋体" w:cs="Times New Roman"/>
                <w:i w:val="0"/>
                <w:iCs w:val="0"/>
                <w:color w:val="000000"/>
                <w:kern w:val="0"/>
                <w:sz w:val="21"/>
                <w:szCs w:val="21"/>
                <w:u w:val="none"/>
                <w:lang w:val="en-US" w:eastAsia="zh-CN" w:bidi="ar"/>
              </w:rPr>
              <w:t>t/a</w:t>
            </w:r>
          </w:p>
        </w:tc>
        <w:tc>
          <w:tcPr>
            <w:tcW w:w="1270" w:type="dxa"/>
            <w:vAlign w:val="center"/>
          </w:tcPr>
          <w:p w14:paraId="32C44094">
            <w:pPr>
              <w:jc w:val="center"/>
              <w:rPr>
                <w:color w:val="FF0000"/>
                <w:szCs w:val="21"/>
                <w:u w:val="none"/>
              </w:rPr>
            </w:pPr>
          </w:p>
        </w:tc>
      </w:tr>
      <w:tr w14:paraId="6313D4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6B2EF452">
            <w:pPr>
              <w:pStyle w:val="115"/>
              <w:adjustRightInd/>
              <w:snapToGrid/>
              <w:spacing w:beforeLines="0" w:line="240" w:lineRule="auto"/>
              <w:rPr>
                <w:rFonts w:ascii="Times New Roman" w:hAnsi="Times New Roman"/>
                <w:snapToGrid w:val="0"/>
                <w:color w:val="000000"/>
                <w:kern w:val="21"/>
                <w:szCs w:val="21"/>
                <w:u w:val="none"/>
              </w:rPr>
            </w:pPr>
          </w:p>
        </w:tc>
        <w:tc>
          <w:tcPr>
            <w:tcW w:w="2552" w:type="dxa"/>
            <w:vAlign w:val="center"/>
          </w:tcPr>
          <w:p w14:paraId="562B3D37">
            <w:pPr>
              <w:pStyle w:val="115"/>
              <w:adjustRightInd/>
              <w:snapToGrid/>
              <w:spacing w:beforeLines="0" w:line="240" w:lineRule="auto"/>
              <w:ind w:left="-105" w:leftChars="-50" w:right="-105" w:rightChars="-50"/>
              <w:rPr>
                <w:rFonts w:hint="default" w:ascii="Times New Roman" w:hAnsi="Times New Roman" w:eastAsia="宋体" w:cs="Times New Roman"/>
                <w:szCs w:val="21"/>
                <w:u w:val="none"/>
              </w:rPr>
            </w:pPr>
            <w:r>
              <w:rPr>
                <w:rFonts w:hint="default" w:ascii="Times New Roman" w:hAnsi="Times New Roman" w:eastAsia="宋体" w:cs="Times New Roman"/>
                <w:szCs w:val="21"/>
                <w:u w:val="none"/>
                <w:lang w:val="en-US" w:eastAsia="zh-CN"/>
              </w:rPr>
              <w:t>悬浮物</w:t>
            </w:r>
          </w:p>
        </w:tc>
        <w:tc>
          <w:tcPr>
            <w:tcW w:w="1275" w:type="dxa"/>
            <w:vAlign w:val="center"/>
          </w:tcPr>
          <w:p w14:paraId="46AA4A14">
            <w:pPr>
              <w:pStyle w:val="133"/>
              <w:overflowPunct/>
              <w:autoSpaceDE/>
              <w:autoSpaceDN/>
              <w:adjustRightInd/>
              <w:spacing w:line="240" w:lineRule="auto"/>
              <w:jc w:val="center"/>
              <w:rPr>
                <w:color w:val="000000"/>
                <w:sz w:val="21"/>
                <w:u w:val="none"/>
              </w:rPr>
            </w:pPr>
          </w:p>
        </w:tc>
        <w:tc>
          <w:tcPr>
            <w:tcW w:w="1276" w:type="dxa"/>
            <w:vAlign w:val="center"/>
          </w:tcPr>
          <w:p w14:paraId="57EAA2F8">
            <w:pPr>
              <w:jc w:val="center"/>
              <w:rPr>
                <w:color w:val="000000"/>
                <w:szCs w:val="21"/>
                <w:highlight w:val="yellow"/>
                <w:u w:val="none"/>
              </w:rPr>
            </w:pPr>
          </w:p>
        </w:tc>
        <w:tc>
          <w:tcPr>
            <w:tcW w:w="1218" w:type="dxa"/>
            <w:vAlign w:val="center"/>
          </w:tcPr>
          <w:p w14:paraId="1516D77E">
            <w:pPr>
              <w:pStyle w:val="133"/>
              <w:overflowPunct/>
              <w:autoSpaceDE/>
              <w:autoSpaceDN/>
              <w:adjustRightInd/>
              <w:spacing w:line="240" w:lineRule="auto"/>
              <w:jc w:val="center"/>
              <w:rPr>
                <w:color w:val="000000"/>
                <w:sz w:val="21"/>
                <w:highlight w:val="yellow"/>
                <w:u w:val="none"/>
              </w:rPr>
            </w:pPr>
          </w:p>
        </w:tc>
        <w:tc>
          <w:tcPr>
            <w:tcW w:w="1539" w:type="dxa"/>
            <w:vAlign w:val="center"/>
          </w:tcPr>
          <w:p w14:paraId="24E3C195">
            <w:pPr>
              <w:keepNext w:val="0"/>
              <w:keepLines w:val="0"/>
              <w:widowControl/>
              <w:suppressLineNumbers w:val="0"/>
              <w:jc w:val="center"/>
              <w:textAlignment w:val="center"/>
              <w:rPr>
                <w:rFonts w:hint="default"/>
                <w:color w:val="000000" w:themeColor="text1"/>
                <w:sz w:val="21"/>
                <w:u w:val="none"/>
                <w:lang w:val="en-US"/>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0.173</w:t>
            </w:r>
            <w:r>
              <w:rPr>
                <w:rFonts w:hint="eastAsia" w:ascii="Times New Roman" w:hAnsi="Times New Roman" w:eastAsia="宋体" w:cs="Times New Roman"/>
                <w:i w:val="0"/>
                <w:iCs w:val="0"/>
                <w:color w:val="000000"/>
                <w:kern w:val="0"/>
                <w:sz w:val="21"/>
                <w:szCs w:val="21"/>
                <w:u w:val="none"/>
                <w:lang w:val="en-US" w:eastAsia="zh-CN" w:bidi="ar"/>
              </w:rPr>
              <w:t>t/a</w:t>
            </w:r>
          </w:p>
        </w:tc>
        <w:tc>
          <w:tcPr>
            <w:tcW w:w="1637" w:type="dxa"/>
            <w:vAlign w:val="center"/>
          </w:tcPr>
          <w:p w14:paraId="459947CC">
            <w:pPr>
              <w:pStyle w:val="115"/>
              <w:adjustRightInd/>
              <w:snapToGrid/>
              <w:spacing w:beforeLines="0" w:line="240" w:lineRule="auto"/>
              <w:rPr>
                <w:rFonts w:ascii="Times New Roman" w:hAnsi="Times New Roman"/>
                <w:snapToGrid w:val="0"/>
                <w:color w:val="000000" w:themeColor="text1"/>
                <w:kern w:val="21"/>
                <w:szCs w:val="21"/>
                <w:highlight w:val="yellow"/>
                <w:u w:val="none"/>
                <w14:textFill>
                  <w14:solidFill>
                    <w14:schemeClr w14:val="tx1"/>
                  </w14:solidFill>
                </w14:textFill>
              </w:rPr>
            </w:pPr>
          </w:p>
        </w:tc>
        <w:tc>
          <w:tcPr>
            <w:tcW w:w="1580" w:type="dxa"/>
            <w:vAlign w:val="center"/>
          </w:tcPr>
          <w:p w14:paraId="45C19129">
            <w:pPr>
              <w:keepNext w:val="0"/>
              <w:keepLines w:val="0"/>
              <w:widowControl/>
              <w:suppressLineNumbers w:val="0"/>
              <w:jc w:val="center"/>
              <w:textAlignment w:val="center"/>
              <w:rPr>
                <w:color w:val="000000" w:themeColor="text1"/>
                <w:u w:val="none"/>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0.173</w:t>
            </w:r>
            <w:r>
              <w:rPr>
                <w:rFonts w:hint="eastAsia" w:ascii="Times New Roman" w:hAnsi="Times New Roman" w:eastAsia="宋体" w:cs="Times New Roman"/>
                <w:i w:val="0"/>
                <w:iCs w:val="0"/>
                <w:color w:val="000000"/>
                <w:kern w:val="0"/>
                <w:sz w:val="21"/>
                <w:szCs w:val="21"/>
                <w:u w:val="none"/>
                <w:lang w:val="en-US" w:eastAsia="zh-CN" w:bidi="ar"/>
              </w:rPr>
              <w:t>t/a</w:t>
            </w:r>
          </w:p>
        </w:tc>
        <w:tc>
          <w:tcPr>
            <w:tcW w:w="1270" w:type="dxa"/>
            <w:vAlign w:val="center"/>
          </w:tcPr>
          <w:p w14:paraId="4632BFA4">
            <w:pPr>
              <w:jc w:val="center"/>
              <w:rPr>
                <w:color w:val="FF0000"/>
                <w:szCs w:val="21"/>
                <w:u w:val="none"/>
              </w:rPr>
            </w:pPr>
          </w:p>
        </w:tc>
      </w:tr>
      <w:tr w14:paraId="27732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17713A64">
            <w:pPr>
              <w:pStyle w:val="115"/>
              <w:adjustRightInd/>
              <w:snapToGrid/>
              <w:spacing w:beforeLines="0" w:line="240" w:lineRule="auto"/>
              <w:rPr>
                <w:rFonts w:ascii="Times New Roman" w:hAnsi="Times New Roman"/>
                <w:snapToGrid w:val="0"/>
                <w:color w:val="000000"/>
                <w:kern w:val="21"/>
                <w:szCs w:val="21"/>
                <w:u w:val="none"/>
              </w:rPr>
            </w:pPr>
          </w:p>
        </w:tc>
        <w:tc>
          <w:tcPr>
            <w:tcW w:w="2552" w:type="dxa"/>
            <w:vAlign w:val="center"/>
          </w:tcPr>
          <w:p w14:paraId="7641614B">
            <w:pPr>
              <w:keepNext w:val="0"/>
              <w:keepLines w:val="0"/>
              <w:widowControl/>
              <w:suppressLineNumbers w:val="0"/>
              <w:jc w:val="center"/>
              <w:textAlignment w:val="center"/>
              <w:rPr>
                <w:rFonts w:hint="default" w:ascii="Times New Roman" w:hAnsi="Times New Roman" w:cs="Times New Roman"/>
                <w:color w:val="000000"/>
                <w:szCs w:val="21"/>
                <w:highlight w:val="yellow"/>
                <w:u w:val="none"/>
              </w:rPr>
            </w:pPr>
            <w:r>
              <w:rPr>
                <w:rFonts w:hint="default" w:ascii="Times New Roman" w:hAnsi="Times New Roman" w:eastAsia="宋体" w:cs="Times New Roman"/>
                <w:i w:val="0"/>
                <w:iCs w:val="0"/>
                <w:color w:val="000000"/>
                <w:kern w:val="0"/>
                <w:sz w:val="21"/>
                <w:szCs w:val="21"/>
                <w:u w:val="none"/>
                <w:lang w:val="en-US" w:eastAsia="zh-CN" w:bidi="ar"/>
              </w:rPr>
              <w:t>总磷</w:t>
            </w:r>
          </w:p>
        </w:tc>
        <w:tc>
          <w:tcPr>
            <w:tcW w:w="1275" w:type="dxa"/>
            <w:vAlign w:val="center"/>
          </w:tcPr>
          <w:p w14:paraId="453E6BB0">
            <w:pPr>
              <w:pStyle w:val="133"/>
              <w:overflowPunct/>
              <w:autoSpaceDE/>
              <w:autoSpaceDN/>
              <w:adjustRightInd/>
              <w:spacing w:line="240" w:lineRule="auto"/>
              <w:jc w:val="center"/>
              <w:rPr>
                <w:color w:val="000000"/>
                <w:sz w:val="21"/>
                <w:highlight w:val="yellow"/>
                <w:u w:val="none"/>
              </w:rPr>
            </w:pPr>
          </w:p>
        </w:tc>
        <w:tc>
          <w:tcPr>
            <w:tcW w:w="1276" w:type="dxa"/>
            <w:vAlign w:val="center"/>
          </w:tcPr>
          <w:p w14:paraId="06B61914">
            <w:pPr>
              <w:jc w:val="center"/>
              <w:rPr>
                <w:color w:val="000000"/>
                <w:szCs w:val="21"/>
                <w:highlight w:val="yellow"/>
                <w:u w:val="none"/>
              </w:rPr>
            </w:pPr>
          </w:p>
        </w:tc>
        <w:tc>
          <w:tcPr>
            <w:tcW w:w="1218" w:type="dxa"/>
            <w:vAlign w:val="center"/>
          </w:tcPr>
          <w:p w14:paraId="12ECDB73">
            <w:pPr>
              <w:pStyle w:val="133"/>
              <w:overflowPunct/>
              <w:autoSpaceDE/>
              <w:autoSpaceDN/>
              <w:adjustRightInd/>
              <w:spacing w:line="240" w:lineRule="auto"/>
              <w:jc w:val="center"/>
              <w:rPr>
                <w:color w:val="000000"/>
                <w:sz w:val="21"/>
                <w:highlight w:val="yellow"/>
                <w:u w:val="none"/>
              </w:rPr>
            </w:pPr>
          </w:p>
        </w:tc>
        <w:tc>
          <w:tcPr>
            <w:tcW w:w="1539" w:type="dxa"/>
            <w:vAlign w:val="center"/>
          </w:tcPr>
          <w:p w14:paraId="23AB93AF">
            <w:pPr>
              <w:keepNext w:val="0"/>
              <w:keepLines w:val="0"/>
              <w:widowControl/>
              <w:suppressLineNumbers w:val="0"/>
              <w:jc w:val="center"/>
              <w:textAlignment w:val="center"/>
              <w:rPr>
                <w:rFonts w:hint="default"/>
                <w:color w:val="000000"/>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0.009</w:t>
            </w:r>
            <w:r>
              <w:rPr>
                <w:rFonts w:hint="eastAsia" w:ascii="Times New Roman" w:hAnsi="Times New Roman" w:eastAsia="宋体" w:cs="Times New Roman"/>
                <w:i w:val="0"/>
                <w:iCs w:val="0"/>
                <w:color w:val="000000"/>
                <w:kern w:val="0"/>
                <w:sz w:val="21"/>
                <w:szCs w:val="21"/>
                <w:u w:val="none"/>
                <w:lang w:val="en-US" w:eastAsia="zh-CN" w:bidi="ar"/>
              </w:rPr>
              <w:t>t/a</w:t>
            </w:r>
          </w:p>
        </w:tc>
        <w:tc>
          <w:tcPr>
            <w:tcW w:w="1637" w:type="dxa"/>
            <w:vAlign w:val="center"/>
          </w:tcPr>
          <w:p w14:paraId="084D704D">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80" w:type="dxa"/>
            <w:vAlign w:val="center"/>
          </w:tcPr>
          <w:p w14:paraId="1DD9F7A4">
            <w:pPr>
              <w:keepNext w:val="0"/>
              <w:keepLines w:val="0"/>
              <w:widowControl/>
              <w:suppressLineNumbers w:val="0"/>
              <w:jc w:val="center"/>
              <w:textAlignment w:val="center"/>
              <w:rPr>
                <w:rFonts w:hint="eastAsia"/>
                <w:color w:val="000000"/>
                <w:szCs w:val="21"/>
                <w:u w:val="none"/>
              </w:rPr>
            </w:pPr>
            <w:r>
              <w:rPr>
                <w:rFonts w:hint="default" w:ascii="Times New Roman" w:hAnsi="Times New Roman" w:eastAsia="宋体" w:cs="Times New Roman"/>
                <w:i w:val="0"/>
                <w:iCs w:val="0"/>
                <w:color w:val="000000"/>
                <w:kern w:val="0"/>
                <w:sz w:val="21"/>
                <w:szCs w:val="21"/>
                <w:u w:val="none"/>
                <w:lang w:val="en-US" w:eastAsia="zh-CN" w:bidi="ar"/>
              </w:rPr>
              <w:t>0.009</w:t>
            </w:r>
            <w:r>
              <w:rPr>
                <w:rFonts w:hint="eastAsia" w:ascii="Times New Roman" w:hAnsi="Times New Roman" w:eastAsia="宋体" w:cs="Times New Roman"/>
                <w:i w:val="0"/>
                <w:iCs w:val="0"/>
                <w:color w:val="000000"/>
                <w:kern w:val="0"/>
                <w:sz w:val="21"/>
                <w:szCs w:val="21"/>
                <w:u w:val="none"/>
                <w:lang w:val="en-US" w:eastAsia="zh-CN" w:bidi="ar"/>
              </w:rPr>
              <w:t>t/a</w:t>
            </w:r>
          </w:p>
        </w:tc>
        <w:tc>
          <w:tcPr>
            <w:tcW w:w="1270" w:type="dxa"/>
            <w:vAlign w:val="center"/>
          </w:tcPr>
          <w:p w14:paraId="4DFE14DC">
            <w:pPr>
              <w:jc w:val="center"/>
              <w:rPr>
                <w:color w:val="FF0000"/>
                <w:szCs w:val="21"/>
                <w:u w:val="none"/>
              </w:rPr>
            </w:pPr>
          </w:p>
        </w:tc>
      </w:tr>
      <w:tr w14:paraId="2ABD97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restart"/>
            <w:vAlign w:val="center"/>
          </w:tcPr>
          <w:p w14:paraId="0744526D">
            <w:pPr>
              <w:jc w:val="center"/>
              <w:rPr>
                <w:snapToGrid w:val="0"/>
                <w:color w:val="000000"/>
                <w:kern w:val="21"/>
                <w:szCs w:val="21"/>
                <w:u w:val="none"/>
              </w:rPr>
            </w:pPr>
            <w:r>
              <w:rPr>
                <w:rFonts w:hint="eastAsia"/>
                <w:snapToGrid w:val="0"/>
                <w:color w:val="000000"/>
                <w:kern w:val="21"/>
                <w:szCs w:val="21"/>
                <w:u w:val="none"/>
              </w:rPr>
              <w:t>一般工业</w:t>
            </w:r>
            <w:r>
              <w:rPr>
                <w:snapToGrid w:val="0"/>
                <w:color w:val="000000"/>
                <w:kern w:val="21"/>
                <w:szCs w:val="21"/>
                <w:u w:val="none"/>
              </w:rPr>
              <w:t>固体废物</w:t>
            </w:r>
          </w:p>
        </w:tc>
        <w:tc>
          <w:tcPr>
            <w:tcW w:w="2552" w:type="dxa"/>
            <w:vAlign w:val="center"/>
          </w:tcPr>
          <w:p w14:paraId="631AD8C4">
            <w:pPr>
              <w:pStyle w:val="115"/>
              <w:adjustRightInd/>
              <w:snapToGrid/>
              <w:spacing w:beforeLines="0" w:line="240" w:lineRule="auto"/>
              <w:rPr>
                <w:rFonts w:ascii="Times New Roman" w:hAnsi="Times New Roman"/>
                <w:color w:val="000000"/>
                <w:szCs w:val="21"/>
                <w:u w:val="none"/>
              </w:rPr>
            </w:pPr>
            <w:r>
              <w:rPr>
                <w:rFonts w:hint="eastAsia" w:ascii="Times New Roman" w:hAnsi="Times New Roman"/>
                <w:szCs w:val="21"/>
                <w:u w:val="none"/>
              </w:rPr>
              <w:t>未被污染输液瓶（袋）</w:t>
            </w:r>
          </w:p>
        </w:tc>
        <w:tc>
          <w:tcPr>
            <w:tcW w:w="1275" w:type="dxa"/>
            <w:shd w:val="clear" w:color="auto" w:fill="auto"/>
            <w:vAlign w:val="center"/>
          </w:tcPr>
          <w:p w14:paraId="17FAC7C0">
            <w:pPr>
              <w:pStyle w:val="115"/>
              <w:adjustRightInd/>
              <w:snapToGrid/>
              <w:spacing w:beforeLines="0" w:line="240" w:lineRule="auto"/>
              <w:rPr>
                <w:rFonts w:ascii="Times New Roman" w:hAnsi="Times New Roman" w:eastAsia="宋体" w:cs="Times New Roman"/>
                <w:kern w:val="2"/>
                <w:sz w:val="21"/>
                <w:szCs w:val="21"/>
                <w:u w:val="none"/>
                <w:lang w:val="en-US" w:eastAsia="zh-CN" w:bidi="ar-SA"/>
              </w:rPr>
            </w:pPr>
          </w:p>
        </w:tc>
        <w:tc>
          <w:tcPr>
            <w:tcW w:w="1276" w:type="dxa"/>
            <w:vAlign w:val="center"/>
          </w:tcPr>
          <w:p w14:paraId="0ACDBD7C">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218" w:type="dxa"/>
            <w:vAlign w:val="center"/>
          </w:tcPr>
          <w:p w14:paraId="11EB0262">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39" w:type="dxa"/>
            <w:shd w:val="clear" w:color="auto" w:fill="auto"/>
            <w:vAlign w:val="center"/>
          </w:tcPr>
          <w:p w14:paraId="7FC73640">
            <w:pPr>
              <w:pStyle w:val="115"/>
              <w:adjustRightInd/>
              <w:snapToGrid/>
              <w:spacing w:beforeLines="0" w:line="240" w:lineRule="auto"/>
              <w:rPr>
                <w:rFonts w:hint="default" w:ascii="Times New Roman" w:hAnsi="Times New Roman" w:eastAsia="宋体" w:cs="Times New Roman"/>
                <w:kern w:val="2"/>
                <w:sz w:val="21"/>
                <w:szCs w:val="21"/>
                <w:u w:val="none"/>
                <w:lang w:val="en-US" w:eastAsia="zh-CN" w:bidi="ar-SA"/>
              </w:rPr>
            </w:pPr>
            <w:r>
              <w:rPr>
                <w:rFonts w:hint="default" w:ascii="Times New Roman" w:hAnsi="Times New Roman" w:cs="Times New Roman"/>
                <w:szCs w:val="21"/>
                <w:u w:val="none"/>
                <w:lang w:val="en-US" w:eastAsia="zh-CN"/>
              </w:rPr>
              <w:t>1.46</w:t>
            </w:r>
            <w:r>
              <w:rPr>
                <w:rFonts w:hint="default" w:ascii="Times New Roman" w:hAnsi="Times New Roman" w:cs="Times New Roman"/>
                <w:sz w:val="21"/>
                <w:szCs w:val="21"/>
                <w:highlight w:val="none"/>
              </w:rPr>
              <w:t>t/a</w:t>
            </w:r>
          </w:p>
        </w:tc>
        <w:tc>
          <w:tcPr>
            <w:tcW w:w="1637" w:type="dxa"/>
            <w:vAlign w:val="center"/>
          </w:tcPr>
          <w:p w14:paraId="18792E7D">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80" w:type="dxa"/>
            <w:vAlign w:val="center"/>
          </w:tcPr>
          <w:p w14:paraId="7BF920FC">
            <w:pPr>
              <w:pStyle w:val="115"/>
              <w:adjustRightInd/>
              <w:snapToGrid/>
              <w:spacing w:beforeLines="0" w:line="240" w:lineRule="auto"/>
              <w:rPr>
                <w:rFonts w:ascii="Times New Roman" w:hAnsi="Times New Roman"/>
                <w:color w:val="000000"/>
                <w:szCs w:val="21"/>
                <w:u w:val="none"/>
              </w:rPr>
            </w:pPr>
            <w:r>
              <w:rPr>
                <w:rFonts w:hint="default" w:ascii="Times New Roman" w:hAnsi="Times New Roman" w:cs="Times New Roman"/>
                <w:szCs w:val="21"/>
                <w:u w:val="none"/>
                <w:lang w:val="en-US" w:eastAsia="zh-CN"/>
              </w:rPr>
              <w:t>1.46</w:t>
            </w:r>
            <w:r>
              <w:rPr>
                <w:rFonts w:hint="default" w:ascii="Times New Roman" w:hAnsi="Times New Roman" w:cs="Times New Roman"/>
                <w:sz w:val="21"/>
                <w:szCs w:val="21"/>
                <w:highlight w:val="none"/>
              </w:rPr>
              <w:t>t/a</w:t>
            </w:r>
          </w:p>
        </w:tc>
        <w:tc>
          <w:tcPr>
            <w:tcW w:w="1270" w:type="dxa"/>
            <w:vAlign w:val="center"/>
          </w:tcPr>
          <w:p w14:paraId="1F7370DD">
            <w:pPr>
              <w:pStyle w:val="115"/>
              <w:adjustRightInd/>
              <w:snapToGrid/>
              <w:spacing w:beforeLines="0" w:line="240" w:lineRule="auto"/>
              <w:ind w:left="-105" w:leftChars="-50" w:right="-105" w:rightChars="-50"/>
              <w:rPr>
                <w:rFonts w:ascii="Times New Roman" w:hAnsi="Times New Roman"/>
                <w:szCs w:val="21"/>
                <w:u w:val="none"/>
              </w:rPr>
            </w:pPr>
          </w:p>
        </w:tc>
      </w:tr>
      <w:tr w14:paraId="0AB086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467AC13B">
            <w:pPr>
              <w:jc w:val="center"/>
              <w:rPr>
                <w:snapToGrid w:val="0"/>
                <w:color w:val="000000"/>
                <w:kern w:val="21"/>
                <w:szCs w:val="21"/>
                <w:u w:val="none"/>
              </w:rPr>
            </w:pPr>
          </w:p>
        </w:tc>
        <w:tc>
          <w:tcPr>
            <w:tcW w:w="2552" w:type="dxa"/>
            <w:vAlign w:val="center"/>
          </w:tcPr>
          <w:p w14:paraId="6E53D59D">
            <w:pPr>
              <w:pStyle w:val="115"/>
              <w:adjustRightInd/>
              <w:snapToGrid/>
              <w:spacing w:beforeLines="0" w:line="240" w:lineRule="auto"/>
              <w:ind w:left="-105" w:leftChars="-50" w:right="-105" w:rightChars="-50"/>
              <w:rPr>
                <w:rFonts w:ascii="Times New Roman" w:hAnsi="Times New Roman"/>
                <w:color w:val="000000"/>
                <w:szCs w:val="21"/>
                <w:u w:val="none"/>
              </w:rPr>
            </w:pPr>
            <w:r>
              <w:rPr>
                <w:rFonts w:hint="eastAsia" w:ascii="Times New Roman" w:hAnsi="Times New Roman"/>
                <w:szCs w:val="21"/>
                <w:u w:val="none"/>
              </w:rPr>
              <w:t>废包装物</w:t>
            </w:r>
          </w:p>
        </w:tc>
        <w:tc>
          <w:tcPr>
            <w:tcW w:w="1275" w:type="dxa"/>
            <w:shd w:val="clear" w:color="auto" w:fill="auto"/>
            <w:vAlign w:val="center"/>
          </w:tcPr>
          <w:p w14:paraId="2136D86E">
            <w:pPr>
              <w:pStyle w:val="115"/>
              <w:adjustRightInd/>
              <w:snapToGrid/>
              <w:spacing w:beforeLines="0" w:line="240" w:lineRule="auto"/>
              <w:ind w:left="-105" w:leftChars="-50" w:right="-105" w:rightChars="-50"/>
              <w:rPr>
                <w:rFonts w:ascii="Times New Roman" w:hAnsi="Times New Roman" w:eastAsia="宋体" w:cs="Times New Roman"/>
                <w:kern w:val="2"/>
                <w:sz w:val="21"/>
                <w:szCs w:val="21"/>
                <w:u w:val="none"/>
                <w:lang w:val="en-US" w:eastAsia="zh-CN" w:bidi="ar-SA"/>
              </w:rPr>
            </w:pPr>
          </w:p>
        </w:tc>
        <w:tc>
          <w:tcPr>
            <w:tcW w:w="1276" w:type="dxa"/>
            <w:shd w:val="clear" w:color="auto" w:fill="auto"/>
            <w:vAlign w:val="center"/>
          </w:tcPr>
          <w:p w14:paraId="5019B91E">
            <w:pPr>
              <w:pStyle w:val="115"/>
              <w:adjustRightInd/>
              <w:snapToGrid/>
              <w:spacing w:beforeLines="0" w:line="240" w:lineRule="auto"/>
              <w:rPr>
                <w:rFonts w:hint="default" w:ascii="Times New Roman" w:hAnsi="Times New Roman" w:eastAsia="宋体" w:cs="Times New Roman"/>
                <w:kern w:val="2"/>
                <w:sz w:val="21"/>
                <w:szCs w:val="21"/>
                <w:u w:val="none"/>
                <w:lang w:val="en-US" w:eastAsia="zh-CN" w:bidi="ar-SA"/>
              </w:rPr>
            </w:pPr>
          </w:p>
        </w:tc>
        <w:tc>
          <w:tcPr>
            <w:tcW w:w="1218" w:type="dxa"/>
            <w:vAlign w:val="center"/>
          </w:tcPr>
          <w:p w14:paraId="05DFA6D8">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39" w:type="dxa"/>
            <w:shd w:val="clear" w:color="auto" w:fill="auto"/>
            <w:vAlign w:val="center"/>
          </w:tcPr>
          <w:p w14:paraId="70105201">
            <w:pPr>
              <w:pStyle w:val="115"/>
              <w:adjustRightInd/>
              <w:snapToGrid/>
              <w:spacing w:beforeLines="0" w:line="240" w:lineRule="auto"/>
              <w:ind w:left="-105" w:leftChars="-50" w:right="-105" w:rightChars="-50"/>
              <w:rPr>
                <w:rFonts w:hint="default" w:ascii="Times New Roman" w:hAnsi="Times New Roman" w:eastAsia="宋体" w:cs="Times New Roman"/>
                <w:kern w:val="2"/>
                <w:sz w:val="21"/>
                <w:szCs w:val="21"/>
                <w:u w:val="none"/>
                <w:lang w:val="en-US" w:eastAsia="zh-CN" w:bidi="ar-SA"/>
              </w:rPr>
            </w:pPr>
            <w:r>
              <w:rPr>
                <w:rFonts w:hint="default" w:ascii="Times New Roman" w:hAnsi="Times New Roman" w:cs="Times New Roman"/>
                <w:szCs w:val="21"/>
                <w:u w:val="none"/>
                <w:lang w:val="en-US" w:eastAsia="zh-CN"/>
              </w:rPr>
              <w:t>0.2</w:t>
            </w:r>
            <w:r>
              <w:rPr>
                <w:rFonts w:hint="default" w:ascii="Times New Roman" w:hAnsi="Times New Roman" w:cs="Times New Roman"/>
                <w:sz w:val="21"/>
                <w:szCs w:val="21"/>
                <w:highlight w:val="none"/>
              </w:rPr>
              <w:t>t/a</w:t>
            </w:r>
          </w:p>
        </w:tc>
        <w:tc>
          <w:tcPr>
            <w:tcW w:w="1637" w:type="dxa"/>
            <w:vAlign w:val="center"/>
          </w:tcPr>
          <w:p w14:paraId="3D26F0A4">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80" w:type="dxa"/>
            <w:vAlign w:val="center"/>
          </w:tcPr>
          <w:p w14:paraId="19EA9C39">
            <w:pPr>
              <w:pStyle w:val="115"/>
              <w:adjustRightInd/>
              <w:snapToGrid/>
              <w:spacing w:beforeLines="0" w:line="240" w:lineRule="auto"/>
              <w:ind w:left="-105" w:leftChars="-50" w:right="-105" w:rightChars="-50"/>
              <w:rPr>
                <w:rFonts w:ascii="Times New Roman" w:hAnsi="Times New Roman"/>
                <w:color w:val="000000"/>
                <w:szCs w:val="21"/>
                <w:u w:val="none"/>
              </w:rPr>
            </w:pPr>
            <w:r>
              <w:rPr>
                <w:rFonts w:hint="default" w:ascii="Times New Roman" w:hAnsi="Times New Roman" w:cs="Times New Roman"/>
                <w:szCs w:val="21"/>
                <w:u w:val="none"/>
                <w:lang w:val="en-US" w:eastAsia="zh-CN"/>
              </w:rPr>
              <w:t>0.2</w:t>
            </w:r>
            <w:r>
              <w:rPr>
                <w:rFonts w:hint="default" w:ascii="Times New Roman" w:hAnsi="Times New Roman" w:cs="Times New Roman"/>
                <w:sz w:val="21"/>
                <w:szCs w:val="21"/>
                <w:highlight w:val="none"/>
              </w:rPr>
              <w:t>t/a</w:t>
            </w:r>
          </w:p>
        </w:tc>
        <w:tc>
          <w:tcPr>
            <w:tcW w:w="1270" w:type="dxa"/>
            <w:vAlign w:val="center"/>
          </w:tcPr>
          <w:p w14:paraId="5877E59C">
            <w:pPr>
              <w:pStyle w:val="115"/>
              <w:adjustRightInd/>
              <w:snapToGrid/>
              <w:spacing w:beforeLines="0" w:line="240" w:lineRule="auto"/>
              <w:ind w:left="-105" w:leftChars="-50" w:right="-105" w:rightChars="-50"/>
              <w:rPr>
                <w:rFonts w:ascii="Times New Roman" w:hAnsi="Times New Roman"/>
                <w:szCs w:val="21"/>
                <w:u w:val="none"/>
              </w:rPr>
            </w:pPr>
          </w:p>
        </w:tc>
      </w:tr>
      <w:tr w14:paraId="1E7098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restart"/>
            <w:vAlign w:val="center"/>
          </w:tcPr>
          <w:p w14:paraId="3129E372">
            <w:pPr>
              <w:jc w:val="center"/>
              <w:rPr>
                <w:snapToGrid w:val="0"/>
                <w:color w:val="000000"/>
                <w:kern w:val="21"/>
                <w:szCs w:val="21"/>
                <w:u w:val="none"/>
              </w:rPr>
            </w:pPr>
            <w:r>
              <w:rPr>
                <w:rFonts w:hint="eastAsia"/>
                <w:snapToGrid w:val="0"/>
                <w:color w:val="000000"/>
                <w:kern w:val="21"/>
                <w:szCs w:val="21"/>
                <w:u w:val="none"/>
              </w:rPr>
              <w:t>危险废物</w:t>
            </w:r>
          </w:p>
        </w:tc>
        <w:tc>
          <w:tcPr>
            <w:tcW w:w="2552" w:type="dxa"/>
            <w:vAlign w:val="center"/>
          </w:tcPr>
          <w:p w14:paraId="2F076A27">
            <w:pPr>
              <w:pStyle w:val="115"/>
              <w:adjustRightInd/>
              <w:snapToGrid/>
              <w:spacing w:beforeLines="0" w:line="240" w:lineRule="auto"/>
              <w:rPr>
                <w:rFonts w:ascii="Times New Roman" w:hAnsi="Times New Roman"/>
                <w:color w:val="000000"/>
                <w:szCs w:val="21"/>
                <w:u w:val="none"/>
              </w:rPr>
            </w:pPr>
            <w:r>
              <w:rPr>
                <w:rFonts w:hint="eastAsia" w:ascii="Times New Roman" w:hAnsi="Times New Roman"/>
                <w:szCs w:val="21"/>
                <w:u w:val="none"/>
              </w:rPr>
              <w:t>医疗废物</w:t>
            </w:r>
          </w:p>
        </w:tc>
        <w:tc>
          <w:tcPr>
            <w:tcW w:w="1275" w:type="dxa"/>
            <w:shd w:val="clear" w:color="auto" w:fill="auto"/>
            <w:vAlign w:val="center"/>
          </w:tcPr>
          <w:p w14:paraId="4A80168F">
            <w:pPr>
              <w:pStyle w:val="115"/>
              <w:adjustRightInd/>
              <w:snapToGrid/>
              <w:spacing w:beforeLines="0" w:line="240" w:lineRule="auto"/>
              <w:rPr>
                <w:rFonts w:ascii="Times New Roman" w:hAnsi="Times New Roman" w:eastAsia="宋体" w:cs="Times New Roman"/>
                <w:kern w:val="2"/>
                <w:sz w:val="21"/>
                <w:szCs w:val="21"/>
                <w:u w:val="none"/>
                <w:lang w:val="en-US" w:eastAsia="zh-CN" w:bidi="ar-SA"/>
              </w:rPr>
            </w:pPr>
          </w:p>
        </w:tc>
        <w:tc>
          <w:tcPr>
            <w:tcW w:w="1276" w:type="dxa"/>
            <w:shd w:val="clear" w:color="auto" w:fill="auto"/>
            <w:vAlign w:val="center"/>
          </w:tcPr>
          <w:p w14:paraId="2EEE553A">
            <w:pPr>
              <w:pStyle w:val="115"/>
              <w:adjustRightInd/>
              <w:snapToGrid/>
              <w:spacing w:beforeLines="0" w:line="240" w:lineRule="auto"/>
              <w:rPr>
                <w:rFonts w:hint="eastAsia" w:ascii="Times New Roman" w:hAnsi="Times New Roman" w:eastAsia="宋体" w:cs="Times New Roman"/>
                <w:kern w:val="2"/>
                <w:sz w:val="21"/>
                <w:szCs w:val="21"/>
                <w:u w:val="none"/>
                <w:lang w:val="en-US" w:eastAsia="zh-CN" w:bidi="ar-SA"/>
              </w:rPr>
            </w:pPr>
          </w:p>
        </w:tc>
        <w:tc>
          <w:tcPr>
            <w:tcW w:w="1218" w:type="dxa"/>
            <w:vAlign w:val="center"/>
          </w:tcPr>
          <w:p w14:paraId="08484D6B">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39" w:type="dxa"/>
            <w:shd w:val="clear" w:color="auto" w:fill="auto"/>
            <w:vAlign w:val="center"/>
          </w:tcPr>
          <w:p w14:paraId="58CEAFF3">
            <w:pPr>
              <w:pStyle w:val="115"/>
              <w:adjustRightInd/>
              <w:snapToGrid/>
              <w:spacing w:beforeLines="0" w:line="240" w:lineRule="auto"/>
              <w:rPr>
                <w:rFonts w:hint="default" w:ascii="Times New Roman" w:hAnsi="Times New Roman" w:eastAsia="宋体" w:cs="Times New Roman"/>
                <w:kern w:val="2"/>
                <w:sz w:val="21"/>
                <w:szCs w:val="21"/>
                <w:u w:val="none"/>
                <w:lang w:val="en-US" w:eastAsia="zh-CN" w:bidi="ar-SA"/>
              </w:rPr>
            </w:pPr>
            <w:r>
              <w:rPr>
                <w:rFonts w:hint="default" w:ascii="Times New Roman" w:hAnsi="Times New Roman" w:cs="Times New Roman"/>
                <w:szCs w:val="21"/>
                <w:u w:val="none"/>
                <w:lang w:val="en-US" w:eastAsia="zh-CN"/>
              </w:rPr>
              <w:t>15.33</w:t>
            </w:r>
            <w:r>
              <w:rPr>
                <w:rFonts w:hint="default" w:ascii="Times New Roman" w:hAnsi="Times New Roman" w:cs="Times New Roman"/>
                <w:sz w:val="21"/>
                <w:szCs w:val="21"/>
                <w:highlight w:val="none"/>
              </w:rPr>
              <w:t>t/a</w:t>
            </w:r>
          </w:p>
        </w:tc>
        <w:tc>
          <w:tcPr>
            <w:tcW w:w="1637" w:type="dxa"/>
            <w:vAlign w:val="center"/>
          </w:tcPr>
          <w:p w14:paraId="0C40F252">
            <w:pPr>
              <w:pStyle w:val="115"/>
              <w:adjustRightInd/>
              <w:snapToGrid/>
              <w:spacing w:beforeLines="0" w:line="240" w:lineRule="auto"/>
              <w:rPr>
                <w:rFonts w:ascii="Times New Roman" w:hAnsi="Times New Roman"/>
                <w:snapToGrid w:val="0"/>
                <w:color w:val="000000"/>
                <w:kern w:val="21"/>
                <w:szCs w:val="21"/>
                <w:u w:val="none"/>
              </w:rPr>
            </w:pPr>
          </w:p>
        </w:tc>
        <w:tc>
          <w:tcPr>
            <w:tcW w:w="1580" w:type="dxa"/>
            <w:vAlign w:val="center"/>
          </w:tcPr>
          <w:p w14:paraId="329CDCA0">
            <w:pPr>
              <w:pStyle w:val="115"/>
              <w:adjustRightInd/>
              <w:snapToGrid/>
              <w:spacing w:beforeLines="0" w:line="240" w:lineRule="auto"/>
              <w:rPr>
                <w:rFonts w:ascii="Times New Roman" w:hAnsi="Times New Roman"/>
                <w:color w:val="000000"/>
                <w:szCs w:val="21"/>
                <w:u w:val="none"/>
              </w:rPr>
            </w:pPr>
            <w:r>
              <w:rPr>
                <w:rFonts w:hint="default" w:ascii="Times New Roman" w:hAnsi="Times New Roman" w:cs="Times New Roman"/>
                <w:szCs w:val="21"/>
                <w:u w:val="none"/>
                <w:lang w:val="en-US" w:eastAsia="zh-CN"/>
              </w:rPr>
              <w:t>15.33</w:t>
            </w:r>
            <w:r>
              <w:rPr>
                <w:rFonts w:hint="default" w:ascii="Times New Roman" w:hAnsi="Times New Roman" w:cs="Times New Roman"/>
                <w:sz w:val="21"/>
                <w:szCs w:val="21"/>
                <w:highlight w:val="none"/>
              </w:rPr>
              <w:t>t/a</w:t>
            </w:r>
          </w:p>
        </w:tc>
        <w:tc>
          <w:tcPr>
            <w:tcW w:w="1270" w:type="dxa"/>
            <w:vAlign w:val="center"/>
          </w:tcPr>
          <w:p w14:paraId="46C8BFBD">
            <w:pPr>
              <w:pStyle w:val="115"/>
              <w:adjustRightInd/>
              <w:snapToGrid/>
              <w:spacing w:beforeLines="0" w:line="240" w:lineRule="auto"/>
              <w:ind w:left="-105" w:leftChars="-50" w:right="-105" w:rightChars="-50"/>
              <w:rPr>
                <w:rFonts w:ascii="Times New Roman" w:hAnsi="Times New Roman"/>
                <w:szCs w:val="21"/>
                <w:highlight w:val="yellow"/>
                <w:u w:val="none"/>
              </w:rPr>
            </w:pPr>
          </w:p>
        </w:tc>
      </w:tr>
      <w:tr w14:paraId="61E3C3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Merge w:val="continue"/>
            <w:vAlign w:val="center"/>
          </w:tcPr>
          <w:p w14:paraId="60A26322">
            <w:pPr>
              <w:jc w:val="center"/>
              <w:rPr>
                <w:snapToGrid w:val="0"/>
                <w:color w:val="000000"/>
                <w:kern w:val="21"/>
                <w:szCs w:val="21"/>
                <w:u w:val="none"/>
              </w:rPr>
            </w:pPr>
          </w:p>
        </w:tc>
        <w:tc>
          <w:tcPr>
            <w:tcW w:w="2552" w:type="dxa"/>
            <w:vAlign w:val="center"/>
          </w:tcPr>
          <w:p w14:paraId="50C202D1">
            <w:pPr>
              <w:pStyle w:val="115"/>
              <w:adjustRightInd/>
              <w:snapToGrid/>
              <w:spacing w:beforeLines="0" w:line="240" w:lineRule="auto"/>
              <w:rPr>
                <w:rFonts w:ascii="Times New Roman" w:hAnsi="Times New Roman"/>
                <w:color w:val="000000"/>
                <w:szCs w:val="21"/>
                <w:u w:val="none"/>
              </w:rPr>
            </w:pPr>
            <w:r>
              <w:rPr>
                <w:rFonts w:hint="eastAsia" w:ascii="Times New Roman" w:hAnsi="Times New Roman"/>
                <w:szCs w:val="21"/>
                <w:u w:val="none"/>
              </w:rPr>
              <w:t>污水处理淤泥</w:t>
            </w:r>
          </w:p>
        </w:tc>
        <w:tc>
          <w:tcPr>
            <w:tcW w:w="1275" w:type="dxa"/>
            <w:shd w:val="clear" w:color="auto" w:fill="auto"/>
            <w:vAlign w:val="center"/>
          </w:tcPr>
          <w:p w14:paraId="3DF2E23E">
            <w:pPr>
              <w:pStyle w:val="115"/>
              <w:adjustRightInd/>
              <w:snapToGrid/>
              <w:spacing w:beforeLines="0" w:line="240" w:lineRule="auto"/>
              <w:ind w:left="-105" w:leftChars="-50" w:right="-105" w:rightChars="-50"/>
              <w:rPr>
                <w:rFonts w:ascii="Times New Roman" w:hAnsi="Times New Roman" w:eastAsia="宋体" w:cs="Times New Roman"/>
                <w:kern w:val="2"/>
                <w:sz w:val="21"/>
                <w:szCs w:val="21"/>
                <w:u w:val="none"/>
                <w:lang w:val="en-US" w:eastAsia="zh-CN" w:bidi="ar-SA"/>
              </w:rPr>
            </w:pPr>
          </w:p>
        </w:tc>
        <w:tc>
          <w:tcPr>
            <w:tcW w:w="1276" w:type="dxa"/>
            <w:shd w:val="clear" w:color="auto" w:fill="auto"/>
            <w:vAlign w:val="center"/>
          </w:tcPr>
          <w:p w14:paraId="29DE47F4">
            <w:pPr>
              <w:pStyle w:val="115"/>
              <w:adjustRightInd/>
              <w:snapToGrid/>
              <w:spacing w:beforeLines="0" w:line="240" w:lineRule="auto"/>
              <w:rPr>
                <w:rFonts w:hint="default" w:ascii="Times New Roman" w:hAnsi="Times New Roman" w:eastAsia="宋体" w:cs="Times New Roman"/>
                <w:kern w:val="2"/>
                <w:sz w:val="21"/>
                <w:szCs w:val="21"/>
                <w:highlight w:val="yellow"/>
                <w:u w:val="none"/>
                <w:lang w:val="en-US" w:eastAsia="zh-CN" w:bidi="ar-SA"/>
              </w:rPr>
            </w:pPr>
          </w:p>
        </w:tc>
        <w:tc>
          <w:tcPr>
            <w:tcW w:w="1218" w:type="dxa"/>
            <w:vAlign w:val="center"/>
          </w:tcPr>
          <w:p w14:paraId="4F7B36E7">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39" w:type="dxa"/>
            <w:shd w:val="clear" w:color="auto" w:fill="auto"/>
            <w:vAlign w:val="center"/>
          </w:tcPr>
          <w:p w14:paraId="44F61EE6">
            <w:pPr>
              <w:pStyle w:val="115"/>
              <w:adjustRightInd/>
              <w:snapToGrid/>
              <w:spacing w:beforeLines="0" w:line="240" w:lineRule="auto"/>
              <w:ind w:left="-105" w:leftChars="-50" w:right="-105" w:rightChars="-50"/>
              <w:rPr>
                <w:rFonts w:hint="default" w:ascii="Times New Roman" w:hAnsi="Times New Roman" w:eastAsia="宋体" w:cs="Times New Roman"/>
                <w:kern w:val="2"/>
                <w:sz w:val="21"/>
                <w:szCs w:val="21"/>
                <w:u w:val="none"/>
                <w:lang w:val="en-US" w:eastAsia="zh-CN" w:bidi="ar-SA"/>
              </w:rPr>
            </w:pPr>
            <w:r>
              <w:rPr>
                <w:rFonts w:hint="default" w:ascii="Times New Roman" w:hAnsi="Times New Roman" w:cs="Times New Roman"/>
                <w:szCs w:val="21"/>
                <w:u w:val="none"/>
              </w:rPr>
              <w:t>1.1</w:t>
            </w:r>
            <w:r>
              <w:rPr>
                <w:rFonts w:hint="default" w:ascii="Times New Roman" w:hAnsi="Times New Roman" w:cs="Times New Roman"/>
                <w:szCs w:val="21"/>
                <w:u w:val="none"/>
                <w:lang w:val="en-US" w:eastAsia="zh-CN"/>
              </w:rPr>
              <w:t>7</w:t>
            </w:r>
            <w:r>
              <w:rPr>
                <w:rFonts w:hint="default" w:ascii="Times New Roman" w:hAnsi="Times New Roman" w:cs="Times New Roman"/>
                <w:sz w:val="21"/>
                <w:szCs w:val="21"/>
                <w:highlight w:val="none"/>
              </w:rPr>
              <w:t>t/a</w:t>
            </w:r>
          </w:p>
        </w:tc>
        <w:tc>
          <w:tcPr>
            <w:tcW w:w="1637" w:type="dxa"/>
            <w:vAlign w:val="center"/>
          </w:tcPr>
          <w:p w14:paraId="310C355F">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80" w:type="dxa"/>
            <w:vAlign w:val="center"/>
          </w:tcPr>
          <w:p w14:paraId="3C6852DB">
            <w:pPr>
              <w:pStyle w:val="115"/>
              <w:adjustRightInd/>
              <w:snapToGrid/>
              <w:spacing w:beforeLines="0" w:line="240" w:lineRule="auto"/>
              <w:ind w:left="-105" w:leftChars="-50" w:right="-105" w:rightChars="-50"/>
              <w:rPr>
                <w:rFonts w:ascii="Times New Roman" w:hAnsi="Times New Roman"/>
                <w:color w:val="FF0000"/>
                <w:szCs w:val="21"/>
                <w:u w:val="none"/>
              </w:rPr>
            </w:pPr>
            <w:r>
              <w:rPr>
                <w:rFonts w:hint="default" w:ascii="Times New Roman" w:hAnsi="Times New Roman" w:cs="Times New Roman"/>
                <w:szCs w:val="21"/>
                <w:u w:val="none"/>
              </w:rPr>
              <w:t>1.1</w:t>
            </w:r>
            <w:r>
              <w:rPr>
                <w:rFonts w:hint="default" w:ascii="Times New Roman" w:hAnsi="Times New Roman" w:cs="Times New Roman"/>
                <w:szCs w:val="21"/>
                <w:u w:val="none"/>
                <w:lang w:val="en-US" w:eastAsia="zh-CN"/>
              </w:rPr>
              <w:t>7</w:t>
            </w:r>
            <w:r>
              <w:rPr>
                <w:rFonts w:hint="default" w:ascii="Times New Roman" w:hAnsi="Times New Roman" w:cs="Times New Roman"/>
                <w:sz w:val="21"/>
                <w:szCs w:val="21"/>
                <w:highlight w:val="none"/>
              </w:rPr>
              <w:t>t/a</w:t>
            </w:r>
          </w:p>
        </w:tc>
        <w:tc>
          <w:tcPr>
            <w:tcW w:w="1270" w:type="dxa"/>
            <w:vAlign w:val="center"/>
          </w:tcPr>
          <w:p w14:paraId="093F7121">
            <w:pPr>
              <w:pStyle w:val="115"/>
              <w:adjustRightInd/>
              <w:snapToGrid/>
              <w:spacing w:beforeLines="0" w:line="240" w:lineRule="auto"/>
              <w:ind w:left="-105" w:leftChars="-50" w:right="-105" w:rightChars="-50"/>
              <w:rPr>
                <w:rFonts w:ascii="Times New Roman" w:hAnsi="Times New Roman"/>
                <w:szCs w:val="21"/>
                <w:u w:val="none"/>
              </w:rPr>
            </w:pPr>
          </w:p>
        </w:tc>
      </w:tr>
      <w:tr w14:paraId="2EF10A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Align w:val="center"/>
          </w:tcPr>
          <w:p w14:paraId="56DE83BF">
            <w:pPr>
              <w:jc w:val="center"/>
              <w:rPr>
                <w:rFonts w:hint="eastAsia" w:eastAsia="宋体"/>
                <w:snapToGrid w:val="0"/>
                <w:color w:val="000000"/>
                <w:kern w:val="21"/>
                <w:szCs w:val="21"/>
                <w:u w:val="none"/>
                <w:lang w:val="en-US" w:eastAsia="zh-CN"/>
              </w:rPr>
            </w:pPr>
            <w:r>
              <w:rPr>
                <w:rFonts w:hint="eastAsia"/>
                <w:snapToGrid w:val="0"/>
                <w:color w:val="000000"/>
                <w:kern w:val="21"/>
                <w:szCs w:val="21"/>
                <w:u w:val="none"/>
                <w:lang w:val="en-US" w:eastAsia="zh-CN"/>
              </w:rPr>
              <w:t>/</w:t>
            </w:r>
          </w:p>
        </w:tc>
        <w:tc>
          <w:tcPr>
            <w:tcW w:w="2552" w:type="dxa"/>
            <w:vAlign w:val="center"/>
          </w:tcPr>
          <w:p w14:paraId="4AE3B29B">
            <w:pPr>
              <w:pStyle w:val="115"/>
              <w:adjustRightInd/>
              <w:snapToGrid/>
              <w:spacing w:beforeLines="0" w:line="240" w:lineRule="auto"/>
              <w:rPr>
                <w:rFonts w:hint="eastAsia" w:ascii="Times New Roman" w:hAnsi="Times New Roman"/>
                <w:color w:val="000000"/>
                <w:szCs w:val="21"/>
                <w:u w:val="none"/>
              </w:rPr>
            </w:pPr>
            <w:r>
              <w:rPr>
                <w:rFonts w:hint="eastAsia" w:ascii="Times New Roman" w:hAnsi="Times New Roman"/>
                <w:szCs w:val="21"/>
                <w:u w:val="none"/>
              </w:rPr>
              <w:t>厨余垃圾（含隔油池产生的油脂）</w:t>
            </w:r>
          </w:p>
        </w:tc>
        <w:tc>
          <w:tcPr>
            <w:tcW w:w="1275" w:type="dxa"/>
            <w:shd w:val="clear" w:color="auto" w:fill="auto"/>
            <w:vAlign w:val="center"/>
          </w:tcPr>
          <w:p w14:paraId="3FC6CB9D">
            <w:pPr>
              <w:pStyle w:val="115"/>
              <w:adjustRightInd/>
              <w:snapToGrid/>
              <w:spacing w:beforeLines="0" w:line="240" w:lineRule="auto"/>
              <w:rPr>
                <w:rFonts w:ascii="Times New Roman" w:hAnsi="Times New Roman" w:eastAsia="宋体" w:cs="Times New Roman"/>
                <w:kern w:val="2"/>
                <w:sz w:val="21"/>
                <w:szCs w:val="21"/>
                <w:u w:val="none"/>
                <w:lang w:val="en-US" w:eastAsia="zh-CN" w:bidi="ar-SA"/>
              </w:rPr>
            </w:pPr>
          </w:p>
        </w:tc>
        <w:tc>
          <w:tcPr>
            <w:tcW w:w="1276" w:type="dxa"/>
            <w:shd w:val="clear" w:color="auto" w:fill="auto"/>
            <w:vAlign w:val="center"/>
          </w:tcPr>
          <w:p w14:paraId="39D6126A">
            <w:pPr>
              <w:pStyle w:val="115"/>
              <w:adjustRightInd/>
              <w:snapToGrid/>
              <w:spacing w:beforeLines="0" w:line="240" w:lineRule="auto"/>
              <w:ind w:left="-105" w:leftChars="-50" w:right="-105" w:rightChars="-50"/>
              <w:rPr>
                <w:rFonts w:hint="default" w:ascii="Times New Roman" w:hAnsi="Times New Roman" w:eastAsia="宋体" w:cs="Times New Roman"/>
                <w:kern w:val="2"/>
                <w:sz w:val="21"/>
                <w:szCs w:val="21"/>
                <w:highlight w:val="yellow"/>
                <w:u w:val="none"/>
                <w:lang w:val="en-US" w:eastAsia="zh-CN" w:bidi="ar-SA"/>
              </w:rPr>
            </w:pPr>
          </w:p>
        </w:tc>
        <w:tc>
          <w:tcPr>
            <w:tcW w:w="1218" w:type="dxa"/>
            <w:vAlign w:val="center"/>
          </w:tcPr>
          <w:p w14:paraId="6EDAEED0">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39" w:type="dxa"/>
            <w:shd w:val="clear" w:color="auto" w:fill="auto"/>
            <w:vAlign w:val="center"/>
          </w:tcPr>
          <w:p w14:paraId="3A8CC75A">
            <w:pPr>
              <w:pStyle w:val="115"/>
              <w:adjustRightInd/>
              <w:snapToGrid/>
              <w:spacing w:beforeLines="0" w:line="240" w:lineRule="auto"/>
              <w:rPr>
                <w:rFonts w:hint="default" w:ascii="Times New Roman" w:hAnsi="Times New Roman" w:eastAsia="宋体" w:cs="Times New Roman"/>
                <w:kern w:val="2"/>
                <w:sz w:val="21"/>
                <w:szCs w:val="21"/>
                <w:u w:val="none"/>
                <w:lang w:val="en-US" w:eastAsia="zh-CN" w:bidi="ar-SA"/>
              </w:rPr>
            </w:pPr>
            <w:r>
              <w:rPr>
                <w:rFonts w:hint="default" w:ascii="Times New Roman" w:hAnsi="Times New Roman" w:cs="Times New Roman"/>
                <w:szCs w:val="24"/>
                <w:u w:val="none"/>
                <w:lang w:val="en-US" w:eastAsia="zh-CN"/>
              </w:rPr>
              <w:t>40.141</w:t>
            </w:r>
            <w:r>
              <w:rPr>
                <w:rFonts w:hint="default" w:ascii="Times New Roman" w:hAnsi="Times New Roman" w:cs="Times New Roman"/>
                <w:sz w:val="21"/>
                <w:szCs w:val="21"/>
                <w:highlight w:val="none"/>
              </w:rPr>
              <w:t>t/a</w:t>
            </w:r>
          </w:p>
        </w:tc>
        <w:tc>
          <w:tcPr>
            <w:tcW w:w="1637" w:type="dxa"/>
            <w:vAlign w:val="center"/>
          </w:tcPr>
          <w:p w14:paraId="4E761BCA">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80" w:type="dxa"/>
            <w:vAlign w:val="center"/>
          </w:tcPr>
          <w:p w14:paraId="1BA60DFE">
            <w:pPr>
              <w:pStyle w:val="115"/>
              <w:adjustRightInd/>
              <w:snapToGrid/>
              <w:spacing w:beforeLines="0" w:line="240" w:lineRule="auto"/>
              <w:rPr>
                <w:rFonts w:ascii="Times New Roman" w:hAnsi="Times New Roman"/>
                <w:color w:val="FF0000"/>
                <w:szCs w:val="21"/>
                <w:u w:val="none"/>
              </w:rPr>
            </w:pPr>
            <w:r>
              <w:rPr>
                <w:rFonts w:hint="default" w:ascii="Times New Roman" w:hAnsi="Times New Roman" w:cs="Times New Roman"/>
                <w:szCs w:val="24"/>
                <w:u w:val="none"/>
                <w:lang w:val="en-US" w:eastAsia="zh-CN"/>
              </w:rPr>
              <w:t>40.141</w:t>
            </w:r>
            <w:r>
              <w:rPr>
                <w:rFonts w:hint="default" w:ascii="Times New Roman" w:hAnsi="Times New Roman" w:cs="Times New Roman"/>
                <w:sz w:val="21"/>
                <w:szCs w:val="21"/>
                <w:highlight w:val="none"/>
              </w:rPr>
              <w:t>t/a</w:t>
            </w:r>
          </w:p>
        </w:tc>
        <w:tc>
          <w:tcPr>
            <w:tcW w:w="1270" w:type="dxa"/>
            <w:vAlign w:val="center"/>
          </w:tcPr>
          <w:p w14:paraId="7FC7FD8C">
            <w:pPr>
              <w:pStyle w:val="115"/>
              <w:adjustRightInd/>
              <w:snapToGrid/>
              <w:spacing w:beforeLines="0" w:line="240" w:lineRule="auto"/>
              <w:ind w:left="-105" w:leftChars="-50" w:right="-105" w:rightChars="-50"/>
              <w:rPr>
                <w:rFonts w:ascii="Times New Roman" w:hAnsi="Times New Roman"/>
                <w:szCs w:val="21"/>
                <w:u w:val="none"/>
              </w:rPr>
            </w:pPr>
          </w:p>
        </w:tc>
      </w:tr>
      <w:tr w14:paraId="4436BA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61" w:type="dxa"/>
            <w:vAlign w:val="center"/>
          </w:tcPr>
          <w:p w14:paraId="1CF81D56">
            <w:pPr>
              <w:jc w:val="center"/>
              <w:rPr>
                <w:rFonts w:hint="eastAsia" w:eastAsia="宋体"/>
                <w:snapToGrid w:val="0"/>
                <w:color w:val="000000"/>
                <w:kern w:val="21"/>
                <w:szCs w:val="21"/>
                <w:u w:val="none"/>
                <w:lang w:val="en-US" w:eastAsia="zh-CN"/>
              </w:rPr>
            </w:pPr>
            <w:r>
              <w:rPr>
                <w:rFonts w:hint="eastAsia"/>
                <w:snapToGrid w:val="0"/>
                <w:color w:val="000000"/>
                <w:kern w:val="21"/>
                <w:szCs w:val="21"/>
                <w:u w:val="none"/>
                <w:lang w:val="en-US" w:eastAsia="zh-CN"/>
              </w:rPr>
              <w:t>/</w:t>
            </w:r>
          </w:p>
        </w:tc>
        <w:tc>
          <w:tcPr>
            <w:tcW w:w="2552" w:type="dxa"/>
            <w:vAlign w:val="center"/>
          </w:tcPr>
          <w:p w14:paraId="597722AC">
            <w:pPr>
              <w:pStyle w:val="115"/>
              <w:adjustRightInd/>
              <w:snapToGrid/>
              <w:spacing w:beforeLines="0" w:line="240" w:lineRule="auto"/>
              <w:rPr>
                <w:rFonts w:hint="eastAsia" w:ascii="Times New Roman" w:hAnsi="Times New Roman"/>
                <w:color w:val="000000"/>
                <w:szCs w:val="21"/>
                <w:u w:val="none"/>
              </w:rPr>
            </w:pPr>
            <w:r>
              <w:rPr>
                <w:rFonts w:ascii="Times New Roman" w:hAnsi="Times New Roman"/>
                <w:szCs w:val="21"/>
                <w:u w:val="none"/>
              </w:rPr>
              <w:t>生活垃圾</w:t>
            </w:r>
          </w:p>
        </w:tc>
        <w:tc>
          <w:tcPr>
            <w:tcW w:w="1275" w:type="dxa"/>
            <w:shd w:val="clear" w:color="auto" w:fill="auto"/>
            <w:vAlign w:val="center"/>
          </w:tcPr>
          <w:p w14:paraId="3C629B99">
            <w:pPr>
              <w:pStyle w:val="115"/>
              <w:adjustRightInd/>
              <w:snapToGrid/>
              <w:spacing w:beforeLines="0" w:line="240" w:lineRule="auto"/>
              <w:rPr>
                <w:rFonts w:ascii="Times New Roman" w:hAnsi="Times New Roman" w:eastAsia="宋体" w:cs="Times New Roman"/>
                <w:kern w:val="2"/>
                <w:sz w:val="21"/>
                <w:szCs w:val="21"/>
                <w:u w:val="none"/>
                <w:lang w:val="en-US" w:eastAsia="zh-CN" w:bidi="ar-SA"/>
              </w:rPr>
            </w:pPr>
          </w:p>
        </w:tc>
        <w:tc>
          <w:tcPr>
            <w:tcW w:w="1276" w:type="dxa"/>
            <w:shd w:val="clear" w:color="auto" w:fill="auto"/>
            <w:vAlign w:val="center"/>
          </w:tcPr>
          <w:p w14:paraId="63407FE9">
            <w:pPr>
              <w:pStyle w:val="115"/>
              <w:adjustRightInd/>
              <w:snapToGrid/>
              <w:spacing w:beforeLines="0" w:line="240" w:lineRule="auto"/>
              <w:rPr>
                <w:rFonts w:hint="eastAsia" w:ascii="Times New Roman" w:hAnsi="Times New Roman" w:eastAsia="宋体" w:cs="Times New Roman"/>
                <w:kern w:val="2"/>
                <w:sz w:val="21"/>
                <w:szCs w:val="21"/>
                <w:u w:val="none"/>
                <w:lang w:val="en-US" w:eastAsia="zh-CN" w:bidi="ar-SA"/>
              </w:rPr>
            </w:pPr>
          </w:p>
        </w:tc>
        <w:tc>
          <w:tcPr>
            <w:tcW w:w="1218" w:type="dxa"/>
            <w:vAlign w:val="center"/>
          </w:tcPr>
          <w:p w14:paraId="483822E4">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39" w:type="dxa"/>
            <w:shd w:val="clear" w:color="auto" w:fill="auto"/>
            <w:vAlign w:val="center"/>
          </w:tcPr>
          <w:p w14:paraId="70487A46">
            <w:pPr>
              <w:pStyle w:val="115"/>
              <w:adjustRightInd/>
              <w:snapToGrid/>
              <w:spacing w:beforeLines="0" w:line="240" w:lineRule="auto"/>
              <w:rPr>
                <w:rFonts w:hint="default" w:ascii="Times New Roman" w:hAnsi="Times New Roman" w:eastAsia="宋体" w:cs="Times New Roman"/>
                <w:kern w:val="2"/>
                <w:sz w:val="21"/>
                <w:szCs w:val="21"/>
                <w:u w:val="none"/>
                <w:lang w:val="en-US" w:eastAsia="zh-CN" w:bidi="ar-SA"/>
              </w:rPr>
            </w:pPr>
            <w:r>
              <w:rPr>
                <w:rFonts w:hint="default" w:ascii="Times New Roman" w:hAnsi="Times New Roman" w:cs="Times New Roman"/>
                <w:szCs w:val="21"/>
                <w:u w:val="none"/>
                <w:lang w:val="en-US" w:eastAsia="zh-CN"/>
              </w:rPr>
              <w:t>177.025</w:t>
            </w:r>
            <w:r>
              <w:rPr>
                <w:rFonts w:hint="default" w:ascii="Times New Roman" w:hAnsi="Times New Roman" w:cs="Times New Roman"/>
                <w:sz w:val="21"/>
                <w:szCs w:val="21"/>
                <w:highlight w:val="none"/>
              </w:rPr>
              <w:t>t/a</w:t>
            </w:r>
          </w:p>
        </w:tc>
        <w:tc>
          <w:tcPr>
            <w:tcW w:w="1637" w:type="dxa"/>
            <w:vAlign w:val="center"/>
          </w:tcPr>
          <w:p w14:paraId="00C5CB42">
            <w:pPr>
              <w:pStyle w:val="115"/>
              <w:adjustRightInd/>
              <w:snapToGrid/>
              <w:spacing w:beforeLines="0" w:line="240" w:lineRule="auto"/>
              <w:rPr>
                <w:rFonts w:ascii="Times New Roman" w:hAnsi="Times New Roman"/>
                <w:snapToGrid w:val="0"/>
                <w:color w:val="000000"/>
                <w:kern w:val="21"/>
                <w:szCs w:val="21"/>
                <w:highlight w:val="yellow"/>
                <w:u w:val="none"/>
              </w:rPr>
            </w:pPr>
          </w:p>
        </w:tc>
        <w:tc>
          <w:tcPr>
            <w:tcW w:w="1580" w:type="dxa"/>
            <w:vAlign w:val="center"/>
          </w:tcPr>
          <w:p w14:paraId="6862646A">
            <w:pPr>
              <w:pStyle w:val="115"/>
              <w:adjustRightInd/>
              <w:snapToGrid/>
              <w:spacing w:beforeLines="0" w:line="240" w:lineRule="auto"/>
              <w:rPr>
                <w:rFonts w:ascii="Times New Roman" w:hAnsi="Times New Roman"/>
                <w:color w:val="FF0000"/>
                <w:szCs w:val="21"/>
                <w:u w:val="none"/>
              </w:rPr>
            </w:pPr>
            <w:r>
              <w:rPr>
                <w:rFonts w:hint="default" w:ascii="Times New Roman" w:hAnsi="Times New Roman" w:cs="Times New Roman"/>
                <w:szCs w:val="21"/>
                <w:u w:val="none"/>
                <w:lang w:val="en-US" w:eastAsia="zh-CN"/>
              </w:rPr>
              <w:t>177.025</w:t>
            </w:r>
            <w:r>
              <w:rPr>
                <w:rFonts w:hint="default" w:ascii="Times New Roman" w:hAnsi="Times New Roman" w:cs="Times New Roman"/>
                <w:sz w:val="21"/>
                <w:szCs w:val="21"/>
                <w:highlight w:val="none"/>
              </w:rPr>
              <w:t>t/a</w:t>
            </w:r>
          </w:p>
        </w:tc>
        <w:tc>
          <w:tcPr>
            <w:tcW w:w="1270" w:type="dxa"/>
            <w:vAlign w:val="center"/>
          </w:tcPr>
          <w:p w14:paraId="7F126580">
            <w:pPr>
              <w:pStyle w:val="115"/>
              <w:adjustRightInd/>
              <w:snapToGrid/>
              <w:spacing w:beforeLines="0" w:line="240" w:lineRule="auto"/>
              <w:ind w:left="-105" w:leftChars="-50" w:right="-105" w:rightChars="-50"/>
              <w:rPr>
                <w:rFonts w:ascii="Times New Roman" w:hAnsi="Times New Roman"/>
                <w:szCs w:val="21"/>
                <w:u w:val="none"/>
              </w:rPr>
            </w:pPr>
          </w:p>
        </w:tc>
      </w:tr>
    </w:tbl>
    <w:p w14:paraId="1AF2328D">
      <w:pPr>
        <w:pStyle w:val="115"/>
        <w:spacing w:beforeLines="0" w:line="360" w:lineRule="auto"/>
        <w:jc w:val="left"/>
        <w:rPr>
          <w:rFonts w:ascii="Times New Roman" w:hAnsi="Times New Roman"/>
          <w:snapToGrid w:val="0"/>
          <w:color w:val="000000"/>
          <w:spacing w:val="-6"/>
          <w:kern w:val="21"/>
          <w:sz w:val="24"/>
          <w:szCs w:val="24"/>
        </w:rPr>
      </w:pPr>
      <w:r>
        <w:rPr>
          <w:rFonts w:ascii="Times New Roman" w:hAnsi="Times New Roman"/>
          <w:snapToGrid w:val="0"/>
          <w:color w:val="000000"/>
          <w:kern w:val="21"/>
          <w:sz w:val="24"/>
          <w:szCs w:val="24"/>
        </w:rPr>
        <w:t>注：</w:t>
      </w:r>
      <w:r>
        <w:rPr>
          <w:rFonts w:ascii="Times New Roman" w:hAnsi="Times New Roman"/>
          <w:snapToGrid w:val="0"/>
          <w:color w:val="000000"/>
          <w:spacing w:val="-16"/>
          <w:kern w:val="21"/>
          <w:sz w:val="24"/>
          <w:szCs w:val="24"/>
        </w:rPr>
        <w:fldChar w:fldCharType="begin"/>
      </w:r>
      <w:r>
        <w:rPr>
          <w:rFonts w:ascii="Times New Roman" w:hAnsi="Times New Roman"/>
          <w:snapToGrid w:val="0"/>
          <w:color w:val="000000"/>
          <w:spacing w:val="-16"/>
          <w:kern w:val="21"/>
          <w:sz w:val="24"/>
          <w:szCs w:val="24"/>
        </w:rPr>
        <w:instrText xml:space="preserve"> = 6 \* GB3 \* MERGEFORMAT </w:instrText>
      </w:r>
      <w:r>
        <w:rPr>
          <w:rFonts w:ascii="Times New Roman" w:hAnsi="Times New Roman"/>
          <w:snapToGrid w:val="0"/>
          <w:color w:val="000000"/>
          <w:spacing w:val="-16"/>
          <w:kern w:val="21"/>
          <w:sz w:val="24"/>
          <w:szCs w:val="24"/>
        </w:rPr>
        <w:fldChar w:fldCharType="separate"/>
      </w:r>
      <w:r>
        <w:rPr>
          <w:rFonts w:hint="eastAsia" w:cs="宋体"/>
          <w:color w:val="000000"/>
          <w:sz w:val="24"/>
          <w:szCs w:val="24"/>
        </w:rPr>
        <w:t>⑥</w:t>
      </w:r>
      <w:r>
        <w:rPr>
          <w:rFonts w:ascii="Times New Roman" w:hAnsi="Times New Roman"/>
          <w:snapToGrid w:val="0"/>
          <w:color w:val="000000"/>
          <w:spacing w:val="-16"/>
          <w:kern w:val="21"/>
          <w:sz w:val="24"/>
          <w:szCs w:val="24"/>
        </w:rPr>
        <w:fldChar w:fldCharType="end"/>
      </w:r>
      <w:r>
        <w:rPr>
          <w:rFonts w:ascii="Times New Roman" w:hAnsi="Times New Roman"/>
          <w:snapToGrid w:val="0"/>
          <w:color w:val="000000"/>
          <w:spacing w:val="-16"/>
          <w:kern w:val="21"/>
          <w:sz w:val="24"/>
          <w:szCs w:val="24"/>
        </w:rPr>
        <w:t>=</w:t>
      </w:r>
      <w:r>
        <w:rPr>
          <w:rFonts w:ascii="Times New Roman" w:hAnsi="Times New Roman"/>
          <w:snapToGrid w:val="0"/>
          <w:color w:val="000000"/>
          <w:spacing w:val="-6"/>
          <w:kern w:val="21"/>
          <w:sz w:val="24"/>
          <w:szCs w:val="24"/>
        </w:rPr>
        <w:fldChar w:fldCharType="begin"/>
      </w:r>
      <w:r>
        <w:rPr>
          <w:rFonts w:ascii="Times New Roman" w:hAnsi="Times New Roman"/>
          <w:snapToGrid w:val="0"/>
          <w:color w:val="000000"/>
          <w:spacing w:val="-6"/>
          <w:kern w:val="21"/>
          <w:sz w:val="24"/>
          <w:szCs w:val="24"/>
        </w:rPr>
        <w:instrText xml:space="preserve"> = 1 \* GB3 \* MERGEFORMAT </w:instrText>
      </w:r>
      <w:r>
        <w:rPr>
          <w:rFonts w:ascii="Times New Roman" w:hAnsi="Times New Roman"/>
          <w:snapToGrid w:val="0"/>
          <w:color w:val="000000"/>
          <w:spacing w:val="-6"/>
          <w:kern w:val="21"/>
          <w:sz w:val="24"/>
          <w:szCs w:val="24"/>
        </w:rPr>
        <w:fldChar w:fldCharType="separate"/>
      </w:r>
      <w:r>
        <w:rPr>
          <w:rFonts w:hint="eastAsia" w:cs="宋体"/>
          <w:color w:val="000000"/>
          <w:sz w:val="24"/>
          <w:szCs w:val="24"/>
        </w:rPr>
        <w:t>①</w:t>
      </w:r>
      <w:r>
        <w:rPr>
          <w:rFonts w:ascii="Times New Roman" w:hAnsi="Times New Roman"/>
          <w:snapToGrid w:val="0"/>
          <w:color w:val="000000"/>
          <w:spacing w:val="-6"/>
          <w:kern w:val="21"/>
          <w:sz w:val="24"/>
          <w:szCs w:val="24"/>
        </w:rPr>
        <w:fldChar w:fldCharType="end"/>
      </w:r>
      <w:r>
        <w:rPr>
          <w:rFonts w:ascii="Times New Roman" w:hAnsi="Times New Roman"/>
          <w:snapToGrid w:val="0"/>
          <w:color w:val="000000"/>
          <w:spacing w:val="-6"/>
          <w:kern w:val="21"/>
          <w:sz w:val="24"/>
          <w:szCs w:val="24"/>
        </w:rPr>
        <w:t>+</w:t>
      </w:r>
      <w:r>
        <w:rPr>
          <w:rFonts w:ascii="Times New Roman" w:hAnsi="Times New Roman"/>
          <w:snapToGrid w:val="0"/>
          <w:color w:val="000000"/>
          <w:spacing w:val="-6"/>
          <w:kern w:val="21"/>
          <w:sz w:val="24"/>
          <w:szCs w:val="24"/>
        </w:rPr>
        <w:fldChar w:fldCharType="begin"/>
      </w:r>
      <w:r>
        <w:rPr>
          <w:rFonts w:ascii="Times New Roman" w:hAnsi="Times New Roman"/>
          <w:snapToGrid w:val="0"/>
          <w:color w:val="000000"/>
          <w:spacing w:val="-6"/>
          <w:kern w:val="21"/>
          <w:sz w:val="24"/>
          <w:szCs w:val="24"/>
        </w:rPr>
        <w:instrText xml:space="preserve"> = 3 \* GB3 \* MERGEFORMAT </w:instrText>
      </w:r>
      <w:r>
        <w:rPr>
          <w:rFonts w:ascii="Times New Roman" w:hAnsi="Times New Roman"/>
          <w:snapToGrid w:val="0"/>
          <w:color w:val="000000"/>
          <w:spacing w:val="-6"/>
          <w:kern w:val="21"/>
          <w:sz w:val="24"/>
          <w:szCs w:val="24"/>
        </w:rPr>
        <w:fldChar w:fldCharType="separate"/>
      </w:r>
      <w:r>
        <w:rPr>
          <w:rFonts w:hint="eastAsia" w:cs="宋体"/>
          <w:color w:val="000000"/>
          <w:sz w:val="24"/>
          <w:szCs w:val="24"/>
        </w:rPr>
        <w:t>③</w:t>
      </w:r>
      <w:r>
        <w:rPr>
          <w:rFonts w:ascii="Times New Roman" w:hAnsi="Times New Roman"/>
          <w:snapToGrid w:val="0"/>
          <w:color w:val="000000"/>
          <w:spacing w:val="-6"/>
          <w:kern w:val="21"/>
          <w:sz w:val="24"/>
          <w:szCs w:val="24"/>
        </w:rPr>
        <w:fldChar w:fldCharType="end"/>
      </w:r>
      <w:r>
        <w:rPr>
          <w:rFonts w:ascii="Times New Roman" w:hAnsi="Times New Roman"/>
          <w:snapToGrid w:val="0"/>
          <w:color w:val="000000"/>
          <w:spacing w:val="-6"/>
          <w:kern w:val="21"/>
          <w:sz w:val="24"/>
          <w:szCs w:val="24"/>
        </w:rPr>
        <w:t>+</w:t>
      </w:r>
      <w:r>
        <w:rPr>
          <w:rFonts w:ascii="Times New Roman" w:hAnsi="Times New Roman"/>
          <w:snapToGrid w:val="0"/>
          <w:color w:val="000000"/>
          <w:spacing w:val="-6"/>
          <w:kern w:val="21"/>
          <w:sz w:val="24"/>
          <w:szCs w:val="24"/>
        </w:rPr>
        <w:fldChar w:fldCharType="begin"/>
      </w:r>
      <w:r>
        <w:rPr>
          <w:rFonts w:ascii="Times New Roman" w:hAnsi="Times New Roman"/>
          <w:snapToGrid w:val="0"/>
          <w:color w:val="000000"/>
          <w:spacing w:val="-6"/>
          <w:kern w:val="21"/>
          <w:sz w:val="24"/>
          <w:szCs w:val="24"/>
        </w:rPr>
        <w:instrText xml:space="preserve"> = 4 \* GB3 \* MERGEFORMAT </w:instrText>
      </w:r>
      <w:r>
        <w:rPr>
          <w:rFonts w:ascii="Times New Roman" w:hAnsi="Times New Roman"/>
          <w:snapToGrid w:val="0"/>
          <w:color w:val="000000"/>
          <w:spacing w:val="-6"/>
          <w:kern w:val="21"/>
          <w:sz w:val="24"/>
          <w:szCs w:val="24"/>
        </w:rPr>
        <w:fldChar w:fldCharType="separate"/>
      </w:r>
      <w:r>
        <w:rPr>
          <w:rFonts w:hint="eastAsia" w:cs="宋体"/>
          <w:color w:val="000000"/>
          <w:sz w:val="24"/>
          <w:szCs w:val="24"/>
        </w:rPr>
        <w:t>④</w:t>
      </w:r>
      <w:r>
        <w:rPr>
          <w:rFonts w:ascii="Times New Roman" w:hAnsi="Times New Roman"/>
          <w:snapToGrid w:val="0"/>
          <w:color w:val="000000"/>
          <w:spacing w:val="-6"/>
          <w:kern w:val="21"/>
          <w:sz w:val="24"/>
          <w:szCs w:val="24"/>
        </w:rPr>
        <w:fldChar w:fldCharType="end"/>
      </w:r>
      <w:r>
        <w:rPr>
          <w:rFonts w:ascii="Times New Roman" w:hAnsi="Times New Roman"/>
          <w:snapToGrid w:val="0"/>
          <w:color w:val="000000"/>
          <w:spacing w:val="-6"/>
          <w:kern w:val="21"/>
          <w:sz w:val="24"/>
          <w:szCs w:val="24"/>
        </w:rPr>
        <w:t>-</w:t>
      </w:r>
      <w:r>
        <w:rPr>
          <w:rFonts w:ascii="Times New Roman" w:hAnsi="Times New Roman"/>
          <w:snapToGrid w:val="0"/>
          <w:color w:val="000000"/>
          <w:spacing w:val="-16"/>
          <w:kern w:val="21"/>
          <w:sz w:val="24"/>
          <w:szCs w:val="24"/>
        </w:rPr>
        <w:fldChar w:fldCharType="begin"/>
      </w:r>
      <w:r>
        <w:rPr>
          <w:rFonts w:ascii="Times New Roman" w:hAnsi="Times New Roman"/>
          <w:snapToGrid w:val="0"/>
          <w:color w:val="000000"/>
          <w:spacing w:val="-16"/>
          <w:kern w:val="21"/>
          <w:sz w:val="24"/>
          <w:szCs w:val="24"/>
        </w:rPr>
        <w:instrText xml:space="preserve"> = 5 \* GB3 \* MERGEFORMAT </w:instrText>
      </w:r>
      <w:r>
        <w:rPr>
          <w:rFonts w:ascii="Times New Roman" w:hAnsi="Times New Roman"/>
          <w:snapToGrid w:val="0"/>
          <w:color w:val="000000"/>
          <w:spacing w:val="-16"/>
          <w:kern w:val="21"/>
          <w:sz w:val="24"/>
          <w:szCs w:val="24"/>
        </w:rPr>
        <w:fldChar w:fldCharType="separate"/>
      </w:r>
      <w:r>
        <w:rPr>
          <w:rFonts w:hint="eastAsia" w:cs="宋体"/>
          <w:color w:val="000000"/>
          <w:sz w:val="24"/>
          <w:szCs w:val="24"/>
        </w:rPr>
        <w:t>⑤</w:t>
      </w:r>
      <w:r>
        <w:rPr>
          <w:rFonts w:ascii="Times New Roman" w:hAnsi="Times New Roman"/>
          <w:snapToGrid w:val="0"/>
          <w:color w:val="000000"/>
          <w:spacing w:val="-16"/>
          <w:kern w:val="21"/>
          <w:sz w:val="24"/>
          <w:szCs w:val="24"/>
        </w:rPr>
        <w:fldChar w:fldCharType="end"/>
      </w:r>
      <w:r>
        <w:rPr>
          <w:rFonts w:ascii="Times New Roman" w:hAnsi="Times New Roman"/>
          <w:snapToGrid w:val="0"/>
          <w:color w:val="000000"/>
          <w:spacing w:val="-16"/>
          <w:kern w:val="21"/>
          <w:sz w:val="24"/>
          <w:szCs w:val="24"/>
        </w:rPr>
        <w:t>；</w:t>
      </w:r>
      <w:r>
        <w:rPr>
          <w:rFonts w:ascii="Times New Roman" w:hAnsi="Times New Roman"/>
          <w:snapToGrid w:val="0"/>
          <w:color w:val="000000"/>
          <w:spacing w:val="-6"/>
          <w:kern w:val="21"/>
          <w:sz w:val="24"/>
          <w:szCs w:val="24"/>
        </w:rPr>
        <w:fldChar w:fldCharType="begin"/>
      </w:r>
      <w:r>
        <w:rPr>
          <w:rFonts w:ascii="Times New Roman" w:hAnsi="Times New Roman"/>
          <w:snapToGrid w:val="0"/>
          <w:color w:val="000000"/>
          <w:spacing w:val="-6"/>
          <w:kern w:val="21"/>
          <w:sz w:val="24"/>
          <w:szCs w:val="24"/>
        </w:rPr>
        <w:instrText xml:space="preserve"> = 7 \* GB3 \* MERGEFORMAT </w:instrText>
      </w:r>
      <w:r>
        <w:rPr>
          <w:rFonts w:ascii="Times New Roman" w:hAnsi="Times New Roman"/>
          <w:snapToGrid w:val="0"/>
          <w:color w:val="000000"/>
          <w:spacing w:val="-6"/>
          <w:kern w:val="21"/>
          <w:sz w:val="24"/>
          <w:szCs w:val="24"/>
        </w:rPr>
        <w:fldChar w:fldCharType="separate"/>
      </w:r>
      <w:r>
        <w:rPr>
          <w:rFonts w:hint="eastAsia" w:cs="宋体"/>
          <w:color w:val="000000"/>
          <w:sz w:val="24"/>
          <w:szCs w:val="24"/>
        </w:rPr>
        <w:t>⑦</w:t>
      </w:r>
      <w:r>
        <w:rPr>
          <w:rFonts w:ascii="Times New Roman" w:hAnsi="Times New Roman"/>
          <w:snapToGrid w:val="0"/>
          <w:color w:val="000000"/>
          <w:spacing w:val="-6"/>
          <w:kern w:val="21"/>
          <w:sz w:val="24"/>
          <w:szCs w:val="24"/>
        </w:rPr>
        <w:fldChar w:fldCharType="end"/>
      </w:r>
      <w:r>
        <w:rPr>
          <w:rFonts w:ascii="Times New Roman" w:hAnsi="Times New Roman"/>
          <w:snapToGrid w:val="0"/>
          <w:color w:val="000000"/>
          <w:spacing w:val="-6"/>
          <w:kern w:val="21"/>
          <w:sz w:val="24"/>
          <w:szCs w:val="24"/>
        </w:rPr>
        <w:t>=</w:t>
      </w:r>
      <w:r>
        <w:rPr>
          <w:rFonts w:ascii="Times New Roman" w:hAnsi="Times New Roman"/>
          <w:snapToGrid w:val="0"/>
          <w:color w:val="000000"/>
          <w:spacing w:val="-16"/>
          <w:kern w:val="21"/>
          <w:sz w:val="24"/>
          <w:szCs w:val="24"/>
        </w:rPr>
        <w:fldChar w:fldCharType="begin"/>
      </w:r>
      <w:r>
        <w:rPr>
          <w:rFonts w:ascii="Times New Roman" w:hAnsi="Times New Roman"/>
          <w:snapToGrid w:val="0"/>
          <w:color w:val="000000"/>
          <w:spacing w:val="-16"/>
          <w:kern w:val="21"/>
          <w:sz w:val="24"/>
          <w:szCs w:val="24"/>
        </w:rPr>
        <w:instrText xml:space="preserve"> = 6 \* GB3 \* MERGEFORMAT </w:instrText>
      </w:r>
      <w:r>
        <w:rPr>
          <w:rFonts w:ascii="Times New Roman" w:hAnsi="Times New Roman"/>
          <w:snapToGrid w:val="0"/>
          <w:color w:val="000000"/>
          <w:spacing w:val="-16"/>
          <w:kern w:val="21"/>
          <w:sz w:val="24"/>
          <w:szCs w:val="24"/>
        </w:rPr>
        <w:fldChar w:fldCharType="separate"/>
      </w:r>
      <w:r>
        <w:rPr>
          <w:rFonts w:hint="eastAsia" w:cs="宋体"/>
          <w:color w:val="000000"/>
          <w:sz w:val="24"/>
          <w:szCs w:val="24"/>
        </w:rPr>
        <w:t>⑥</w:t>
      </w:r>
      <w:r>
        <w:rPr>
          <w:rFonts w:ascii="Times New Roman" w:hAnsi="Times New Roman"/>
          <w:snapToGrid w:val="0"/>
          <w:color w:val="000000"/>
          <w:spacing w:val="-16"/>
          <w:kern w:val="21"/>
          <w:sz w:val="24"/>
          <w:szCs w:val="24"/>
        </w:rPr>
        <w:fldChar w:fldCharType="end"/>
      </w:r>
      <w:r>
        <w:rPr>
          <w:rFonts w:ascii="Times New Roman" w:hAnsi="Times New Roman"/>
          <w:snapToGrid w:val="0"/>
          <w:color w:val="000000"/>
          <w:spacing w:val="-16"/>
          <w:kern w:val="21"/>
          <w:sz w:val="24"/>
          <w:szCs w:val="24"/>
        </w:rPr>
        <w:t>-</w:t>
      </w:r>
      <w:r>
        <w:rPr>
          <w:rFonts w:ascii="Times New Roman" w:hAnsi="Times New Roman"/>
          <w:snapToGrid w:val="0"/>
          <w:color w:val="000000"/>
          <w:spacing w:val="-6"/>
          <w:kern w:val="21"/>
          <w:sz w:val="24"/>
          <w:szCs w:val="24"/>
        </w:rPr>
        <w:fldChar w:fldCharType="begin"/>
      </w:r>
      <w:r>
        <w:rPr>
          <w:rFonts w:ascii="Times New Roman" w:hAnsi="Times New Roman"/>
          <w:snapToGrid w:val="0"/>
          <w:color w:val="000000"/>
          <w:spacing w:val="-6"/>
          <w:kern w:val="21"/>
          <w:sz w:val="24"/>
          <w:szCs w:val="24"/>
        </w:rPr>
        <w:instrText xml:space="preserve"> = 1 \* GB3 \* MERGEFORMAT </w:instrText>
      </w:r>
      <w:r>
        <w:rPr>
          <w:rFonts w:ascii="Times New Roman" w:hAnsi="Times New Roman"/>
          <w:snapToGrid w:val="0"/>
          <w:color w:val="000000"/>
          <w:spacing w:val="-6"/>
          <w:kern w:val="21"/>
          <w:sz w:val="24"/>
          <w:szCs w:val="24"/>
        </w:rPr>
        <w:fldChar w:fldCharType="separate"/>
      </w:r>
      <w:r>
        <w:rPr>
          <w:rFonts w:hint="eastAsia" w:cs="宋体"/>
          <w:color w:val="000000"/>
          <w:sz w:val="24"/>
          <w:szCs w:val="24"/>
        </w:rPr>
        <w:t>①</w:t>
      </w:r>
      <w:r>
        <w:rPr>
          <w:rFonts w:ascii="Times New Roman" w:hAnsi="Times New Roman"/>
          <w:snapToGrid w:val="0"/>
          <w:color w:val="000000"/>
          <w:spacing w:val="-6"/>
          <w:kern w:val="21"/>
          <w:sz w:val="24"/>
          <w:szCs w:val="24"/>
        </w:rPr>
        <w:fldChar w:fldCharType="end"/>
      </w:r>
    </w:p>
    <w:sectPr>
      <w:pgSz w:w="16838" w:h="11906" w:orient="landscape"/>
      <w:pgMar w:top="1440" w:right="1701" w:bottom="1440" w:left="170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7F" w:usb3="00000000" w:csb0="203F01FF" w:csb1="D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Book Antiqua">
    <w:panose1 w:val="02040602050305030304"/>
    <w:charset w:val="00"/>
    <w:family w:val="roman"/>
    <w:pitch w:val="default"/>
    <w:sig w:usb0="00000287" w:usb1="00000000" w:usb2="00000000" w:usb3="00000000" w:csb0="2000009F" w:csb1="DFD70000"/>
  </w:font>
  <w:font w:name="新宋体">
    <w:panose1 w:val="02010609030101010101"/>
    <w:charset w:val="86"/>
    <w:family w:val="modern"/>
    <w:pitch w:val="default"/>
    <w:sig w:usb0="00000283" w:usb1="288F0000" w:usb2="00000006" w:usb3="00000000" w:csb0="00040001" w:csb1="00000000"/>
  </w:font>
  <w:font w:name="TimesNewRomanPSMT">
    <w:altName w:val="宋体"/>
    <w:panose1 w:val="00000000000000000000"/>
    <w:charset w:val="00"/>
    <w:family w:val="roman"/>
    <w:pitch w:val="default"/>
    <w:sig w:usb0="00000000" w:usb1="00000000" w:usb2="00000010" w:usb3="00000000" w:csb0="00040001" w:csb1="00000000"/>
  </w:font>
  <w:font w:name="等线 Light">
    <w:panose1 w:val="02010600030101010101"/>
    <w:charset w:val="86"/>
    <w:family w:val="auto"/>
    <w:pitch w:val="default"/>
    <w:sig w:usb0="A00002BF" w:usb1="38CF7CFA" w:usb2="00000016" w:usb3="00000000" w:csb0="0004000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昆仑仿宋">
    <w:altName w:val="黑体"/>
    <w:panose1 w:val="00000000000000000000"/>
    <w:charset w:val="86"/>
    <w:family w:val="modern"/>
    <w:pitch w:val="default"/>
    <w:sig w:usb0="00000000" w:usb1="00000000" w:usb2="00000010" w:usb3="00000000" w:csb0="00040000"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Times New Roman Regular">
    <w:altName w:val="Times New Roman"/>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B6DF1">
    <w:pPr>
      <w:pStyle w:val="32"/>
      <w:jc w:val="center"/>
    </w:pPr>
  </w:p>
  <w:p w14:paraId="43959CC1">
    <w:pPr>
      <w:pStyle w:val="3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AFF5A">
    <w:pPr>
      <w:pStyle w:val="32"/>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16</w:t>
    </w:r>
    <w:r>
      <w:rPr>
        <w:sz w:val="21"/>
        <w:szCs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23C39">
    <w:pPr>
      <w:pStyle w:val="32"/>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26</w:t>
    </w:r>
    <w:r>
      <w:rPr>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33B7F">
    <w:pPr>
      <w:pStyle w:val="32"/>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26</w:t>
    </w:r>
    <w:r>
      <w:rPr>
        <w:sz w:val="21"/>
        <w:szCs w:val="21"/>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1F38AB"/>
    <w:multiLevelType w:val="multilevel"/>
    <w:tmpl w:val="9E1F38AB"/>
    <w:lvl w:ilvl="0" w:tentative="0">
      <w:start w:val="1"/>
      <w:numFmt w:val="japaneseCounting"/>
      <w:lvlText w:val="%1、"/>
      <w:lvlJc w:val="left"/>
      <w:pPr>
        <w:tabs>
          <w:tab w:val="left" w:pos="720"/>
        </w:tabs>
        <w:ind w:left="720" w:hanging="720"/>
      </w:pPr>
      <w:rPr>
        <w:rFonts w:hint="default"/>
      </w:rPr>
    </w:lvl>
    <w:lvl w:ilvl="1" w:tentative="0">
      <w:start w:val="1"/>
      <w:numFmt w:val="lowerLetter"/>
      <w:pStyle w:val="270"/>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0F66463"/>
    <w:multiLevelType w:val="multilevel"/>
    <w:tmpl w:val="10F66463"/>
    <w:lvl w:ilvl="0" w:tentative="0">
      <w:start w:val="1"/>
      <w:numFmt w:val="decimalEnclosedParen"/>
      <w:pStyle w:val="307"/>
      <w:lvlText w:val="%1"/>
      <w:lvlJc w:val="left"/>
      <w:pPr>
        <w:ind w:left="900" w:hanging="420"/>
      </w:pPr>
      <w:rPr>
        <w:rFonts w:hint="default"/>
      </w:rPr>
    </w:lvl>
    <w:lvl w:ilvl="1" w:tentative="0">
      <w:start w:val="1"/>
      <w:numFmt w:val="lowerLetter"/>
      <w:pStyle w:val="306"/>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2AA36BD0"/>
    <w:multiLevelType w:val="multilevel"/>
    <w:tmpl w:val="2AA36BD0"/>
    <w:lvl w:ilvl="0" w:tentative="0">
      <w:start w:val="1"/>
      <w:numFmt w:val="decimal"/>
      <w:pStyle w:val="231"/>
      <w:lvlText w:val="图%1-"/>
      <w:lvlJc w:val="center"/>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48A7284"/>
    <w:multiLevelType w:val="multilevel"/>
    <w:tmpl w:val="548A7284"/>
    <w:lvl w:ilvl="0" w:tentative="0">
      <w:start w:val="1"/>
      <w:numFmt w:val="decimal"/>
      <w:pStyle w:val="161"/>
      <w:isLgl/>
      <w:suff w:val="space"/>
      <w:lvlText w:val="第%1章 "/>
      <w:lvlJc w:val="left"/>
      <w:pPr>
        <w:ind w:left="0" w:firstLine="0"/>
      </w:pPr>
      <w:rPr>
        <w:rFonts w:hint="eastAsia"/>
      </w:rPr>
    </w:lvl>
    <w:lvl w:ilvl="1" w:tentative="0">
      <w:start w:val="1"/>
      <w:numFmt w:val="decimal"/>
      <w:pStyle w:val="160"/>
      <w:isLgl/>
      <w:suff w:val="space"/>
      <w:lvlText w:val="%1.%2 "/>
      <w:lvlJc w:val="left"/>
      <w:pPr>
        <w:ind w:left="0" w:firstLine="0"/>
      </w:pPr>
      <w:rPr>
        <w:rFonts w:hint="eastAsia"/>
      </w:rPr>
    </w:lvl>
    <w:lvl w:ilvl="2" w:tentative="0">
      <w:start w:val="1"/>
      <w:numFmt w:val="decimal"/>
      <w:pStyle w:val="159"/>
      <w:isLgl/>
      <w:suff w:val="space"/>
      <w:lvlText w:val="%1.%2.%3 "/>
      <w:lvlJc w:val="left"/>
      <w:pPr>
        <w:ind w:left="0" w:firstLine="0"/>
      </w:pPr>
      <w:rPr>
        <w:rFonts w:hint="eastAsia"/>
      </w:rPr>
    </w:lvl>
    <w:lvl w:ilvl="3" w:tentative="0">
      <w:start w:val="1"/>
      <w:numFmt w:val="decimal"/>
      <w:pStyle w:val="162"/>
      <w:isLgl/>
      <w:suff w:val="space"/>
      <w:lvlText w:val="%1.%2.%3.%4 "/>
      <w:lvlJc w:val="left"/>
      <w:pPr>
        <w:ind w:left="0" w:firstLine="0"/>
      </w:pPr>
      <w:rPr>
        <w:rFonts w:hint="eastAsia"/>
      </w:rPr>
    </w:lvl>
    <w:lvl w:ilvl="4" w:tentative="0">
      <w:start w:val="1"/>
      <w:numFmt w:val="decimal"/>
      <w:lvlRestart w:val="2"/>
      <w:pStyle w:val="163"/>
      <w:isLgl/>
      <w:suff w:val="space"/>
      <w:lvlText w:val="表%1.%2-%5 "/>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xMTk3NTc1NzI3NTBmNjE3NTg5YTVhYmVmNzdhOWQifQ=="/>
  </w:docVars>
  <w:rsids>
    <w:rsidRoot w:val="00172A27"/>
    <w:rsid w:val="000000E1"/>
    <w:rsid w:val="00000384"/>
    <w:rsid w:val="000006AB"/>
    <w:rsid w:val="000009D1"/>
    <w:rsid w:val="00001235"/>
    <w:rsid w:val="000014A9"/>
    <w:rsid w:val="000014EC"/>
    <w:rsid w:val="000022C8"/>
    <w:rsid w:val="00002B6D"/>
    <w:rsid w:val="00002DC4"/>
    <w:rsid w:val="000032CD"/>
    <w:rsid w:val="000034AA"/>
    <w:rsid w:val="0000355C"/>
    <w:rsid w:val="00003718"/>
    <w:rsid w:val="000038BB"/>
    <w:rsid w:val="000039D3"/>
    <w:rsid w:val="00003FCC"/>
    <w:rsid w:val="00004021"/>
    <w:rsid w:val="00004A8A"/>
    <w:rsid w:val="0000531A"/>
    <w:rsid w:val="00005F47"/>
    <w:rsid w:val="00006EB1"/>
    <w:rsid w:val="0000713A"/>
    <w:rsid w:val="000072D5"/>
    <w:rsid w:val="00007A80"/>
    <w:rsid w:val="00007BE5"/>
    <w:rsid w:val="0001075F"/>
    <w:rsid w:val="000114A3"/>
    <w:rsid w:val="000122D0"/>
    <w:rsid w:val="00012356"/>
    <w:rsid w:val="000123CF"/>
    <w:rsid w:val="000130F0"/>
    <w:rsid w:val="0001348A"/>
    <w:rsid w:val="00013BF5"/>
    <w:rsid w:val="00013CBF"/>
    <w:rsid w:val="00014340"/>
    <w:rsid w:val="00014DB6"/>
    <w:rsid w:val="0001517C"/>
    <w:rsid w:val="000154A5"/>
    <w:rsid w:val="00015A1F"/>
    <w:rsid w:val="00015BB0"/>
    <w:rsid w:val="00016A81"/>
    <w:rsid w:val="00016CFD"/>
    <w:rsid w:val="00016EC0"/>
    <w:rsid w:val="000172E4"/>
    <w:rsid w:val="0001730A"/>
    <w:rsid w:val="00017469"/>
    <w:rsid w:val="0001755D"/>
    <w:rsid w:val="00017CEA"/>
    <w:rsid w:val="00017F89"/>
    <w:rsid w:val="00020D89"/>
    <w:rsid w:val="00021E12"/>
    <w:rsid w:val="00021E6B"/>
    <w:rsid w:val="000224B7"/>
    <w:rsid w:val="0002338D"/>
    <w:rsid w:val="00023A95"/>
    <w:rsid w:val="000240ED"/>
    <w:rsid w:val="00024481"/>
    <w:rsid w:val="000244DD"/>
    <w:rsid w:val="000245B2"/>
    <w:rsid w:val="00024E4C"/>
    <w:rsid w:val="00025204"/>
    <w:rsid w:val="00025879"/>
    <w:rsid w:val="00025A1D"/>
    <w:rsid w:val="00025FDA"/>
    <w:rsid w:val="000261E7"/>
    <w:rsid w:val="00026A7E"/>
    <w:rsid w:val="00026E58"/>
    <w:rsid w:val="000275E4"/>
    <w:rsid w:val="00027697"/>
    <w:rsid w:val="00027B56"/>
    <w:rsid w:val="00027BBB"/>
    <w:rsid w:val="00027E5A"/>
    <w:rsid w:val="00027EC5"/>
    <w:rsid w:val="00027F18"/>
    <w:rsid w:val="0003029B"/>
    <w:rsid w:val="000303DC"/>
    <w:rsid w:val="0003057F"/>
    <w:rsid w:val="00030993"/>
    <w:rsid w:val="00030CCD"/>
    <w:rsid w:val="00032665"/>
    <w:rsid w:val="000327B7"/>
    <w:rsid w:val="00032A9F"/>
    <w:rsid w:val="00032BFA"/>
    <w:rsid w:val="00032D02"/>
    <w:rsid w:val="00032FB9"/>
    <w:rsid w:val="000330D2"/>
    <w:rsid w:val="0003314E"/>
    <w:rsid w:val="000332B9"/>
    <w:rsid w:val="00033402"/>
    <w:rsid w:val="00033925"/>
    <w:rsid w:val="000339F8"/>
    <w:rsid w:val="00033EEB"/>
    <w:rsid w:val="000343C9"/>
    <w:rsid w:val="00034E5F"/>
    <w:rsid w:val="00035946"/>
    <w:rsid w:val="00035DBC"/>
    <w:rsid w:val="0003607A"/>
    <w:rsid w:val="000368CA"/>
    <w:rsid w:val="000369B8"/>
    <w:rsid w:val="00036D60"/>
    <w:rsid w:val="00036F18"/>
    <w:rsid w:val="000379E1"/>
    <w:rsid w:val="00037B71"/>
    <w:rsid w:val="00037C97"/>
    <w:rsid w:val="000403A0"/>
    <w:rsid w:val="00040E2F"/>
    <w:rsid w:val="00040FAB"/>
    <w:rsid w:val="0004133E"/>
    <w:rsid w:val="000419F0"/>
    <w:rsid w:val="00041DDD"/>
    <w:rsid w:val="00041DF7"/>
    <w:rsid w:val="00042149"/>
    <w:rsid w:val="0004231E"/>
    <w:rsid w:val="000428F9"/>
    <w:rsid w:val="0004324C"/>
    <w:rsid w:val="00043302"/>
    <w:rsid w:val="00043460"/>
    <w:rsid w:val="0004381A"/>
    <w:rsid w:val="00043A61"/>
    <w:rsid w:val="00044079"/>
    <w:rsid w:val="00044735"/>
    <w:rsid w:val="00044945"/>
    <w:rsid w:val="000451D9"/>
    <w:rsid w:val="00046136"/>
    <w:rsid w:val="00046842"/>
    <w:rsid w:val="00047080"/>
    <w:rsid w:val="00047117"/>
    <w:rsid w:val="00047226"/>
    <w:rsid w:val="0004742D"/>
    <w:rsid w:val="000478BE"/>
    <w:rsid w:val="00047D6E"/>
    <w:rsid w:val="00047DA1"/>
    <w:rsid w:val="0005042F"/>
    <w:rsid w:val="000508FB"/>
    <w:rsid w:val="00050A8E"/>
    <w:rsid w:val="00050AF8"/>
    <w:rsid w:val="00050BBA"/>
    <w:rsid w:val="00050E97"/>
    <w:rsid w:val="00050EF2"/>
    <w:rsid w:val="000510FC"/>
    <w:rsid w:val="000513EB"/>
    <w:rsid w:val="0005152E"/>
    <w:rsid w:val="00051CE8"/>
    <w:rsid w:val="00051EC6"/>
    <w:rsid w:val="0005203D"/>
    <w:rsid w:val="000525A1"/>
    <w:rsid w:val="00052790"/>
    <w:rsid w:val="00052B29"/>
    <w:rsid w:val="00053ABF"/>
    <w:rsid w:val="00053CC4"/>
    <w:rsid w:val="00053FC8"/>
    <w:rsid w:val="0005435D"/>
    <w:rsid w:val="00054CBF"/>
    <w:rsid w:val="00054CF1"/>
    <w:rsid w:val="00054E06"/>
    <w:rsid w:val="00054E67"/>
    <w:rsid w:val="000560FC"/>
    <w:rsid w:val="00056697"/>
    <w:rsid w:val="0005719D"/>
    <w:rsid w:val="00057445"/>
    <w:rsid w:val="000575FC"/>
    <w:rsid w:val="00057AC4"/>
    <w:rsid w:val="00057D9D"/>
    <w:rsid w:val="00060708"/>
    <w:rsid w:val="00060AC3"/>
    <w:rsid w:val="00060BF1"/>
    <w:rsid w:val="00061A2B"/>
    <w:rsid w:val="00061F97"/>
    <w:rsid w:val="000621C1"/>
    <w:rsid w:val="0006220A"/>
    <w:rsid w:val="00062344"/>
    <w:rsid w:val="00062606"/>
    <w:rsid w:val="00062675"/>
    <w:rsid w:val="00062692"/>
    <w:rsid w:val="00062AC1"/>
    <w:rsid w:val="00062FD6"/>
    <w:rsid w:val="00063457"/>
    <w:rsid w:val="000639DD"/>
    <w:rsid w:val="00063BB0"/>
    <w:rsid w:val="00063CDE"/>
    <w:rsid w:val="00063E4C"/>
    <w:rsid w:val="00063F85"/>
    <w:rsid w:val="0006454E"/>
    <w:rsid w:val="00065025"/>
    <w:rsid w:val="0006572B"/>
    <w:rsid w:val="000665A5"/>
    <w:rsid w:val="000672FE"/>
    <w:rsid w:val="000675CC"/>
    <w:rsid w:val="00070280"/>
    <w:rsid w:val="00070A32"/>
    <w:rsid w:val="00070F4C"/>
    <w:rsid w:val="000713B5"/>
    <w:rsid w:val="00071AD0"/>
    <w:rsid w:val="00071E2D"/>
    <w:rsid w:val="0007206C"/>
    <w:rsid w:val="00072397"/>
    <w:rsid w:val="00072D6D"/>
    <w:rsid w:val="000731EF"/>
    <w:rsid w:val="00073780"/>
    <w:rsid w:val="00073A88"/>
    <w:rsid w:val="00073B30"/>
    <w:rsid w:val="00074EF3"/>
    <w:rsid w:val="000750CA"/>
    <w:rsid w:val="0007642D"/>
    <w:rsid w:val="00076989"/>
    <w:rsid w:val="00076B05"/>
    <w:rsid w:val="0008046A"/>
    <w:rsid w:val="00080B3F"/>
    <w:rsid w:val="000820A1"/>
    <w:rsid w:val="00082718"/>
    <w:rsid w:val="00082780"/>
    <w:rsid w:val="00082836"/>
    <w:rsid w:val="00082A7E"/>
    <w:rsid w:val="00082B73"/>
    <w:rsid w:val="00082BB1"/>
    <w:rsid w:val="00082C63"/>
    <w:rsid w:val="00083077"/>
    <w:rsid w:val="00083256"/>
    <w:rsid w:val="00083A9D"/>
    <w:rsid w:val="0008430D"/>
    <w:rsid w:val="000847DE"/>
    <w:rsid w:val="00084C61"/>
    <w:rsid w:val="00084E5B"/>
    <w:rsid w:val="0008524B"/>
    <w:rsid w:val="0008557C"/>
    <w:rsid w:val="00085970"/>
    <w:rsid w:val="00085F0E"/>
    <w:rsid w:val="00086DA3"/>
    <w:rsid w:val="00087183"/>
    <w:rsid w:val="00087EB8"/>
    <w:rsid w:val="0009007B"/>
    <w:rsid w:val="00090B2E"/>
    <w:rsid w:val="00090B96"/>
    <w:rsid w:val="00090BE8"/>
    <w:rsid w:val="00090CAD"/>
    <w:rsid w:val="00091336"/>
    <w:rsid w:val="00091435"/>
    <w:rsid w:val="00091EAE"/>
    <w:rsid w:val="00092501"/>
    <w:rsid w:val="00093107"/>
    <w:rsid w:val="000937A1"/>
    <w:rsid w:val="00093E5D"/>
    <w:rsid w:val="00093F67"/>
    <w:rsid w:val="0009433D"/>
    <w:rsid w:val="00095509"/>
    <w:rsid w:val="00095519"/>
    <w:rsid w:val="000957BC"/>
    <w:rsid w:val="00095A1A"/>
    <w:rsid w:val="00095BDC"/>
    <w:rsid w:val="0009632C"/>
    <w:rsid w:val="00096544"/>
    <w:rsid w:val="00096699"/>
    <w:rsid w:val="0009675A"/>
    <w:rsid w:val="0009680B"/>
    <w:rsid w:val="00096A33"/>
    <w:rsid w:val="00096C0E"/>
    <w:rsid w:val="00097042"/>
    <w:rsid w:val="00097294"/>
    <w:rsid w:val="00097BBF"/>
    <w:rsid w:val="00097E40"/>
    <w:rsid w:val="000A048A"/>
    <w:rsid w:val="000A0A75"/>
    <w:rsid w:val="000A0B0C"/>
    <w:rsid w:val="000A0F15"/>
    <w:rsid w:val="000A1578"/>
    <w:rsid w:val="000A19B5"/>
    <w:rsid w:val="000A19B7"/>
    <w:rsid w:val="000A1DD4"/>
    <w:rsid w:val="000A1EAF"/>
    <w:rsid w:val="000A1EFA"/>
    <w:rsid w:val="000A250B"/>
    <w:rsid w:val="000A2DEC"/>
    <w:rsid w:val="000A3147"/>
    <w:rsid w:val="000A3333"/>
    <w:rsid w:val="000A3931"/>
    <w:rsid w:val="000A44C6"/>
    <w:rsid w:val="000A46B2"/>
    <w:rsid w:val="000A4D6D"/>
    <w:rsid w:val="000A61DB"/>
    <w:rsid w:val="000A675B"/>
    <w:rsid w:val="000A6C1D"/>
    <w:rsid w:val="000A7337"/>
    <w:rsid w:val="000A741E"/>
    <w:rsid w:val="000A7CE7"/>
    <w:rsid w:val="000B0216"/>
    <w:rsid w:val="000B03F5"/>
    <w:rsid w:val="000B064B"/>
    <w:rsid w:val="000B0F8E"/>
    <w:rsid w:val="000B0FAF"/>
    <w:rsid w:val="000B0FCB"/>
    <w:rsid w:val="000B1EC8"/>
    <w:rsid w:val="000B264B"/>
    <w:rsid w:val="000B2DAA"/>
    <w:rsid w:val="000B2E4A"/>
    <w:rsid w:val="000B31CA"/>
    <w:rsid w:val="000B31F7"/>
    <w:rsid w:val="000B4062"/>
    <w:rsid w:val="000B45A4"/>
    <w:rsid w:val="000B4AD7"/>
    <w:rsid w:val="000B5458"/>
    <w:rsid w:val="000B55AF"/>
    <w:rsid w:val="000B5B93"/>
    <w:rsid w:val="000B5E06"/>
    <w:rsid w:val="000B6106"/>
    <w:rsid w:val="000B65A1"/>
    <w:rsid w:val="000B6678"/>
    <w:rsid w:val="000B671F"/>
    <w:rsid w:val="000B70F1"/>
    <w:rsid w:val="000B744B"/>
    <w:rsid w:val="000B7B79"/>
    <w:rsid w:val="000C0B5E"/>
    <w:rsid w:val="000C0C18"/>
    <w:rsid w:val="000C0D3C"/>
    <w:rsid w:val="000C0D66"/>
    <w:rsid w:val="000C1120"/>
    <w:rsid w:val="000C1252"/>
    <w:rsid w:val="000C1AF2"/>
    <w:rsid w:val="000C1EF9"/>
    <w:rsid w:val="000C2262"/>
    <w:rsid w:val="000C235E"/>
    <w:rsid w:val="000C2459"/>
    <w:rsid w:val="000C2967"/>
    <w:rsid w:val="000C2C75"/>
    <w:rsid w:val="000C2F5D"/>
    <w:rsid w:val="000C3017"/>
    <w:rsid w:val="000C316A"/>
    <w:rsid w:val="000C369E"/>
    <w:rsid w:val="000C436C"/>
    <w:rsid w:val="000C47D6"/>
    <w:rsid w:val="000C4E3B"/>
    <w:rsid w:val="000C5CE0"/>
    <w:rsid w:val="000C5E17"/>
    <w:rsid w:val="000C5E29"/>
    <w:rsid w:val="000C5F29"/>
    <w:rsid w:val="000C61E6"/>
    <w:rsid w:val="000C7137"/>
    <w:rsid w:val="000C75A5"/>
    <w:rsid w:val="000C79B7"/>
    <w:rsid w:val="000C7C56"/>
    <w:rsid w:val="000C7C5F"/>
    <w:rsid w:val="000C7DBB"/>
    <w:rsid w:val="000C7E0F"/>
    <w:rsid w:val="000D06E9"/>
    <w:rsid w:val="000D09C4"/>
    <w:rsid w:val="000D0C00"/>
    <w:rsid w:val="000D0ECA"/>
    <w:rsid w:val="000D22EE"/>
    <w:rsid w:val="000D243F"/>
    <w:rsid w:val="000D24E0"/>
    <w:rsid w:val="000D385C"/>
    <w:rsid w:val="000D3E96"/>
    <w:rsid w:val="000D4110"/>
    <w:rsid w:val="000D4E93"/>
    <w:rsid w:val="000D51E7"/>
    <w:rsid w:val="000D573D"/>
    <w:rsid w:val="000D5F41"/>
    <w:rsid w:val="000D5F7F"/>
    <w:rsid w:val="000D6463"/>
    <w:rsid w:val="000D6FC9"/>
    <w:rsid w:val="000D78F8"/>
    <w:rsid w:val="000E0B11"/>
    <w:rsid w:val="000E0B9B"/>
    <w:rsid w:val="000E0D49"/>
    <w:rsid w:val="000E0D4F"/>
    <w:rsid w:val="000E1518"/>
    <w:rsid w:val="000E1CB4"/>
    <w:rsid w:val="000E1D2A"/>
    <w:rsid w:val="000E24C3"/>
    <w:rsid w:val="000E27B5"/>
    <w:rsid w:val="000E2925"/>
    <w:rsid w:val="000E2E1C"/>
    <w:rsid w:val="000E3485"/>
    <w:rsid w:val="000E34CD"/>
    <w:rsid w:val="000E37E4"/>
    <w:rsid w:val="000E492D"/>
    <w:rsid w:val="000E4957"/>
    <w:rsid w:val="000E4C70"/>
    <w:rsid w:val="000E4D7D"/>
    <w:rsid w:val="000E51C4"/>
    <w:rsid w:val="000E55E2"/>
    <w:rsid w:val="000E5CC4"/>
    <w:rsid w:val="000E5E2A"/>
    <w:rsid w:val="000E6CE0"/>
    <w:rsid w:val="000E71DC"/>
    <w:rsid w:val="000E7799"/>
    <w:rsid w:val="000E7850"/>
    <w:rsid w:val="000E7882"/>
    <w:rsid w:val="000F06FB"/>
    <w:rsid w:val="000F15F1"/>
    <w:rsid w:val="000F1A26"/>
    <w:rsid w:val="000F1C34"/>
    <w:rsid w:val="000F1CE3"/>
    <w:rsid w:val="000F1F69"/>
    <w:rsid w:val="000F2080"/>
    <w:rsid w:val="000F2A86"/>
    <w:rsid w:val="000F2E83"/>
    <w:rsid w:val="000F3DC7"/>
    <w:rsid w:val="000F3EA9"/>
    <w:rsid w:val="000F3FF0"/>
    <w:rsid w:val="000F401A"/>
    <w:rsid w:val="000F4380"/>
    <w:rsid w:val="000F516A"/>
    <w:rsid w:val="000F6629"/>
    <w:rsid w:val="000F66BD"/>
    <w:rsid w:val="000F715D"/>
    <w:rsid w:val="000F7651"/>
    <w:rsid w:val="000F7BC2"/>
    <w:rsid w:val="001001EC"/>
    <w:rsid w:val="001001ED"/>
    <w:rsid w:val="0010027C"/>
    <w:rsid w:val="001003BB"/>
    <w:rsid w:val="00100D34"/>
    <w:rsid w:val="001012DC"/>
    <w:rsid w:val="001016E3"/>
    <w:rsid w:val="0010206A"/>
    <w:rsid w:val="001020EC"/>
    <w:rsid w:val="0010273F"/>
    <w:rsid w:val="00102D62"/>
    <w:rsid w:val="00102DA8"/>
    <w:rsid w:val="00102EDF"/>
    <w:rsid w:val="001034DB"/>
    <w:rsid w:val="00103774"/>
    <w:rsid w:val="0010390E"/>
    <w:rsid w:val="001039C1"/>
    <w:rsid w:val="00103C31"/>
    <w:rsid w:val="0010503D"/>
    <w:rsid w:val="001055E3"/>
    <w:rsid w:val="00105C3A"/>
    <w:rsid w:val="001063D0"/>
    <w:rsid w:val="001071B2"/>
    <w:rsid w:val="001073D3"/>
    <w:rsid w:val="001075EA"/>
    <w:rsid w:val="0010772D"/>
    <w:rsid w:val="00107808"/>
    <w:rsid w:val="00107CF3"/>
    <w:rsid w:val="00107D8D"/>
    <w:rsid w:val="00110191"/>
    <w:rsid w:val="001106D8"/>
    <w:rsid w:val="00110D9F"/>
    <w:rsid w:val="00111EF3"/>
    <w:rsid w:val="0011207F"/>
    <w:rsid w:val="001121DC"/>
    <w:rsid w:val="00112C59"/>
    <w:rsid w:val="00113030"/>
    <w:rsid w:val="00113291"/>
    <w:rsid w:val="00113E68"/>
    <w:rsid w:val="001147D7"/>
    <w:rsid w:val="001150A9"/>
    <w:rsid w:val="001165B3"/>
    <w:rsid w:val="00117786"/>
    <w:rsid w:val="00117AB9"/>
    <w:rsid w:val="00117AE8"/>
    <w:rsid w:val="001200DF"/>
    <w:rsid w:val="001204F1"/>
    <w:rsid w:val="00120677"/>
    <w:rsid w:val="00120E1C"/>
    <w:rsid w:val="00120EAD"/>
    <w:rsid w:val="001211FD"/>
    <w:rsid w:val="00121875"/>
    <w:rsid w:val="001218B4"/>
    <w:rsid w:val="00121B39"/>
    <w:rsid w:val="00121DA9"/>
    <w:rsid w:val="00122016"/>
    <w:rsid w:val="00122099"/>
    <w:rsid w:val="00122293"/>
    <w:rsid w:val="00122C29"/>
    <w:rsid w:val="00122E6C"/>
    <w:rsid w:val="00123150"/>
    <w:rsid w:val="001239C7"/>
    <w:rsid w:val="00123B28"/>
    <w:rsid w:val="00123B74"/>
    <w:rsid w:val="001240F1"/>
    <w:rsid w:val="00124460"/>
    <w:rsid w:val="00124CF3"/>
    <w:rsid w:val="00124D34"/>
    <w:rsid w:val="00125145"/>
    <w:rsid w:val="00126167"/>
    <w:rsid w:val="00126AD4"/>
    <w:rsid w:val="00127245"/>
    <w:rsid w:val="0012729C"/>
    <w:rsid w:val="001276BE"/>
    <w:rsid w:val="00130AE8"/>
    <w:rsid w:val="00131B56"/>
    <w:rsid w:val="00131E8B"/>
    <w:rsid w:val="001324C6"/>
    <w:rsid w:val="0013272B"/>
    <w:rsid w:val="001329E5"/>
    <w:rsid w:val="001330B9"/>
    <w:rsid w:val="00133676"/>
    <w:rsid w:val="00133A41"/>
    <w:rsid w:val="00133C5F"/>
    <w:rsid w:val="00133D0E"/>
    <w:rsid w:val="00134204"/>
    <w:rsid w:val="001345C5"/>
    <w:rsid w:val="00134ED3"/>
    <w:rsid w:val="001351E5"/>
    <w:rsid w:val="00135303"/>
    <w:rsid w:val="00135674"/>
    <w:rsid w:val="001356A6"/>
    <w:rsid w:val="00135733"/>
    <w:rsid w:val="00135791"/>
    <w:rsid w:val="0013585D"/>
    <w:rsid w:val="001359A0"/>
    <w:rsid w:val="0013611F"/>
    <w:rsid w:val="0013619C"/>
    <w:rsid w:val="00136DF3"/>
    <w:rsid w:val="001372FF"/>
    <w:rsid w:val="001378EF"/>
    <w:rsid w:val="00137988"/>
    <w:rsid w:val="00140863"/>
    <w:rsid w:val="001412A7"/>
    <w:rsid w:val="0014131F"/>
    <w:rsid w:val="001420AB"/>
    <w:rsid w:val="001420B8"/>
    <w:rsid w:val="001428CC"/>
    <w:rsid w:val="00142AC5"/>
    <w:rsid w:val="00142E23"/>
    <w:rsid w:val="00143B23"/>
    <w:rsid w:val="001444D2"/>
    <w:rsid w:val="0014466A"/>
    <w:rsid w:val="00144FBB"/>
    <w:rsid w:val="00145316"/>
    <w:rsid w:val="00145633"/>
    <w:rsid w:val="00145DFF"/>
    <w:rsid w:val="00145E35"/>
    <w:rsid w:val="0014641F"/>
    <w:rsid w:val="00146586"/>
    <w:rsid w:val="0014677C"/>
    <w:rsid w:val="00146DC1"/>
    <w:rsid w:val="001470EC"/>
    <w:rsid w:val="0014788C"/>
    <w:rsid w:val="001478F2"/>
    <w:rsid w:val="00147EE2"/>
    <w:rsid w:val="00147F6A"/>
    <w:rsid w:val="001501B8"/>
    <w:rsid w:val="00150275"/>
    <w:rsid w:val="0015077B"/>
    <w:rsid w:val="001517C2"/>
    <w:rsid w:val="0015180A"/>
    <w:rsid w:val="001519EF"/>
    <w:rsid w:val="00151FF5"/>
    <w:rsid w:val="0015215A"/>
    <w:rsid w:val="001523DF"/>
    <w:rsid w:val="00152B94"/>
    <w:rsid w:val="00152F03"/>
    <w:rsid w:val="00152F47"/>
    <w:rsid w:val="00153BB4"/>
    <w:rsid w:val="00153C79"/>
    <w:rsid w:val="00154095"/>
    <w:rsid w:val="001545AC"/>
    <w:rsid w:val="00154B47"/>
    <w:rsid w:val="00155276"/>
    <w:rsid w:val="001554AD"/>
    <w:rsid w:val="001555DC"/>
    <w:rsid w:val="001557DB"/>
    <w:rsid w:val="00155B27"/>
    <w:rsid w:val="00155D6E"/>
    <w:rsid w:val="0015638E"/>
    <w:rsid w:val="001563DF"/>
    <w:rsid w:val="00156DA3"/>
    <w:rsid w:val="00156EBD"/>
    <w:rsid w:val="00156EED"/>
    <w:rsid w:val="001572D2"/>
    <w:rsid w:val="0015752E"/>
    <w:rsid w:val="00160B9A"/>
    <w:rsid w:val="00160EF9"/>
    <w:rsid w:val="00161081"/>
    <w:rsid w:val="00161266"/>
    <w:rsid w:val="001613D9"/>
    <w:rsid w:val="0016151A"/>
    <w:rsid w:val="001619F2"/>
    <w:rsid w:val="00161A19"/>
    <w:rsid w:val="00161A8F"/>
    <w:rsid w:val="00161A90"/>
    <w:rsid w:val="00161FB8"/>
    <w:rsid w:val="00162064"/>
    <w:rsid w:val="00163235"/>
    <w:rsid w:val="00163325"/>
    <w:rsid w:val="00163407"/>
    <w:rsid w:val="00163ED9"/>
    <w:rsid w:val="00164141"/>
    <w:rsid w:val="001641AD"/>
    <w:rsid w:val="001642AF"/>
    <w:rsid w:val="00164885"/>
    <w:rsid w:val="00165016"/>
    <w:rsid w:val="001650CD"/>
    <w:rsid w:val="00165397"/>
    <w:rsid w:val="001654CE"/>
    <w:rsid w:val="00165581"/>
    <w:rsid w:val="00165EBF"/>
    <w:rsid w:val="00165F81"/>
    <w:rsid w:val="001661BD"/>
    <w:rsid w:val="00166374"/>
    <w:rsid w:val="001666F8"/>
    <w:rsid w:val="00166F00"/>
    <w:rsid w:val="00167458"/>
    <w:rsid w:val="001678B3"/>
    <w:rsid w:val="00167D65"/>
    <w:rsid w:val="001700D0"/>
    <w:rsid w:val="001708B9"/>
    <w:rsid w:val="0017099E"/>
    <w:rsid w:val="00170D02"/>
    <w:rsid w:val="00172045"/>
    <w:rsid w:val="0017209E"/>
    <w:rsid w:val="001729EC"/>
    <w:rsid w:val="00172A27"/>
    <w:rsid w:val="00172DC8"/>
    <w:rsid w:val="00172F71"/>
    <w:rsid w:val="00173E3D"/>
    <w:rsid w:val="00173E8F"/>
    <w:rsid w:val="001741D6"/>
    <w:rsid w:val="0017420E"/>
    <w:rsid w:val="0017442B"/>
    <w:rsid w:val="00174C68"/>
    <w:rsid w:val="00174DB9"/>
    <w:rsid w:val="001754BB"/>
    <w:rsid w:val="00175917"/>
    <w:rsid w:val="00175CE5"/>
    <w:rsid w:val="00176593"/>
    <w:rsid w:val="00176D19"/>
    <w:rsid w:val="0017779C"/>
    <w:rsid w:val="00177AAE"/>
    <w:rsid w:val="00177BE0"/>
    <w:rsid w:val="00177EE7"/>
    <w:rsid w:val="00177F06"/>
    <w:rsid w:val="00180278"/>
    <w:rsid w:val="00180B93"/>
    <w:rsid w:val="0018107E"/>
    <w:rsid w:val="001812E7"/>
    <w:rsid w:val="001814EB"/>
    <w:rsid w:val="001828D0"/>
    <w:rsid w:val="00182990"/>
    <w:rsid w:val="00182F4A"/>
    <w:rsid w:val="0018316A"/>
    <w:rsid w:val="001832A3"/>
    <w:rsid w:val="00183651"/>
    <w:rsid w:val="00183AD5"/>
    <w:rsid w:val="00183FD1"/>
    <w:rsid w:val="001841B4"/>
    <w:rsid w:val="00184CF4"/>
    <w:rsid w:val="001859F3"/>
    <w:rsid w:val="00185BAB"/>
    <w:rsid w:val="001860DE"/>
    <w:rsid w:val="001860E7"/>
    <w:rsid w:val="00186DFB"/>
    <w:rsid w:val="001871A4"/>
    <w:rsid w:val="00187BE3"/>
    <w:rsid w:val="00190459"/>
    <w:rsid w:val="0019068E"/>
    <w:rsid w:val="00190BF9"/>
    <w:rsid w:val="0019118D"/>
    <w:rsid w:val="001913DC"/>
    <w:rsid w:val="00191BA2"/>
    <w:rsid w:val="00192216"/>
    <w:rsid w:val="00192413"/>
    <w:rsid w:val="00192F23"/>
    <w:rsid w:val="00192F25"/>
    <w:rsid w:val="00193163"/>
    <w:rsid w:val="00193A03"/>
    <w:rsid w:val="00193EA6"/>
    <w:rsid w:val="0019440C"/>
    <w:rsid w:val="00194428"/>
    <w:rsid w:val="0019479F"/>
    <w:rsid w:val="00194B3B"/>
    <w:rsid w:val="0019521E"/>
    <w:rsid w:val="00195362"/>
    <w:rsid w:val="001955CA"/>
    <w:rsid w:val="00195866"/>
    <w:rsid w:val="00195E8E"/>
    <w:rsid w:val="0019613A"/>
    <w:rsid w:val="0019622D"/>
    <w:rsid w:val="0019688C"/>
    <w:rsid w:val="00196C46"/>
    <w:rsid w:val="00196FFE"/>
    <w:rsid w:val="0019719C"/>
    <w:rsid w:val="0019731C"/>
    <w:rsid w:val="00197334"/>
    <w:rsid w:val="00197C0E"/>
    <w:rsid w:val="001A02A7"/>
    <w:rsid w:val="001A040F"/>
    <w:rsid w:val="001A05EC"/>
    <w:rsid w:val="001A1261"/>
    <w:rsid w:val="001A1DD3"/>
    <w:rsid w:val="001A26A9"/>
    <w:rsid w:val="001A3997"/>
    <w:rsid w:val="001A3B2C"/>
    <w:rsid w:val="001A4034"/>
    <w:rsid w:val="001A443C"/>
    <w:rsid w:val="001A4BEE"/>
    <w:rsid w:val="001A54C7"/>
    <w:rsid w:val="001A55EB"/>
    <w:rsid w:val="001A5F6C"/>
    <w:rsid w:val="001A64AD"/>
    <w:rsid w:val="001A68D7"/>
    <w:rsid w:val="001A6E4C"/>
    <w:rsid w:val="001A6FF5"/>
    <w:rsid w:val="001A71CF"/>
    <w:rsid w:val="001A78BE"/>
    <w:rsid w:val="001A78C4"/>
    <w:rsid w:val="001A790A"/>
    <w:rsid w:val="001A7F5B"/>
    <w:rsid w:val="001B052B"/>
    <w:rsid w:val="001B0909"/>
    <w:rsid w:val="001B1211"/>
    <w:rsid w:val="001B1270"/>
    <w:rsid w:val="001B1EC0"/>
    <w:rsid w:val="001B2290"/>
    <w:rsid w:val="001B27B0"/>
    <w:rsid w:val="001B28D1"/>
    <w:rsid w:val="001B30B5"/>
    <w:rsid w:val="001B3242"/>
    <w:rsid w:val="001B37D4"/>
    <w:rsid w:val="001B46D0"/>
    <w:rsid w:val="001B4909"/>
    <w:rsid w:val="001B5072"/>
    <w:rsid w:val="001B549A"/>
    <w:rsid w:val="001B5D25"/>
    <w:rsid w:val="001B5F7C"/>
    <w:rsid w:val="001B5F93"/>
    <w:rsid w:val="001B6E22"/>
    <w:rsid w:val="001B71BE"/>
    <w:rsid w:val="001B7310"/>
    <w:rsid w:val="001B78E9"/>
    <w:rsid w:val="001B7DEE"/>
    <w:rsid w:val="001B7FCF"/>
    <w:rsid w:val="001C0540"/>
    <w:rsid w:val="001C0739"/>
    <w:rsid w:val="001C0985"/>
    <w:rsid w:val="001C0A70"/>
    <w:rsid w:val="001C0D50"/>
    <w:rsid w:val="001C1951"/>
    <w:rsid w:val="001C19FA"/>
    <w:rsid w:val="001C1A49"/>
    <w:rsid w:val="001C1D4E"/>
    <w:rsid w:val="001C2355"/>
    <w:rsid w:val="001C2669"/>
    <w:rsid w:val="001C2781"/>
    <w:rsid w:val="001C2D97"/>
    <w:rsid w:val="001C2F84"/>
    <w:rsid w:val="001C345A"/>
    <w:rsid w:val="001C376E"/>
    <w:rsid w:val="001C3C03"/>
    <w:rsid w:val="001C3D43"/>
    <w:rsid w:val="001C43E7"/>
    <w:rsid w:val="001C4745"/>
    <w:rsid w:val="001C48FB"/>
    <w:rsid w:val="001C49AE"/>
    <w:rsid w:val="001C5049"/>
    <w:rsid w:val="001C50B1"/>
    <w:rsid w:val="001C5991"/>
    <w:rsid w:val="001C5F03"/>
    <w:rsid w:val="001C5F4F"/>
    <w:rsid w:val="001C5FE9"/>
    <w:rsid w:val="001C63FE"/>
    <w:rsid w:val="001C6598"/>
    <w:rsid w:val="001C66CD"/>
    <w:rsid w:val="001C6A96"/>
    <w:rsid w:val="001C753A"/>
    <w:rsid w:val="001C77A1"/>
    <w:rsid w:val="001C7F81"/>
    <w:rsid w:val="001D0B01"/>
    <w:rsid w:val="001D10DA"/>
    <w:rsid w:val="001D1737"/>
    <w:rsid w:val="001D1CCD"/>
    <w:rsid w:val="001D1FBD"/>
    <w:rsid w:val="001D2028"/>
    <w:rsid w:val="001D2652"/>
    <w:rsid w:val="001D2BD8"/>
    <w:rsid w:val="001D3181"/>
    <w:rsid w:val="001D36A8"/>
    <w:rsid w:val="001D36BA"/>
    <w:rsid w:val="001D37A6"/>
    <w:rsid w:val="001D404E"/>
    <w:rsid w:val="001D4BDD"/>
    <w:rsid w:val="001D4FB3"/>
    <w:rsid w:val="001D6332"/>
    <w:rsid w:val="001D691D"/>
    <w:rsid w:val="001D78C8"/>
    <w:rsid w:val="001D792C"/>
    <w:rsid w:val="001D79B6"/>
    <w:rsid w:val="001D7A4C"/>
    <w:rsid w:val="001D7A61"/>
    <w:rsid w:val="001D7E0B"/>
    <w:rsid w:val="001D7F98"/>
    <w:rsid w:val="001E01E7"/>
    <w:rsid w:val="001E05AA"/>
    <w:rsid w:val="001E0AF2"/>
    <w:rsid w:val="001E10F5"/>
    <w:rsid w:val="001E113C"/>
    <w:rsid w:val="001E156A"/>
    <w:rsid w:val="001E1605"/>
    <w:rsid w:val="001E2021"/>
    <w:rsid w:val="001E2C32"/>
    <w:rsid w:val="001E3385"/>
    <w:rsid w:val="001E3583"/>
    <w:rsid w:val="001E42B7"/>
    <w:rsid w:val="001E4752"/>
    <w:rsid w:val="001E483C"/>
    <w:rsid w:val="001E4861"/>
    <w:rsid w:val="001E4983"/>
    <w:rsid w:val="001E4B90"/>
    <w:rsid w:val="001E5005"/>
    <w:rsid w:val="001E50E3"/>
    <w:rsid w:val="001E523B"/>
    <w:rsid w:val="001E54FA"/>
    <w:rsid w:val="001E5B16"/>
    <w:rsid w:val="001E5B17"/>
    <w:rsid w:val="001E5BC7"/>
    <w:rsid w:val="001E664D"/>
    <w:rsid w:val="001E73A7"/>
    <w:rsid w:val="001E74C8"/>
    <w:rsid w:val="001E7E38"/>
    <w:rsid w:val="001F0080"/>
    <w:rsid w:val="001F076E"/>
    <w:rsid w:val="001F19F5"/>
    <w:rsid w:val="001F1DA9"/>
    <w:rsid w:val="001F2588"/>
    <w:rsid w:val="001F31CA"/>
    <w:rsid w:val="001F382C"/>
    <w:rsid w:val="001F38B9"/>
    <w:rsid w:val="001F3AF4"/>
    <w:rsid w:val="001F3B6B"/>
    <w:rsid w:val="001F3F65"/>
    <w:rsid w:val="001F4E7C"/>
    <w:rsid w:val="001F516F"/>
    <w:rsid w:val="001F51FB"/>
    <w:rsid w:val="001F5B86"/>
    <w:rsid w:val="001F6C73"/>
    <w:rsid w:val="001F740C"/>
    <w:rsid w:val="001F7BE7"/>
    <w:rsid w:val="002000B6"/>
    <w:rsid w:val="00200526"/>
    <w:rsid w:val="002006AD"/>
    <w:rsid w:val="00201387"/>
    <w:rsid w:val="002013BF"/>
    <w:rsid w:val="002015F9"/>
    <w:rsid w:val="0020218C"/>
    <w:rsid w:val="00202AB5"/>
    <w:rsid w:val="00203751"/>
    <w:rsid w:val="002039D4"/>
    <w:rsid w:val="00203CC6"/>
    <w:rsid w:val="0020466E"/>
    <w:rsid w:val="0020491B"/>
    <w:rsid w:val="00204C9C"/>
    <w:rsid w:val="00204E02"/>
    <w:rsid w:val="00204EC3"/>
    <w:rsid w:val="00205158"/>
    <w:rsid w:val="002053F3"/>
    <w:rsid w:val="00205639"/>
    <w:rsid w:val="00205910"/>
    <w:rsid w:val="00205B6C"/>
    <w:rsid w:val="00205BC4"/>
    <w:rsid w:val="00205D7B"/>
    <w:rsid w:val="00205D82"/>
    <w:rsid w:val="002062DE"/>
    <w:rsid w:val="00206487"/>
    <w:rsid w:val="00206866"/>
    <w:rsid w:val="00206B36"/>
    <w:rsid w:val="00206BA0"/>
    <w:rsid w:val="00207A48"/>
    <w:rsid w:val="00210679"/>
    <w:rsid w:val="00210851"/>
    <w:rsid w:val="0021127A"/>
    <w:rsid w:val="0021239D"/>
    <w:rsid w:val="00212513"/>
    <w:rsid w:val="00212659"/>
    <w:rsid w:val="0021275D"/>
    <w:rsid w:val="002128EC"/>
    <w:rsid w:val="00212C85"/>
    <w:rsid w:val="0021311B"/>
    <w:rsid w:val="00213745"/>
    <w:rsid w:val="00214702"/>
    <w:rsid w:val="00214AB4"/>
    <w:rsid w:val="002150CC"/>
    <w:rsid w:val="002150E8"/>
    <w:rsid w:val="00215361"/>
    <w:rsid w:val="0021553B"/>
    <w:rsid w:val="0021595F"/>
    <w:rsid w:val="0021635E"/>
    <w:rsid w:val="00216563"/>
    <w:rsid w:val="00216C94"/>
    <w:rsid w:val="00216DD7"/>
    <w:rsid w:val="00216F38"/>
    <w:rsid w:val="00217273"/>
    <w:rsid w:val="00217BF8"/>
    <w:rsid w:val="00217C29"/>
    <w:rsid w:val="00221154"/>
    <w:rsid w:val="00221AFB"/>
    <w:rsid w:val="00221D17"/>
    <w:rsid w:val="00222395"/>
    <w:rsid w:val="002228F0"/>
    <w:rsid w:val="00222950"/>
    <w:rsid w:val="00222C50"/>
    <w:rsid w:val="00222C6E"/>
    <w:rsid w:val="00222FCB"/>
    <w:rsid w:val="00223028"/>
    <w:rsid w:val="00223E06"/>
    <w:rsid w:val="00223EAF"/>
    <w:rsid w:val="00224119"/>
    <w:rsid w:val="00224493"/>
    <w:rsid w:val="002247B1"/>
    <w:rsid w:val="00225162"/>
    <w:rsid w:val="002257A3"/>
    <w:rsid w:val="002267FD"/>
    <w:rsid w:val="00226D86"/>
    <w:rsid w:val="00227D03"/>
    <w:rsid w:val="00227EE9"/>
    <w:rsid w:val="00230340"/>
    <w:rsid w:val="002309EE"/>
    <w:rsid w:val="00230BCF"/>
    <w:rsid w:val="00230FD2"/>
    <w:rsid w:val="00231351"/>
    <w:rsid w:val="00231630"/>
    <w:rsid w:val="00232636"/>
    <w:rsid w:val="002339DB"/>
    <w:rsid w:val="00233BA5"/>
    <w:rsid w:val="00233D21"/>
    <w:rsid w:val="002341D5"/>
    <w:rsid w:val="00234B0C"/>
    <w:rsid w:val="00234C44"/>
    <w:rsid w:val="00234DFB"/>
    <w:rsid w:val="002353DC"/>
    <w:rsid w:val="00235782"/>
    <w:rsid w:val="00235866"/>
    <w:rsid w:val="00235AB4"/>
    <w:rsid w:val="00235F2A"/>
    <w:rsid w:val="00236228"/>
    <w:rsid w:val="00236A1D"/>
    <w:rsid w:val="00237449"/>
    <w:rsid w:val="002377CE"/>
    <w:rsid w:val="002379D2"/>
    <w:rsid w:val="0024042A"/>
    <w:rsid w:val="00240DE0"/>
    <w:rsid w:val="00242432"/>
    <w:rsid w:val="00243004"/>
    <w:rsid w:val="0024302F"/>
    <w:rsid w:val="00243292"/>
    <w:rsid w:val="002433DB"/>
    <w:rsid w:val="00243720"/>
    <w:rsid w:val="00243CDD"/>
    <w:rsid w:val="00243D4F"/>
    <w:rsid w:val="00243FCD"/>
    <w:rsid w:val="002446E6"/>
    <w:rsid w:val="002449E0"/>
    <w:rsid w:val="00244C0C"/>
    <w:rsid w:val="0024518E"/>
    <w:rsid w:val="002456AF"/>
    <w:rsid w:val="00245E86"/>
    <w:rsid w:val="002462E6"/>
    <w:rsid w:val="00246627"/>
    <w:rsid w:val="00246C89"/>
    <w:rsid w:val="00250E7A"/>
    <w:rsid w:val="0025166D"/>
    <w:rsid w:val="002517E7"/>
    <w:rsid w:val="0025302B"/>
    <w:rsid w:val="0025388A"/>
    <w:rsid w:val="00253AEC"/>
    <w:rsid w:val="00253C12"/>
    <w:rsid w:val="00253D4F"/>
    <w:rsid w:val="002544FE"/>
    <w:rsid w:val="00254661"/>
    <w:rsid w:val="0025485D"/>
    <w:rsid w:val="00254C9A"/>
    <w:rsid w:val="002572CD"/>
    <w:rsid w:val="002575F1"/>
    <w:rsid w:val="00257E2E"/>
    <w:rsid w:val="00260AFC"/>
    <w:rsid w:val="00260F41"/>
    <w:rsid w:val="002613A9"/>
    <w:rsid w:val="002619BE"/>
    <w:rsid w:val="00261E78"/>
    <w:rsid w:val="00261E93"/>
    <w:rsid w:val="0026212F"/>
    <w:rsid w:val="00262ACC"/>
    <w:rsid w:val="00262D81"/>
    <w:rsid w:val="0026345B"/>
    <w:rsid w:val="0026348E"/>
    <w:rsid w:val="00263A11"/>
    <w:rsid w:val="00263CF2"/>
    <w:rsid w:val="00263D24"/>
    <w:rsid w:val="00264032"/>
    <w:rsid w:val="002644CA"/>
    <w:rsid w:val="0026473B"/>
    <w:rsid w:val="00264EC5"/>
    <w:rsid w:val="002658CC"/>
    <w:rsid w:val="00265A1D"/>
    <w:rsid w:val="00265BC4"/>
    <w:rsid w:val="002660BC"/>
    <w:rsid w:val="00266192"/>
    <w:rsid w:val="002662C8"/>
    <w:rsid w:val="002665FC"/>
    <w:rsid w:val="002669E3"/>
    <w:rsid w:val="002669EA"/>
    <w:rsid w:val="00266B49"/>
    <w:rsid w:val="0026753C"/>
    <w:rsid w:val="00267744"/>
    <w:rsid w:val="00267E2B"/>
    <w:rsid w:val="00270D5B"/>
    <w:rsid w:val="00270F6B"/>
    <w:rsid w:val="0027139C"/>
    <w:rsid w:val="00271CBA"/>
    <w:rsid w:val="002723C7"/>
    <w:rsid w:val="002723C8"/>
    <w:rsid w:val="002725F4"/>
    <w:rsid w:val="00272DF2"/>
    <w:rsid w:val="00273542"/>
    <w:rsid w:val="00273559"/>
    <w:rsid w:val="002738EB"/>
    <w:rsid w:val="00273E72"/>
    <w:rsid w:val="00274817"/>
    <w:rsid w:val="002748BD"/>
    <w:rsid w:val="00275111"/>
    <w:rsid w:val="002753BD"/>
    <w:rsid w:val="00276022"/>
    <w:rsid w:val="002765D3"/>
    <w:rsid w:val="0027667E"/>
    <w:rsid w:val="002769A3"/>
    <w:rsid w:val="00276C8A"/>
    <w:rsid w:val="00276D44"/>
    <w:rsid w:val="00277816"/>
    <w:rsid w:val="0027781A"/>
    <w:rsid w:val="0028045F"/>
    <w:rsid w:val="0028050E"/>
    <w:rsid w:val="002805AC"/>
    <w:rsid w:val="00280D14"/>
    <w:rsid w:val="00281208"/>
    <w:rsid w:val="002816E1"/>
    <w:rsid w:val="00281B4E"/>
    <w:rsid w:val="00281DCB"/>
    <w:rsid w:val="00282366"/>
    <w:rsid w:val="002836BD"/>
    <w:rsid w:val="00283939"/>
    <w:rsid w:val="00284250"/>
    <w:rsid w:val="002843E1"/>
    <w:rsid w:val="002844C1"/>
    <w:rsid w:val="00284D5B"/>
    <w:rsid w:val="00284F7B"/>
    <w:rsid w:val="00285078"/>
    <w:rsid w:val="002851F6"/>
    <w:rsid w:val="00285323"/>
    <w:rsid w:val="002854F3"/>
    <w:rsid w:val="002857D1"/>
    <w:rsid w:val="00285D12"/>
    <w:rsid w:val="002864D5"/>
    <w:rsid w:val="00286967"/>
    <w:rsid w:val="00287612"/>
    <w:rsid w:val="002878C7"/>
    <w:rsid w:val="00287CAD"/>
    <w:rsid w:val="0029021D"/>
    <w:rsid w:val="00290391"/>
    <w:rsid w:val="00290470"/>
    <w:rsid w:val="00290BDC"/>
    <w:rsid w:val="0029181F"/>
    <w:rsid w:val="002918E2"/>
    <w:rsid w:val="00291955"/>
    <w:rsid w:val="00292212"/>
    <w:rsid w:val="002929CC"/>
    <w:rsid w:val="00292CDB"/>
    <w:rsid w:val="00293DD5"/>
    <w:rsid w:val="00293EEF"/>
    <w:rsid w:val="00293F84"/>
    <w:rsid w:val="00293FD5"/>
    <w:rsid w:val="0029445A"/>
    <w:rsid w:val="0029460E"/>
    <w:rsid w:val="0029478B"/>
    <w:rsid w:val="0029543F"/>
    <w:rsid w:val="002959BC"/>
    <w:rsid w:val="00295ABF"/>
    <w:rsid w:val="00295C4B"/>
    <w:rsid w:val="00295D19"/>
    <w:rsid w:val="00296A75"/>
    <w:rsid w:val="00296A82"/>
    <w:rsid w:val="00296F8E"/>
    <w:rsid w:val="00297267"/>
    <w:rsid w:val="002978D9"/>
    <w:rsid w:val="00297CE4"/>
    <w:rsid w:val="00297F94"/>
    <w:rsid w:val="002A05DB"/>
    <w:rsid w:val="002A0838"/>
    <w:rsid w:val="002A0A67"/>
    <w:rsid w:val="002A0DC1"/>
    <w:rsid w:val="002A15D1"/>
    <w:rsid w:val="002A1F25"/>
    <w:rsid w:val="002A2407"/>
    <w:rsid w:val="002A279A"/>
    <w:rsid w:val="002A37A1"/>
    <w:rsid w:val="002A3F0F"/>
    <w:rsid w:val="002A48DD"/>
    <w:rsid w:val="002A514E"/>
    <w:rsid w:val="002A65CE"/>
    <w:rsid w:val="002A6959"/>
    <w:rsid w:val="002A6BE7"/>
    <w:rsid w:val="002A7D1F"/>
    <w:rsid w:val="002A7F68"/>
    <w:rsid w:val="002B0A8F"/>
    <w:rsid w:val="002B0C31"/>
    <w:rsid w:val="002B0D32"/>
    <w:rsid w:val="002B0D51"/>
    <w:rsid w:val="002B1EF8"/>
    <w:rsid w:val="002B2D71"/>
    <w:rsid w:val="002B352F"/>
    <w:rsid w:val="002B37BA"/>
    <w:rsid w:val="002B4B79"/>
    <w:rsid w:val="002B4F66"/>
    <w:rsid w:val="002B5119"/>
    <w:rsid w:val="002B5146"/>
    <w:rsid w:val="002B51B6"/>
    <w:rsid w:val="002B60EF"/>
    <w:rsid w:val="002B749F"/>
    <w:rsid w:val="002B79D1"/>
    <w:rsid w:val="002B7DFF"/>
    <w:rsid w:val="002C00D4"/>
    <w:rsid w:val="002C0824"/>
    <w:rsid w:val="002C09FC"/>
    <w:rsid w:val="002C1FBE"/>
    <w:rsid w:val="002C283B"/>
    <w:rsid w:val="002C33EB"/>
    <w:rsid w:val="002C3771"/>
    <w:rsid w:val="002C3BEA"/>
    <w:rsid w:val="002C417F"/>
    <w:rsid w:val="002C4CA6"/>
    <w:rsid w:val="002C526F"/>
    <w:rsid w:val="002C52FB"/>
    <w:rsid w:val="002C536D"/>
    <w:rsid w:val="002C56F6"/>
    <w:rsid w:val="002C6986"/>
    <w:rsid w:val="002C6A81"/>
    <w:rsid w:val="002C7A4C"/>
    <w:rsid w:val="002C7E90"/>
    <w:rsid w:val="002C7F8F"/>
    <w:rsid w:val="002D10FD"/>
    <w:rsid w:val="002D1407"/>
    <w:rsid w:val="002D1731"/>
    <w:rsid w:val="002D19FB"/>
    <w:rsid w:val="002D1C70"/>
    <w:rsid w:val="002D1ED8"/>
    <w:rsid w:val="002D23CF"/>
    <w:rsid w:val="002D2A46"/>
    <w:rsid w:val="002D36F2"/>
    <w:rsid w:val="002D3CFE"/>
    <w:rsid w:val="002D444C"/>
    <w:rsid w:val="002D4868"/>
    <w:rsid w:val="002D4DE8"/>
    <w:rsid w:val="002D4E6C"/>
    <w:rsid w:val="002D51C3"/>
    <w:rsid w:val="002D5564"/>
    <w:rsid w:val="002D5CF8"/>
    <w:rsid w:val="002D6475"/>
    <w:rsid w:val="002D71DF"/>
    <w:rsid w:val="002D7283"/>
    <w:rsid w:val="002D7641"/>
    <w:rsid w:val="002D7C37"/>
    <w:rsid w:val="002E012D"/>
    <w:rsid w:val="002E0376"/>
    <w:rsid w:val="002E047B"/>
    <w:rsid w:val="002E0A74"/>
    <w:rsid w:val="002E0B7C"/>
    <w:rsid w:val="002E1599"/>
    <w:rsid w:val="002E17EF"/>
    <w:rsid w:val="002E1BA3"/>
    <w:rsid w:val="002E2074"/>
    <w:rsid w:val="002E2610"/>
    <w:rsid w:val="002E2882"/>
    <w:rsid w:val="002E2969"/>
    <w:rsid w:val="002E37B6"/>
    <w:rsid w:val="002E3E87"/>
    <w:rsid w:val="002E41D0"/>
    <w:rsid w:val="002E450F"/>
    <w:rsid w:val="002E46EA"/>
    <w:rsid w:val="002E4EFF"/>
    <w:rsid w:val="002E5927"/>
    <w:rsid w:val="002E593F"/>
    <w:rsid w:val="002E5D1A"/>
    <w:rsid w:val="002E5DEA"/>
    <w:rsid w:val="002E5E90"/>
    <w:rsid w:val="002E6430"/>
    <w:rsid w:val="002E686B"/>
    <w:rsid w:val="002E6D4F"/>
    <w:rsid w:val="002E762D"/>
    <w:rsid w:val="002E7AA9"/>
    <w:rsid w:val="002E7AB9"/>
    <w:rsid w:val="002E7CBA"/>
    <w:rsid w:val="002F0AFE"/>
    <w:rsid w:val="002F0C3A"/>
    <w:rsid w:val="002F158D"/>
    <w:rsid w:val="002F1AA6"/>
    <w:rsid w:val="002F2090"/>
    <w:rsid w:val="002F25D9"/>
    <w:rsid w:val="002F27EC"/>
    <w:rsid w:val="002F28A7"/>
    <w:rsid w:val="002F2BEA"/>
    <w:rsid w:val="002F35BA"/>
    <w:rsid w:val="002F35BE"/>
    <w:rsid w:val="002F4A0F"/>
    <w:rsid w:val="002F4F82"/>
    <w:rsid w:val="002F51F7"/>
    <w:rsid w:val="002F54E6"/>
    <w:rsid w:val="002F58EB"/>
    <w:rsid w:val="002F59FB"/>
    <w:rsid w:val="002F5DDF"/>
    <w:rsid w:val="002F5FE1"/>
    <w:rsid w:val="002F672C"/>
    <w:rsid w:val="002F6AB7"/>
    <w:rsid w:val="002F6F33"/>
    <w:rsid w:val="002F7113"/>
    <w:rsid w:val="002F7283"/>
    <w:rsid w:val="002F72D0"/>
    <w:rsid w:val="002F775E"/>
    <w:rsid w:val="003006B4"/>
    <w:rsid w:val="00300911"/>
    <w:rsid w:val="00300A0B"/>
    <w:rsid w:val="00300BE9"/>
    <w:rsid w:val="00301DD3"/>
    <w:rsid w:val="003020A5"/>
    <w:rsid w:val="00302F27"/>
    <w:rsid w:val="0030387B"/>
    <w:rsid w:val="00303CD4"/>
    <w:rsid w:val="00303E7E"/>
    <w:rsid w:val="00304903"/>
    <w:rsid w:val="00304B93"/>
    <w:rsid w:val="00304C3E"/>
    <w:rsid w:val="00304E76"/>
    <w:rsid w:val="00305381"/>
    <w:rsid w:val="0030563B"/>
    <w:rsid w:val="003058BB"/>
    <w:rsid w:val="00305CE7"/>
    <w:rsid w:val="00306096"/>
    <w:rsid w:val="003061F1"/>
    <w:rsid w:val="003064B8"/>
    <w:rsid w:val="003066C9"/>
    <w:rsid w:val="003069ED"/>
    <w:rsid w:val="003070C2"/>
    <w:rsid w:val="00307A1D"/>
    <w:rsid w:val="00307B2A"/>
    <w:rsid w:val="00307E14"/>
    <w:rsid w:val="00311451"/>
    <w:rsid w:val="00311E22"/>
    <w:rsid w:val="00312064"/>
    <w:rsid w:val="0031225F"/>
    <w:rsid w:val="003127A4"/>
    <w:rsid w:val="003129AF"/>
    <w:rsid w:val="003129E8"/>
    <w:rsid w:val="00313B90"/>
    <w:rsid w:val="00313D97"/>
    <w:rsid w:val="0031408A"/>
    <w:rsid w:val="0031428C"/>
    <w:rsid w:val="00314373"/>
    <w:rsid w:val="00314D50"/>
    <w:rsid w:val="0031534E"/>
    <w:rsid w:val="003153AA"/>
    <w:rsid w:val="00315558"/>
    <w:rsid w:val="0031582E"/>
    <w:rsid w:val="00315C11"/>
    <w:rsid w:val="00316175"/>
    <w:rsid w:val="00316672"/>
    <w:rsid w:val="00316881"/>
    <w:rsid w:val="00316ED2"/>
    <w:rsid w:val="00316F51"/>
    <w:rsid w:val="00317048"/>
    <w:rsid w:val="003170E1"/>
    <w:rsid w:val="00317678"/>
    <w:rsid w:val="0031787C"/>
    <w:rsid w:val="00317A8C"/>
    <w:rsid w:val="00317B4E"/>
    <w:rsid w:val="00317BBD"/>
    <w:rsid w:val="00317C0F"/>
    <w:rsid w:val="00317F2E"/>
    <w:rsid w:val="00320517"/>
    <w:rsid w:val="00320667"/>
    <w:rsid w:val="003206EE"/>
    <w:rsid w:val="003208AB"/>
    <w:rsid w:val="00320E7E"/>
    <w:rsid w:val="00321278"/>
    <w:rsid w:val="00321A74"/>
    <w:rsid w:val="0032297F"/>
    <w:rsid w:val="00322D0E"/>
    <w:rsid w:val="00322E5A"/>
    <w:rsid w:val="0032348E"/>
    <w:rsid w:val="00323875"/>
    <w:rsid w:val="00323EFC"/>
    <w:rsid w:val="00323F72"/>
    <w:rsid w:val="003241A2"/>
    <w:rsid w:val="003245A2"/>
    <w:rsid w:val="00326107"/>
    <w:rsid w:val="00326496"/>
    <w:rsid w:val="00326868"/>
    <w:rsid w:val="00326C51"/>
    <w:rsid w:val="003272C2"/>
    <w:rsid w:val="00327705"/>
    <w:rsid w:val="00327D26"/>
    <w:rsid w:val="00330064"/>
    <w:rsid w:val="003300EF"/>
    <w:rsid w:val="003316E5"/>
    <w:rsid w:val="00331760"/>
    <w:rsid w:val="00331956"/>
    <w:rsid w:val="00331F61"/>
    <w:rsid w:val="003324CD"/>
    <w:rsid w:val="0033252B"/>
    <w:rsid w:val="003339D2"/>
    <w:rsid w:val="00333BE7"/>
    <w:rsid w:val="00333D92"/>
    <w:rsid w:val="0033499D"/>
    <w:rsid w:val="00334D17"/>
    <w:rsid w:val="00335407"/>
    <w:rsid w:val="00335AED"/>
    <w:rsid w:val="00335F01"/>
    <w:rsid w:val="00336355"/>
    <w:rsid w:val="003363D3"/>
    <w:rsid w:val="00336F24"/>
    <w:rsid w:val="00336F60"/>
    <w:rsid w:val="003370CA"/>
    <w:rsid w:val="0033710F"/>
    <w:rsid w:val="003379A2"/>
    <w:rsid w:val="00340DEA"/>
    <w:rsid w:val="003410CC"/>
    <w:rsid w:val="00341338"/>
    <w:rsid w:val="0034169C"/>
    <w:rsid w:val="00342992"/>
    <w:rsid w:val="00342A0B"/>
    <w:rsid w:val="00342B14"/>
    <w:rsid w:val="00343344"/>
    <w:rsid w:val="003436B7"/>
    <w:rsid w:val="00343B2F"/>
    <w:rsid w:val="00343CD2"/>
    <w:rsid w:val="00343F0B"/>
    <w:rsid w:val="003444BC"/>
    <w:rsid w:val="0034468A"/>
    <w:rsid w:val="00344A18"/>
    <w:rsid w:val="00344B81"/>
    <w:rsid w:val="0034501A"/>
    <w:rsid w:val="0034503E"/>
    <w:rsid w:val="00345049"/>
    <w:rsid w:val="0034582E"/>
    <w:rsid w:val="003463C4"/>
    <w:rsid w:val="00346C07"/>
    <w:rsid w:val="00346CFA"/>
    <w:rsid w:val="00346DE1"/>
    <w:rsid w:val="00346F8F"/>
    <w:rsid w:val="003472ED"/>
    <w:rsid w:val="00347B4E"/>
    <w:rsid w:val="00347D12"/>
    <w:rsid w:val="00347DD4"/>
    <w:rsid w:val="00347FE0"/>
    <w:rsid w:val="003504FA"/>
    <w:rsid w:val="00350E89"/>
    <w:rsid w:val="00351514"/>
    <w:rsid w:val="00351693"/>
    <w:rsid w:val="0035177A"/>
    <w:rsid w:val="00351797"/>
    <w:rsid w:val="003519DE"/>
    <w:rsid w:val="00351C31"/>
    <w:rsid w:val="003522B5"/>
    <w:rsid w:val="00352472"/>
    <w:rsid w:val="00352A20"/>
    <w:rsid w:val="00352B14"/>
    <w:rsid w:val="00352E27"/>
    <w:rsid w:val="00352FF7"/>
    <w:rsid w:val="00353736"/>
    <w:rsid w:val="0035415C"/>
    <w:rsid w:val="0035420A"/>
    <w:rsid w:val="00354239"/>
    <w:rsid w:val="00354343"/>
    <w:rsid w:val="00354730"/>
    <w:rsid w:val="003551D7"/>
    <w:rsid w:val="00355B00"/>
    <w:rsid w:val="003561AE"/>
    <w:rsid w:val="0035633E"/>
    <w:rsid w:val="00356DDF"/>
    <w:rsid w:val="00356E78"/>
    <w:rsid w:val="00357020"/>
    <w:rsid w:val="0035728C"/>
    <w:rsid w:val="003576FA"/>
    <w:rsid w:val="00357E2F"/>
    <w:rsid w:val="00357FBC"/>
    <w:rsid w:val="0036032C"/>
    <w:rsid w:val="003605B7"/>
    <w:rsid w:val="0036062F"/>
    <w:rsid w:val="003611C0"/>
    <w:rsid w:val="00361C94"/>
    <w:rsid w:val="0036249D"/>
    <w:rsid w:val="00362758"/>
    <w:rsid w:val="003628FC"/>
    <w:rsid w:val="00362969"/>
    <w:rsid w:val="00362F3B"/>
    <w:rsid w:val="003631AE"/>
    <w:rsid w:val="00363456"/>
    <w:rsid w:val="00363FC6"/>
    <w:rsid w:val="0036436C"/>
    <w:rsid w:val="0036456B"/>
    <w:rsid w:val="0036473B"/>
    <w:rsid w:val="00365258"/>
    <w:rsid w:val="003656FE"/>
    <w:rsid w:val="00365884"/>
    <w:rsid w:val="003659BD"/>
    <w:rsid w:val="003659D0"/>
    <w:rsid w:val="00366197"/>
    <w:rsid w:val="00366634"/>
    <w:rsid w:val="00366705"/>
    <w:rsid w:val="003676DA"/>
    <w:rsid w:val="00367787"/>
    <w:rsid w:val="00367AA4"/>
    <w:rsid w:val="00367D8C"/>
    <w:rsid w:val="00367F0D"/>
    <w:rsid w:val="00370A6D"/>
    <w:rsid w:val="003710C6"/>
    <w:rsid w:val="003713C8"/>
    <w:rsid w:val="003718D6"/>
    <w:rsid w:val="00371A86"/>
    <w:rsid w:val="003725C6"/>
    <w:rsid w:val="00372944"/>
    <w:rsid w:val="0037295C"/>
    <w:rsid w:val="0037320C"/>
    <w:rsid w:val="0037332E"/>
    <w:rsid w:val="003736A1"/>
    <w:rsid w:val="0037384D"/>
    <w:rsid w:val="0037389B"/>
    <w:rsid w:val="003739E1"/>
    <w:rsid w:val="0037457B"/>
    <w:rsid w:val="00374879"/>
    <w:rsid w:val="00374983"/>
    <w:rsid w:val="00374EBA"/>
    <w:rsid w:val="00375523"/>
    <w:rsid w:val="00375E75"/>
    <w:rsid w:val="003762A1"/>
    <w:rsid w:val="00377079"/>
    <w:rsid w:val="003772C5"/>
    <w:rsid w:val="003772D7"/>
    <w:rsid w:val="003774A5"/>
    <w:rsid w:val="003775BF"/>
    <w:rsid w:val="003776F6"/>
    <w:rsid w:val="0037774F"/>
    <w:rsid w:val="003777BC"/>
    <w:rsid w:val="00377B7C"/>
    <w:rsid w:val="00377CD1"/>
    <w:rsid w:val="00380B06"/>
    <w:rsid w:val="00380D26"/>
    <w:rsid w:val="00381612"/>
    <w:rsid w:val="003817C1"/>
    <w:rsid w:val="00381B76"/>
    <w:rsid w:val="00381E18"/>
    <w:rsid w:val="003820F1"/>
    <w:rsid w:val="00382F07"/>
    <w:rsid w:val="00383007"/>
    <w:rsid w:val="0038339D"/>
    <w:rsid w:val="0038343F"/>
    <w:rsid w:val="00383A5A"/>
    <w:rsid w:val="00384442"/>
    <w:rsid w:val="003849D9"/>
    <w:rsid w:val="00385364"/>
    <w:rsid w:val="003867FD"/>
    <w:rsid w:val="0038682B"/>
    <w:rsid w:val="00386992"/>
    <w:rsid w:val="00386AE5"/>
    <w:rsid w:val="00387BF3"/>
    <w:rsid w:val="00387DCC"/>
    <w:rsid w:val="0039001B"/>
    <w:rsid w:val="0039059B"/>
    <w:rsid w:val="00390F40"/>
    <w:rsid w:val="00390F79"/>
    <w:rsid w:val="00391288"/>
    <w:rsid w:val="0039183A"/>
    <w:rsid w:val="00391A9A"/>
    <w:rsid w:val="003926E2"/>
    <w:rsid w:val="0039282C"/>
    <w:rsid w:val="00392970"/>
    <w:rsid w:val="00392980"/>
    <w:rsid w:val="0039326A"/>
    <w:rsid w:val="003933E7"/>
    <w:rsid w:val="00393DD1"/>
    <w:rsid w:val="0039447A"/>
    <w:rsid w:val="0039494A"/>
    <w:rsid w:val="00395164"/>
    <w:rsid w:val="0039551D"/>
    <w:rsid w:val="00395536"/>
    <w:rsid w:val="0039585B"/>
    <w:rsid w:val="00396085"/>
    <w:rsid w:val="00396284"/>
    <w:rsid w:val="0039687B"/>
    <w:rsid w:val="0039715F"/>
    <w:rsid w:val="00397161"/>
    <w:rsid w:val="0039727C"/>
    <w:rsid w:val="003A0192"/>
    <w:rsid w:val="003A036B"/>
    <w:rsid w:val="003A03E9"/>
    <w:rsid w:val="003A0410"/>
    <w:rsid w:val="003A06DB"/>
    <w:rsid w:val="003A0F30"/>
    <w:rsid w:val="003A174D"/>
    <w:rsid w:val="003A2CD6"/>
    <w:rsid w:val="003A2D7A"/>
    <w:rsid w:val="003A2FE4"/>
    <w:rsid w:val="003A3003"/>
    <w:rsid w:val="003A3009"/>
    <w:rsid w:val="003A304E"/>
    <w:rsid w:val="003A323F"/>
    <w:rsid w:val="003A34C1"/>
    <w:rsid w:val="003A35A1"/>
    <w:rsid w:val="003A3967"/>
    <w:rsid w:val="003A3FF6"/>
    <w:rsid w:val="003A417D"/>
    <w:rsid w:val="003A5896"/>
    <w:rsid w:val="003A66C7"/>
    <w:rsid w:val="003A6D58"/>
    <w:rsid w:val="003A77AB"/>
    <w:rsid w:val="003A7DC1"/>
    <w:rsid w:val="003A7E7F"/>
    <w:rsid w:val="003B05A7"/>
    <w:rsid w:val="003B05C7"/>
    <w:rsid w:val="003B05DD"/>
    <w:rsid w:val="003B05FF"/>
    <w:rsid w:val="003B07BB"/>
    <w:rsid w:val="003B13D0"/>
    <w:rsid w:val="003B1734"/>
    <w:rsid w:val="003B1E97"/>
    <w:rsid w:val="003B2B22"/>
    <w:rsid w:val="003B2E8E"/>
    <w:rsid w:val="003B2F59"/>
    <w:rsid w:val="003B3127"/>
    <w:rsid w:val="003B32BA"/>
    <w:rsid w:val="003B32CA"/>
    <w:rsid w:val="003B32FB"/>
    <w:rsid w:val="003B3A53"/>
    <w:rsid w:val="003B4022"/>
    <w:rsid w:val="003B4436"/>
    <w:rsid w:val="003B5136"/>
    <w:rsid w:val="003B60AF"/>
    <w:rsid w:val="003B69F4"/>
    <w:rsid w:val="003B717B"/>
    <w:rsid w:val="003B7FF3"/>
    <w:rsid w:val="003C01FD"/>
    <w:rsid w:val="003C0409"/>
    <w:rsid w:val="003C04D5"/>
    <w:rsid w:val="003C0B24"/>
    <w:rsid w:val="003C0D40"/>
    <w:rsid w:val="003C0FB2"/>
    <w:rsid w:val="003C26F8"/>
    <w:rsid w:val="003C353C"/>
    <w:rsid w:val="003C35F7"/>
    <w:rsid w:val="003C3A3A"/>
    <w:rsid w:val="003C49D7"/>
    <w:rsid w:val="003C571C"/>
    <w:rsid w:val="003C57EB"/>
    <w:rsid w:val="003C6407"/>
    <w:rsid w:val="003C6445"/>
    <w:rsid w:val="003C6934"/>
    <w:rsid w:val="003C6C5D"/>
    <w:rsid w:val="003C6D5C"/>
    <w:rsid w:val="003C6DE1"/>
    <w:rsid w:val="003C6E6F"/>
    <w:rsid w:val="003C74C7"/>
    <w:rsid w:val="003C77A8"/>
    <w:rsid w:val="003C78CC"/>
    <w:rsid w:val="003C78E5"/>
    <w:rsid w:val="003D014A"/>
    <w:rsid w:val="003D0211"/>
    <w:rsid w:val="003D075C"/>
    <w:rsid w:val="003D0854"/>
    <w:rsid w:val="003D0FBF"/>
    <w:rsid w:val="003D1600"/>
    <w:rsid w:val="003D1863"/>
    <w:rsid w:val="003D1A23"/>
    <w:rsid w:val="003D219E"/>
    <w:rsid w:val="003D2D07"/>
    <w:rsid w:val="003D3650"/>
    <w:rsid w:val="003D3931"/>
    <w:rsid w:val="003D3A49"/>
    <w:rsid w:val="003D3A99"/>
    <w:rsid w:val="003D3E89"/>
    <w:rsid w:val="003D42AB"/>
    <w:rsid w:val="003D4410"/>
    <w:rsid w:val="003D4F96"/>
    <w:rsid w:val="003D5F46"/>
    <w:rsid w:val="003D5FD3"/>
    <w:rsid w:val="003D64A3"/>
    <w:rsid w:val="003D65FE"/>
    <w:rsid w:val="003D67D9"/>
    <w:rsid w:val="003D6885"/>
    <w:rsid w:val="003D6D1B"/>
    <w:rsid w:val="003D7B92"/>
    <w:rsid w:val="003E1621"/>
    <w:rsid w:val="003E1D3B"/>
    <w:rsid w:val="003E2454"/>
    <w:rsid w:val="003E32FC"/>
    <w:rsid w:val="003E3601"/>
    <w:rsid w:val="003E3BF1"/>
    <w:rsid w:val="003E3E55"/>
    <w:rsid w:val="003E4381"/>
    <w:rsid w:val="003E4415"/>
    <w:rsid w:val="003E444C"/>
    <w:rsid w:val="003E5017"/>
    <w:rsid w:val="003E506C"/>
    <w:rsid w:val="003E60C0"/>
    <w:rsid w:val="003E629C"/>
    <w:rsid w:val="003E68D1"/>
    <w:rsid w:val="003E6A7F"/>
    <w:rsid w:val="003E6B0E"/>
    <w:rsid w:val="003E6F73"/>
    <w:rsid w:val="003E6F96"/>
    <w:rsid w:val="003E7AA6"/>
    <w:rsid w:val="003E7B2A"/>
    <w:rsid w:val="003E7DE4"/>
    <w:rsid w:val="003F01DE"/>
    <w:rsid w:val="003F0B5E"/>
    <w:rsid w:val="003F0EB8"/>
    <w:rsid w:val="003F1743"/>
    <w:rsid w:val="003F2061"/>
    <w:rsid w:val="003F216E"/>
    <w:rsid w:val="003F24D8"/>
    <w:rsid w:val="003F2979"/>
    <w:rsid w:val="003F2A72"/>
    <w:rsid w:val="003F3559"/>
    <w:rsid w:val="003F397D"/>
    <w:rsid w:val="003F4446"/>
    <w:rsid w:val="003F47DF"/>
    <w:rsid w:val="003F4944"/>
    <w:rsid w:val="003F4C02"/>
    <w:rsid w:val="003F4EE2"/>
    <w:rsid w:val="003F4F44"/>
    <w:rsid w:val="003F65CA"/>
    <w:rsid w:val="003F6669"/>
    <w:rsid w:val="003F674E"/>
    <w:rsid w:val="003F6AC2"/>
    <w:rsid w:val="003F6B88"/>
    <w:rsid w:val="003F7323"/>
    <w:rsid w:val="003F7C18"/>
    <w:rsid w:val="003F7E5F"/>
    <w:rsid w:val="00400107"/>
    <w:rsid w:val="004007C2"/>
    <w:rsid w:val="00400835"/>
    <w:rsid w:val="0040096A"/>
    <w:rsid w:val="004009EA"/>
    <w:rsid w:val="00400AF5"/>
    <w:rsid w:val="00400EDC"/>
    <w:rsid w:val="00400EEA"/>
    <w:rsid w:val="0040106C"/>
    <w:rsid w:val="00401D42"/>
    <w:rsid w:val="004024B3"/>
    <w:rsid w:val="00402B99"/>
    <w:rsid w:val="00402C7B"/>
    <w:rsid w:val="00402D5A"/>
    <w:rsid w:val="0040316B"/>
    <w:rsid w:val="00404247"/>
    <w:rsid w:val="00404294"/>
    <w:rsid w:val="004044A1"/>
    <w:rsid w:val="004045B5"/>
    <w:rsid w:val="00404DBD"/>
    <w:rsid w:val="00404DEE"/>
    <w:rsid w:val="00405A4F"/>
    <w:rsid w:val="00405F50"/>
    <w:rsid w:val="004060DB"/>
    <w:rsid w:val="0040704B"/>
    <w:rsid w:val="004079A0"/>
    <w:rsid w:val="00407B0B"/>
    <w:rsid w:val="00407CC0"/>
    <w:rsid w:val="00407DD0"/>
    <w:rsid w:val="00410419"/>
    <w:rsid w:val="00410CAF"/>
    <w:rsid w:val="004112A0"/>
    <w:rsid w:val="00411A9A"/>
    <w:rsid w:val="00411B52"/>
    <w:rsid w:val="00411CDF"/>
    <w:rsid w:val="00412E0C"/>
    <w:rsid w:val="0041307B"/>
    <w:rsid w:val="004130C9"/>
    <w:rsid w:val="004132EF"/>
    <w:rsid w:val="00413EFC"/>
    <w:rsid w:val="00413F5C"/>
    <w:rsid w:val="00413F9C"/>
    <w:rsid w:val="00414048"/>
    <w:rsid w:val="0041406F"/>
    <w:rsid w:val="00414321"/>
    <w:rsid w:val="00414916"/>
    <w:rsid w:val="00414D06"/>
    <w:rsid w:val="00415993"/>
    <w:rsid w:val="00415E78"/>
    <w:rsid w:val="0041631E"/>
    <w:rsid w:val="004169AB"/>
    <w:rsid w:val="00417052"/>
    <w:rsid w:val="004201F3"/>
    <w:rsid w:val="00420857"/>
    <w:rsid w:val="00420BC5"/>
    <w:rsid w:val="00420E3B"/>
    <w:rsid w:val="004211FE"/>
    <w:rsid w:val="00421653"/>
    <w:rsid w:val="00422422"/>
    <w:rsid w:val="00422DE0"/>
    <w:rsid w:val="004231C3"/>
    <w:rsid w:val="00423628"/>
    <w:rsid w:val="00423878"/>
    <w:rsid w:val="00423A46"/>
    <w:rsid w:val="00424287"/>
    <w:rsid w:val="0042429D"/>
    <w:rsid w:val="004245FE"/>
    <w:rsid w:val="00424E08"/>
    <w:rsid w:val="00425A5B"/>
    <w:rsid w:val="00425FF7"/>
    <w:rsid w:val="004260EF"/>
    <w:rsid w:val="00426BDC"/>
    <w:rsid w:val="00426F32"/>
    <w:rsid w:val="0042707B"/>
    <w:rsid w:val="004272F2"/>
    <w:rsid w:val="0042748E"/>
    <w:rsid w:val="0042773D"/>
    <w:rsid w:val="00427BD8"/>
    <w:rsid w:val="00427F36"/>
    <w:rsid w:val="0043047E"/>
    <w:rsid w:val="00430F60"/>
    <w:rsid w:val="00431036"/>
    <w:rsid w:val="004312A0"/>
    <w:rsid w:val="00431608"/>
    <w:rsid w:val="0043197D"/>
    <w:rsid w:val="0043289F"/>
    <w:rsid w:val="00433065"/>
    <w:rsid w:val="004330A5"/>
    <w:rsid w:val="00433AE7"/>
    <w:rsid w:val="00433C07"/>
    <w:rsid w:val="004342AB"/>
    <w:rsid w:val="00434C50"/>
    <w:rsid w:val="0043500A"/>
    <w:rsid w:val="004358FD"/>
    <w:rsid w:val="004359FF"/>
    <w:rsid w:val="00435A77"/>
    <w:rsid w:val="00435C7A"/>
    <w:rsid w:val="004360C1"/>
    <w:rsid w:val="00436126"/>
    <w:rsid w:val="004367CE"/>
    <w:rsid w:val="00436BB8"/>
    <w:rsid w:val="004376CD"/>
    <w:rsid w:val="00437A27"/>
    <w:rsid w:val="00437CE3"/>
    <w:rsid w:val="004400D7"/>
    <w:rsid w:val="00440655"/>
    <w:rsid w:val="0044144F"/>
    <w:rsid w:val="0044173D"/>
    <w:rsid w:val="00441812"/>
    <w:rsid w:val="004421D6"/>
    <w:rsid w:val="0044222C"/>
    <w:rsid w:val="00442560"/>
    <w:rsid w:val="00442E6E"/>
    <w:rsid w:val="0044302C"/>
    <w:rsid w:val="00444528"/>
    <w:rsid w:val="00444B86"/>
    <w:rsid w:val="004459FF"/>
    <w:rsid w:val="00445A7A"/>
    <w:rsid w:val="00446E75"/>
    <w:rsid w:val="00447566"/>
    <w:rsid w:val="004475AE"/>
    <w:rsid w:val="0045054D"/>
    <w:rsid w:val="00450938"/>
    <w:rsid w:val="00450BE8"/>
    <w:rsid w:val="00450C21"/>
    <w:rsid w:val="00450F16"/>
    <w:rsid w:val="00451501"/>
    <w:rsid w:val="00451D9B"/>
    <w:rsid w:val="00452229"/>
    <w:rsid w:val="00452FFB"/>
    <w:rsid w:val="00453778"/>
    <w:rsid w:val="0045398A"/>
    <w:rsid w:val="00453A0F"/>
    <w:rsid w:val="00453E0E"/>
    <w:rsid w:val="004542B8"/>
    <w:rsid w:val="004548D2"/>
    <w:rsid w:val="0045551A"/>
    <w:rsid w:val="00455599"/>
    <w:rsid w:val="0045596A"/>
    <w:rsid w:val="00457ACC"/>
    <w:rsid w:val="00457B62"/>
    <w:rsid w:val="00457B91"/>
    <w:rsid w:val="00457CD6"/>
    <w:rsid w:val="004601BF"/>
    <w:rsid w:val="00460A1E"/>
    <w:rsid w:val="00460D12"/>
    <w:rsid w:val="0046107C"/>
    <w:rsid w:val="00461F86"/>
    <w:rsid w:val="00462000"/>
    <w:rsid w:val="00462157"/>
    <w:rsid w:val="004623EB"/>
    <w:rsid w:val="004627E2"/>
    <w:rsid w:val="0046284B"/>
    <w:rsid w:val="004629E4"/>
    <w:rsid w:val="00462E31"/>
    <w:rsid w:val="00463117"/>
    <w:rsid w:val="004633B6"/>
    <w:rsid w:val="004637AE"/>
    <w:rsid w:val="00463B8A"/>
    <w:rsid w:val="00463C38"/>
    <w:rsid w:val="00463CBA"/>
    <w:rsid w:val="0046440D"/>
    <w:rsid w:val="00464A86"/>
    <w:rsid w:val="00464FE9"/>
    <w:rsid w:val="00465301"/>
    <w:rsid w:val="0046559C"/>
    <w:rsid w:val="004656B8"/>
    <w:rsid w:val="0046588D"/>
    <w:rsid w:val="00465AA1"/>
    <w:rsid w:val="00465CD4"/>
    <w:rsid w:val="004663BE"/>
    <w:rsid w:val="004664CC"/>
    <w:rsid w:val="00466541"/>
    <w:rsid w:val="004665A7"/>
    <w:rsid w:val="00467FDE"/>
    <w:rsid w:val="004703F1"/>
    <w:rsid w:val="0047070C"/>
    <w:rsid w:val="00470C44"/>
    <w:rsid w:val="00470EFE"/>
    <w:rsid w:val="00471041"/>
    <w:rsid w:val="00471351"/>
    <w:rsid w:val="004722FE"/>
    <w:rsid w:val="00472EF7"/>
    <w:rsid w:val="00472F41"/>
    <w:rsid w:val="004736C3"/>
    <w:rsid w:val="00473C85"/>
    <w:rsid w:val="00473D53"/>
    <w:rsid w:val="0047418C"/>
    <w:rsid w:val="0047449A"/>
    <w:rsid w:val="004748B2"/>
    <w:rsid w:val="00474957"/>
    <w:rsid w:val="00474D9A"/>
    <w:rsid w:val="00474F85"/>
    <w:rsid w:val="00475646"/>
    <w:rsid w:val="0047568C"/>
    <w:rsid w:val="00475CA8"/>
    <w:rsid w:val="00476098"/>
    <w:rsid w:val="004762DA"/>
    <w:rsid w:val="00476FFE"/>
    <w:rsid w:val="00477055"/>
    <w:rsid w:val="004771A3"/>
    <w:rsid w:val="0048012F"/>
    <w:rsid w:val="004810D5"/>
    <w:rsid w:val="00481408"/>
    <w:rsid w:val="00481411"/>
    <w:rsid w:val="00481760"/>
    <w:rsid w:val="00481965"/>
    <w:rsid w:val="004821B6"/>
    <w:rsid w:val="0048228D"/>
    <w:rsid w:val="00482B2C"/>
    <w:rsid w:val="00482E7B"/>
    <w:rsid w:val="004836B1"/>
    <w:rsid w:val="004836F5"/>
    <w:rsid w:val="00483B48"/>
    <w:rsid w:val="00483E03"/>
    <w:rsid w:val="00483F7C"/>
    <w:rsid w:val="004840C2"/>
    <w:rsid w:val="0048417F"/>
    <w:rsid w:val="004845A7"/>
    <w:rsid w:val="00484959"/>
    <w:rsid w:val="00484987"/>
    <w:rsid w:val="00485136"/>
    <w:rsid w:val="004851EA"/>
    <w:rsid w:val="0048553F"/>
    <w:rsid w:val="004857FC"/>
    <w:rsid w:val="00485E3D"/>
    <w:rsid w:val="004868BD"/>
    <w:rsid w:val="00486A15"/>
    <w:rsid w:val="00486B6F"/>
    <w:rsid w:val="0048710C"/>
    <w:rsid w:val="004871E7"/>
    <w:rsid w:val="004874C5"/>
    <w:rsid w:val="0048767F"/>
    <w:rsid w:val="00487B32"/>
    <w:rsid w:val="004900AB"/>
    <w:rsid w:val="004906D9"/>
    <w:rsid w:val="0049164C"/>
    <w:rsid w:val="004919E5"/>
    <w:rsid w:val="00492275"/>
    <w:rsid w:val="00492397"/>
    <w:rsid w:val="0049261E"/>
    <w:rsid w:val="00492792"/>
    <w:rsid w:val="00493815"/>
    <w:rsid w:val="004938AD"/>
    <w:rsid w:val="0049422B"/>
    <w:rsid w:val="004943A8"/>
    <w:rsid w:val="004945C1"/>
    <w:rsid w:val="004949AC"/>
    <w:rsid w:val="00494F77"/>
    <w:rsid w:val="00494FDA"/>
    <w:rsid w:val="00495785"/>
    <w:rsid w:val="00495801"/>
    <w:rsid w:val="00495BAC"/>
    <w:rsid w:val="00495D57"/>
    <w:rsid w:val="00496263"/>
    <w:rsid w:val="004962A3"/>
    <w:rsid w:val="00496767"/>
    <w:rsid w:val="0049677D"/>
    <w:rsid w:val="00496B9D"/>
    <w:rsid w:val="00496D28"/>
    <w:rsid w:val="00496DA9"/>
    <w:rsid w:val="00496DC1"/>
    <w:rsid w:val="00496DD2"/>
    <w:rsid w:val="00497750"/>
    <w:rsid w:val="00497E46"/>
    <w:rsid w:val="004A0279"/>
    <w:rsid w:val="004A0299"/>
    <w:rsid w:val="004A03D4"/>
    <w:rsid w:val="004A0807"/>
    <w:rsid w:val="004A159F"/>
    <w:rsid w:val="004A1ED6"/>
    <w:rsid w:val="004A205B"/>
    <w:rsid w:val="004A219D"/>
    <w:rsid w:val="004A248E"/>
    <w:rsid w:val="004A25EB"/>
    <w:rsid w:val="004A26EE"/>
    <w:rsid w:val="004A29AE"/>
    <w:rsid w:val="004A2AB4"/>
    <w:rsid w:val="004A2B6E"/>
    <w:rsid w:val="004A2E58"/>
    <w:rsid w:val="004A2EB8"/>
    <w:rsid w:val="004A31CA"/>
    <w:rsid w:val="004A3387"/>
    <w:rsid w:val="004A38E2"/>
    <w:rsid w:val="004A3B28"/>
    <w:rsid w:val="004A3C38"/>
    <w:rsid w:val="004A427D"/>
    <w:rsid w:val="004A4733"/>
    <w:rsid w:val="004A4ADC"/>
    <w:rsid w:val="004A5023"/>
    <w:rsid w:val="004A5E72"/>
    <w:rsid w:val="004A69A6"/>
    <w:rsid w:val="004A70F9"/>
    <w:rsid w:val="004A75AC"/>
    <w:rsid w:val="004A7983"/>
    <w:rsid w:val="004A7A03"/>
    <w:rsid w:val="004B07DA"/>
    <w:rsid w:val="004B0D95"/>
    <w:rsid w:val="004B0F48"/>
    <w:rsid w:val="004B10FC"/>
    <w:rsid w:val="004B1381"/>
    <w:rsid w:val="004B165E"/>
    <w:rsid w:val="004B1E42"/>
    <w:rsid w:val="004B2259"/>
    <w:rsid w:val="004B24D0"/>
    <w:rsid w:val="004B2DBB"/>
    <w:rsid w:val="004B34A1"/>
    <w:rsid w:val="004B360E"/>
    <w:rsid w:val="004B3A3E"/>
    <w:rsid w:val="004B3B8D"/>
    <w:rsid w:val="004B3F3F"/>
    <w:rsid w:val="004B4092"/>
    <w:rsid w:val="004B4816"/>
    <w:rsid w:val="004B4C8C"/>
    <w:rsid w:val="004B4FC8"/>
    <w:rsid w:val="004B50A9"/>
    <w:rsid w:val="004B58C6"/>
    <w:rsid w:val="004B5994"/>
    <w:rsid w:val="004B6268"/>
    <w:rsid w:val="004B66CF"/>
    <w:rsid w:val="004B6740"/>
    <w:rsid w:val="004B6B04"/>
    <w:rsid w:val="004B6C86"/>
    <w:rsid w:val="004B6E4A"/>
    <w:rsid w:val="004B72C6"/>
    <w:rsid w:val="004B7514"/>
    <w:rsid w:val="004B76F7"/>
    <w:rsid w:val="004B79CF"/>
    <w:rsid w:val="004B7B24"/>
    <w:rsid w:val="004C093C"/>
    <w:rsid w:val="004C0FE3"/>
    <w:rsid w:val="004C105E"/>
    <w:rsid w:val="004C14C3"/>
    <w:rsid w:val="004C176D"/>
    <w:rsid w:val="004C188F"/>
    <w:rsid w:val="004C19B8"/>
    <w:rsid w:val="004C1BE3"/>
    <w:rsid w:val="004C1BEA"/>
    <w:rsid w:val="004C28A8"/>
    <w:rsid w:val="004C2D37"/>
    <w:rsid w:val="004C3374"/>
    <w:rsid w:val="004C37A6"/>
    <w:rsid w:val="004C3D7E"/>
    <w:rsid w:val="004C3E25"/>
    <w:rsid w:val="004C3F60"/>
    <w:rsid w:val="004C42A2"/>
    <w:rsid w:val="004C43C0"/>
    <w:rsid w:val="004C43E8"/>
    <w:rsid w:val="004C4B4E"/>
    <w:rsid w:val="004C4C92"/>
    <w:rsid w:val="004C4CA8"/>
    <w:rsid w:val="004C4D7D"/>
    <w:rsid w:val="004C4D9F"/>
    <w:rsid w:val="004C507A"/>
    <w:rsid w:val="004C5662"/>
    <w:rsid w:val="004C5A3F"/>
    <w:rsid w:val="004C60DB"/>
    <w:rsid w:val="004C6AFF"/>
    <w:rsid w:val="004C6B82"/>
    <w:rsid w:val="004C71E5"/>
    <w:rsid w:val="004C75F4"/>
    <w:rsid w:val="004C7794"/>
    <w:rsid w:val="004D02DF"/>
    <w:rsid w:val="004D0737"/>
    <w:rsid w:val="004D0AB5"/>
    <w:rsid w:val="004D101C"/>
    <w:rsid w:val="004D1543"/>
    <w:rsid w:val="004D1D7E"/>
    <w:rsid w:val="004D2B4B"/>
    <w:rsid w:val="004D2B67"/>
    <w:rsid w:val="004D2CF9"/>
    <w:rsid w:val="004D30C8"/>
    <w:rsid w:val="004D3191"/>
    <w:rsid w:val="004D31BF"/>
    <w:rsid w:val="004D379D"/>
    <w:rsid w:val="004D397C"/>
    <w:rsid w:val="004D4108"/>
    <w:rsid w:val="004D436C"/>
    <w:rsid w:val="004D4593"/>
    <w:rsid w:val="004D471C"/>
    <w:rsid w:val="004D4725"/>
    <w:rsid w:val="004D4DE8"/>
    <w:rsid w:val="004D579E"/>
    <w:rsid w:val="004D5B0D"/>
    <w:rsid w:val="004D61D6"/>
    <w:rsid w:val="004D68B1"/>
    <w:rsid w:val="004D6DD6"/>
    <w:rsid w:val="004D76BC"/>
    <w:rsid w:val="004D7A0A"/>
    <w:rsid w:val="004D7AE6"/>
    <w:rsid w:val="004E059E"/>
    <w:rsid w:val="004E08AC"/>
    <w:rsid w:val="004E1531"/>
    <w:rsid w:val="004E1C24"/>
    <w:rsid w:val="004E276C"/>
    <w:rsid w:val="004E2FF3"/>
    <w:rsid w:val="004E3D03"/>
    <w:rsid w:val="004E43CD"/>
    <w:rsid w:val="004E4BA9"/>
    <w:rsid w:val="004E4D02"/>
    <w:rsid w:val="004E4F9B"/>
    <w:rsid w:val="004E5968"/>
    <w:rsid w:val="004E5A94"/>
    <w:rsid w:val="004E5CFB"/>
    <w:rsid w:val="004E5EC6"/>
    <w:rsid w:val="004E618C"/>
    <w:rsid w:val="004E65A0"/>
    <w:rsid w:val="004E6738"/>
    <w:rsid w:val="004E67D6"/>
    <w:rsid w:val="004E6992"/>
    <w:rsid w:val="004E6E4A"/>
    <w:rsid w:val="004E7563"/>
    <w:rsid w:val="004F0EDA"/>
    <w:rsid w:val="004F110F"/>
    <w:rsid w:val="004F1393"/>
    <w:rsid w:val="004F1B89"/>
    <w:rsid w:val="004F1BA1"/>
    <w:rsid w:val="004F1D14"/>
    <w:rsid w:val="004F2076"/>
    <w:rsid w:val="004F2150"/>
    <w:rsid w:val="004F222D"/>
    <w:rsid w:val="004F252F"/>
    <w:rsid w:val="004F276B"/>
    <w:rsid w:val="004F27EC"/>
    <w:rsid w:val="004F2ED8"/>
    <w:rsid w:val="004F3978"/>
    <w:rsid w:val="004F3A53"/>
    <w:rsid w:val="004F3BA1"/>
    <w:rsid w:val="004F3F3E"/>
    <w:rsid w:val="004F40BC"/>
    <w:rsid w:val="004F431C"/>
    <w:rsid w:val="004F43A0"/>
    <w:rsid w:val="004F447B"/>
    <w:rsid w:val="004F4680"/>
    <w:rsid w:val="004F4787"/>
    <w:rsid w:val="004F50C1"/>
    <w:rsid w:val="004F50F5"/>
    <w:rsid w:val="004F5246"/>
    <w:rsid w:val="004F53D9"/>
    <w:rsid w:val="004F62C1"/>
    <w:rsid w:val="004F696E"/>
    <w:rsid w:val="004F6A4F"/>
    <w:rsid w:val="004F6D9F"/>
    <w:rsid w:val="004F6FF7"/>
    <w:rsid w:val="004F7309"/>
    <w:rsid w:val="004F73C8"/>
    <w:rsid w:val="004F74B1"/>
    <w:rsid w:val="004F7667"/>
    <w:rsid w:val="004F7691"/>
    <w:rsid w:val="004F76F9"/>
    <w:rsid w:val="004F7802"/>
    <w:rsid w:val="004F7996"/>
    <w:rsid w:val="004F7F5B"/>
    <w:rsid w:val="005008EF"/>
    <w:rsid w:val="00500F47"/>
    <w:rsid w:val="00501012"/>
    <w:rsid w:val="005019E2"/>
    <w:rsid w:val="005027B0"/>
    <w:rsid w:val="0050302B"/>
    <w:rsid w:val="005031AE"/>
    <w:rsid w:val="0050343F"/>
    <w:rsid w:val="005036F4"/>
    <w:rsid w:val="00503B2F"/>
    <w:rsid w:val="00503B72"/>
    <w:rsid w:val="005045BE"/>
    <w:rsid w:val="005051E1"/>
    <w:rsid w:val="0050522E"/>
    <w:rsid w:val="005053A7"/>
    <w:rsid w:val="00505475"/>
    <w:rsid w:val="00505697"/>
    <w:rsid w:val="00506956"/>
    <w:rsid w:val="00506B66"/>
    <w:rsid w:val="00506CE7"/>
    <w:rsid w:val="00506EF7"/>
    <w:rsid w:val="00507656"/>
    <w:rsid w:val="0050778C"/>
    <w:rsid w:val="00507A6C"/>
    <w:rsid w:val="00507DB6"/>
    <w:rsid w:val="005106E7"/>
    <w:rsid w:val="00510DB0"/>
    <w:rsid w:val="00512960"/>
    <w:rsid w:val="00512E5E"/>
    <w:rsid w:val="0051337F"/>
    <w:rsid w:val="0051420F"/>
    <w:rsid w:val="005147E0"/>
    <w:rsid w:val="00514850"/>
    <w:rsid w:val="00514A29"/>
    <w:rsid w:val="00515353"/>
    <w:rsid w:val="005159CF"/>
    <w:rsid w:val="00515B68"/>
    <w:rsid w:val="00515D3F"/>
    <w:rsid w:val="00516458"/>
    <w:rsid w:val="00516A78"/>
    <w:rsid w:val="00516CD7"/>
    <w:rsid w:val="00516F53"/>
    <w:rsid w:val="00516FF3"/>
    <w:rsid w:val="00517A02"/>
    <w:rsid w:val="00517B8B"/>
    <w:rsid w:val="00517C72"/>
    <w:rsid w:val="00517D93"/>
    <w:rsid w:val="005202B9"/>
    <w:rsid w:val="005216B0"/>
    <w:rsid w:val="0052175C"/>
    <w:rsid w:val="0052181C"/>
    <w:rsid w:val="00521D97"/>
    <w:rsid w:val="0052200F"/>
    <w:rsid w:val="005221F9"/>
    <w:rsid w:val="00522983"/>
    <w:rsid w:val="005230F3"/>
    <w:rsid w:val="00523498"/>
    <w:rsid w:val="0052377E"/>
    <w:rsid w:val="00524AB8"/>
    <w:rsid w:val="005259A8"/>
    <w:rsid w:val="00525F7C"/>
    <w:rsid w:val="00526402"/>
    <w:rsid w:val="0052708F"/>
    <w:rsid w:val="0052781A"/>
    <w:rsid w:val="00527F6A"/>
    <w:rsid w:val="005305F3"/>
    <w:rsid w:val="00530F44"/>
    <w:rsid w:val="00531050"/>
    <w:rsid w:val="005317FA"/>
    <w:rsid w:val="005319BA"/>
    <w:rsid w:val="00531B67"/>
    <w:rsid w:val="00531E19"/>
    <w:rsid w:val="005321B6"/>
    <w:rsid w:val="005324F9"/>
    <w:rsid w:val="00532E48"/>
    <w:rsid w:val="0053307C"/>
    <w:rsid w:val="005331AF"/>
    <w:rsid w:val="005333B9"/>
    <w:rsid w:val="005346A7"/>
    <w:rsid w:val="00535054"/>
    <w:rsid w:val="005352AD"/>
    <w:rsid w:val="005352E3"/>
    <w:rsid w:val="0053550D"/>
    <w:rsid w:val="0053579F"/>
    <w:rsid w:val="00535817"/>
    <w:rsid w:val="00535933"/>
    <w:rsid w:val="005365D4"/>
    <w:rsid w:val="00536ABA"/>
    <w:rsid w:val="00536F40"/>
    <w:rsid w:val="005372C1"/>
    <w:rsid w:val="00537E9E"/>
    <w:rsid w:val="00540005"/>
    <w:rsid w:val="00540298"/>
    <w:rsid w:val="00540AD7"/>
    <w:rsid w:val="00540D6F"/>
    <w:rsid w:val="00541753"/>
    <w:rsid w:val="0054191D"/>
    <w:rsid w:val="00541CCA"/>
    <w:rsid w:val="00541D44"/>
    <w:rsid w:val="0054203D"/>
    <w:rsid w:val="005421D4"/>
    <w:rsid w:val="00542906"/>
    <w:rsid w:val="0054293A"/>
    <w:rsid w:val="00543570"/>
    <w:rsid w:val="005437AD"/>
    <w:rsid w:val="00543924"/>
    <w:rsid w:val="00543E5C"/>
    <w:rsid w:val="0054477E"/>
    <w:rsid w:val="00544B40"/>
    <w:rsid w:val="00544C21"/>
    <w:rsid w:val="00544FDD"/>
    <w:rsid w:val="00545153"/>
    <w:rsid w:val="0054538D"/>
    <w:rsid w:val="005457C5"/>
    <w:rsid w:val="005458E3"/>
    <w:rsid w:val="00545A4D"/>
    <w:rsid w:val="00545D67"/>
    <w:rsid w:val="005460C6"/>
    <w:rsid w:val="00547443"/>
    <w:rsid w:val="0055079F"/>
    <w:rsid w:val="00550A3A"/>
    <w:rsid w:val="00550AA3"/>
    <w:rsid w:val="00550BBE"/>
    <w:rsid w:val="005520FD"/>
    <w:rsid w:val="00552381"/>
    <w:rsid w:val="005524F6"/>
    <w:rsid w:val="00552A21"/>
    <w:rsid w:val="005531AB"/>
    <w:rsid w:val="00553A99"/>
    <w:rsid w:val="00553A9E"/>
    <w:rsid w:val="00553D22"/>
    <w:rsid w:val="00554037"/>
    <w:rsid w:val="00554258"/>
    <w:rsid w:val="00554C01"/>
    <w:rsid w:val="00554D02"/>
    <w:rsid w:val="00554E4A"/>
    <w:rsid w:val="00554FC9"/>
    <w:rsid w:val="005550EC"/>
    <w:rsid w:val="00555518"/>
    <w:rsid w:val="00556818"/>
    <w:rsid w:val="00556EC1"/>
    <w:rsid w:val="00557610"/>
    <w:rsid w:val="00560114"/>
    <w:rsid w:val="005601E8"/>
    <w:rsid w:val="005603EA"/>
    <w:rsid w:val="005607F6"/>
    <w:rsid w:val="00560D2A"/>
    <w:rsid w:val="00560DCA"/>
    <w:rsid w:val="005611AD"/>
    <w:rsid w:val="0056141B"/>
    <w:rsid w:val="0056154E"/>
    <w:rsid w:val="00561B3E"/>
    <w:rsid w:val="00561ED5"/>
    <w:rsid w:val="00561F18"/>
    <w:rsid w:val="00562285"/>
    <w:rsid w:val="00562517"/>
    <w:rsid w:val="00562DCF"/>
    <w:rsid w:val="00562E0A"/>
    <w:rsid w:val="00563556"/>
    <w:rsid w:val="005635FC"/>
    <w:rsid w:val="005642B8"/>
    <w:rsid w:val="0056495D"/>
    <w:rsid w:val="00565A79"/>
    <w:rsid w:val="00565BBE"/>
    <w:rsid w:val="00565FA9"/>
    <w:rsid w:val="0056629C"/>
    <w:rsid w:val="00566519"/>
    <w:rsid w:val="0056657E"/>
    <w:rsid w:val="005665EB"/>
    <w:rsid w:val="005668BE"/>
    <w:rsid w:val="00566AFF"/>
    <w:rsid w:val="00566E6F"/>
    <w:rsid w:val="005670E9"/>
    <w:rsid w:val="00567866"/>
    <w:rsid w:val="00567BFA"/>
    <w:rsid w:val="00570BAD"/>
    <w:rsid w:val="0057107A"/>
    <w:rsid w:val="00571514"/>
    <w:rsid w:val="005717D4"/>
    <w:rsid w:val="00571C4D"/>
    <w:rsid w:val="00571CC3"/>
    <w:rsid w:val="00571E47"/>
    <w:rsid w:val="0057286F"/>
    <w:rsid w:val="00572C6A"/>
    <w:rsid w:val="00573012"/>
    <w:rsid w:val="00573292"/>
    <w:rsid w:val="0057339E"/>
    <w:rsid w:val="005739C3"/>
    <w:rsid w:val="00573AD0"/>
    <w:rsid w:val="00573B6C"/>
    <w:rsid w:val="0057411E"/>
    <w:rsid w:val="005742D4"/>
    <w:rsid w:val="0057470E"/>
    <w:rsid w:val="00574D29"/>
    <w:rsid w:val="005755EB"/>
    <w:rsid w:val="00575651"/>
    <w:rsid w:val="00575868"/>
    <w:rsid w:val="00575972"/>
    <w:rsid w:val="00575F99"/>
    <w:rsid w:val="00576218"/>
    <w:rsid w:val="00576268"/>
    <w:rsid w:val="00576451"/>
    <w:rsid w:val="005766E8"/>
    <w:rsid w:val="00576796"/>
    <w:rsid w:val="0057719D"/>
    <w:rsid w:val="005774D2"/>
    <w:rsid w:val="00577EA7"/>
    <w:rsid w:val="00577F89"/>
    <w:rsid w:val="00577FD4"/>
    <w:rsid w:val="00580470"/>
    <w:rsid w:val="005816D8"/>
    <w:rsid w:val="005817B6"/>
    <w:rsid w:val="005817B8"/>
    <w:rsid w:val="005818E2"/>
    <w:rsid w:val="00581A75"/>
    <w:rsid w:val="00581B4F"/>
    <w:rsid w:val="00581DE5"/>
    <w:rsid w:val="00581E6B"/>
    <w:rsid w:val="005823AA"/>
    <w:rsid w:val="00582A71"/>
    <w:rsid w:val="00582C4F"/>
    <w:rsid w:val="00583071"/>
    <w:rsid w:val="00583413"/>
    <w:rsid w:val="0058389D"/>
    <w:rsid w:val="00583E01"/>
    <w:rsid w:val="00585962"/>
    <w:rsid w:val="00586086"/>
    <w:rsid w:val="0058640B"/>
    <w:rsid w:val="0058677E"/>
    <w:rsid w:val="00586F7A"/>
    <w:rsid w:val="00586FEC"/>
    <w:rsid w:val="005871B8"/>
    <w:rsid w:val="00587DF9"/>
    <w:rsid w:val="00587F78"/>
    <w:rsid w:val="00590569"/>
    <w:rsid w:val="0059124A"/>
    <w:rsid w:val="00591A3B"/>
    <w:rsid w:val="00592339"/>
    <w:rsid w:val="005925F4"/>
    <w:rsid w:val="0059300F"/>
    <w:rsid w:val="005935B8"/>
    <w:rsid w:val="00593CFA"/>
    <w:rsid w:val="00594064"/>
    <w:rsid w:val="0059440B"/>
    <w:rsid w:val="00594884"/>
    <w:rsid w:val="00594B7A"/>
    <w:rsid w:val="00594BF4"/>
    <w:rsid w:val="00594CBB"/>
    <w:rsid w:val="00594EAE"/>
    <w:rsid w:val="0059523E"/>
    <w:rsid w:val="00595548"/>
    <w:rsid w:val="0059560F"/>
    <w:rsid w:val="00596318"/>
    <w:rsid w:val="00596BE2"/>
    <w:rsid w:val="00596D1A"/>
    <w:rsid w:val="005A026A"/>
    <w:rsid w:val="005A06DB"/>
    <w:rsid w:val="005A0A75"/>
    <w:rsid w:val="005A0D74"/>
    <w:rsid w:val="005A0E9F"/>
    <w:rsid w:val="005A14CF"/>
    <w:rsid w:val="005A1548"/>
    <w:rsid w:val="005A1AC0"/>
    <w:rsid w:val="005A1D93"/>
    <w:rsid w:val="005A2037"/>
    <w:rsid w:val="005A3930"/>
    <w:rsid w:val="005A3B0B"/>
    <w:rsid w:val="005A3B5D"/>
    <w:rsid w:val="005A40AF"/>
    <w:rsid w:val="005A447C"/>
    <w:rsid w:val="005A4666"/>
    <w:rsid w:val="005A4C97"/>
    <w:rsid w:val="005A5539"/>
    <w:rsid w:val="005A556D"/>
    <w:rsid w:val="005A59C2"/>
    <w:rsid w:val="005A62CC"/>
    <w:rsid w:val="005A66D5"/>
    <w:rsid w:val="005A73E7"/>
    <w:rsid w:val="005A74C1"/>
    <w:rsid w:val="005A78DC"/>
    <w:rsid w:val="005A798B"/>
    <w:rsid w:val="005A7C61"/>
    <w:rsid w:val="005B0151"/>
    <w:rsid w:val="005B0161"/>
    <w:rsid w:val="005B0666"/>
    <w:rsid w:val="005B0A12"/>
    <w:rsid w:val="005B0BCC"/>
    <w:rsid w:val="005B0F41"/>
    <w:rsid w:val="005B16F8"/>
    <w:rsid w:val="005B183A"/>
    <w:rsid w:val="005B1FC4"/>
    <w:rsid w:val="005B24F7"/>
    <w:rsid w:val="005B2E38"/>
    <w:rsid w:val="005B2E56"/>
    <w:rsid w:val="005B2F22"/>
    <w:rsid w:val="005B30B5"/>
    <w:rsid w:val="005B35EC"/>
    <w:rsid w:val="005B388D"/>
    <w:rsid w:val="005B3F5E"/>
    <w:rsid w:val="005B405E"/>
    <w:rsid w:val="005B4E94"/>
    <w:rsid w:val="005B502B"/>
    <w:rsid w:val="005B50D3"/>
    <w:rsid w:val="005B5E70"/>
    <w:rsid w:val="005B5F2B"/>
    <w:rsid w:val="005B60B8"/>
    <w:rsid w:val="005B68AE"/>
    <w:rsid w:val="005B68EA"/>
    <w:rsid w:val="005B6BF2"/>
    <w:rsid w:val="005B6D8C"/>
    <w:rsid w:val="005B7923"/>
    <w:rsid w:val="005B7F18"/>
    <w:rsid w:val="005C0526"/>
    <w:rsid w:val="005C053C"/>
    <w:rsid w:val="005C0932"/>
    <w:rsid w:val="005C0982"/>
    <w:rsid w:val="005C09B0"/>
    <w:rsid w:val="005C0AB6"/>
    <w:rsid w:val="005C0D9A"/>
    <w:rsid w:val="005C0E12"/>
    <w:rsid w:val="005C10B7"/>
    <w:rsid w:val="005C1BBF"/>
    <w:rsid w:val="005C225B"/>
    <w:rsid w:val="005C2A6B"/>
    <w:rsid w:val="005C2C66"/>
    <w:rsid w:val="005C2E45"/>
    <w:rsid w:val="005C3437"/>
    <w:rsid w:val="005C3869"/>
    <w:rsid w:val="005C38A4"/>
    <w:rsid w:val="005C3B1B"/>
    <w:rsid w:val="005C462D"/>
    <w:rsid w:val="005C4F55"/>
    <w:rsid w:val="005C68CB"/>
    <w:rsid w:val="005C6901"/>
    <w:rsid w:val="005C6A0A"/>
    <w:rsid w:val="005C6ADC"/>
    <w:rsid w:val="005C6FC8"/>
    <w:rsid w:val="005C71C8"/>
    <w:rsid w:val="005C787D"/>
    <w:rsid w:val="005C7967"/>
    <w:rsid w:val="005C7C25"/>
    <w:rsid w:val="005C7ED2"/>
    <w:rsid w:val="005D0099"/>
    <w:rsid w:val="005D038D"/>
    <w:rsid w:val="005D14BF"/>
    <w:rsid w:val="005D18DE"/>
    <w:rsid w:val="005D1910"/>
    <w:rsid w:val="005D24D5"/>
    <w:rsid w:val="005D344E"/>
    <w:rsid w:val="005D4699"/>
    <w:rsid w:val="005D46C1"/>
    <w:rsid w:val="005D4DB4"/>
    <w:rsid w:val="005D5123"/>
    <w:rsid w:val="005D5961"/>
    <w:rsid w:val="005D5BB0"/>
    <w:rsid w:val="005D5C9C"/>
    <w:rsid w:val="005D5F1D"/>
    <w:rsid w:val="005D6BA8"/>
    <w:rsid w:val="005D710E"/>
    <w:rsid w:val="005D778B"/>
    <w:rsid w:val="005D7793"/>
    <w:rsid w:val="005D7A29"/>
    <w:rsid w:val="005E00EA"/>
    <w:rsid w:val="005E03C5"/>
    <w:rsid w:val="005E04D6"/>
    <w:rsid w:val="005E062B"/>
    <w:rsid w:val="005E08F1"/>
    <w:rsid w:val="005E0A65"/>
    <w:rsid w:val="005E1779"/>
    <w:rsid w:val="005E1782"/>
    <w:rsid w:val="005E1930"/>
    <w:rsid w:val="005E194B"/>
    <w:rsid w:val="005E1F27"/>
    <w:rsid w:val="005E2307"/>
    <w:rsid w:val="005E241D"/>
    <w:rsid w:val="005E2846"/>
    <w:rsid w:val="005E2AB3"/>
    <w:rsid w:val="005E3228"/>
    <w:rsid w:val="005E3463"/>
    <w:rsid w:val="005E3AB2"/>
    <w:rsid w:val="005E3DC5"/>
    <w:rsid w:val="005E3F50"/>
    <w:rsid w:val="005E3FBA"/>
    <w:rsid w:val="005E4E35"/>
    <w:rsid w:val="005E505C"/>
    <w:rsid w:val="005E5167"/>
    <w:rsid w:val="005E59C4"/>
    <w:rsid w:val="005E734E"/>
    <w:rsid w:val="005E7354"/>
    <w:rsid w:val="005E76EC"/>
    <w:rsid w:val="005E7DC1"/>
    <w:rsid w:val="005F0A42"/>
    <w:rsid w:val="005F0B58"/>
    <w:rsid w:val="005F15DD"/>
    <w:rsid w:val="005F18DF"/>
    <w:rsid w:val="005F1B88"/>
    <w:rsid w:val="005F202C"/>
    <w:rsid w:val="005F24C6"/>
    <w:rsid w:val="005F2F1B"/>
    <w:rsid w:val="005F3032"/>
    <w:rsid w:val="005F3269"/>
    <w:rsid w:val="005F3283"/>
    <w:rsid w:val="005F3949"/>
    <w:rsid w:val="005F496E"/>
    <w:rsid w:val="005F4ABE"/>
    <w:rsid w:val="005F5820"/>
    <w:rsid w:val="005F65BC"/>
    <w:rsid w:val="005F65D2"/>
    <w:rsid w:val="005F6DEC"/>
    <w:rsid w:val="005F73D0"/>
    <w:rsid w:val="005F7634"/>
    <w:rsid w:val="005F77A7"/>
    <w:rsid w:val="005F7D6F"/>
    <w:rsid w:val="00600A64"/>
    <w:rsid w:val="00600C27"/>
    <w:rsid w:val="0060130D"/>
    <w:rsid w:val="00601614"/>
    <w:rsid w:val="00601D88"/>
    <w:rsid w:val="00602218"/>
    <w:rsid w:val="00602ED0"/>
    <w:rsid w:val="00603052"/>
    <w:rsid w:val="00603101"/>
    <w:rsid w:val="006033D9"/>
    <w:rsid w:val="00603637"/>
    <w:rsid w:val="00603650"/>
    <w:rsid w:val="00603886"/>
    <w:rsid w:val="00603C5D"/>
    <w:rsid w:val="00603FBB"/>
    <w:rsid w:val="00604425"/>
    <w:rsid w:val="00604E69"/>
    <w:rsid w:val="00604E8A"/>
    <w:rsid w:val="00605C71"/>
    <w:rsid w:val="006071D1"/>
    <w:rsid w:val="006073D9"/>
    <w:rsid w:val="00607844"/>
    <w:rsid w:val="0060796C"/>
    <w:rsid w:val="00610556"/>
    <w:rsid w:val="00610894"/>
    <w:rsid w:val="00610F60"/>
    <w:rsid w:val="00611100"/>
    <w:rsid w:val="00611194"/>
    <w:rsid w:val="006113DE"/>
    <w:rsid w:val="006115EF"/>
    <w:rsid w:val="006115F8"/>
    <w:rsid w:val="0061163E"/>
    <w:rsid w:val="0061172C"/>
    <w:rsid w:val="006118E9"/>
    <w:rsid w:val="00612316"/>
    <w:rsid w:val="006124C1"/>
    <w:rsid w:val="00612CB0"/>
    <w:rsid w:val="00612EF3"/>
    <w:rsid w:val="00613D92"/>
    <w:rsid w:val="00615592"/>
    <w:rsid w:val="006155AA"/>
    <w:rsid w:val="00615DC5"/>
    <w:rsid w:val="00615F90"/>
    <w:rsid w:val="0061709E"/>
    <w:rsid w:val="006174DC"/>
    <w:rsid w:val="00617790"/>
    <w:rsid w:val="0062097F"/>
    <w:rsid w:val="00621165"/>
    <w:rsid w:val="00621760"/>
    <w:rsid w:val="00621DB5"/>
    <w:rsid w:val="00624500"/>
    <w:rsid w:val="00624644"/>
    <w:rsid w:val="00624808"/>
    <w:rsid w:val="0062487B"/>
    <w:rsid w:val="00624934"/>
    <w:rsid w:val="00624EB0"/>
    <w:rsid w:val="006250EE"/>
    <w:rsid w:val="00625294"/>
    <w:rsid w:val="006252AC"/>
    <w:rsid w:val="0062562C"/>
    <w:rsid w:val="00625A38"/>
    <w:rsid w:val="00625BFE"/>
    <w:rsid w:val="00625D28"/>
    <w:rsid w:val="00626211"/>
    <w:rsid w:val="006269F9"/>
    <w:rsid w:val="00626B45"/>
    <w:rsid w:val="0062714E"/>
    <w:rsid w:val="00627295"/>
    <w:rsid w:val="00627DE3"/>
    <w:rsid w:val="0063024B"/>
    <w:rsid w:val="00630691"/>
    <w:rsid w:val="00630B97"/>
    <w:rsid w:val="00631A79"/>
    <w:rsid w:val="00631D1B"/>
    <w:rsid w:val="00631DA6"/>
    <w:rsid w:val="00631E2A"/>
    <w:rsid w:val="006320DF"/>
    <w:rsid w:val="00632161"/>
    <w:rsid w:val="006329BD"/>
    <w:rsid w:val="00632BF7"/>
    <w:rsid w:val="00634445"/>
    <w:rsid w:val="00634905"/>
    <w:rsid w:val="00634E2A"/>
    <w:rsid w:val="00634E7D"/>
    <w:rsid w:val="00635927"/>
    <w:rsid w:val="006365B8"/>
    <w:rsid w:val="00636DAC"/>
    <w:rsid w:val="00637394"/>
    <w:rsid w:val="00637814"/>
    <w:rsid w:val="00637A8F"/>
    <w:rsid w:val="0064044E"/>
    <w:rsid w:val="006406A3"/>
    <w:rsid w:val="006406B8"/>
    <w:rsid w:val="0064130E"/>
    <w:rsid w:val="00641735"/>
    <w:rsid w:val="00641905"/>
    <w:rsid w:val="00641A19"/>
    <w:rsid w:val="00641D4B"/>
    <w:rsid w:val="00642177"/>
    <w:rsid w:val="00642443"/>
    <w:rsid w:val="00642BF8"/>
    <w:rsid w:val="00642FD5"/>
    <w:rsid w:val="006430AA"/>
    <w:rsid w:val="0064370D"/>
    <w:rsid w:val="006440F8"/>
    <w:rsid w:val="006448A0"/>
    <w:rsid w:val="00644C63"/>
    <w:rsid w:val="00645BC7"/>
    <w:rsid w:val="00645E22"/>
    <w:rsid w:val="006460FA"/>
    <w:rsid w:val="0064619C"/>
    <w:rsid w:val="0064642C"/>
    <w:rsid w:val="00646522"/>
    <w:rsid w:val="00646AB1"/>
    <w:rsid w:val="00646EE5"/>
    <w:rsid w:val="006470B4"/>
    <w:rsid w:val="006470FD"/>
    <w:rsid w:val="006473E8"/>
    <w:rsid w:val="006479D9"/>
    <w:rsid w:val="00647E03"/>
    <w:rsid w:val="0065025D"/>
    <w:rsid w:val="006505D0"/>
    <w:rsid w:val="006509E8"/>
    <w:rsid w:val="006510CF"/>
    <w:rsid w:val="006513F0"/>
    <w:rsid w:val="006515B2"/>
    <w:rsid w:val="0065172D"/>
    <w:rsid w:val="00651751"/>
    <w:rsid w:val="00651F99"/>
    <w:rsid w:val="006523C3"/>
    <w:rsid w:val="0065244B"/>
    <w:rsid w:val="006536C5"/>
    <w:rsid w:val="00653B23"/>
    <w:rsid w:val="00653F22"/>
    <w:rsid w:val="00654062"/>
    <w:rsid w:val="00654420"/>
    <w:rsid w:val="00654EDC"/>
    <w:rsid w:val="006550A8"/>
    <w:rsid w:val="00655EB9"/>
    <w:rsid w:val="00655FE2"/>
    <w:rsid w:val="00656CBE"/>
    <w:rsid w:val="00656E2E"/>
    <w:rsid w:val="00656F10"/>
    <w:rsid w:val="00657066"/>
    <w:rsid w:val="00657094"/>
    <w:rsid w:val="006570F7"/>
    <w:rsid w:val="0065725F"/>
    <w:rsid w:val="00657560"/>
    <w:rsid w:val="006577D2"/>
    <w:rsid w:val="00657864"/>
    <w:rsid w:val="00657AEE"/>
    <w:rsid w:val="00657CDB"/>
    <w:rsid w:val="00660094"/>
    <w:rsid w:val="00660DCE"/>
    <w:rsid w:val="006615D0"/>
    <w:rsid w:val="00661890"/>
    <w:rsid w:val="00662A17"/>
    <w:rsid w:val="00662D05"/>
    <w:rsid w:val="00662D0A"/>
    <w:rsid w:val="00662D7A"/>
    <w:rsid w:val="006645B4"/>
    <w:rsid w:val="0066492E"/>
    <w:rsid w:val="00665814"/>
    <w:rsid w:val="006660AD"/>
    <w:rsid w:val="0066697E"/>
    <w:rsid w:val="00670026"/>
    <w:rsid w:val="00670384"/>
    <w:rsid w:val="006704FA"/>
    <w:rsid w:val="00672BE5"/>
    <w:rsid w:val="00672C94"/>
    <w:rsid w:val="00672E5D"/>
    <w:rsid w:val="0067363C"/>
    <w:rsid w:val="006736CD"/>
    <w:rsid w:val="0067372B"/>
    <w:rsid w:val="0067383B"/>
    <w:rsid w:val="006739E3"/>
    <w:rsid w:val="00673C9F"/>
    <w:rsid w:val="00674788"/>
    <w:rsid w:val="006748EE"/>
    <w:rsid w:val="0067492D"/>
    <w:rsid w:val="00674AC1"/>
    <w:rsid w:val="00674B99"/>
    <w:rsid w:val="0067611F"/>
    <w:rsid w:val="00676315"/>
    <w:rsid w:val="0067664A"/>
    <w:rsid w:val="00676E91"/>
    <w:rsid w:val="00677708"/>
    <w:rsid w:val="006779FD"/>
    <w:rsid w:val="006801FF"/>
    <w:rsid w:val="006804DF"/>
    <w:rsid w:val="0068089A"/>
    <w:rsid w:val="00680F28"/>
    <w:rsid w:val="0068148B"/>
    <w:rsid w:val="006815CA"/>
    <w:rsid w:val="006817E6"/>
    <w:rsid w:val="006819DC"/>
    <w:rsid w:val="00681A31"/>
    <w:rsid w:val="00681B59"/>
    <w:rsid w:val="00682161"/>
    <w:rsid w:val="006821DF"/>
    <w:rsid w:val="006825B7"/>
    <w:rsid w:val="00682B51"/>
    <w:rsid w:val="00683718"/>
    <w:rsid w:val="00684582"/>
    <w:rsid w:val="0068495E"/>
    <w:rsid w:val="00684BA4"/>
    <w:rsid w:val="00684E2A"/>
    <w:rsid w:val="00686A5B"/>
    <w:rsid w:val="00686B56"/>
    <w:rsid w:val="00686C09"/>
    <w:rsid w:val="00687115"/>
    <w:rsid w:val="006902FC"/>
    <w:rsid w:val="006906B5"/>
    <w:rsid w:val="0069086E"/>
    <w:rsid w:val="0069107C"/>
    <w:rsid w:val="00691891"/>
    <w:rsid w:val="006920D9"/>
    <w:rsid w:val="0069245F"/>
    <w:rsid w:val="0069282B"/>
    <w:rsid w:val="00692DFC"/>
    <w:rsid w:val="00693CAA"/>
    <w:rsid w:val="00693F24"/>
    <w:rsid w:val="006940EC"/>
    <w:rsid w:val="006944F8"/>
    <w:rsid w:val="00694571"/>
    <w:rsid w:val="00694D83"/>
    <w:rsid w:val="0069513E"/>
    <w:rsid w:val="00695276"/>
    <w:rsid w:val="00695B7E"/>
    <w:rsid w:val="00695F61"/>
    <w:rsid w:val="006960FA"/>
    <w:rsid w:val="0069632B"/>
    <w:rsid w:val="006967F2"/>
    <w:rsid w:val="00696B3C"/>
    <w:rsid w:val="006970A4"/>
    <w:rsid w:val="00697C4C"/>
    <w:rsid w:val="006A01E7"/>
    <w:rsid w:val="006A0BD1"/>
    <w:rsid w:val="006A0EBB"/>
    <w:rsid w:val="006A30C8"/>
    <w:rsid w:val="006A3427"/>
    <w:rsid w:val="006A3DC7"/>
    <w:rsid w:val="006A3FCD"/>
    <w:rsid w:val="006A400B"/>
    <w:rsid w:val="006A411C"/>
    <w:rsid w:val="006A44DA"/>
    <w:rsid w:val="006A4773"/>
    <w:rsid w:val="006A4934"/>
    <w:rsid w:val="006A4B21"/>
    <w:rsid w:val="006A4FBD"/>
    <w:rsid w:val="006A5395"/>
    <w:rsid w:val="006A5624"/>
    <w:rsid w:val="006A5CC9"/>
    <w:rsid w:val="006A6372"/>
    <w:rsid w:val="006A6EBB"/>
    <w:rsid w:val="006A7DA9"/>
    <w:rsid w:val="006B02AF"/>
    <w:rsid w:val="006B0CA2"/>
    <w:rsid w:val="006B0F37"/>
    <w:rsid w:val="006B1081"/>
    <w:rsid w:val="006B15B7"/>
    <w:rsid w:val="006B2BDA"/>
    <w:rsid w:val="006B2F91"/>
    <w:rsid w:val="006B3754"/>
    <w:rsid w:val="006B3B32"/>
    <w:rsid w:val="006B3EA0"/>
    <w:rsid w:val="006B3EFF"/>
    <w:rsid w:val="006B4ADB"/>
    <w:rsid w:val="006B4B58"/>
    <w:rsid w:val="006B4B7F"/>
    <w:rsid w:val="006B4CD9"/>
    <w:rsid w:val="006B531E"/>
    <w:rsid w:val="006B570F"/>
    <w:rsid w:val="006B603E"/>
    <w:rsid w:val="006B6382"/>
    <w:rsid w:val="006B689E"/>
    <w:rsid w:val="006B7EB3"/>
    <w:rsid w:val="006C00B1"/>
    <w:rsid w:val="006C0539"/>
    <w:rsid w:val="006C14FE"/>
    <w:rsid w:val="006C15D5"/>
    <w:rsid w:val="006C20D2"/>
    <w:rsid w:val="006C21D0"/>
    <w:rsid w:val="006C22F1"/>
    <w:rsid w:val="006C24A6"/>
    <w:rsid w:val="006C2543"/>
    <w:rsid w:val="006C2608"/>
    <w:rsid w:val="006C2DCE"/>
    <w:rsid w:val="006C3631"/>
    <w:rsid w:val="006C3650"/>
    <w:rsid w:val="006C378A"/>
    <w:rsid w:val="006C3B1B"/>
    <w:rsid w:val="006C3B1C"/>
    <w:rsid w:val="006C3F7B"/>
    <w:rsid w:val="006C4BDE"/>
    <w:rsid w:val="006C4C32"/>
    <w:rsid w:val="006C4C72"/>
    <w:rsid w:val="006C536F"/>
    <w:rsid w:val="006C5D9B"/>
    <w:rsid w:val="006C5FDA"/>
    <w:rsid w:val="006C60F5"/>
    <w:rsid w:val="006C6586"/>
    <w:rsid w:val="006C69F0"/>
    <w:rsid w:val="006C6A68"/>
    <w:rsid w:val="006C6B68"/>
    <w:rsid w:val="006C6BDB"/>
    <w:rsid w:val="006C75E9"/>
    <w:rsid w:val="006D01E9"/>
    <w:rsid w:val="006D0522"/>
    <w:rsid w:val="006D11FA"/>
    <w:rsid w:val="006D14ED"/>
    <w:rsid w:val="006D1707"/>
    <w:rsid w:val="006D1901"/>
    <w:rsid w:val="006D1A02"/>
    <w:rsid w:val="006D1EE2"/>
    <w:rsid w:val="006D1FCF"/>
    <w:rsid w:val="006D2C03"/>
    <w:rsid w:val="006D2EB4"/>
    <w:rsid w:val="006D306F"/>
    <w:rsid w:val="006D3645"/>
    <w:rsid w:val="006D36F9"/>
    <w:rsid w:val="006D3D81"/>
    <w:rsid w:val="006D3F33"/>
    <w:rsid w:val="006D51CA"/>
    <w:rsid w:val="006D5822"/>
    <w:rsid w:val="006D619D"/>
    <w:rsid w:val="006D64FD"/>
    <w:rsid w:val="006D65ED"/>
    <w:rsid w:val="006D6A30"/>
    <w:rsid w:val="006D6A61"/>
    <w:rsid w:val="006D6A73"/>
    <w:rsid w:val="006D6E99"/>
    <w:rsid w:val="006D73E7"/>
    <w:rsid w:val="006D7654"/>
    <w:rsid w:val="006D7701"/>
    <w:rsid w:val="006D7DC8"/>
    <w:rsid w:val="006E0753"/>
    <w:rsid w:val="006E0B65"/>
    <w:rsid w:val="006E0E67"/>
    <w:rsid w:val="006E1492"/>
    <w:rsid w:val="006E230D"/>
    <w:rsid w:val="006E2C90"/>
    <w:rsid w:val="006E30F4"/>
    <w:rsid w:val="006E3D0F"/>
    <w:rsid w:val="006E3F75"/>
    <w:rsid w:val="006E426D"/>
    <w:rsid w:val="006E4432"/>
    <w:rsid w:val="006E458B"/>
    <w:rsid w:val="006E5A67"/>
    <w:rsid w:val="006E5EBA"/>
    <w:rsid w:val="006E644C"/>
    <w:rsid w:val="006E6490"/>
    <w:rsid w:val="006E6741"/>
    <w:rsid w:val="006E694E"/>
    <w:rsid w:val="006E6A4E"/>
    <w:rsid w:val="006E6DCF"/>
    <w:rsid w:val="006E6F11"/>
    <w:rsid w:val="006E7211"/>
    <w:rsid w:val="006F08D6"/>
    <w:rsid w:val="006F0DB2"/>
    <w:rsid w:val="006F0F8B"/>
    <w:rsid w:val="006F1010"/>
    <w:rsid w:val="006F11E6"/>
    <w:rsid w:val="006F1AB9"/>
    <w:rsid w:val="006F1D6B"/>
    <w:rsid w:val="006F1E8C"/>
    <w:rsid w:val="006F2B78"/>
    <w:rsid w:val="006F3877"/>
    <w:rsid w:val="006F38C5"/>
    <w:rsid w:val="006F3B68"/>
    <w:rsid w:val="006F3E3C"/>
    <w:rsid w:val="006F4065"/>
    <w:rsid w:val="006F4066"/>
    <w:rsid w:val="006F4227"/>
    <w:rsid w:val="006F43FF"/>
    <w:rsid w:val="006F4493"/>
    <w:rsid w:val="006F4674"/>
    <w:rsid w:val="006F4832"/>
    <w:rsid w:val="006F4DFB"/>
    <w:rsid w:val="006F51BD"/>
    <w:rsid w:val="006F56B3"/>
    <w:rsid w:val="006F5D1F"/>
    <w:rsid w:val="006F5F6C"/>
    <w:rsid w:val="006F68A2"/>
    <w:rsid w:val="006F6D48"/>
    <w:rsid w:val="006F6DE0"/>
    <w:rsid w:val="00700170"/>
    <w:rsid w:val="00700335"/>
    <w:rsid w:val="0070061E"/>
    <w:rsid w:val="00700626"/>
    <w:rsid w:val="007007DA"/>
    <w:rsid w:val="00700A96"/>
    <w:rsid w:val="00700CD7"/>
    <w:rsid w:val="00702E49"/>
    <w:rsid w:val="00703329"/>
    <w:rsid w:val="00703565"/>
    <w:rsid w:val="007039E8"/>
    <w:rsid w:val="007040D8"/>
    <w:rsid w:val="0070560C"/>
    <w:rsid w:val="00705CC4"/>
    <w:rsid w:val="00705F12"/>
    <w:rsid w:val="00705FA2"/>
    <w:rsid w:val="0070626C"/>
    <w:rsid w:val="007065BA"/>
    <w:rsid w:val="00706857"/>
    <w:rsid w:val="00706B68"/>
    <w:rsid w:val="00706BBA"/>
    <w:rsid w:val="007075B5"/>
    <w:rsid w:val="00707989"/>
    <w:rsid w:val="00710277"/>
    <w:rsid w:val="00710633"/>
    <w:rsid w:val="00710E8C"/>
    <w:rsid w:val="00710F1E"/>
    <w:rsid w:val="00711B4E"/>
    <w:rsid w:val="0071388B"/>
    <w:rsid w:val="00713930"/>
    <w:rsid w:val="007140C0"/>
    <w:rsid w:val="00714710"/>
    <w:rsid w:val="007147CB"/>
    <w:rsid w:val="00714CA2"/>
    <w:rsid w:val="00715174"/>
    <w:rsid w:val="00715267"/>
    <w:rsid w:val="00715720"/>
    <w:rsid w:val="00715934"/>
    <w:rsid w:val="00715A65"/>
    <w:rsid w:val="00715DC5"/>
    <w:rsid w:val="00716492"/>
    <w:rsid w:val="00716583"/>
    <w:rsid w:val="0071683B"/>
    <w:rsid w:val="00716EC1"/>
    <w:rsid w:val="0071740E"/>
    <w:rsid w:val="00717936"/>
    <w:rsid w:val="00717F9A"/>
    <w:rsid w:val="007200F1"/>
    <w:rsid w:val="00720217"/>
    <w:rsid w:val="00720386"/>
    <w:rsid w:val="007206FD"/>
    <w:rsid w:val="007209C1"/>
    <w:rsid w:val="00720C9F"/>
    <w:rsid w:val="00720D41"/>
    <w:rsid w:val="0072101D"/>
    <w:rsid w:val="007211CB"/>
    <w:rsid w:val="00721499"/>
    <w:rsid w:val="00721797"/>
    <w:rsid w:val="007218AE"/>
    <w:rsid w:val="00721AB4"/>
    <w:rsid w:val="00721B86"/>
    <w:rsid w:val="007222A1"/>
    <w:rsid w:val="0072350B"/>
    <w:rsid w:val="00723ABC"/>
    <w:rsid w:val="00723B64"/>
    <w:rsid w:val="00724F55"/>
    <w:rsid w:val="00724FB9"/>
    <w:rsid w:val="00725F39"/>
    <w:rsid w:val="0072611E"/>
    <w:rsid w:val="00726304"/>
    <w:rsid w:val="0072633F"/>
    <w:rsid w:val="00726EDE"/>
    <w:rsid w:val="00727422"/>
    <w:rsid w:val="00727E66"/>
    <w:rsid w:val="00730572"/>
    <w:rsid w:val="00730768"/>
    <w:rsid w:val="00730974"/>
    <w:rsid w:val="00730F4A"/>
    <w:rsid w:val="007322D7"/>
    <w:rsid w:val="0073238C"/>
    <w:rsid w:val="007328B9"/>
    <w:rsid w:val="00733112"/>
    <w:rsid w:val="00733117"/>
    <w:rsid w:val="0073349A"/>
    <w:rsid w:val="00733D5D"/>
    <w:rsid w:val="0073407E"/>
    <w:rsid w:val="0073416A"/>
    <w:rsid w:val="0073485F"/>
    <w:rsid w:val="00734929"/>
    <w:rsid w:val="007352F1"/>
    <w:rsid w:val="00736558"/>
    <w:rsid w:val="00736875"/>
    <w:rsid w:val="00737146"/>
    <w:rsid w:val="007371D0"/>
    <w:rsid w:val="00737223"/>
    <w:rsid w:val="0073724A"/>
    <w:rsid w:val="00737424"/>
    <w:rsid w:val="007402CA"/>
    <w:rsid w:val="00740530"/>
    <w:rsid w:val="007405D4"/>
    <w:rsid w:val="00740699"/>
    <w:rsid w:val="00740786"/>
    <w:rsid w:val="007409C8"/>
    <w:rsid w:val="00741206"/>
    <w:rsid w:val="00741281"/>
    <w:rsid w:val="007420EA"/>
    <w:rsid w:val="007427FD"/>
    <w:rsid w:val="00742B7E"/>
    <w:rsid w:val="00742CBC"/>
    <w:rsid w:val="00742D39"/>
    <w:rsid w:val="0074331D"/>
    <w:rsid w:val="0074348C"/>
    <w:rsid w:val="0074363D"/>
    <w:rsid w:val="00743987"/>
    <w:rsid w:val="007439DC"/>
    <w:rsid w:val="00743D4F"/>
    <w:rsid w:val="00743EB2"/>
    <w:rsid w:val="0074462E"/>
    <w:rsid w:val="0074558B"/>
    <w:rsid w:val="00745775"/>
    <w:rsid w:val="00745AA5"/>
    <w:rsid w:val="00745CCA"/>
    <w:rsid w:val="00745D2A"/>
    <w:rsid w:val="00746362"/>
    <w:rsid w:val="007464C4"/>
    <w:rsid w:val="00746C01"/>
    <w:rsid w:val="00746D6D"/>
    <w:rsid w:val="00747251"/>
    <w:rsid w:val="007475BF"/>
    <w:rsid w:val="007477F7"/>
    <w:rsid w:val="0075007B"/>
    <w:rsid w:val="00750248"/>
    <w:rsid w:val="0075062D"/>
    <w:rsid w:val="00750959"/>
    <w:rsid w:val="00750A43"/>
    <w:rsid w:val="00750BEA"/>
    <w:rsid w:val="00750CB2"/>
    <w:rsid w:val="00750D12"/>
    <w:rsid w:val="00751FE8"/>
    <w:rsid w:val="00752625"/>
    <w:rsid w:val="0075268C"/>
    <w:rsid w:val="00752910"/>
    <w:rsid w:val="00752DE4"/>
    <w:rsid w:val="0075306C"/>
    <w:rsid w:val="007532D2"/>
    <w:rsid w:val="00753402"/>
    <w:rsid w:val="00753614"/>
    <w:rsid w:val="00753655"/>
    <w:rsid w:val="0075388F"/>
    <w:rsid w:val="00753CEE"/>
    <w:rsid w:val="00753EA4"/>
    <w:rsid w:val="007545E6"/>
    <w:rsid w:val="0075468F"/>
    <w:rsid w:val="00754729"/>
    <w:rsid w:val="00754C1C"/>
    <w:rsid w:val="0075504B"/>
    <w:rsid w:val="0075551B"/>
    <w:rsid w:val="0075580D"/>
    <w:rsid w:val="00756C14"/>
    <w:rsid w:val="00756F68"/>
    <w:rsid w:val="00757199"/>
    <w:rsid w:val="00757547"/>
    <w:rsid w:val="0075778C"/>
    <w:rsid w:val="007578F9"/>
    <w:rsid w:val="0076018F"/>
    <w:rsid w:val="00760351"/>
    <w:rsid w:val="007604A5"/>
    <w:rsid w:val="0076063B"/>
    <w:rsid w:val="007606FA"/>
    <w:rsid w:val="0076098B"/>
    <w:rsid w:val="00760BCB"/>
    <w:rsid w:val="007611D4"/>
    <w:rsid w:val="00761534"/>
    <w:rsid w:val="00761572"/>
    <w:rsid w:val="00761C2D"/>
    <w:rsid w:val="007627FD"/>
    <w:rsid w:val="00762AB0"/>
    <w:rsid w:val="00762D84"/>
    <w:rsid w:val="00762D9D"/>
    <w:rsid w:val="00762E4B"/>
    <w:rsid w:val="00762E8E"/>
    <w:rsid w:val="007631EC"/>
    <w:rsid w:val="0076353D"/>
    <w:rsid w:val="00764249"/>
    <w:rsid w:val="00764536"/>
    <w:rsid w:val="00764751"/>
    <w:rsid w:val="00764BCB"/>
    <w:rsid w:val="00764D18"/>
    <w:rsid w:val="00764DC2"/>
    <w:rsid w:val="00764EF2"/>
    <w:rsid w:val="0076519B"/>
    <w:rsid w:val="007657E2"/>
    <w:rsid w:val="00765A5F"/>
    <w:rsid w:val="0076653B"/>
    <w:rsid w:val="007668EE"/>
    <w:rsid w:val="00767D54"/>
    <w:rsid w:val="00770061"/>
    <w:rsid w:val="00770980"/>
    <w:rsid w:val="00770A68"/>
    <w:rsid w:val="00770CDD"/>
    <w:rsid w:val="00771027"/>
    <w:rsid w:val="00771143"/>
    <w:rsid w:val="007711B8"/>
    <w:rsid w:val="00771650"/>
    <w:rsid w:val="00772309"/>
    <w:rsid w:val="007724D1"/>
    <w:rsid w:val="007732EA"/>
    <w:rsid w:val="00773507"/>
    <w:rsid w:val="00773A8D"/>
    <w:rsid w:val="00773DB2"/>
    <w:rsid w:val="00773E3B"/>
    <w:rsid w:val="00774369"/>
    <w:rsid w:val="007747DF"/>
    <w:rsid w:val="0077544F"/>
    <w:rsid w:val="007762EA"/>
    <w:rsid w:val="00776503"/>
    <w:rsid w:val="007765B8"/>
    <w:rsid w:val="00776A5F"/>
    <w:rsid w:val="00776AF4"/>
    <w:rsid w:val="00776D36"/>
    <w:rsid w:val="00776DC4"/>
    <w:rsid w:val="00776E16"/>
    <w:rsid w:val="00777113"/>
    <w:rsid w:val="0077735E"/>
    <w:rsid w:val="0077742E"/>
    <w:rsid w:val="00777976"/>
    <w:rsid w:val="00777AB3"/>
    <w:rsid w:val="00780BA9"/>
    <w:rsid w:val="00780DE7"/>
    <w:rsid w:val="00781370"/>
    <w:rsid w:val="00781ACF"/>
    <w:rsid w:val="00781B93"/>
    <w:rsid w:val="00782022"/>
    <w:rsid w:val="00782939"/>
    <w:rsid w:val="00782D9F"/>
    <w:rsid w:val="00782DCE"/>
    <w:rsid w:val="00782ECE"/>
    <w:rsid w:val="00783BBE"/>
    <w:rsid w:val="00783FEC"/>
    <w:rsid w:val="007850A0"/>
    <w:rsid w:val="00785739"/>
    <w:rsid w:val="00785B3A"/>
    <w:rsid w:val="00785C34"/>
    <w:rsid w:val="00785CCD"/>
    <w:rsid w:val="00785DC6"/>
    <w:rsid w:val="00785F23"/>
    <w:rsid w:val="007864D2"/>
    <w:rsid w:val="00786CE7"/>
    <w:rsid w:val="00786DA6"/>
    <w:rsid w:val="00786EDB"/>
    <w:rsid w:val="007875D7"/>
    <w:rsid w:val="0079015B"/>
    <w:rsid w:val="00790556"/>
    <w:rsid w:val="007906B6"/>
    <w:rsid w:val="00790768"/>
    <w:rsid w:val="00790D81"/>
    <w:rsid w:val="0079107E"/>
    <w:rsid w:val="007913D2"/>
    <w:rsid w:val="007914FE"/>
    <w:rsid w:val="00791598"/>
    <w:rsid w:val="00791FE1"/>
    <w:rsid w:val="0079216B"/>
    <w:rsid w:val="0079216D"/>
    <w:rsid w:val="00792A32"/>
    <w:rsid w:val="00792D20"/>
    <w:rsid w:val="00793617"/>
    <w:rsid w:val="00793880"/>
    <w:rsid w:val="007944DF"/>
    <w:rsid w:val="00794699"/>
    <w:rsid w:val="00794D71"/>
    <w:rsid w:val="00794DE3"/>
    <w:rsid w:val="00794E00"/>
    <w:rsid w:val="00795052"/>
    <w:rsid w:val="00795238"/>
    <w:rsid w:val="007958EE"/>
    <w:rsid w:val="007959F3"/>
    <w:rsid w:val="00795A34"/>
    <w:rsid w:val="00795AD0"/>
    <w:rsid w:val="00795E11"/>
    <w:rsid w:val="00796D53"/>
    <w:rsid w:val="007971C5"/>
    <w:rsid w:val="007977ED"/>
    <w:rsid w:val="007A14BD"/>
    <w:rsid w:val="007A1716"/>
    <w:rsid w:val="007A1C8B"/>
    <w:rsid w:val="007A1D6C"/>
    <w:rsid w:val="007A2A17"/>
    <w:rsid w:val="007A2FAF"/>
    <w:rsid w:val="007A38CA"/>
    <w:rsid w:val="007A3D3A"/>
    <w:rsid w:val="007A4742"/>
    <w:rsid w:val="007A5596"/>
    <w:rsid w:val="007A5677"/>
    <w:rsid w:val="007A60E5"/>
    <w:rsid w:val="007A614E"/>
    <w:rsid w:val="007A6482"/>
    <w:rsid w:val="007A6C9F"/>
    <w:rsid w:val="007A70A7"/>
    <w:rsid w:val="007A73B1"/>
    <w:rsid w:val="007A7877"/>
    <w:rsid w:val="007A7DAA"/>
    <w:rsid w:val="007B04C9"/>
    <w:rsid w:val="007B10F2"/>
    <w:rsid w:val="007B1277"/>
    <w:rsid w:val="007B18CE"/>
    <w:rsid w:val="007B1D9C"/>
    <w:rsid w:val="007B2314"/>
    <w:rsid w:val="007B31FB"/>
    <w:rsid w:val="007B3459"/>
    <w:rsid w:val="007B348D"/>
    <w:rsid w:val="007B3D68"/>
    <w:rsid w:val="007B3FA8"/>
    <w:rsid w:val="007B4E3B"/>
    <w:rsid w:val="007B4ED2"/>
    <w:rsid w:val="007B508B"/>
    <w:rsid w:val="007B56B9"/>
    <w:rsid w:val="007B5E99"/>
    <w:rsid w:val="007B64C2"/>
    <w:rsid w:val="007B65F1"/>
    <w:rsid w:val="007B726A"/>
    <w:rsid w:val="007B7712"/>
    <w:rsid w:val="007B7ADD"/>
    <w:rsid w:val="007B7E8B"/>
    <w:rsid w:val="007C03C7"/>
    <w:rsid w:val="007C19E9"/>
    <w:rsid w:val="007C1BD6"/>
    <w:rsid w:val="007C1BD9"/>
    <w:rsid w:val="007C1EC9"/>
    <w:rsid w:val="007C2226"/>
    <w:rsid w:val="007C2374"/>
    <w:rsid w:val="007C2F48"/>
    <w:rsid w:val="007C3403"/>
    <w:rsid w:val="007C36C6"/>
    <w:rsid w:val="007C3BA4"/>
    <w:rsid w:val="007C3E91"/>
    <w:rsid w:val="007C5333"/>
    <w:rsid w:val="007C53C3"/>
    <w:rsid w:val="007C573F"/>
    <w:rsid w:val="007C5BB3"/>
    <w:rsid w:val="007C5D02"/>
    <w:rsid w:val="007C5F06"/>
    <w:rsid w:val="007C6C1F"/>
    <w:rsid w:val="007C6CD3"/>
    <w:rsid w:val="007C74B5"/>
    <w:rsid w:val="007C75D9"/>
    <w:rsid w:val="007C781A"/>
    <w:rsid w:val="007D03C7"/>
    <w:rsid w:val="007D0568"/>
    <w:rsid w:val="007D07D5"/>
    <w:rsid w:val="007D0895"/>
    <w:rsid w:val="007D08B8"/>
    <w:rsid w:val="007D1075"/>
    <w:rsid w:val="007D1086"/>
    <w:rsid w:val="007D1990"/>
    <w:rsid w:val="007D1CFD"/>
    <w:rsid w:val="007D1F75"/>
    <w:rsid w:val="007D2AD3"/>
    <w:rsid w:val="007D2CAB"/>
    <w:rsid w:val="007D38BA"/>
    <w:rsid w:val="007D3CC2"/>
    <w:rsid w:val="007D44D3"/>
    <w:rsid w:val="007D4FF9"/>
    <w:rsid w:val="007D512B"/>
    <w:rsid w:val="007D51B6"/>
    <w:rsid w:val="007D52D0"/>
    <w:rsid w:val="007D53B3"/>
    <w:rsid w:val="007D550E"/>
    <w:rsid w:val="007D653B"/>
    <w:rsid w:val="007D731F"/>
    <w:rsid w:val="007D74AA"/>
    <w:rsid w:val="007D7DF0"/>
    <w:rsid w:val="007E00E3"/>
    <w:rsid w:val="007E048A"/>
    <w:rsid w:val="007E04B8"/>
    <w:rsid w:val="007E0621"/>
    <w:rsid w:val="007E06BF"/>
    <w:rsid w:val="007E09E5"/>
    <w:rsid w:val="007E0A06"/>
    <w:rsid w:val="007E113B"/>
    <w:rsid w:val="007E116E"/>
    <w:rsid w:val="007E1A18"/>
    <w:rsid w:val="007E1B4D"/>
    <w:rsid w:val="007E1DED"/>
    <w:rsid w:val="007E1F59"/>
    <w:rsid w:val="007E220C"/>
    <w:rsid w:val="007E22C5"/>
    <w:rsid w:val="007E2984"/>
    <w:rsid w:val="007E2BEC"/>
    <w:rsid w:val="007E2CC1"/>
    <w:rsid w:val="007E2FC1"/>
    <w:rsid w:val="007E444F"/>
    <w:rsid w:val="007E6187"/>
    <w:rsid w:val="007E6B0D"/>
    <w:rsid w:val="007E6EBB"/>
    <w:rsid w:val="007E79FE"/>
    <w:rsid w:val="007E7D24"/>
    <w:rsid w:val="007F07A1"/>
    <w:rsid w:val="007F08B7"/>
    <w:rsid w:val="007F0918"/>
    <w:rsid w:val="007F09BD"/>
    <w:rsid w:val="007F1418"/>
    <w:rsid w:val="007F2F14"/>
    <w:rsid w:val="007F3041"/>
    <w:rsid w:val="007F3062"/>
    <w:rsid w:val="007F319D"/>
    <w:rsid w:val="007F3826"/>
    <w:rsid w:val="007F3979"/>
    <w:rsid w:val="007F3C99"/>
    <w:rsid w:val="007F3CCB"/>
    <w:rsid w:val="007F3E7C"/>
    <w:rsid w:val="007F4025"/>
    <w:rsid w:val="007F408C"/>
    <w:rsid w:val="007F483F"/>
    <w:rsid w:val="007F4A71"/>
    <w:rsid w:val="007F4AC4"/>
    <w:rsid w:val="007F509B"/>
    <w:rsid w:val="007F5130"/>
    <w:rsid w:val="007F541C"/>
    <w:rsid w:val="007F5445"/>
    <w:rsid w:val="007F5718"/>
    <w:rsid w:val="007F58B6"/>
    <w:rsid w:val="007F5B5B"/>
    <w:rsid w:val="007F60CF"/>
    <w:rsid w:val="007F6179"/>
    <w:rsid w:val="007F6AB3"/>
    <w:rsid w:val="007F6AEF"/>
    <w:rsid w:val="007F70F9"/>
    <w:rsid w:val="007F7248"/>
    <w:rsid w:val="008005CD"/>
    <w:rsid w:val="00800E28"/>
    <w:rsid w:val="008010AA"/>
    <w:rsid w:val="00801D8E"/>
    <w:rsid w:val="00801E3C"/>
    <w:rsid w:val="0080306C"/>
    <w:rsid w:val="0080321F"/>
    <w:rsid w:val="00803C27"/>
    <w:rsid w:val="00803DEF"/>
    <w:rsid w:val="00803EAB"/>
    <w:rsid w:val="00804F26"/>
    <w:rsid w:val="0080516C"/>
    <w:rsid w:val="00805832"/>
    <w:rsid w:val="00805C24"/>
    <w:rsid w:val="00805CF3"/>
    <w:rsid w:val="00805D54"/>
    <w:rsid w:val="008065F8"/>
    <w:rsid w:val="008066FD"/>
    <w:rsid w:val="0080680A"/>
    <w:rsid w:val="00806937"/>
    <w:rsid w:val="00806E17"/>
    <w:rsid w:val="00807128"/>
    <w:rsid w:val="008072AE"/>
    <w:rsid w:val="0080735D"/>
    <w:rsid w:val="00807749"/>
    <w:rsid w:val="008077E7"/>
    <w:rsid w:val="008078AD"/>
    <w:rsid w:val="0081012F"/>
    <w:rsid w:val="00810424"/>
    <w:rsid w:val="00810CC9"/>
    <w:rsid w:val="008111BF"/>
    <w:rsid w:val="0081135F"/>
    <w:rsid w:val="00811826"/>
    <w:rsid w:val="00811A4F"/>
    <w:rsid w:val="00812488"/>
    <w:rsid w:val="008127B7"/>
    <w:rsid w:val="00812823"/>
    <w:rsid w:val="00812CFC"/>
    <w:rsid w:val="00813D17"/>
    <w:rsid w:val="008141F4"/>
    <w:rsid w:val="008142A2"/>
    <w:rsid w:val="00814442"/>
    <w:rsid w:val="008146D7"/>
    <w:rsid w:val="00814904"/>
    <w:rsid w:val="0081495C"/>
    <w:rsid w:val="00816769"/>
    <w:rsid w:val="00816F12"/>
    <w:rsid w:val="0081754C"/>
    <w:rsid w:val="0081783D"/>
    <w:rsid w:val="00817C9E"/>
    <w:rsid w:val="00820495"/>
    <w:rsid w:val="00820B66"/>
    <w:rsid w:val="00820BAE"/>
    <w:rsid w:val="00820CFD"/>
    <w:rsid w:val="008210F0"/>
    <w:rsid w:val="0082123F"/>
    <w:rsid w:val="0082181E"/>
    <w:rsid w:val="00821F14"/>
    <w:rsid w:val="00821FBA"/>
    <w:rsid w:val="00822033"/>
    <w:rsid w:val="00822B49"/>
    <w:rsid w:val="00823678"/>
    <w:rsid w:val="00823758"/>
    <w:rsid w:val="00823EB3"/>
    <w:rsid w:val="00824302"/>
    <w:rsid w:val="00824963"/>
    <w:rsid w:val="00824A35"/>
    <w:rsid w:val="00824E47"/>
    <w:rsid w:val="0082547F"/>
    <w:rsid w:val="0082597A"/>
    <w:rsid w:val="008259FD"/>
    <w:rsid w:val="00825E72"/>
    <w:rsid w:val="00826273"/>
    <w:rsid w:val="008263BB"/>
    <w:rsid w:val="00826C7B"/>
    <w:rsid w:val="00827091"/>
    <w:rsid w:val="0082713B"/>
    <w:rsid w:val="00827205"/>
    <w:rsid w:val="0082759B"/>
    <w:rsid w:val="0082778C"/>
    <w:rsid w:val="00827A84"/>
    <w:rsid w:val="00827D12"/>
    <w:rsid w:val="008304C1"/>
    <w:rsid w:val="00830A9D"/>
    <w:rsid w:val="0083147C"/>
    <w:rsid w:val="00831607"/>
    <w:rsid w:val="008316AE"/>
    <w:rsid w:val="00832740"/>
    <w:rsid w:val="00832901"/>
    <w:rsid w:val="00832B5F"/>
    <w:rsid w:val="00832BA0"/>
    <w:rsid w:val="00832D2B"/>
    <w:rsid w:val="00832E50"/>
    <w:rsid w:val="00832E66"/>
    <w:rsid w:val="00832F69"/>
    <w:rsid w:val="008332B8"/>
    <w:rsid w:val="008334D8"/>
    <w:rsid w:val="00833529"/>
    <w:rsid w:val="008335D0"/>
    <w:rsid w:val="00834221"/>
    <w:rsid w:val="0083443F"/>
    <w:rsid w:val="00834769"/>
    <w:rsid w:val="00834A94"/>
    <w:rsid w:val="0083594A"/>
    <w:rsid w:val="00835F46"/>
    <w:rsid w:val="00836207"/>
    <w:rsid w:val="008362F7"/>
    <w:rsid w:val="00836410"/>
    <w:rsid w:val="008364C8"/>
    <w:rsid w:val="0083681B"/>
    <w:rsid w:val="00836C39"/>
    <w:rsid w:val="00836D90"/>
    <w:rsid w:val="00837964"/>
    <w:rsid w:val="00837BEB"/>
    <w:rsid w:val="00837C72"/>
    <w:rsid w:val="00840CFB"/>
    <w:rsid w:val="008411D9"/>
    <w:rsid w:val="00841747"/>
    <w:rsid w:val="00842E02"/>
    <w:rsid w:val="00842E1C"/>
    <w:rsid w:val="0084311D"/>
    <w:rsid w:val="00843359"/>
    <w:rsid w:val="00843DF1"/>
    <w:rsid w:val="00844792"/>
    <w:rsid w:val="00844FF9"/>
    <w:rsid w:val="0084518F"/>
    <w:rsid w:val="0084538F"/>
    <w:rsid w:val="00845A00"/>
    <w:rsid w:val="00845EAA"/>
    <w:rsid w:val="008462BF"/>
    <w:rsid w:val="008467F6"/>
    <w:rsid w:val="00846F8A"/>
    <w:rsid w:val="008472D7"/>
    <w:rsid w:val="00847A80"/>
    <w:rsid w:val="00847D9C"/>
    <w:rsid w:val="00847F43"/>
    <w:rsid w:val="00850059"/>
    <w:rsid w:val="00850B2A"/>
    <w:rsid w:val="00850E0C"/>
    <w:rsid w:val="008513CC"/>
    <w:rsid w:val="0085180A"/>
    <w:rsid w:val="00851AEF"/>
    <w:rsid w:val="00851CB6"/>
    <w:rsid w:val="00851E31"/>
    <w:rsid w:val="008521D0"/>
    <w:rsid w:val="008523B4"/>
    <w:rsid w:val="00852499"/>
    <w:rsid w:val="0085275C"/>
    <w:rsid w:val="00852A49"/>
    <w:rsid w:val="00852B78"/>
    <w:rsid w:val="00853607"/>
    <w:rsid w:val="008536B9"/>
    <w:rsid w:val="008537F4"/>
    <w:rsid w:val="00853890"/>
    <w:rsid w:val="00853BB5"/>
    <w:rsid w:val="008541F7"/>
    <w:rsid w:val="00854848"/>
    <w:rsid w:val="00854AED"/>
    <w:rsid w:val="00854CFF"/>
    <w:rsid w:val="00855BE0"/>
    <w:rsid w:val="00856A07"/>
    <w:rsid w:val="00856E24"/>
    <w:rsid w:val="008573AC"/>
    <w:rsid w:val="008577D1"/>
    <w:rsid w:val="00857822"/>
    <w:rsid w:val="008579E5"/>
    <w:rsid w:val="00860366"/>
    <w:rsid w:val="00860B15"/>
    <w:rsid w:val="008615A8"/>
    <w:rsid w:val="00861723"/>
    <w:rsid w:val="00861AB4"/>
    <w:rsid w:val="00862156"/>
    <w:rsid w:val="008621E7"/>
    <w:rsid w:val="00863000"/>
    <w:rsid w:val="008634AF"/>
    <w:rsid w:val="00864477"/>
    <w:rsid w:val="0086482D"/>
    <w:rsid w:val="00865179"/>
    <w:rsid w:val="008652E2"/>
    <w:rsid w:val="00865671"/>
    <w:rsid w:val="00865BE0"/>
    <w:rsid w:val="00865C69"/>
    <w:rsid w:val="00866095"/>
    <w:rsid w:val="008666B3"/>
    <w:rsid w:val="00866A08"/>
    <w:rsid w:val="008673C3"/>
    <w:rsid w:val="008673EA"/>
    <w:rsid w:val="008675E4"/>
    <w:rsid w:val="00867968"/>
    <w:rsid w:val="00867A7C"/>
    <w:rsid w:val="00870008"/>
    <w:rsid w:val="00870BC4"/>
    <w:rsid w:val="00871C64"/>
    <w:rsid w:val="00871C6F"/>
    <w:rsid w:val="00871EEE"/>
    <w:rsid w:val="00872023"/>
    <w:rsid w:val="008720B7"/>
    <w:rsid w:val="00872339"/>
    <w:rsid w:val="00872391"/>
    <w:rsid w:val="008725BE"/>
    <w:rsid w:val="00872A3A"/>
    <w:rsid w:val="00873854"/>
    <w:rsid w:val="00873C34"/>
    <w:rsid w:val="008746AC"/>
    <w:rsid w:val="00874A63"/>
    <w:rsid w:val="0087528A"/>
    <w:rsid w:val="00875713"/>
    <w:rsid w:val="00876076"/>
    <w:rsid w:val="008760F3"/>
    <w:rsid w:val="00876261"/>
    <w:rsid w:val="0087629B"/>
    <w:rsid w:val="00876318"/>
    <w:rsid w:val="00876776"/>
    <w:rsid w:val="00876AC9"/>
    <w:rsid w:val="008774C3"/>
    <w:rsid w:val="008802DC"/>
    <w:rsid w:val="008803BC"/>
    <w:rsid w:val="00880632"/>
    <w:rsid w:val="008807DD"/>
    <w:rsid w:val="00880D4B"/>
    <w:rsid w:val="008811C8"/>
    <w:rsid w:val="0088135C"/>
    <w:rsid w:val="0088170C"/>
    <w:rsid w:val="00881D0D"/>
    <w:rsid w:val="00881EEF"/>
    <w:rsid w:val="00882406"/>
    <w:rsid w:val="00882A96"/>
    <w:rsid w:val="0088354E"/>
    <w:rsid w:val="0088460A"/>
    <w:rsid w:val="00884C5D"/>
    <w:rsid w:val="00884DF1"/>
    <w:rsid w:val="00885CD7"/>
    <w:rsid w:val="00885EE6"/>
    <w:rsid w:val="0088656F"/>
    <w:rsid w:val="008865B3"/>
    <w:rsid w:val="00886747"/>
    <w:rsid w:val="00886BD9"/>
    <w:rsid w:val="00887387"/>
    <w:rsid w:val="008875B5"/>
    <w:rsid w:val="008875C5"/>
    <w:rsid w:val="00887F43"/>
    <w:rsid w:val="00890769"/>
    <w:rsid w:val="008908E1"/>
    <w:rsid w:val="00891C43"/>
    <w:rsid w:val="00891DF4"/>
    <w:rsid w:val="0089216F"/>
    <w:rsid w:val="00892B9D"/>
    <w:rsid w:val="00892CEF"/>
    <w:rsid w:val="00892D09"/>
    <w:rsid w:val="0089303A"/>
    <w:rsid w:val="0089329D"/>
    <w:rsid w:val="008936D6"/>
    <w:rsid w:val="0089382B"/>
    <w:rsid w:val="00893862"/>
    <w:rsid w:val="00893DFD"/>
    <w:rsid w:val="00894212"/>
    <w:rsid w:val="008944A6"/>
    <w:rsid w:val="00894AA7"/>
    <w:rsid w:val="00894B43"/>
    <w:rsid w:val="00894D96"/>
    <w:rsid w:val="00895459"/>
    <w:rsid w:val="008960B8"/>
    <w:rsid w:val="008962EC"/>
    <w:rsid w:val="008964D2"/>
    <w:rsid w:val="008968DA"/>
    <w:rsid w:val="00896C10"/>
    <w:rsid w:val="00897388"/>
    <w:rsid w:val="0089738D"/>
    <w:rsid w:val="008979EA"/>
    <w:rsid w:val="008A0389"/>
    <w:rsid w:val="008A0C8D"/>
    <w:rsid w:val="008A153F"/>
    <w:rsid w:val="008A15C6"/>
    <w:rsid w:val="008A17D5"/>
    <w:rsid w:val="008A2159"/>
    <w:rsid w:val="008A252E"/>
    <w:rsid w:val="008A28C4"/>
    <w:rsid w:val="008A2944"/>
    <w:rsid w:val="008A2EA3"/>
    <w:rsid w:val="008A32AB"/>
    <w:rsid w:val="008A33FD"/>
    <w:rsid w:val="008A34F0"/>
    <w:rsid w:val="008A3DAD"/>
    <w:rsid w:val="008A43E5"/>
    <w:rsid w:val="008A51F3"/>
    <w:rsid w:val="008A5283"/>
    <w:rsid w:val="008A5469"/>
    <w:rsid w:val="008A55A5"/>
    <w:rsid w:val="008A56DD"/>
    <w:rsid w:val="008A5890"/>
    <w:rsid w:val="008A5894"/>
    <w:rsid w:val="008A5CAD"/>
    <w:rsid w:val="008A646C"/>
    <w:rsid w:val="008A65DB"/>
    <w:rsid w:val="008A689A"/>
    <w:rsid w:val="008A7705"/>
    <w:rsid w:val="008B03EA"/>
    <w:rsid w:val="008B0635"/>
    <w:rsid w:val="008B0A4D"/>
    <w:rsid w:val="008B182F"/>
    <w:rsid w:val="008B1C96"/>
    <w:rsid w:val="008B233F"/>
    <w:rsid w:val="008B2689"/>
    <w:rsid w:val="008B2911"/>
    <w:rsid w:val="008B2EBE"/>
    <w:rsid w:val="008B3653"/>
    <w:rsid w:val="008B3C9E"/>
    <w:rsid w:val="008B408F"/>
    <w:rsid w:val="008B42FF"/>
    <w:rsid w:val="008B430F"/>
    <w:rsid w:val="008B49E3"/>
    <w:rsid w:val="008B49E9"/>
    <w:rsid w:val="008B4A2F"/>
    <w:rsid w:val="008B547C"/>
    <w:rsid w:val="008B5605"/>
    <w:rsid w:val="008B610F"/>
    <w:rsid w:val="008B64DE"/>
    <w:rsid w:val="008B650C"/>
    <w:rsid w:val="008B6A7D"/>
    <w:rsid w:val="008B78FD"/>
    <w:rsid w:val="008B7940"/>
    <w:rsid w:val="008B7B36"/>
    <w:rsid w:val="008C0060"/>
    <w:rsid w:val="008C0847"/>
    <w:rsid w:val="008C08E3"/>
    <w:rsid w:val="008C1494"/>
    <w:rsid w:val="008C1739"/>
    <w:rsid w:val="008C205F"/>
    <w:rsid w:val="008C22A4"/>
    <w:rsid w:val="008C23EE"/>
    <w:rsid w:val="008C2593"/>
    <w:rsid w:val="008C265A"/>
    <w:rsid w:val="008C37BA"/>
    <w:rsid w:val="008C3B9E"/>
    <w:rsid w:val="008C3CC2"/>
    <w:rsid w:val="008C3E8D"/>
    <w:rsid w:val="008C418A"/>
    <w:rsid w:val="008C4D22"/>
    <w:rsid w:val="008C4D83"/>
    <w:rsid w:val="008C631B"/>
    <w:rsid w:val="008C66A9"/>
    <w:rsid w:val="008C6A82"/>
    <w:rsid w:val="008C6BF6"/>
    <w:rsid w:val="008C70E3"/>
    <w:rsid w:val="008C7B47"/>
    <w:rsid w:val="008C7C9C"/>
    <w:rsid w:val="008D0E02"/>
    <w:rsid w:val="008D13B0"/>
    <w:rsid w:val="008D13B2"/>
    <w:rsid w:val="008D1555"/>
    <w:rsid w:val="008D232B"/>
    <w:rsid w:val="008D2AEE"/>
    <w:rsid w:val="008D2C87"/>
    <w:rsid w:val="008D41F3"/>
    <w:rsid w:val="008D4B8F"/>
    <w:rsid w:val="008D5D94"/>
    <w:rsid w:val="008D6077"/>
    <w:rsid w:val="008D67BC"/>
    <w:rsid w:val="008D67FB"/>
    <w:rsid w:val="008D690E"/>
    <w:rsid w:val="008D6C92"/>
    <w:rsid w:val="008D74CE"/>
    <w:rsid w:val="008D7686"/>
    <w:rsid w:val="008D76B1"/>
    <w:rsid w:val="008D779D"/>
    <w:rsid w:val="008D7B2D"/>
    <w:rsid w:val="008D7E49"/>
    <w:rsid w:val="008D7FAB"/>
    <w:rsid w:val="008E0051"/>
    <w:rsid w:val="008E036D"/>
    <w:rsid w:val="008E05BA"/>
    <w:rsid w:val="008E0A04"/>
    <w:rsid w:val="008E170B"/>
    <w:rsid w:val="008E1D26"/>
    <w:rsid w:val="008E1E2E"/>
    <w:rsid w:val="008E2BB2"/>
    <w:rsid w:val="008E2E5F"/>
    <w:rsid w:val="008E3141"/>
    <w:rsid w:val="008E43F6"/>
    <w:rsid w:val="008E4F6C"/>
    <w:rsid w:val="008E5349"/>
    <w:rsid w:val="008E53B6"/>
    <w:rsid w:val="008E53FC"/>
    <w:rsid w:val="008E568F"/>
    <w:rsid w:val="008E571B"/>
    <w:rsid w:val="008E66FD"/>
    <w:rsid w:val="008E69DE"/>
    <w:rsid w:val="008E6DF1"/>
    <w:rsid w:val="008E7195"/>
    <w:rsid w:val="008E757C"/>
    <w:rsid w:val="008E7A38"/>
    <w:rsid w:val="008E7DAA"/>
    <w:rsid w:val="008F04FB"/>
    <w:rsid w:val="008F0847"/>
    <w:rsid w:val="008F1AAD"/>
    <w:rsid w:val="008F1F35"/>
    <w:rsid w:val="008F214D"/>
    <w:rsid w:val="008F221C"/>
    <w:rsid w:val="008F25F4"/>
    <w:rsid w:val="008F2960"/>
    <w:rsid w:val="008F35A4"/>
    <w:rsid w:val="008F3832"/>
    <w:rsid w:val="008F3833"/>
    <w:rsid w:val="008F3975"/>
    <w:rsid w:val="008F3D49"/>
    <w:rsid w:val="008F4295"/>
    <w:rsid w:val="008F4374"/>
    <w:rsid w:val="008F4603"/>
    <w:rsid w:val="008F52E6"/>
    <w:rsid w:val="008F541B"/>
    <w:rsid w:val="008F57D0"/>
    <w:rsid w:val="008F5FA6"/>
    <w:rsid w:val="008F6709"/>
    <w:rsid w:val="008F6F57"/>
    <w:rsid w:val="008F78DD"/>
    <w:rsid w:val="008F7918"/>
    <w:rsid w:val="008F7CD6"/>
    <w:rsid w:val="00900083"/>
    <w:rsid w:val="0090076C"/>
    <w:rsid w:val="00900D65"/>
    <w:rsid w:val="0090119D"/>
    <w:rsid w:val="009011D1"/>
    <w:rsid w:val="00901A00"/>
    <w:rsid w:val="00902522"/>
    <w:rsid w:val="00902588"/>
    <w:rsid w:val="009032A3"/>
    <w:rsid w:val="00903341"/>
    <w:rsid w:val="00903C48"/>
    <w:rsid w:val="0090452C"/>
    <w:rsid w:val="00904670"/>
    <w:rsid w:val="009046E9"/>
    <w:rsid w:val="009049BC"/>
    <w:rsid w:val="009060D5"/>
    <w:rsid w:val="009066D8"/>
    <w:rsid w:val="00906D8D"/>
    <w:rsid w:val="00906FD8"/>
    <w:rsid w:val="009073A0"/>
    <w:rsid w:val="00907E2E"/>
    <w:rsid w:val="00907E53"/>
    <w:rsid w:val="0091054F"/>
    <w:rsid w:val="00910D1F"/>
    <w:rsid w:val="00911433"/>
    <w:rsid w:val="00911452"/>
    <w:rsid w:val="009120C2"/>
    <w:rsid w:val="009124A0"/>
    <w:rsid w:val="009125D3"/>
    <w:rsid w:val="00912813"/>
    <w:rsid w:val="00912A13"/>
    <w:rsid w:val="00912A89"/>
    <w:rsid w:val="0091350B"/>
    <w:rsid w:val="009135F4"/>
    <w:rsid w:val="00913747"/>
    <w:rsid w:val="0091377D"/>
    <w:rsid w:val="00913ABD"/>
    <w:rsid w:val="00914080"/>
    <w:rsid w:val="009146FA"/>
    <w:rsid w:val="0091474F"/>
    <w:rsid w:val="00914955"/>
    <w:rsid w:val="00914E7B"/>
    <w:rsid w:val="00914ED0"/>
    <w:rsid w:val="0091515D"/>
    <w:rsid w:val="00915348"/>
    <w:rsid w:val="00915569"/>
    <w:rsid w:val="00915BB1"/>
    <w:rsid w:val="00916AAB"/>
    <w:rsid w:val="0091703F"/>
    <w:rsid w:val="0091749D"/>
    <w:rsid w:val="00917526"/>
    <w:rsid w:val="0092017A"/>
    <w:rsid w:val="00920880"/>
    <w:rsid w:val="00920C5C"/>
    <w:rsid w:val="00921F48"/>
    <w:rsid w:val="0092201D"/>
    <w:rsid w:val="0092206B"/>
    <w:rsid w:val="009220CC"/>
    <w:rsid w:val="009222A2"/>
    <w:rsid w:val="009224A8"/>
    <w:rsid w:val="00922C80"/>
    <w:rsid w:val="00922D74"/>
    <w:rsid w:val="00923A47"/>
    <w:rsid w:val="00923BF4"/>
    <w:rsid w:val="00923D09"/>
    <w:rsid w:val="00923E79"/>
    <w:rsid w:val="00923FA1"/>
    <w:rsid w:val="00924C08"/>
    <w:rsid w:val="00924F6E"/>
    <w:rsid w:val="00925090"/>
    <w:rsid w:val="009254A4"/>
    <w:rsid w:val="00926A90"/>
    <w:rsid w:val="00926C76"/>
    <w:rsid w:val="00926DC2"/>
    <w:rsid w:val="00926E78"/>
    <w:rsid w:val="00926F68"/>
    <w:rsid w:val="009279C8"/>
    <w:rsid w:val="00927A5A"/>
    <w:rsid w:val="00927B04"/>
    <w:rsid w:val="00927B17"/>
    <w:rsid w:val="00927BD8"/>
    <w:rsid w:val="00927E0F"/>
    <w:rsid w:val="0093029D"/>
    <w:rsid w:val="0093074A"/>
    <w:rsid w:val="00930825"/>
    <w:rsid w:val="0093087E"/>
    <w:rsid w:val="00930D82"/>
    <w:rsid w:val="00931D4E"/>
    <w:rsid w:val="009324CB"/>
    <w:rsid w:val="00932615"/>
    <w:rsid w:val="009327A9"/>
    <w:rsid w:val="00932C77"/>
    <w:rsid w:val="00932E6F"/>
    <w:rsid w:val="009331E6"/>
    <w:rsid w:val="00933590"/>
    <w:rsid w:val="0093416B"/>
    <w:rsid w:val="00934387"/>
    <w:rsid w:val="0093444B"/>
    <w:rsid w:val="0093491F"/>
    <w:rsid w:val="00934AC8"/>
    <w:rsid w:val="00934B83"/>
    <w:rsid w:val="009357D2"/>
    <w:rsid w:val="00936C4D"/>
    <w:rsid w:val="00936D45"/>
    <w:rsid w:val="00936DDC"/>
    <w:rsid w:val="00936E00"/>
    <w:rsid w:val="0093702E"/>
    <w:rsid w:val="009370F3"/>
    <w:rsid w:val="0093719A"/>
    <w:rsid w:val="00937415"/>
    <w:rsid w:val="00937BB8"/>
    <w:rsid w:val="00937D0F"/>
    <w:rsid w:val="00937E91"/>
    <w:rsid w:val="009403FB"/>
    <w:rsid w:val="0094095F"/>
    <w:rsid w:val="00940B71"/>
    <w:rsid w:val="00940B84"/>
    <w:rsid w:val="0094146B"/>
    <w:rsid w:val="009417C7"/>
    <w:rsid w:val="0094187F"/>
    <w:rsid w:val="00941BAC"/>
    <w:rsid w:val="00941D1F"/>
    <w:rsid w:val="00942134"/>
    <w:rsid w:val="0094249A"/>
    <w:rsid w:val="0094268E"/>
    <w:rsid w:val="009431CE"/>
    <w:rsid w:val="009432A6"/>
    <w:rsid w:val="009439A1"/>
    <w:rsid w:val="00943C4B"/>
    <w:rsid w:val="00943FD7"/>
    <w:rsid w:val="00944981"/>
    <w:rsid w:val="00945046"/>
    <w:rsid w:val="00945610"/>
    <w:rsid w:val="009458A3"/>
    <w:rsid w:val="00945DC5"/>
    <w:rsid w:val="0094633C"/>
    <w:rsid w:val="00946514"/>
    <w:rsid w:val="00946F3D"/>
    <w:rsid w:val="00947281"/>
    <w:rsid w:val="00947457"/>
    <w:rsid w:val="00947A20"/>
    <w:rsid w:val="00947E31"/>
    <w:rsid w:val="0095005A"/>
    <w:rsid w:val="00950599"/>
    <w:rsid w:val="009506A9"/>
    <w:rsid w:val="00950EAB"/>
    <w:rsid w:val="00950FEF"/>
    <w:rsid w:val="0095132C"/>
    <w:rsid w:val="009518BC"/>
    <w:rsid w:val="00951C4E"/>
    <w:rsid w:val="00951C66"/>
    <w:rsid w:val="00952075"/>
    <w:rsid w:val="0095235F"/>
    <w:rsid w:val="009527CD"/>
    <w:rsid w:val="009532BC"/>
    <w:rsid w:val="009537BF"/>
    <w:rsid w:val="0095446D"/>
    <w:rsid w:val="009544B2"/>
    <w:rsid w:val="009548CD"/>
    <w:rsid w:val="0095527C"/>
    <w:rsid w:val="009555AD"/>
    <w:rsid w:val="009560D0"/>
    <w:rsid w:val="00956B16"/>
    <w:rsid w:val="00957D56"/>
    <w:rsid w:val="00957D5D"/>
    <w:rsid w:val="00960245"/>
    <w:rsid w:val="00960AC6"/>
    <w:rsid w:val="00960F2F"/>
    <w:rsid w:val="0096142E"/>
    <w:rsid w:val="00962288"/>
    <w:rsid w:val="00962527"/>
    <w:rsid w:val="00962651"/>
    <w:rsid w:val="00962BAB"/>
    <w:rsid w:val="00962BAE"/>
    <w:rsid w:val="00962E54"/>
    <w:rsid w:val="00963021"/>
    <w:rsid w:val="0096303F"/>
    <w:rsid w:val="00963E42"/>
    <w:rsid w:val="00963F3D"/>
    <w:rsid w:val="009642F0"/>
    <w:rsid w:val="009647F5"/>
    <w:rsid w:val="0096491B"/>
    <w:rsid w:val="009651CB"/>
    <w:rsid w:val="009652AD"/>
    <w:rsid w:val="00965F01"/>
    <w:rsid w:val="00966D0C"/>
    <w:rsid w:val="00967787"/>
    <w:rsid w:val="00970100"/>
    <w:rsid w:val="0097091C"/>
    <w:rsid w:val="009709D1"/>
    <w:rsid w:val="00970B4F"/>
    <w:rsid w:val="00972499"/>
    <w:rsid w:val="00972D2C"/>
    <w:rsid w:val="00972D34"/>
    <w:rsid w:val="00972D90"/>
    <w:rsid w:val="00972DD5"/>
    <w:rsid w:val="009733DA"/>
    <w:rsid w:val="009735B1"/>
    <w:rsid w:val="0097365E"/>
    <w:rsid w:val="00973846"/>
    <w:rsid w:val="00973B1E"/>
    <w:rsid w:val="0097413C"/>
    <w:rsid w:val="0097442D"/>
    <w:rsid w:val="00974932"/>
    <w:rsid w:val="009751ED"/>
    <w:rsid w:val="0097525A"/>
    <w:rsid w:val="00975661"/>
    <w:rsid w:val="00975AA8"/>
    <w:rsid w:val="00976239"/>
    <w:rsid w:val="00976597"/>
    <w:rsid w:val="00976603"/>
    <w:rsid w:val="00976F3B"/>
    <w:rsid w:val="00976FB4"/>
    <w:rsid w:val="00977664"/>
    <w:rsid w:val="00977742"/>
    <w:rsid w:val="00977A5D"/>
    <w:rsid w:val="00977EF5"/>
    <w:rsid w:val="00980A67"/>
    <w:rsid w:val="00980EC4"/>
    <w:rsid w:val="009812CB"/>
    <w:rsid w:val="009816B5"/>
    <w:rsid w:val="00981C11"/>
    <w:rsid w:val="00981EC0"/>
    <w:rsid w:val="009823B8"/>
    <w:rsid w:val="0098267B"/>
    <w:rsid w:val="00982939"/>
    <w:rsid w:val="00982A36"/>
    <w:rsid w:val="00982AD9"/>
    <w:rsid w:val="009831E9"/>
    <w:rsid w:val="0098377F"/>
    <w:rsid w:val="00983858"/>
    <w:rsid w:val="00983E6A"/>
    <w:rsid w:val="00983EFF"/>
    <w:rsid w:val="009841E7"/>
    <w:rsid w:val="00984982"/>
    <w:rsid w:val="00984988"/>
    <w:rsid w:val="009849E9"/>
    <w:rsid w:val="00985309"/>
    <w:rsid w:val="0098535C"/>
    <w:rsid w:val="0098565C"/>
    <w:rsid w:val="00985AA0"/>
    <w:rsid w:val="009861CA"/>
    <w:rsid w:val="0098634F"/>
    <w:rsid w:val="00986BDB"/>
    <w:rsid w:val="00986E0C"/>
    <w:rsid w:val="009872F2"/>
    <w:rsid w:val="009873EA"/>
    <w:rsid w:val="00987926"/>
    <w:rsid w:val="009900E4"/>
    <w:rsid w:val="00990137"/>
    <w:rsid w:val="00990178"/>
    <w:rsid w:val="009905DA"/>
    <w:rsid w:val="00990715"/>
    <w:rsid w:val="00990DD8"/>
    <w:rsid w:val="00991528"/>
    <w:rsid w:val="00991B7E"/>
    <w:rsid w:val="00991CBB"/>
    <w:rsid w:val="00991DE3"/>
    <w:rsid w:val="00992096"/>
    <w:rsid w:val="00993370"/>
    <w:rsid w:val="00993CA9"/>
    <w:rsid w:val="00995115"/>
    <w:rsid w:val="00995423"/>
    <w:rsid w:val="0099588C"/>
    <w:rsid w:val="009962D6"/>
    <w:rsid w:val="00996AEF"/>
    <w:rsid w:val="00996D2D"/>
    <w:rsid w:val="00997116"/>
    <w:rsid w:val="009975D6"/>
    <w:rsid w:val="00997800"/>
    <w:rsid w:val="009A0232"/>
    <w:rsid w:val="009A04F9"/>
    <w:rsid w:val="009A07EC"/>
    <w:rsid w:val="009A095C"/>
    <w:rsid w:val="009A0AA3"/>
    <w:rsid w:val="009A0C64"/>
    <w:rsid w:val="009A0FF3"/>
    <w:rsid w:val="009A1A68"/>
    <w:rsid w:val="009A1C98"/>
    <w:rsid w:val="009A1FD5"/>
    <w:rsid w:val="009A20A4"/>
    <w:rsid w:val="009A25FF"/>
    <w:rsid w:val="009A2836"/>
    <w:rsid w:val="009A31C6"/>
    <w:rsid w:val="009A31E9"/>
    <w:rsid w:val="009A3203"/>
    <w:rsid w:val="009A367C"/>
    <w:rsid w:val="009A3823"/>
    <w:rsid w:val="009A3BCF"/>
    <w:rsid w:val="009A472E"/>
    <w:rsid w:val="009A506C"/>
    <w:rsid w:val="009A5655"/>
    <w:rsid w:val="009A577C"/>
    <w:rsid w:val="009A57DD"/>
    <w:rsid w:val="009A586D"/>
    <w:rsid w:val="009A5C08"/>
    <w:rsid w:val="009A63AE"/>
    <w:rsid w:val="009A711E"/>
    <w:rsid w:val="009A781C"/>
    <w:rsid w:val="009A7BD6"/>
    <w:rsid w:val="009B0409"/>
    <w:rsid w:val="009B06E3"/>
    <w:rsid w:val="009B0A27"/>
    <w:rsid w:val="009B0EE3"/>
    <w:rsid w:val="009B1178"/>
    <w:rsid w:val="009B18E9"/>
    <w:rsid w:val="009B2565"/>
    <w:rsid w:val="009B2C77"/>
    <w:rsid w:val="009B3545"/>
    <w:rsid w:val="009B42A1"/>
    <w:rsid w:val="009B5125"/>
    <w:rsid w:val="009B5132"/>
    <w:rsid w:val="009B5B0F"/>
    <w:rsid w:val="009B5CD0"/>
    <w:rsid w:val="009B74B7"/>
    <w:rsid w:val="009B7CA8"/>
    <w:rsid w:val="009C0053"/>
    <w:rsid w:val="009C0181"/>
    <w:rsid w:val="009C0ECD"/>
    <w:rsid w:val="009C15C2"/>
    <w:rsid w:val="009C2217"/>
    <w:rsid w:val="009C2ECC"/>
    <w:rsid w:val="009C369F"/>
    <w:rsid w:val="009C3F12"/>
    <w:rsid w:val="009C42FA"/>
    <w:rsid w:val="009C46C8"/>
    <w:rsid w:val="009C4A18"/>
    <w:rsid w:val="009C4C3D"/>
    <w:rsid w:val="009C4E2C"/>
    <w:rsid w:val="009C5BD2"/>
    <w:rsid w:val="009C6618"/>
    <w:rsid w:val="009C661A"/>
    <w:rsid w:val="009C70C8"/>
    <w:rsid w:val="009C719C"/>
    <w:rsid w:val="009C73E0"/>
    <w:rsid w:val="009D02B7"/>
    <w:rsid w:val="009D0508"/>
    <w:rsid w:val="009D06DD"/>
    <w:rsid w:val="009D0A84"/>
    <w:rsid w:val="009D1163"/>
    <w:rsid w:val="009D19E6"/>
    <w:rsid w:val="009D1AFF"/>
    <w:rsid w:val="009D2233"/>
    <w:rsid w:val="009D2743"/>
    <w:rsid w:val="009D30F4"/>
    <w:rsid w:val="009D330A"/>
    <w:rsid w:val="009D34F0"/>
    <w:rsid w:val="009D35E3"/>
    <w:rsid w:val="009D3DC6"/>
    <w:rsid w:val="009D419B"/>
    <w:rsid w:val="009D41C4"/>
    <w:rsid w:val="009D4DA2"/>
    <w:rsid w:val="009D582B"/>
    <w:rsid w:val="009D58F2"/>
    <w:rsid w:val="009D5E64"/>
    <w:rsid w:val="009D5E7E"/>
    <w:rsid w:val="009D5F68"/>
    <w:rsid w:val="009D6112"/>
    <w:rsid w:val="009D6223"/>
    <w:rsid w:val="009D653D"/>
    <w:rsid w:val="009D7221"/>
    <w:rsid w:val="009D7382"/>
    <w:rsid w:val="009D73F3"/>
    <w:rsid w:val="009D7EA6"/>
    <w:rsid w:val="009E08CA"/>
    <w:rsid w:val="009E0B6E"/>
    <w:rsid w:val="009E1431"/>
    <w:rsid w:val="009E197F"/>
    <w:rsid w:val="009E19C3"/>
    <w:rsid w:val="009E2097"/>
    <w:rsid w:val="009E239E"/>
    <w:rsid w:val="009E25A5"/>
    <w:rsid w:val="009E2A76"/>
    <w:rsid w:val="009E2B4D"/>
    <w:rsid w:val="009E2BC1"/>
    <w:rsid w:val="009E2C84"/>
    <w:rsid w:val="009E2D05"/>
    <w:rsid w:val="009E2E09"/>
    <w:rsid w:val="009E3079"/>
    <w:rsid w:val="009E327F"/>
    <w:rsid w:val="009E3FB9"/>
    <w:rsid w:val="009E3FEE"/>
    <w:rsid w:val="009E4093"/>
    <w:rsid w:val="009E4131"/>
    <w:rsid w:val="009E4163"/>
    <w:rsid w:val="009E4813"/>
    <w:rsid w:val="009E4827"/>
    <w:rsid w:val="009E5A1F"/>
    <w:rsid w:val="009E62C0"/>
    <w:rsid w:val="009E6E51"/>
    <w:rsid w:val="009E71C6"/>
    <w:rsid w:val="009E764A"/>
    <w:rsid w:val="009F0C00"/>
    <w:rsid w:val="009F0C4A"/>
    <w:rsid w:val="009F0EDC"/>
    <w:rsid w:val="009F0F8E"/>
    <w:rsid w:val="009F1093"/>
    <w:rsid w:val="009F1822"/>
    <w:rsid w:val="009F1CB4"/>
    <w:rsid w:val="009F24DC"/>
    <w:rsid w:val="009F2873"/>
    <w:rsid w:val="009F2944"/>
    <w:rsid w:val="009F2D93"/>
    <w:rsid w:val="009F34EA"/>
    <w:rsid w:val="009F363E"/>
    <w:rsid w:val="009F4063"/>
    <w:rsid w:val="009F4599"/>
    <w:rsid w:val="009F4942"/>
    <w:rsid w:val="009F4ACD"/>
    <w:rsid w:val="009F567C"/>
    <w:rsid w:val="009F62EC"/>
    <w:rsid w:val="009F64AF"/>
    <w:rsid w:val="009F7634"/>
    <w:rsid w:val="009F7C62"/>
    <w:rsid w:val="00A00FDF"/>
    <w:rsid w:val="00A01107"/>
    <w:rsid w:val="00A0161D"/>
    <w:rsid w:val="00A01E7F"/>
    <w:rsid w:val="00A0230C"/>
    <w:rsid w:val="00A03BFB"/>
    <w:rsid w:val="00A04B6A"/>
    <w:rsid w:val="00A04B9D"/>
    <w:rsid w:val="00A05279"/>
    <w:rsid w:val="00A052A7"/>
    <w:rsid w:val="00A0539E"/>
    <w:rsid w:val="00A056A6"/>
    <w:rsid w:val="00A0587D"/>
    <w:rsid w:val="00A05F02"/>
    <w:rsid w:val="00A06840"/>
    <w:rsid w:val="00A07483"/>
    <w:rsid w:val="00A074AE"/>
    <w:rsid w:val="00A07915"/>
    <w:rsid w:val="00A0797B"/>
    <w:rsid w:val="00A07D66"/>
    <w:rsid w:val="00A10799"/>
    <w:rsid w:val="00A10937"/>
    <w:rsid w:val="00A10B2A"/>
    <w:rsid w:val="00A11CAE"/>
    <w:rsid w:val="00A1204D"/>
    <w:rsid w:val="00A12065"/>
    <w:rsid w:val="00A1222E"/>
    <w:rsid w:val="00A12793"/>
    <w:rsid w:val="00A127C7"/>
    <w:rsid w:val="00A13208"/>
    <w:rsid w:val="00A13C94"/>
    <w:rsid w:val="00A14079"/>
    <w:rsid w:val="00A14229"/>
    <w:rsid w:val="00A146E2"/>
    <w:rsid w:val="00A14C9B"/>
    <w:rsid w:val="00A153F0"/>
    <w:rsid w:val="00A15748"/>
    <w:rsid w:val="00A16195"/>
    <w:rsid w:val="00A16206"/>
    <w:rsid w:val="00A16D6B"/>
    <w:rsid w:val="00A17385"/>
    <w:rsid w:val="00A178CA"/>
    <w:rsid w:val="00A17EAE"/>
    <w:rsid w:val="00A206A3"/>
    <w:rsid w:val="00A206B4"/>
    <w:rsid w:val="00A20A5F"/>
    <w:rsid w:val="00A2103E"/>
    <w:rsid w:val="00A21579"/>
    <w:rsid w:val="00A218E3"/>
    <w:rsid w:val="00A2251B"/>
    <w:rsid w:val="00A2278D"/>
    <w:rsid w:val="00A227EC"/>
    <w:rsid w:val="00A22824"/>
    <w:rsid w:val="00A22A9D"/>
    <w:rsid w:val="00A22CAD"/>
    <w:rsid w:val="00A22CFB"/>
    <w:rsid w:val="00A230A6"/>
    <w:rsid w:val="00A24EB5"/>
    <w:rsid w:val="00A250E8"/>
    <w:rsid w:val="00A25506"/>
    <w:rsid w:val="00A2685F"/>
    <w:rsid w:val="00A2686B"/>
    <w:rsid w:val="00A26FA0"/>
    <w:rsid w:val="00A27246"/>
    <w:rsid w:val="00A27C88"/>
    <w:rsid w:val="00A301A0"/>
    <w:rsid w:val="00A30845"/>
    <w:rsid w:val="00A30C41"/>
    <w:rsid w:val="00A30E99"/>
    <w:rsid w:val="00A31689"/>
    <w:rsid w:val="00A3177A"/>
    <w:rsid w:val="00A32233"/>
    <w:rsid w:val="00A3266E"/>
    <w:rsid w:val="00A327C1"/>
    <w:rsid w:val="00A32BDB"/>
    <w:rsid w:val="00A32EDD"/>
    <w:rsid w:val="00A32F29"/>
    <w:rsid w:val="00A32FC8"/>
    <w:rsid w:val="00A3323C"/>
    <w:rsid w:val="00A33DE9"/>
    <w:rsid w:val="00A33FCA"/>
    <w:rsid w:val="00A34E55"/>
    <w:rsid w:val="00A350E6"/>
    <w:rsid w:val="00A351BE"/>
    <w:rsid w:val="00A3543C"/>
    <w:rsid w:val="00A356FC"/>
    <w:rsid w:val="00A3599E"/>
    <w:rsid w:val="00A35DA0"/>
    <w:rsid w:val="00A36085"/>
    <w:rsid w:val="00A362E8"/>
    <w:rsid w:val="00A370C3"/>
    <w:rsid w:val="00A37625"/>
    <w:rsid w:val="00A378CA"/>
    <w:rsid w:val="00A37FA2"/>
    <w:rsid w:val="00A4088D"/>
    <w:rsid w:val="00A40A37"/>
    <w:rsid w:val="00A40B75"/>
    <w:rsid w:val="00A40C21"/>
    <w:rsid w:val="00A412B9"/>
    <w:rsid w:val="00A424AB"/>
    <w:rsid w:val="00A42538"/>
    <w:rsid w:val="00A42CC6"/>
    <w:rsid w:val="00A433AA"/>
    <w:rsid w:val="00A43773"/>
    <w:rsid w:val="00A44050"/>
    <w:rsid w:val="00A4457A"/>
    <w:rsid w:val="00A44584"/>
    <w:rsid w:val="00A447A1"/>
    <w:rsid w:val="00A44AE5"/>
    <w:rsid w:val="00A45E04"/>
    <w:rsid w:val="00A461AC"/>
    <w:rsid w:val="00A4698B"/>
    <w:rsid w:val="00A46C90"/>
    <w:rsid w:val="00A46DDC"/>
    <w:rsid w:val="00A47A52"/>
    <w:rsid w:val="00A47DA8"/>
    <w:rsid w:val="00A5109E"/>
    <w:rsid w:val="00A51AEC"/>
    <w:rsid w:val="00A51C39"/>
    <w:rsid w:val="00A51CDF"/>
    <w:rsid w:val="00A52ACF"/>
    <w:rsid w:val="00A52CA5"/>
    <w:rsid w:val="00A52EF7"/>
    <w:rsid w:val="00A530EE"/>
    <w:rsid w:val="00A53AED"/>
    <w:rsid w:val="00A53B5C"/>
    <w:rsid w:val="00A53C3F"/>
    <w:rsid w:val="00A53C90"/>
    <w:rsid w:val="00A53C91"/>
    <w:rsid w:val="00A53CC7"/>
    <w:rsid w:val="00A543F1"/>
    <w:rsid w:val="00A544D2"/>
    <w:rsid w:val="00A548A9"/>
    <w:rsid w:val="00A54AD6"/>
    <w:rsid w:val="00A54C67"/>
    <w:rsid w:val="00A55096"/>
    <w:rsid w:val="00A551EF"/>
    <w:rsid w:val="00A556A6"/>
    <w:rsid w:val="00A556AD"/>
    <w:rsid w:val="00A55DB8"/>
    <w:rsid w:val="00A5612F"/>
    <w:rsid w:val="00A56A19"/>
    <w:rsid w:val="00A56EC5"/>
    <w:rsid w:val="00A57792"/>
    <w:rsid w:val="00A57A3B"/>
    <w:rsid w:val="00A57CA2"/>
    <w:rsid w:val="00A57E5F"/>
    <w:rsid w:val="00A603DF"/>
    <w:rsid w:val="00A607AA"/>
    <w:rsid w:val="00A60C87"/>
    <w:rsid w:val="00A610BF"/>
    <w:rsid w:val="00A610D2"/>
    <w:rsid w:val="00A611F0"/>
    <w:rsid w:val="00A611F3"/>
    <w:rsid w:val="00A61D2C"/>
    <w:rsid w:val="00A62015"/>
    <w:rsid w:val="00A62045"/>
    <w:rsid w:val="00A622F5"/>
    <w:rsid w:val="00A62374"/>
    <w:rsid w:val="00A623FA"/>
    <w:rsid w:val="00A62611"/>
    <w:rsid w:val="00A62652"/>
    <w:rsid w:val="00A62835"/>
    <w:rsid w:val="00A63415"/>
    <w:rsid w:val="00A63503"/>
    <w:rsid w:val="00A635DC"/>
    <w:rsid w:val="00A63A3B"/>
    <w:rsid w:val="00A63AE5"/>
    <w:rsid w:val="00A63C2A"/>
    <w:rsid w:val="00A63CC8"/>
    <w:rsid w:val="00A6537F"/>
    <w:rsid w:val="00A6552A"/>
    <w:rsid w:val="00A655FD"/>
    <w:rsid w:val="00A65722"/>
    <w:rsid w:val="00A66582"/>
    <w:rsid w:val="00A669B3"/>
    <w:rsid w:val="00A66E32"/>
    <w:rsid w:val="00A672FE"/>
    <w:rsid w:val="00A67372"/>
    <w:rsid w:val="00A67759"/>
    <w:rsid w:val="00A677E5"/>
    <w:rsid w:val="00A6784F"/>
    <w:rsid w:val="00A67BDF"/>
    <w:rsid w:val="00A709BF"/>
    <w:rsid w:val="00A70C86"/>
    <w:rsid w:val="00A71092"/>
    <w:rsid w:val="00A71167"/>
    <w:rsid w:val="00A7131D"/>
    <w:rsid w:val="00A71320"/>
    <w:rsid w:val="00A7178B"/>
    <w:rsid w:val="00A71F04"/>
    <w:rsid w:val="00A72686"/>
    <w:rsid w:val="00A7291A"/>
    <w:rsid w:val="00A72EEC"/>
    <w:rsid w:val="00A735C9"/>
    <w:rsid w:val="00A7517C"/>
    <w:rsid w:val="00A75649"/>
    <w:rsid w:val="00A7575D"/>
    <w:rsid w:val="00A75838"/>
    <w:rsid w:val="00A75D46"/>
    <w:rsid w:val="00A75F3C"/>
    <w:rsid w:val="00A7675C"/>
    <w:rsid w:val="00A76CBA"/>
    <w:rsid w:val="00A77762"/>
    <w:rsid w:val="00A77BB6"/>
    <w:rsid w:val="00A80297"/>
    <w:rsid w:val="00A8034A"/>
    <w:rsid w:val="00A80846"/>
    <w:rsid w:val="00A80889"/>
    <w:rsid w:val="00A80B5A"/>
    <w:rsid w:val="00A8145B"/>
    <w:rsid w:val="00A81DE3"/>
    <w:rsid w:val="00A81EB8"/>
    <w:rsid w:val="00A8207D"/>
    <w:rsid w:val="00A82408"/>
    <w:rsid w:val="00A82649"/>
    <w:rsid w:val="00A82AC2"/>
    <w:rsid w:val="00A82E06"/>
    <w:rsid w:val="00A82E87"/>
    <w:rsid w:val="00A83BBD"/>
    <w:rsid w:val="00A84240"/>
    <w:rsid w:val="00A84730"/>
    <w:rsid w:val="00A8566B"/>
    <w:rsid w:val="00A856D6"/>
    <w:rsid w:val="00A860F7"/>
    <w:rsid w:val="00A865C9"/>
    <w:rsid w:val="00A86DB7"/>
    <w:rsid w:val="00A87186"/>
    <w:rsid w:val="00A87FDE"/>
    <w:rsid w:val="00A90286"/>
    <w:rsid w:val="00A902A7"/>
    <w:rsid w:val="00A906C6"/>
    <w:rsid w:val="00A912C0"/>
    <w:rsid w:val="00A913D0"/>
    <w:rsid w:val="00A91E57"/>
    <w:rsid w:val="00A92023"/>
    <w:rsid w:val="00A92353"/>
    <w:rsid w:val="00A92822"/>
    <w:rsid w:val="00A92C52"/>
    <w:rsid w:val="00A9314A"/>
    <w:rsid w:val="00A93AFB"/>
    <w:rsid w:val="00A9480D"/>
    <w:rsid w:val="00A94B38"/>
    <w:rsid w:val="00A95029"/>
    <w:rsid w:val="00A9535D"/>
    <w:rsid w:val="00A955DF"/>
    <w:rsid w:val="00A957CB"/>
    <w:rsid w:val="00A95EF7"/>
    <w:rsid w:val="00A965BE"/>
    <w:rsid w:val="00A965F2"/>
    <w:rsid w:val="00A96638"/>
    <w:rsid w:val="00A9689B"/>
    <w:rsid w:val="00A969C9"/>
    <w:rsid w:val="00A96EFF"/>
    <w:rsid w:val="00A97442"/>
    <w:rsid w:val="00A9788C"/>
    <w:rsid w:val="00A97E5E"/>
    <w:rsid w:val="00AA0B5A"/>
    <w:rsid w:val="00AA0C29"/>
    <w:rsid w:val="00AA111C"/>
    <w:rsid w:val="00AA11F3"/>
    <w:rsid w:val="00AA1993"/>
    <w:rsid w:val="00AA2021"/>
    <w:rsid w:val="00AA21BA"/>
    <w:rsid w:val="00AA22B1"/>
    <w:rsid w:val="00AA2300"/>
    <w:rsid w:val="00AA2D16"/>
    <w:rsid w:val="00AA2DBF"/>
    <w:rsid w:val="00AA3060"/>
    <w:rsid w:val="00AA3826"/>
    <w:rsid w:val="00AA383D"/>
    <w:rsid w:val="00AA392C"/>
    <w:rsid w:val="00AA3E54"/>
    <w:rsid w:val="00AA466C"/>
    <w:rsid w:val="00AA471B"/>
    <w:rsid w:val="00AA4788"/>
    <w:rsid w:val="00AA4CB6"/>
    <w:rsid w:val="00AA4D8F"/>
    <w:rsid w:val="00AA4E26"/>
    <w:rsid w:val="00AA627B"/>
    <w:rsid w:val="00AA6AE8"/>
    <w:rsid w:val="00AA6B9B"/>
    <w:rsid w:val="00AA7874"/>
    <w:rsid w:val="00AA7CC3"/>
    <w:rsid w:val="00AB03A3"/>
    <w:rsid w:val="00AB04A8"/>
    <w:rsid w:val="00AB0626"/>
    <w:rsid w:val="00AB0AA6"/>
    <w:rsid w:val="00AB0AE1"/>
    <w:rsid w:val="00AB0B08"/>
    <w:rsid w:val="00AB0E89"/>
    <w:rsid w:val="00AB1424"/>
    <w:rsid w:val="00AB189A"/>
    <w:rsid w:val="00AB1B38"/>
    <w:rsid w:val="00AB1BD7"/>
    <w:rsid w:val="00AB1D8F"/>
    <w:rsid w:val="00AB2237"/>
    <w:rsid w:val="00AB2AF6"/>
    <w:rsid w:val="00AB34D4"/>
    <w:rsid w:val="00AB36A3"/>
    <w:rsid w:val="00AB36FA"/>
    <w:rsid w:val="00AB3A02"/>
    <w:rsid w:val="00AB3DF3"/>
    <w:rsid w:val="00AB3EE0"/>
    <w:rsid w:val="00AB3F14"/>
    <w:rsid w:val="00AB40E4"/>
    <w:rsid w:val="00AB412C"/>
    <w:rsid w:val="00AB4416"/>
    <w:rsid w:val="00AB4914"/>
    <w:rsid w:val="00AB4A82"/>
    <w:rsid w:val="00AB509D"/>
    <w:rsid w:val="00AB5286"/>
    <w:rsid w:val="00AB541C"/>
    <w:rsid w:val="00AB567E"/>
    <w:rsid w:val="00AB56A3"/>
    <w:rsid w:val="00AB69D1"/>
    <w:rsid w:val="00AB6A1E"/>
    <w:rsid w:val="00AB6D52"/>
    <w:rsid w:val="00AB6E87"/>
    <w:rsid w:val="00AB7A0F"/>
    <w:rsid w:val="00AB7B8A"/>
    <w:rsid w:val="00AB7DB9"/>
    <w:rsid w:val="00AB7F12"/>
    <w:rsid w:val="00AB7FD0"/>
    <w:rsid w:val="00AC034E"/>
    <w:rsid w:val="00AC0E84"/>
    <w:rsid w:val="00AC0FB4"/>
    <w:rsid w:val="00AC1098"/>
    <w:rsid w:val="00AC1296"/>
    <w:rsid w:val="00AC16B2"/>
    <w:rsid w:val="00AC175B"/>
    <w:rsid w:val="00AC1928"/>
    <w:rsid w:val="00AC2056"/>
    <w:rsid w:val="00AC21A7"/>
    <w:rsid w:val="00AC21BF"/>
    <w:rsid w:val="00AC230B"/>
    <w:rsid w:val="00AC2D3A"/>
    <w:rsid w:val="00AC320A"/>
    <w:rsid w:val="00AC33E1"/>
    <w:rsid w:val="00AC3435"/>
    <w:rsid w:val="00AC3479"/>
    <w:rsid w:val="00AC363A"/>
    <w:rsid w:val="00AC36AB"/>
    <w:rsid w:val="00AC36EC"/>
    <w:rsid w:val="00AC3911"/>
    <w:rsid w:val="00AC3A7F"/>
    <w:rsid w:val="00AC3E57"/>
    <w:rsid w:val="00AC4001"/>
    <w:rsid w:val="00AC40D0"/>
    <w:rsid w:val="00AC4412"/>
    <w:rsid w:val="00AC466F"/>
    <w:rsid w:val="00AC4A56"/>
    <w:rsid w:val="00AC4B16"/>
    <w:rsid w:val="00AC5022"/>
    <w:rsid w:val="00AC5143"/>
    <w:rsid w:val="00AC54F6"/>
    <w:rsid w:val="00AC62A4"/>
    <w:rsid w:val="00AC66F2"/>
    <w:rsid w:val="00AC683D"/>
    <w:rsid w:val="00AC6841"/>
    <w:rsid w:val="00AC6B20"/>
    <w:rsid w:val="00AC6BA4"/>
    <w:rsid w:val="00AC6C5B"/>
    <w:rsid w:val="00AC6C5C"/>
    <w:rsid w:val="00AC7324"/>
    <w:rsid w:val="00AC7C2A"/>
    <w:rsid w:val="00AC7CF7"/>
    <w:rsid w:val="00AD0509"/>
    <w:rsid w:val="00AD08A3"/>
    <w:rsid w:val="00AD0C6F"/>
    <w:rsid w:val="00AD0E6D"/>
    <w:rsid w:val="00AD1D70"/>
    <w:rsid w:val="00AD1ED6"/>
    <w:rsid w:val="00AD2158"/>
    <w:rsid w:val="00AD2494"/>
    <w:rsid w:val="00AD2C1B"/>
    <w:rsid w:val="00AD2D00"/>
    <w:rsid w:val="00AD2F3C"/>
    <w:rsid w:val="00AD30D9"/>
    <w:rsid w:val="00AD3BDD"/>
    <w:rsid w:val="00AD426E"/>
    <w:rsid w:val="00AD4987"/>
    <w:rsid w:val="00AD4F18"/>
    <w:rsid w:val="00AD532E"/>
    <w:rsid w:val="00AD5574"/>
    <w:rsid w:val="00AD5F2A"/>
    <w:rsid w:val="00AD60BB"/>
    <w:rsid w:val="00AD6123"/>
    <w:rsid w:val="00AE0557"/>
    <w:rsid w:val="00AE0B29"/>
    <w:rsid w:val="00AE0B9B"/>
    <w:rsid w:val="00AE0E39"/>
    <w:rsid w:val="00AE0E47"/>
    <w:rsid w:val="00AE0EED"/>
    <w:rsid w:val="00AE11CA"/>
    <w:rsid w:val="00AE17FB"/>
    <w:rsid w:val="00AE1BD7"/>
    <w:rsid w:val="00AE1FF4"/>
    <w:rsid w:val="00AE222B"/>
    <w:rsid w:val="00AE26F2"/>
    <w:rsid w:val="00AE2F6A"/>
    <w:rsid w:val="00AE32B0"/>
    <w:rsid w:val="00AE341E"/>
    <w:rsid w:val="00AE36C1"/>
    <w:rsid w:val="00AE3A8E"/>
    <w:rsid w:val="00AE3C03"/>
    <w:rsid w:val="00AE3CA4"/>
    <w:rsid w:val="00AE4590"/>
    <w:rsid w:val="00AE46E5"/>
    <w:rsid w:val="00AE4E83"/>
    <w:rsid w:val="00AE5175"/>
    <w:rsid w:val="00AE524C"/>
    <w:rsid w:val="00AE5404"/>
    <w:rsid w:val="00AE602B"/>
    <w:rsid w:val="00AE7592"/>
    <w:rsid w:val="00AE7D9A"/>
    <w:rsid w:val="00AE7DAD"/>
    <w:rsid w:val="00AE7DCF"/>
    <w:rsid w:val="00AE7E23"/>
    <w:rsid w:val="00AE7F29"/>
    <w:rsid w:val="00AF04FE"/>
    <w:rsid w:val="00AF080A"/>
    <w:rsid w:val="00AF09FC"/>
    <w:rsid w:val="00AF0A43"/>
    <w:rsid w:val="00AF0E70"/>
    <w:rsid w:val="00AF0F10"/>
    <w:rsid w:val="00AF1249"/>
    <w:rsid w:val="00AF167F"/>
    <w:rsid w:val="00AF16F5"/>
    <w:rsid w:val="00AF18B7"/>
    <w:rsid w:val="00AF1A6B"/>
    <w:rsid w:val="00AF1D35"/>
    <w:rsid w:val="00AF1E8F"/>
    <w:rsid w:val="00AF1EE5"/>
    <w:rsid w:val="00AF24A3"/>
    <w:rsid w:val="00AF26D9"/>
    <w:rsid w:val="00AF26F7"/>
    <w:rsid w:val="00AF2FBD"/>
    <w:rsid w:val="00AF330A"/>
    <w:rsid w:val="00AF347F"/>
    <w:rsid w:val="00AF35FB"/>
    <w:rsid w:val="00AF391E"/>
    <w:rsid w:val="00AF3E6B"/>
    <w:rsid w:val="00AF3F63"/>
    <w:rsid w:val="00AF3FFB"/>
    <w:rsid w:val="00AF4507"/>
    <w:rsid w:val="00AF453B"/>
    <w:rsid w:val="00AF5859"/>
    <w:rsid w:val="00AF5B41"/>
    <w:rsid w:val="00AF63C0"/>
    <w:rsid w:val="00AF68EB"/>
    <w:rsid w:val="00AF732B"/>
    <w:rsid w:val="00AF73EA"/>
    <w:rsid w:val="00AF749A"/>
    <w:rsid w:val="00AF7ED5"/>
    <w:rsid w:val="00B000A3"/>
    <w:rsid w:val="00B00341"/>
    <w:rsid w:val="00B00644"/>
    <w:rsid w:val="00B00680"/>
    <w:rsid w:val="00B00E0F"/>
    <w:rsid w:val="00B00F59"/>
    <w:rsid w:val="00B01791"/>
    <w:rsid w:val="00B01851"/>
    <w:rsid w:val="00B025DB"/>
    <w:rsid w:val="00B02A43"/>
    <w:rsid w:val="00B02C15"/>
    <w:rsid w:val="00B02C47"/>
    <w:rsid w:val="00B03367"/>
    <w:rsid w:val="00B037AB"/>
    <w:rsid w:val="00B038D6"/>
    <w:rsid w:val="00B0410F"/>
    <w:rsid w:val="00B042E0"/>
    <w:rsid w:val="00B04331"/>
    <w:rsid w:val="00B04826"/>
    <w:rsid w:val="00B0482D"/>
    <w:rsid w:val="00B04E26"/>
    <w:rsid w:val="00B05326"/>
    <w:rsid w:val="00B05C3C"/>
    <w:rsid w:val="00B0632D"/>
    <w:rsid w:val="00B06456"/>
    <w:rsid w:val="00B06ECC"/>
    <w:rsid w:val="00B07562"/>
    <w:rsid w:val="00B07A28"/>
    <w:rsid w:val="00B07C76"/>
    <w:rsid w:val="00B1003F"/>
    <w:rsid w:val="00B1034C"/>
    <w:rsid w:val="00B10350"/>
    <w:rsid w:val="00B105DF"/>
    <w:rsid w:val="00B1087F"/>
    <w:rsid w:val="00B1094B"/>
    <w:rsid w:val="00B10A5E"/>
    <w:rsid w:val="00B10DF9"/>
    <w:rsid w:val="00B11335"/>
    <w:rsid w:val="00B11515"/>
    <w:rsid w:val="00B12468"/>
    <w:rsid w:val="00B12640"/>
    <w:rsid w:val="00B128C1"/>
    <w:rsid w:val="00B13361"/>
    <w:rsid w:val="00B1377C"/>
    <w:rsid w:val="00B13AAF"/>
    <w:rsid w:val="00B14157"/>
    <w:rsid w:val="00B141C7"/>
    <w:rsid w:val="00B14577"/>
    <w:rsid w:val="00B145E0"/>
    <w:rsid w:val="00B146B1"/>
    <w:rsid w:val="00B14B90"/>
    <w:rsid w:val="00B14D6F"/>
    <w:rsid w:val="00B154D1"/>
    <w:rsid w:val="00B15541"/>
    <w:rsid w:val="00B1683F"/>
    <w:rsid w:val="00B16EF0"/>
    <w:rsid w:val="00B177CE"/>
    <w:rsid w:val="00B20331"/>
    <w:rsid w:val="00B206F2"/>
    <w:rsid w:val="00B20C63"/>
    <w:rsid w:val="00B20FBC"/>
    <w:rsid w:val="00B2148D"/>
    <w:rsid w:val="00B21A1D"/>
    <w:rsid w:val="00B21BDD"/>
    <w:rsid w:val="00B21C14"/>
    <w:rsid w:val="00B21F6D"/>
    <w:rsid w:val="00B221A9"/>
    <w:rsid w:val="00B22EDB"/>
    <w:rsid w:val="00B23336"/>
    <w:rsid w:val="00B236AC"/>
    <w:rsid w:val="00B23B96"/>
    <w:rsid w:val="00B23EF4"/>
    <w:rsid w:val="00B24A59"/>
    <w:rsid w:val="00B24BC2"/>
    <w:rsid w:val="00B24CC4"/>
    <w:rsid w:val="00B257A9"/>
    <w:rsid w:val="00B25EF5"/>
    <w:rsid w:val="00B25F8F"/>
    <w:rsid w:val="00B25FA4"/>
    <w:rsid w:val="00B270E8"/>
    <w:rsid w:val="00B27B91"/>
    <w:rsid w:val="00B27D6A"/>
    <w:rsid w:val="00B30472"/>
    <w:rsid w:val="00B3056F"/>
    <w:rsid w:val="00B314E9"/>
    <w:rsid w:val="00B316A1"/>
    <w:rsid w:val="00B31BB6"/>
    <w:rsid w:val="00B31E15"/>
    <w:rsid w:val="00B32938"/>
    <w:rsid w:val="00B32D18"/>
    <w:rsid w:val="00B336F0"/>
    <w:rsid w:val="00B337D6"/>
    <w:rsid w:val="00B3414D"/>
    <w:rsid w:val="00B34A12"/>
    <w:rsid w:val="00B34E46"/>
    <w:rsid w:val="00B353E8"/>
    <w:rsid w:val="00B35F48"/>
    <w:rsid w:val="00B360F6"/>
    <w:rsid w:val="00B361B9"/>
    <w:rsid w:val="00B3662E"/>
    <w:rsid w:val="00B37094"/>
    <w:rsid w:val="00B3713C"/>
    <w:rsid w:val="00B37550"/>
    <w:rsid w:val="00B377DA"/>
    <w:rsid w:val="00B37D2B"/>
    <w:rsid w:val="00B40158"/>
    <w:rsid w:val="00B40214"/>
    <w:rsid w:val="00B40EC7"/>
    <w:rsid w:val="00B4100B"/>
    <w:rsid w:val="00B417E8"/>
    <w:rsid w:val="00B4182A"/>
    <w:rsid w:val="00B41AF0"/>
    <w:rsid w:val="00B41BE6"/>
    <w:rsid w:val="00B41EDE"/>
    <w:rsid w:val="00B42386"/>
    <w:rsid w:val="00B4245F"/>
    <w:rsid w:val="00B42A3D"/>
    <w:rsid w:val="00B43367"/>
    <w:rsid w:val="00B4358C"/>
    <w:rsid w:val="00B43718"/>
    <w:rsid w:val="00B43B33"/>
    <w:rsid w:val="00B43CE2"/>
    <w:rsid w:val="00B44CA5"/>
    <w:rsid w:val="00B45390"/>
    <w:rsid w:val="00B453A4"/>
    <w:rsid w:val="00B4544B"/>
    <w:rsid w:val="00B457C4"/>
    <w:rsid w:val="00B45ADF"/>
    <w:rsid w:val="00B45C15"/>
    <w:rsid w:val="00B45F93"/>
    <w:rsid w:val="00B4603D"/>
    <w:rsid w:val="00B462E1"/>
    <w:rsid w:val="00B46497"/>
    <w:rsid w:val="00B46AEF"/>
    <w:rsid w:val="00B4799A"/>
    <w:rsid w:val="00B47E2C"/>
    <w:rsid w:val="00B47FF3"/>
    <w:rsid w:val="00B503C0"/>
    <w:rsid w:val="00B50C28"/>
    <w:rsid w:val="00B50C47"/>
    <w:rsid w:val="00B50C6C"/>
    <w:rsid w:val="00B51E5D"/>
    <w:rsid w:val="00B5223D"/>
    <w:rsid w:val="00B529D3"/>
    <w:rsid w:val="00B53580"/>
    <w:rsid w:val="00B535BC"/>
    <w:rsid w:val="00B54423"/>
    <w:rsid w:val="00B54CC4"/>
    <w:rsid w:val="00B54D5F"/>
    <w:rsid w:val="00B550CE"/>
    <w:rsid w:val="00B55402"/>
    <w:rsid w:val="00B55853"/>
    <w:rsid w:val="00B55BC9"/>
    <w:rsid w:val="00B55F75"/>
    <w:rsid w:val="00B56247"/>
    <w:rsid w:val="00B5681D"/>
    <w:rsid w:val="00B56FA7"/>
    <w:rsid w:val="00B5742A"/>
    <w:rsid w:val="00B576D4"/>
    <w:rsid w:val="00B577E5"/>
    <w:rsid w:val="00B57D37"/>
    <w:rsid w:val="00B57FD8"/>
    <w:rsid w:val="00B6010B"/>
    <w:rsid w:val="00B60248"/>
    <w:rsid w:val="00B60728"/>
    <w:rsid w:val="00B61216"/>
    <w:rsid w:val="00B61459"/>
    <w:rsid w:val="00B615F5"/>
    <w:rsid w:val="00B61668"/>
    <w:rsid w:val="00B622E5"/>
    <w:rsid w:val="00B62AE8"/>
    <w:rsid w:val="00B62D1A"/>
    <w:rsid w:val="00B632A3"/>
    <w:rsid w:val="00B63B45"/>
    <w:rsid w:val="00B642F8"/>
    <w:rsid w:val="00B644E8"/>
    <w:rsid w:val="00B647F7"/>
    <w:rsid w:val="00B6491D"/>
    <w:rsid w:val="00B64F91"/>
    <w:rsid w:val="00B65389"/>
    <w:rsid w:val="00B657AD"/>
    <w:rsid w:val="00B65C1D"/>
    <w:rsid w:val="00B65CE9"/>
    <w:rsid w:val="00B65D8F"/>
    <w:rsid w:val="00B65EA8"/>
    <w:rsid w:val="00B65F62"/>
    <w:rsid w:val="00B66190"/>
    <w:rsid w:val="00B66240"/>
    <w:rsid w:val="00B66372"/>
    <w:rsid w:val="00B6746F"/>
    <w:rsid w:val="00B674A3"/>
    <w:rsid w:val="00B678DD"/>
    <w:rsid w:val="00B67B30"/>
    <w:rsid w:val="00B7012B"/>
    <w:rsid w:val="00B70B23"/>
    <w:rsid w:val="00B70F58"/>
    <w:rsid w:val="00B71419"/>
    <w:rsid w:val="00B7155D"/>
    <w:rsid w:val="00B716D3"/>
    <w:rsid w:val="00B71B53"/>
    <w:rsid w:val="00B73386"/>
    <w:rsid w:val="00B737BE"/>
    <w:rsid w:val="00B73915"/>
    <w:rsid w:val="00B73994"/>
    <w:rsid w:val="00B741EE"/>
    <w:rsid w:val="00B744EF"/>
    <w:rsid w:val="00B74CB2"/>
    <w:rsid w:val="00B74FD6"/>
    <w:rsid w:val="00B7511A"/>
    <w:rsid w:val="00B75661"/>
    <w:rsid w:val="00B76588"/>
    <w:rsid w:val="00B77617"/>
    <w:rsid w:val="00B776BD"/>
    <w:rsid w:val="00B7775B"/>
    <w:rsid w:val="00B77B17"/>
    <w:rsid w:val="00B77B98"/>
    <w:rsid w:val="00B77E04"/>
    <w:rsid w:val="00B77E7A"/>
    <w:rsid w:val="00B8032E"/>
    <w:rsid w:val="00B80F49"/>
    <w:rsid w:val="00B8101D"/>
    <w:rsid w:val="00B81543"/>
    <w:rsid w:val="00B81B48"/>
    <w:rsid w:val="00B81E7F"/>
    <w:rsid w:val="00B8284A"/>
    <w:rsid w:val="00B828B0"/>
    <w:rsid w:val="00B83130"/>
    <w:rsid w:val="00B83551"/>
    <w:rsid w:val="00B837BF"/>
    <w:rsid w:val="00B84006"/>
    <w:rsid w:val="00B84172"/>
    <w:rsid w:val="00B84A64"/>
    <w:rsid w:val="00B84DB3"/>
    <w:rsid w:val="00B85AD2"/>
    <w:rsid w:val="00B85BFC"/>
    <w:rsid w:val="00B85CF1"/>
    <w:rsid w:val="00B867B6"/>
    <w:rsid w:val="00B86F6D"/>
    <w:rsid w:val="00B874DB"/>
    <w:rsid w:val="00B876BE"/>
    <w:rsid w:val="00B877B9"/>
    <w:rsid w:val="00B87A8B"/>
    <w:rsid w:val="00B90129"/>
    <w:rsid w:val="00B909DC"/>
    <w:rsid w:val="00B90BF1"/>
    <w:rsid w:val="00B91396"/>
    <w:rsid w:val="00B91627"/>
    <w:rsid w:val="00B91C99"/>
    <w:rsid w:val="00B91E72"/>
    <w:rsid w:val="00B920C6"/>
    <w:rsid w:val="00B92161"/>
    <w:rsid w:val="00B925DE"/>
    <w:rsid w:val="00B926DB"/>
    <w:rsid w:val="00B9280A"/>
    <w:rsid w:val="00B9284D"/>
    <w:rsid w:val="00B9338F"/>
    <w:rsid w:val="00B937E3"/>
    <w:rsid w:val="00B93A94"/>
    <w:rsid w:val="00B94018"/>
    <w:rsid w:val="00B94B59"/>
    <w:rsid w:val="00B952A3"/>
    <w:rsid w:val="00B9568B"/>
    <w:rsid w:val="00B95CBF"/>
    <w:rsid w:val="00B95D07"/>
    <w:rsid w:val="00B95DE1"/>
    <w:rsid w:val="00B95FBA"/>
    <w:rsid w:val="00B96559"/>
    <w:rsid w:val="00B97BE2"/>
    <w:rsid w:val="00B97FEE"/>
    <w:rsid w:val="00BA0187"/>
    <w:rsid w:val="00BA0DE5"/>
    <w:rsid w:val="00BA0EC1"/>
    <w:rsid w:val="00BA10DD"/>
    <w:rsid w:val="00BA1532"/>
    <w:rsid w:val="00BA19A5"/>
    <w:rsid w:val="00BA2F5F"/>
    <w:rsid w:val="00BA3015"/>
    <w:rsid w:val="00BA30A8"/>
    <w:rsid w:val="00BA31A3"/>
    <w:rsid w:val="00BA32E4"/>
    <w:rsid w:val="00BA3A65"/>
    <w:rsid w:val="00BA3C1F"/>
    <w:rsid w:val="00BA3D7F"/>
    <w:rsid w:val="00BA3FA4"/>
    <w:rsid w:val="00BA430C"/>
    <w:rsid w:val="00BA4A71"/>
    <w:rsid w:val="00BA4E6E"/>
    <w:rsid w:val="00BA582E"/>
    <w:rsid w:val="00BA5B1D"/>
    <w:rsid w:val="00BA61AC"/>
    <w:rsid w:val="00BA61EA"/>
    <w:rsid w:val="00BA6209"/>
    <w:rsid w:val="00BA6520"/>
    <w:rsid w:val="00BA6FF1"/>
    <w:rsid w:val="00BA7289"/>
    <w:rsid w:val="00BA76C8"/>
    <w:rsid w:val="00BA775A"/>
    <w:rsid w:val="00BA7952"/>
    <w:rsid w:val="00BA7A65"/>
    <w:rsid w:val="00BA7C9B"/>
    <w:rsid w:val="00BB0BFB"/>
    <w:rsid w:val="00BB1645"/>
    <w:rsid w:val="00BB1DCD"/>
    <w:rsid w:val="00BB1E4A"/>
    <w:rsid w:val="00BB1ECB"/>
    <w:rsid w:val="00BB1F9C"/>
    <w:rsid w:val="00BB23AD"/>
    <w:rsid w:val="00BB2D92"/>
    <w:rsid w:val="00BB2E89"/>
    <w:rsid w:val="00BB3635"/>
    <w:rsid w:val="00BB408B"/>
    <w:rsid w:val="00BB40D6"/>
    <w:rsid w:val="00BB41A0"/>
    <w:rsid w:val="00BB41A6"/>
    <w:rsid w:val="00BB422B"/>
    <w:rsid w:val="00BB4671"/>
    <w:rsid w:val="00BB46A7"/>
    <w:rsid w:val="00BB4F48"/>
    <w:rsid w:val="00BB5023"/>
    <w:rsid w:val="00BB56CC"/>
    <w:rsid w:val="00BB57A1"/>
    <w:rsid w:val="00BB593B"/>
    <w:rsid w:val="00BB593D"/>
    <w:rsid w:val="00BB5D3F"/>
    <w:rsid w:val="00BB6547"/>
    <w:rsid w:val="00BB6AAD"/>
    <w:rsid w:val="00BB711F"/>
    <w:rsid w:val="00BB73A3"/>
    <w:rsid w:val="00BB73EF"/>
    <w:rsid w:val="00BB7B99"/>
    <w:rsid w:val="00BB7C18"/>
    <w:rsid w:val="00BC000B"/>
    <w:rsid w:val="00BC013E"/>
    <w:rsid w:val="00BC0376"/>
    <w:rsid w:val="00BC0399"/>
    <w:rsid w:val="00BC058D"/>
    <w:rsid w:val="00BC1335"/>
    <w:rsid w:val="00BC1FC6"/>
    <w:rsid w:val="00BC20F2"/>
    <w:rsid w:val="00BC28F8"/>
    <w:rsid w:val="00BC2F59"/>
    <w:rsid w:val="00BC3132"/>
    <w:rsid w:val="00BC354B"/>
    <w:rsid w:val="00BC3CFB"/>
    <w:rsid w:val="00BC43C5"/>
    <w:rsid w:val="00BC444F"/>
    <w:rsid w:val="00BC458A"/>
    <w:rsid w:val="00BC4A43"/>
    <w:rsid w:val="00BC4C23"/>
    <w:rsid w:val="00BC4DB5"/>
    <w:rsid w:val="00BC4FDF"/>
    <w:rsid w:val="00BC665F"/>
    <w:rsid w:val="00BC70DE"/>
    <w:rsid w:val="00BC7316"/>
    <w:rsid w:val="00BC7445"/>
    <w:rsid w:val="00BC78CD"/>
    <w:rsid w:val="00BC7909"/>
    <w:rsid w:val="00BD0D07"/>
    <w:rsid w:val="00BD0DF4"/>
    <w:rsid w:val="00BD128A"/>
    <w:rsid w:val="00BD186B"/>
    <w:rsid w:val="00BD1A7C"/>
    <w:rsid w:val="00BD2560"/>
    <w:rsid w:val="00BD25A3"/>
    <w:rsid w:val="00BD2671"/>
    <w:rsid w:val="00BD2B45"/>
    <w:rsid w:val="00BD2B74"/>
    <w:rsid w:val="00BD36BD"/>
    <w:rsid w:val="00BD44FB"/>
    <w:rsid w:val="00BD4531"/>
    <w:rsid w:val="00BD4676"/>
    <w:rsid w:val="00BD4D93"/>
    <w:rsid w:val="00BD4E74"/>
    <w:rsid w:val="00BD5046"/>
    <w:rsid w:val="00BD5313"/>
    <w:rsid w:val="00BD5437"/>
    <w:rsid w:val="00BD56EB"/>
    <w:rsid w:val="00BD5F90"/>
    <w:rsid w:val="00BD61BB"/>
    <w:rsid w:val="00BD6624"/>
    <w:rsid w:val="00BD6F2F"/>
    <w:rsid w:val="00BD7086"/>
    <w:rsid w:val="00BD72B5"/>
    <w:rsid w:val="00BD7F8F"/>
    <w:rsid w:val="00BE003F"/>
    <w:rsid w:val="00BE020E"/>
    <w:rsid w:val="00BE06D2"/>
    <w:rsid w:val="00BE0E2C"/>
    <w:rsid w:val="00BE1EFA"/>
    <w:rsid w:val="00BE21BC"/>
    <w:rsid w:val="00BE23FF"/>
    <w:rsid w:val="00BE3124"/>
    <w:rsid w:val="00BE371A"/>
    <w:rsid w:val="00BE3921"/>
    <w:rsid w:val="00BE4355"/>
    <w:rsid w:val="00BE5156"/>
    <w:rsid w:val="00BE5165"/>
    <w:rsid w:val="00BE59D7"/>
    <w:rsid w:val="00BE5A94"/>
    <w:rsid w:val="00BE5C24"/>
    <w:rsid w:val="00BE604F"/>
    <w:rsid w:val="00BE63CC"/>
    <w:rsid w:val="00BE6414"/>
    <w:rsid w:val="00BE6840"/>
    <w:rsid w:val="00BE6B3D"/>
    <w:rsid w:val="00BE7026"/>
    <w:rsid w:val="00BE70D6"/>
    <w:rsid w:val="00BE74A9"/>
    <w:rsid w:val="00BE7C5D"/>
    <w:rsid w:val="00BE7FA9"/>
    <w:rsid w:val="00BF0D61"/>
    <w:rsid w:val="00BF12EC"/>
    <w:rsid w:val="00BF1572"/>
    <w:rsid w:val="00BF1C5F"/>
    <w:rsid w:val="00BF2102"/>
    <w:rsid w:val="00BF21D2"/>
    <w:rsid w:val="00BF229B"/>
    <w:rsid w:val="00BF26F8"/>
    <w:rsid w:val="00BF2CD7"/>
    <w:rsid w:val="00BF30BD"/>
    <w:rsid w:val="00BF361C"/>
    <w:rsid w:val="00BF365B"/>
    <w:rsid w:val="00BF3753"/>
    <w:rsid w:val="00BF37A1"/>
    <w:rsid w:val="00BF37C7"/>
    <w:rsid w:val="00BF37D8"/>
    <w:rsid w:val="00BF3888"/>
    <w:rsid w:val="00BF39A4"/>
    <w:rsid w:val="00BF3A3B"/>
    <w:rsid w:val="00BF5394"/>
    <w:rsid w:val="00BF5541"/>
    <w:rsid w:val="00BF60BC"/>
    <w:rsid w:val="00BF6A75"/>
    <w:rsid w:val="00BF6DDA"/>
    <w:rsid w:val="00BF73D9"/>
    <w:rsid w:val="00BF7413"/>
    <w:rsid w:val="00BF7B6A"/>
    <w:rsid w:val="00C00484"/>
    <w:rsid w:val="00C008C3"/>
    <w:rsid w:val="00C00B4C"/>
    <w:rsid w:val="00C00BFF"/>
    <w:rsid w:val="00C00F42"/>
    <w:rsid w:val="00C01C5A"/>
    <w:rsid w:val="00C02003"/>
    <w:rsid w:val="00C02117"/>
    <w:rsid w:val="00C02161"/>
    <w:rsid w:val="00C022B9"/>
    <w:rsid w:val="00C02375"/>
    <w:rsid w:val="00C0265F"/>
    <w:rsid w:val="00C02AE7"/>
    <w:rsid w:val="00C02E71"/>
    <w:rsid w:val="00C0311F"/>
    <w:rsid w:val="00C03BF3"/>
    <w:rsid w:val="00C03FEF"/>
    <w:rsid w:val="00C0426A"/>
    <w:rsid w:val="00C042AC"/>
    <w:rsid w:val="00C0441E"/>
    <w:rsid w:val="00C0474E"/>
    <w:rsid w:val="00C049DE"/>
    <w:rsid w:val="00C04BC7"/>
    <w:rsid w:val="00C05230"/>
    <w:rsid w:val="00C053FD"/>
    <w:rsid w:val="00C05A3B"/>
    <w:rsid w:val="00C06230"/>
    <w:rsid w:val="00C065C5"/>
    <w:rsid w:val="00C0695B"/>
    <w:rsid w:val="00C06BC5"/>
    <w:rsid w:val="00C078DF"/>
    <w:rsid w:val="00C100B4"/>
    <w:rsid w:val="00C108B2"/>
    <w:rsid w:val="00C109B6"/>
    <w:rsid w:val="00C10E53"/>
    <w:rsid w:val="00C1141F"/>
    <w:rsid w:val="00C11C4E"/>
    <w:rsid w:val="00C11D4C"/>
    <w:rsid w:val="00C12034"/>
    <w:rsid w:val="00C12624"/>
    <w:rsid w:val="00C130EF"/>
    <w:rsid w:val="00C13FA2"/>
    <w:rsid w:val="00C14389"/>
    <w:rsid w:val="00C147EF"/>
    <w:rsid w:val="00C148CA"/>
    <w:rsid w:val="00C14AA6"/>
    <w:rsid w:val="00C1549C"/>
    <w:rsid w:val="00C16C58"/>
    <w:rsid w:val="00C16D80"/>
    <w:rsid w:val="00C16F86"/>
    <w:rsid w:val="00C173EC"/>
    <w:rsid w:val="00C17561"/>
    <w:rsid w:val="00C1789B"/>
    <w:rsid w:val="00C203A0"/>
    <w:rsid w:val="00C2112F"/>
    <w:rsid w:val="00C21EF6"/>
    <w:rsid w:val="00C2208E"/>
    <w:rsid w:val="00C2213E"/>
    <w:rsid w:val="00C221E2"/>
    <w:rsid w:val="00C2222E"/>
    <w:rsid w:val="00C22757"/>
    <w:rsid w:val="00C23156"/>
    <w:rsid w:val="00C23478"/>
    <w:rsid w:val="00C23BF8"/>
    <w:rsid w:val="00C23CC8"/>
    <w:rsid w:val="00C241B0"/>
    <w:rsid w:val="00C2470C"/>
    <w:rsid w:val="00C247EE"/>
    <w:rsid w:val="00C25377"/>
    <w:rsid w:val="00C25945"/>
    <w:rsid w:val="00C266B5"/>
    <w:rsid w:val="00C266C5"/>
    <w:rsid w:val="00C26715"/>
    <w:rsid w:val="00C26954"/>
    <w:rsid w:val="00C26BE7"/>
    <w:rsid w:val="00C26F7E"/>
    <w:rsid w:val="00C270ED"/>
    <w:rsid w:val="00C278E3"/>
    <w:rsid w:val="00C30081"/>
    <w:rsid w:val="00C3177F"/>
    <w:rsid w:val="00C31781"/>
    <w:rsid w:val="00C317F6"/>
    <w:rsid w:val="00C318BC"/>
    <w:rsid w:val="00C319CB"/>
    <w:rsid w:val="00C31DB9"/>
    <w:rsid w:val="00C31DC4"/>
    <w:rsid w:val="00C31E52"/>
    <w:rsid w:val="00C32B45"/>
    <w:rsid w:val="00C32CBC"/>
    <w:rsid w:val="00C335FB"/>
    <w:rsid w:val="00C33EE4"/>
    <w:rsid w:val="00C346F8"/>
    <w:rsid w:val="00C35066"/>
    <w:rsid w:val="00C350CA"/>
    <w:rsid w:val="00C354E3"/>
    <w:rsid w:val="00C35631"/>
    <w:rsid w:val="00C35AFA"/>
    <w:rsid w:val="00C35C0D"/>
    <w:rsid w:val="00C35E9C"/>
    <w:rsid w:val="00C362E1"/>
    <w:rsid w:val="00C3682A"/>
    <w:rsid w:val="00C36DC1"/>
    <w:rsid w:val="00C37A89"/>
    <w:rsid w:val="00C37BF5"/>
    <w:rsid w:val="00C37CEB"/>
    <w:rsid w:val="00C37E52"/>
    <w:rsid w:val="00C37FEE"/>
    <w:rsid w:val="00C403D6"/>
    <w:rsid w:val="00C40479"/>
    <w:rsid w:val="00C406FA"/>
    <w:rsid w:val="00C4091F"/>
    <w:rsid w:val="00C412CF"/>
    <w:rsid w:val="00C427A0"/>
    <w:rsid w:val="00C427D7"/>
    <w:rsid w:val="00C42B67"/>
    <w:rsid w:val="00C42F34"/>
    <w:rsid w:val="00C42F4B"/>
    <w:rsid w:val="00C43755"/>
    <w:rsid w:val="00C440D4"/>
    <w:rsid w:val="00C4459F"/>
    <w:rsid w:val="00C44E92"/>
    <w:rsid w:val="00C452E8"/>
    <w:rsid w:val="00C45379"/>
    <w:rsid w:val="00C45646"/>
    <w:rsid w:val="00C457D3"/>
    <w:rsid w:val="00C45BD0"/>
    <w:rsid w:val="00C45BD4"/>
    <w:rsid w:val="00C45C8F"/>
    <w:rsid w:val="00C45E52"/>
    <w:rsid w:val="00C4629D"/>
    <w:rsid w:val="00C46442"/>
    <w:rsid w:val="00C46D02"/>
    <w:rsid w:val="00C50005"/>
    <w:rsid w:val="00C50331"/>
    <w:rsid w:val="00C50E5F"/>
    <w:rsid w:val="00C50F8D"/>
    <w:rsid w:val="00C51ABA"/>
    <w:rsid w:val="00C51EDF"/>
    <w:rsid w:val="00C528EA"/>
    <w:rsid w:val="00C52D39"/>
    <w:rsid w:val="00C54194"/>
    <w:rsid w:val="00C55066"/>
    <w:rsid w:val="00C5618C"/>
    <w:rsid w:val="00C568DD"/>
    <w:rsid w:val="00C56B84"/>
    <w:rsid w:val="00C57541"/>
    <w:rsid w:val="00C57A64"/>
    <w:rsid w:val="00C57D53"/>
    <w:rsid w:val="00C57F28"/>
    <w:rsid w:val="00C60740"/>
    <w:rsid w:val="00C60A71"/>
    <w:rsid w:val="00C60B3A"/>
    <w:rsid w:val="00C615AA"/>
    <w:rsid w:val="00C62055"/>
    <w:rsid w:val="00C6224C"/>
    <w:rsid w:val="00C62734"/>
    <w:rsid w:val="00C62846"/>
    <w:rsid w:val="00C62F47"/>
    <w:rsid w:val="00C63021"/>
    <w:rsid w:val="00C638E5"/>
    <w:rsid w:val="00C63B14"/>
    <w:rsid w:val="00C64768"/>
    <w:rsid w:val="00C6490D"/>
    <w:rsid w:val="00C64A76"/>
    <w:rsid w:val="00C64BFD"/>
    <w:rsid w:val="00C65BEF"/>
    <w:rsid w:val="00C66281"/>
    <w:rsid w:val="00C670A4"/>
    <w:rsid w:val="00C675B8"/>
    <w:rsid w:val="00C67E84"/>
    <w:rsid w:val="00C703BB"/>
    <w:rsid w:val="00C70DBF"/>
    <w:rsid w:val="00C70E15"/>
    <w:rsid w:val="00C70F56"/>
    <w:rsid w:val="00C70FFA"/>
    <w:rsid w:val="00C713CD"/>
    <w:rsid w:val="00C71440"/>
    <w:rsid w:val="00C71935"/>
    <w:rsid w:val="00C71BA5"/>
    <w:rsid w:val="00C71CDB"/>
    <w:rsid w:val="00C71EBE"/>
    <w:rsid w:val="00C73BAB"/>
    <w:rsid w:val="00C748B0"/>
    <w:rsid w:val="00C75170"/>
    <w:rsid w:val="00C752ED"/>
    <w:rsid w:val="00C75502"/>
    <w:rsid w:val="00C75742"/>
    <w:rsid w:val="00C75D72"/>
    <w:rsid w:val="00C76366"/>
    <w:rsid w:val="00C7773C"/>
    <w:rsid w:val="00C778BF"/>
    <w:rsid w:val="00C779F6"/>
    <w:rsid w:val="00C77C87"/>
    <w:rsid w:val="00C80098"/>
    <w:rsid w:val="00C80421"/>
    <w:rsid w:val="00C8073C"/>
    <w:rsid w:val="00C80CD9"/>
    <w:rsid w:val="00C81B60"/>
    <w:rsid w:val="00C82117"/>
    <w:rsid w:val="00C823FD"/>
    <w:rsid w:val="00C82465"/>
    <w:rsid w:val="00C8292A"/>
    <w:rsid w:val="00C83328"/>
    <w:rsid w:val="00C836F7"/>
    <w:rsid w:val="00C84624"/>
    <w:rsid w:val="00C849B6"/>
    <w:rsid w:val="00C85032"/>
    <w:rsid w:val="00C853D1"/>
    <w:rsid w:val="00C8599B"/>
    <w:rsid w:val="00C859E1"/>
    <w:rsid w:val="00C85F5E"/>
    <w:rsid w:val="00C86033"/>
    <w:rsid w:val="00C862C9"/>
    <w:rsid w:val="00C86773"/>
    <w:rsid w:val="00C86BA9"/>
    <w:rsid w:val="00C86FEE"/>
    <w:rsid w:val="00C87282"/>
    <w:rsid w:val="00C87364"/>
    <w:rsid w:val="00C874B2"/>
    <w:rsid w:val="00C87C59"/>
    <w:rsid w:val="00C87F36"/>
    <w:rsid w:val="00C90651"/>
    <w:rsid w:val="00C90BFE"/>
    <w:rsid w:val="00C90CD5"/>
    <w:rsid w:val="00C92252"/>
    <w:rsid w:val="00C926DB"/>
    <w:rsid w:val="00C933C3"/>
    <w:rsid w:val="00C93799"/>
    <w:rsid w:val="00C93EA8"/>
    <w:rsid w:val="00C943DA"/>
    <w:rsid w:val="00C94934"/>
    <w:rsid w:val="00C94B0F"/>
    <w:rsid w:val="00C94BE7"/>
    <w:rsid w:val="00C94DD4"/>
    <w:rsid w:val="00C9550B"/>
    <w:rsid w:val="00C9632B"/>
    <w:rsid w:val="00C9685B"/>
    <w:rsid w:val="00C96CED"/>
    <w:rsid w:val="00C9783D"/>
    <w:rsid w:val="00CA05DF"/>
    <w:rsid w:val="00CA0F68"/>
    <w:rsid w:val="00CA1F83"/>
    <w:rsid w:val="00CA2993"/>
    <w:rsid w:val="00CA2D15"/>
    <w:rsid w:val="00CA2F69"/>
    <w:rsid w:val="00CA3291"/>
    <w:rsid w:val="00CA332A"/>
    <w:rsid w:val="00CA3BC0"/>
    <w:rsid w:val="00CA3BD8"/>
    <w:rsid w:val="00CA3CD1"/>
    <w:rsid w:val="00CA3D09"/>
    <w:rsid w:val="00CA5425"/>
    <w:rsid w:val="00CA5489"/>
    <w:rsid w:val="00CA5978"/>
    <w:rsid w:val="00CA6036"/>
    <w:rsid w:val="00CA6141"/>
    <w:rsid w:val="00CA634D"/>
    <w:rsid w:val="00CA65E8"/>
    <w:rsid w:val="00CA6BCF"/>
    <w:rsid w:val="00CA6F82"/>
    <w:rsid w:val="00CA712E"/>
    <w:rsid w:val="00CA749A"/>
    <w:rsid w:val="00CA7566"/>
    <w:rsid w:val="00CA7985"/>
    <w:rsid w:val="00CB009D"/>
    <w:rsid w:val="00CB0B0A"/>
    <w:rsid w:val="00CB0B4B"/>
    <w:rsid w:val="00CB0DA8"/>
    <w:rsid w:val="00CB1FC3"/>
    <w:rsid w:val="00CB274D"/>
    <w:rsid w:val="00CB31BA"/>
    <w:rsid w:val="00CB32BE"/>
    <w:rsid w:val="00CB3D5A"/>
    <w:rsid w:val="00CB3FF9"/>
    <w:rsid w:val="00CB401B"/>
    <w:rsid w:val="00CB42B6"/>
    <w:rsid w:val="00CB491B"/>
    <w:rsid w:val="00CB55FC"/>
    <w:rsid w:val="00CB5816"/>
    <w:rsid w:val="00CB6917"/>
    <w:rsid w:val="00CB6A3E"/>
    <w:rsid w:val="00CB7170"/>
    <w:rsid w:val="00CB73FF"/>
    <w:rsid w:val="00CB77ED"/>
    <w:rsid w:val="00CB7816"/>
    <w:rsid w:val="00CC0244"/>
    <w:rsid w:val="00CC0403"/>
    <w:rsid w:val="00CC0FFF"/>
    <w:rsid w:val="00CC1610"/>
    <w:rsid w:val="00CC22D3"/>
    <w:rsid w:val="00CC2652"/>
    <w:rsid w:val="00CC2C41"/>
    <w:rsid w:val="00CC2C7B"/>
    <w:rsid w:val="00CC2E66"/>
    <w:rsid w:val="00CC3896"/>
    <w:rsid w:val="00CC3F9E"/>
    <w:rsid w:val="00CC4E98"/>
    <w:rsid w:val="00CC512B"/>
    <w:rsid w:val="00CC53E6"/>
    <w:rsid w:val="00CC54D7"/>
    <w:rsid w:val="00CC55B5"/>
    <w:rsid w:val="00CC5755"/>
    <w:rsid w:val="00CC5E40"/>
    <w:rsid w:val="00CC5E62"/>
    <w:rsid w:val="00CC5EE5"/>
    <w:rsid w:val="00CC6576"/>
    <w:rsid w:val="00CC696E"/>
    <w:rsid w:val="00CC6A69"/>
    <w:rsid w:val="00CC6C54"/>
    <w:rsid w:val="00CC6E58"/>
    <w:rsid w:val="00CC7030"/>
    <w:rsid w:val="00CC741B"/>
    <w:rsid w:val="00CC7926"/>
    <w:rsid w:val="00CD035C"/>
    <w:rsid w:val="00CD0A29"/>
    <w:rsid w:val="00CD1281"/>
    <w:rsid w:val="00CD19ED"/>
    <w:rsid w:val="00CD1CE3"/>
    <w:rsid w:val="00CD2074"/>
    <w:rsid w:val="00CD213E"/>
    <w:rsid w:val="00CD218F"/>
    <w:rsid w:val="00CD2288"/>
    <w:rsid w:val="00CD2DF9"/>
    <w:rsid w:val="00CD3084"/>
    <w:rsid w:val="00CD30FE"/>
    <w:rsid w:val="00CD3692"/>
    <w:rsid w:val="00CD3774"/>
    <w:rsid w:val="00CD37CD"/>
    <w:rsid w:val="00CD3B71"/>
    <w:rsid w:val="00CD3C2F"/>
    <w:rsid w:val="00CD3C38"/>
    <w:rsid w:val="00CD48DB"/>
    <w:rsid w:val="00CD51CA"/>
    <w:rsid w:val="00CD52E8"/>
    <w:rsid w:val="00CD5CCE"/>
    <w:rsid w:val="00CD5EED"/>
    <w:rsid w:val="00CD6514"/>
    <w:rsid w:val="00CD65A2"/>
    <w:rsid w:val="00CD6637"/>
    <w:rsid w:val="00CD66A4"/>
    <w:rsid w:val="00CD694B"/>
    <w:rsid w:val="00CD69E7"/>
    <w:rsid w:val="00CD69E9"/>
    <w:rsid w:val="00CD6A70"/>
    <w:rsid w:val="00CD7317"/>
    <w:rsid w:val="00CD74D8"/>
    <w:rsid w:val="00CD7999"/>
    <w:rsid w:val="00CD7BF1"/>
    <w:rsid w:val="00CE0AB2"/>
    <w:rsid w:val="00CE0C16"/>
    <w:rsid w:val="00CE0CA0"/>
    <w:rsid w:val="00CE156D"/>
    <w:rsid w:val="00CE1CCE"/>
    <w:rsid w:val="00CE21FB"/>
    <w:rsid w:val="00CE376E"/>
    <w:rsid w:val="00CE3866"/>
    <w:rsid w:val="00CE399C"/>
    <w:rsid w:val="00CE4C8A"/>
    <w:rsid w:val="00CE4FD3"/>
    <w:rsid w:val="00CE55E6"/>
    <w:rsid w:val="00CE576A"/>
    <w:rsid w:val="00CE5853"/>
    <w:rsid w:val="00CE5BD9"/>
    <w:rsid w:val="00CE5D8F"/>
    <w:rsid w:val="00CE6025"/>
    <w:rsid w:val="00CE6071"/>
    <w:rsid w:val="00CE611F"/>
    <w:rsid w:val="00CE61F5"/>
    <w:rsid w:val="00CE6ABF"/>
    <w:rsid w:val="00CE6BA9"/>
    <w:rsid w:val="00CE6F0E"/>
    <w:rsid w:val="00CE7151"/>
    <w:rsid w:val="00CF09BF"/>
    <w:rsid w:val="00CF11C5"/>
    <w:rsid w:val="00CF16E4"/>
    <w:rsid w:val="00CF1B2A"/>
    <w:rsid w:val="00CF1CFA"/>
    <w:rsid w:val="00CF22DE"/>
    <w:rsid w:val="00CF2B49"/>
    <w:rsid w:val="00CF2EA1"/>
    <w:rsid w:val="00CF2FB9"/>
    <w:rsid w:val="00CF31DC"/>
    <w:rsid w:val="00CF3F30"/>
    <w:rsid w:val="00CF3FEF"/>
    <w:rsid w:val="00CF4B77"/>
    <w:rsid w:val="00CF51DB"/>
    <w:rsid w:val="00CF5B2E"/>
    <w:rsid w:val="00CF5BDF"/>
    <w:rsid w:val="00CF5D64"/>
    <w:rsid w:val="00CF6B2C"/>
    <w:rsid w:val="00CF7115"/>
    <w:rsid w:val="00CF7996"/>
    <w:rsid w:val="00D00238"/>
    <w:rsid w:val="00D00DC6"/>
    <w:rsid w:val="00D00EF3"/>
    <w:rsid w:val="00D01224"/>
    <w:rsid w:val="00D01783"/>
    <w:rsid w:val="00D01B32"/>
    <w:rsid w:val="00D01C6C"/>
    <w:rsid w:val="00D01F24"/>
    <w:rsid w:val="00D02011"/>
    <w:rsid w:val="00D02109"/>
    <w:rsid w:val="00D029A1"/>
    <w:rsid w:val="00D02EE9"/>
    <w:rsid w:val="00D0360E"/>
    <w:rsid w:val="00D03C5C"/>
    <w:rsid w:val="00D0458F"/>
    <w:rsid w:val="00D0461D"/>
    <w:rsid w:val="00D04749"/>
    <w:rsid w:val="00D04A59"/>
    <w:rsid w:val="00D0500A"/>
    <w:rsid w:val="00D05301"/>
    <w:rsid w:val="00D05683"/>
    <w:rsid w:val="00D06BB5"/>
    <w:rsid w:val="00D06C66"/>
    <w:rsid w:val="00D0705E"/>
    <w:rsid w:val="00D072B4"/>
    <w:rsid w:val="00D07C05"/>
    <w:rsid w:val="00D07CA7"/>
    <w:rsid w:val="00D1001E"/>
    <w:rsid w:val="00D10129"/>
    <w:rsid w:val="00D103C2"/>
    <w:rsid w:val="00D1040B"/>
    <w:rsid w:val="00D10740"/>
    <w:rsid w:val="00D109E2"/>
    <w:rsid w:val="00D10DD5"/>
    <w:rsid w:val="00D10EA0"/>
    <w:rsid w:val="00D10F30"/>
    <w:rsid w:val="00D10F73"/>
    <w:rsid w:val="00D111F3"/>
    <w:rsid w:val="00D116C3"/>
    <w:rsid w:val="00D12115"/>
    <w:rsid w:val="00D1261E"/>
    <w:rsid w:val="00D12AE5"/>
    <w:rsid w:val="00D13184"/>
    <w:rsid w:val="00D13CF7"/>
    <w:rsid w:val="00D14195"/>
    <w:rsid w:val="00D14A38"/>
    <w:rsid w:val="00D14FDD"/>
    <w:rsid w:val="00D1586E"/>
    <w:rsid w:val="00D158B9"/>
    <w:rsid w:val="00D15EFE"/>
    <w:rsid w:val="00D16443"/>
    <w:rsid w:val="00D1676A"/>
    <w:rsid w:val="00D168FF"/>
    <w:rsid w:val="00D16E18"/>
    <w:rsid w:val="00D17550"/>
    <w:rsid w:val="00D17560"/>
    <w:rsid w:val="00D20CCA"/>
    <w:rsid w:val="00D2117D"/>
    <w:rsid w:val="00D21199"/>
    <w:rsid w:val="00D215AC"/>
    <w:rsid w:val="00D2209F"/>
    <w:rsid w:val="00D222AA"/>
    <w:rsid w:val="00D223CB"/>
    <w:rsid w:val="00D228B5"/>
    <w:rsid w:val="00D22C6A"/>
    <w:rsid w:val="00D230DE"/>
    <w:rsid w:val="00D23301"/>
    <w:rsid w:val="00D238BE"/>
    <w:rsid w:val="00D23DD5"/>
    <w:rsid w:val="00D2415B"/>
    <w:rsid w:val="00D249B8"/>
    <w:rsid w:val="00D258A2"/>
    <w:rsid w:val="00D262DE"/>
    <w:rsid w:val="00D2643A"/>
    <w:rsid w:val="00D268A0"/>
    <w:rsid w:val="00D26C6B"/>
    <w:rsid w:val="00D26E1A"/>
    <w:rsid w:val="00D271FF"/>
    <w:rsid w:val="00D27EA4"/>
    <w:rsid w:val="00D30019"/>
    <w:rsid w:val="00D306A9"/>
    <w:rsid w:val="00D30D67"/>
    <w:rsid w:val="00D31279"/>
    <w:rsid w:val="00D31676"/>
    <w:rsid w:val="00D31C16"/>
    <w:rsid w:val="00D321F1"/>
    <w:rsid w:val="00D333CA"/>
    <w:rsid w:val="00D33F76"/>
    <w:rsid w:val="00D342D5"/>
    <w:rsid w:val="00D3449C"/>
    <w:rsid w:val="00D34AE0"/>
    <w:rsid w:val="00D34C28"/>
    <w:rsid w:val="00D34F95"/>
    <w:rsid w:val="00D35492"/>
    <w:rsid w:val="00D35C79"/>
    <w:rsid w:val="00D3664E"/>
    <w:rsid w:val="00D366C3"/>
    <w:rsid w:val="00D36C86"/>
    <w:rsid w:val="00D36E16"/>
    <w:rsid w:val="00D3707F"/>
    <w:rsid w:val="00D371F3"/>
    <w:rsid w:val="00D3739A"/>
    <w:rsid w:val="00D375D0"/>
    <w:rsid w:val="00D37749"/>
    <w:rsid w:val="00D378EA"/>
    <w:rsid w:val="00D405DB"/>
    <w:rsid w:val="00D41606"/>
    <w:rsid w:val="00D416BF"/>
    <w:rsid w:val="00D4238F"/>
    <w:rsid w:val="00D42C6A"/>
    <w:rsid w:val="00D43761"/>
    <w:rsid w:val="00D43F01"/>
    <w:rsid w:val="00D440D6"/>
    <w:rsid w:val="00D44A24"/>
    <w:rsid w:val="00D44D03"/>
    <w:rsid w:val="00D46A5A"/>
    <w:rsid w:val="00D46C33"/>
    <w:rsid w:val="00D46E0D"/>
    <w:rsid w:val="00D47036"/>
    <w:rsid w:val="00D476FA"/>
    <w:rsid w:val="00D503B9"/>
    <w:rsid w:val="00D503EA"/>
    <w:rsid w:val="00D50EED"/>
    <w:rsid w:val="00D51033"/>
    <w:rsid w:val="00D51EDF"/>
    <w:rsid w:val="00D520D5"/>
    <w:rsid w:val="00D522B4"/>
    <w:rsid w:val="00D523B6"/>
    <w:rsid w:val="00D52513"/>
    <w:rsid w:val="00D526CB"/>
    <w:rsid w:val="00D528CE"/>
    <w:rsid w:val="00D52A90"/>
    <w:rsid w:val="00D52A94"/>
    <w:rsid w:val="00D53085"/>
    <w:rsid w:val="00D543FB"/>
    <w:rsid w:val="00D54C59"/>
    <w:rsid w:val="00D5527B"/>
    <w:rsid w:val="00D55DEE"/>
    <w:rsid w:val="00D55EA7"/>
    <w:rsid w:val="00D56130"/>
    <w:rsid w:val="00D56EFA"/>
    <w:rsid w:val="00D572BE"/>
    <w:rsid w:val="00D5764C"/>
    <w:rsid w:val="00D57B52"/>
    <w:rsid w:val="00D60B33"/>
    <w:rsid w:val="00D60B71"/>
    <w:rsid w:val="00D60B7E"/>
    <w:rsid w:val="00D611AF"/>
    <w:rsid w:val="00D6135B"/>
    <w:rsid w:val="00D617A8"/>
    <w:rsid w:val="00D61E44"/>
    <w:rsid w:val="00D62A06"/>
    <w:rsid w:val="00D62C1A"/>
    <w:rsid w:val="00D62F5E"/>
    <w:rsid w:val="00D6377F"/>
    <w:rsid w:val="00D64834"/>
    <w:rsid w:val="00D649E7"/>
    <w:rsid w:val="00D64AED"/>
    <w:rsid w:val="00D64CA7"/>
    <w:rsid w:val="00D64DB1"/>
    <w:rsid w:val="00D64E8D"/>
    <w:rsid w:val="00D6501D"/>
    <w:rsid w:val="00D658AF"/>
    <w:rsid w:val="00D65ADA"/>
    <w:rsid w:val="00D66990"/>
    <w:rsid w:val="00D66AA9"/>
    <w:rsid w:val="00D66DC7"/>
    <w:rsid w:val="00D6776E"/>
    <w:rsid w:val="00D67EB1"/>
    <w:rsid w:val="00D67F1D"/>
    <w:rsid w:val="00D70231"/>
    <w:rsid w:val="00D70B1B"/>
    <w:rsid w:val="00D70B59"/>
    <w:rsid w:val="00D71152"/>
    <w:rsid w:val="00D71913"/>
    <w:rsid w:val="00D7193C"/>
    <w:rsid w:val="00D71B3E"/>
    <w:rsid w:val="00D7265F"/>
    <w:rsid w:val="00D729F6"/>
    <w:rsid w:val="00D729FA"/>
    <w:rsid w:val="00D72B17"/>
    <w:rsid w:val="00D72BDA"/>
    <w:rsid w:val="00D73677"/>
    <w:rsid w:val="00D7389C"/>
    <w:rsid w:val="00D74AFD"/>
    <w:rsid w:val="00D74D59"/>
    <w:rsid w:val="00D74DBC"/>
    <w:rsid w:val="00D74DDD"/>
    <w:rsid w:val="00D74E1A"/>
    <w:rsid w:val="00D74E94"/>
    <w:rsid w:val="00D75835"/>
    <w:rsid w:val="00D75D2E"/>
    <w:rsid w:val="00D75D47"/>
    <w:rsid w:val="00D76048"/>
    <w:rsid w:val="00D760E7"/>
    <w:rsid w:val="00D762E8"/>
    <w:rsid w:val="00D762EF"/>
    <w:rsid w:val="00D76517"/>
    <w:rsid w:val="00D76689"/>
    <w:rsid w:val="00D766D2"/>
    <w:rsid w:val="00D76919"/>
    <w:rsid w:val="00D77E41"/>
    <w:rsid w:val="00D77EE5"/>
    <w:rsid w:val="00D8039A"/>
    <w:rsid w:val="00D80913"/>
    <w:rsid w:val="00D8099C"/>
    <w:rsid w:val="00D81B99"/>
    <w:rsid w:val="00D81FEC"/>
    <w:rsid w:val="00D823EE"/>
    <w:rsid w:val="00D82815"/>
    <w:rsid w:val="00D82C31"/>
    <w:rsid w:val="00D832A4"/>
    <w:rsid w:val="00D8349C"/>
    <w:rsid w:val="00D838AF"/>
    <w:rsid w:val="00D84113"/>
    <w:rsid w:val="00D84285"/>
    <w:rsid w:val="00D84349"/>
    <w:rsid w:val="00D84520"/>
    <w:rsid w:val="00D84901"/>
    <w:rsid w:val="00D8560C"/>
    <w:rsid w:val="00D861CD"/>
    <w:rsid w:val="00D8659C"/>
    <w:rsid w:val="00D870F2"/>
    <w:rsid w:val="00D87463"/>
    <w:rsid w:val="00D87753"/>
    <w:rsid w:val="00D87A65"/>
    <w:rsid w:val="00D87E2C"/>
    <w:rsid w:val="00D90202"/>
    <w:rsid w:val="00D902F2"/>
    <w:rsid w:val="00D90B88"/>
    <w:rsid w:val="00D90C80"/>
    <w:rsid w:val="00D91448"/>
    <w:rsid w:val="00D91C7F"/>
    <w:rsid w:val="00D91CF8"/>
    <w:rsid w:val="00D92263"/>
    <w:rsid w:val="00D92855"/>
    <w:rsid w:val="00D92C6B"/>
    <w:rsid w:val="00D9387D"/>
    <w:rsid w:val="00D93947"/>
    <w:rsid w:val="00D93D26"/>
    <w:rsid w:val="00D94199"/>
    <w:rsid w:val="00D956DD"/>
    <w:rsid w:val="00D96206"/>
    <w:rsid w:val="00D964F2"/>
    <w:rsid w:val="00D96C27"/>
    <w:rsid w:val="00D96EEC"/>
    <w:rsid w:val="00D97034"/>
    <w:rsid w:val="00D97574"/>
    <w:rsid w:val="00D97F4E"/>
    <w:rsid w:val="00DA0AFC"/>
    <w:rsid w:val="00DA0B47"/>
    <w:rsid w:val="00DA0BC9"/>
    <w:rsid w:val="00DA0CD5"/>
    <w:rsid w:val="00DA11A5"/>
    <w:rsid w:val="00DA1871"/>
    <w:rsid w:val="00DA1A41"/>
    <w:rsid w:val="00DA20CD"/>
    <w:rsid w:val="00DA21DD"/>
    <w:rsid w:val="00DA2471"/>
    <w:rsid w:val="00DA280C"/>
    <w:rsid w:val="00DA2C4F"/>
    <w:rsid w:val="00DA2E49"/>
    <w:rsid w:val="00DA2E96"/>
    <w:rsid w:val="00DA2EA7"/>
    <w:rsid w:val="00DA2FE0"/>
    <w:rsid w:val="00DA3027"/>
    <w:rsid w:val="00DA32EB"/>
    <w:rsid w:val="00DA337D"/>
    <w:rsid w:val="00DA486E"/>
    <w:rsid w:val="00DA512F"/>
    <w:rsid w:val="00DA5201"/>
    <w:rsid w:val="00DA54D4"/>
    <w:rsid w:val="00DA5D21"/>
    <w:rsid w:val="00DA617F"/>
    <w:rsid w:val="00DA66B8"/>
    <w:rsid w:val="00DA706A"/>
    <w:rsid w:val="00DA72CF"/>
    <w:rsid w:val="00DA734D"/>
    <w:rsid w:val="00DA7727"/>
    <w:rsid w:val="00DA78D0"/>
    <w:rsid w:val="00DA7B02"/>
    <w:rsid w:val="00DA7D0F"/>
    <w:rsid w:val="00DB0281"/>
    <w:rsid w:val="00DB03D0"/>
    <w:rsid w:val="00DB0A6E"/>
    <w:rsid w:val="00DB0D6F"/>
    <w:rsid w:val="00DB1E42"/>
    <w:rsid w:val="00DB1FB2"/>
    <w:rsid w:val="00DB2616"/>
    <w:rsid w:val="00DB2AD8"/>
    <w:rsid w:val="00DB303C"/>
    <w:rsid w:val="00DB31D4"/>
    <w:rsid w:val="00DB34E0"/>
    <w:rsid w:val="00DB3E88"/>
    <w:rsid w:val="00DB4138"/>
    <w:rsid w:val="00DB4491"/>
    <w:rsid w:val="00DB4872"/>
    <w:rsid w:val="00DB49C5"/>
    <w:rsid w:val="00DB5001"/>
    <w:rsid w:val="00DB589E"/>
    <w:rsid w:val="00DB5CF4"/>
    <w:rsid w:val="00DB62A5"/>
    <w:rsid w:val="00DB62A6"/>
    <w:rsid w:val="00DB6606"/>
    <w:rsid w:val="00DB6D36"/>
    <w:rsid w:val="00DB7756"/>
    <w:rsid w:val="00DB7784"/>
    <w:rsid w:val="00DB7905"/>
    <w:rsid w:val="00DB7A2A"/>
    <w:rsid w:val="00DB7B75"/>
    <w:rsid w:val="00DC0325"/>
    <w:rsid w:val="00DC0A1C"/>
    <w:rsid w:val="00DC0BAB"/>
    <w:rsid w:val="00DC169C"/>
    <w:rsid w:val="00DC1922"/>
    <w:rsid w:val="00DC2AED"/>
    <w:rsid w:val="00DC3209"/>
    <w:rsid w:val="00DC3548"/>
    <w:rsid w:val="00DC3654"/>
    <w:rsid w:val="00DC3CEF"/>
    <w:rsid w:val="00DC40B0"/>
    <w:rsid w:val="00DC4A31"/>
    <w:rsid w:val="00DC4DEE"/>
    <w:rsid w:val="00DC4F31"/>
    <w:rsid w:val="00DC528E"/>
    <w:rsid w:val="00DC54AC"/>
    <w:rsid w:val="00DC5621"/>
    <w:rsid w:val="00DC5AF4"/>
    <w:rsid w:val="00DC6079"/>
    <w:rsid w:val="00DC6567"/>
    <w:rsid w:val="00DC692B"/>
    <w:rsid w:val="00DC6977"/>
    <w:rsid w:val="00DC6CD6"/>
    <w:rsid w:val="00DC6DAF"/>
    <w:rsid w:val="00DC6FFC"/>
    <w:rsid w:val="00DC715F"/>
    <w:rsid w:val="00DC7C84"/>
    <w:rsid w:val="00DD00E1"/>
    <w:rsid w:val="00DD0308"/>
    <w:rsid w:val="00DD05E0"/>
    <w:rsid w:val="00DD0BB7"/>
    <w:rsid w:val="00DD0D47"/>
    <w:rsid w:val="00DD0E63"/>
    <w:rsid w:val="00DD0EC4"/>
    <w:rsid w:val="00DD1075"/>
    <w:rsid w:val="00DD1586"/>
    <w:rsid w:val="00DD1F25"/>
    <w:rsid w:val="00DD258A"/>
    <w:rsid w:val="00DD25DF"/>
    <w:rsid w:val="00DD2ADC"/>
    <w:rsid w:val="00DD2C56"/>
    <w:rsid w:val="00DD2E4A"/>
    <w:rsid w:val="00DD2F38"/>
    <w:rsid w:val="00DD39C8"/>
    <w:rsid w:val="00DD3DE4"/>
    <w:rsid w:val="00DD4759"/>
    <w:rsid w:val="00DD4A3C"/>
    <w:rsid w:val="00DD4F3D"/>
    <w:rsid w:val="00DD521B"/>
    <w:rsid w:val="00DD5432"/>
    <w:rsid w:val="00DD5BBC"/>
    <w:rsid w:val="00DD60D4"/>
    <w:rsid w:val="00DD736C"/>
    <w:rsid w:val="00DD737D"/>
    <w:rsid w:val="00DD76FC"/>
    <w:rsid w:val="00DD7B4A"/>
    <w:rsid w:val="00DE0182"/>
    <w:rsid w:val="00DE1999"/>
    <w:rsid w:val="00DE1C00"/>
    <w:rsid w:val="00DE2353"/>
    <w:rsid w:val="00DE2665"/>
    <w:rsid w:val="00DE278C"/>
    <w:rsid w:val="00DE2CEC"/>
    <w:rsid w:val="00DE2D9A"/>
    <w:rsid w:val="00DE32DF"/>
    <w:rsid w:val="00DE3400"/>
    <w:rsid w:val="00DE3546"/>
    <w:rsid w:val="00DE3CE4"/>
    <w:rsid w:val="00DE3F26"/>
    <w:rsid w:val="00DE429F"/>
    <w:rsid w:val="00DE4733"/>
    <w:rsid w:val="00DE5249"/>
    <w:rsid w:val="00DE5A9C"/>
    <w:rsid w:val="00DE5F92"/>
    <w:rsid w:val="00DE620B"/>
    <w:rsid w:val="00DE66E1"/>
    <w:rsid w:val="00DE6CF2"/>
    <w:rsid w:val="00DE7276"/>
    <w:rsid w:val="00DF0A2B"/>
    <w:rsid w:val="00DF0C04"/>
    <w:rsid w:val="00DF0F6D"/>
    <w:rsid w:val="00DF13FD"/>
    <w:rsid w:val="00DF1D30"/>
    <w:rsid w:val="00DF1D9F"/>
    <w:rsid w:val="00DF20DE"/>
    <w:rsid w:val="00DF213A"/>
    <w:rsid w:val="00DF2ED7"/>
    <w:rsid w:val="00DF3311"/>
    <w:rsid w:val="00DF337F"/>
    <w:rsid w:val="00DF354A"/>
    <w:rsid w:val="00DF45BC"/>
    <w:rsid w:val="00DF4636"/>
    <w:rsid w:val="00DF4698"/>
    <w:rsid w:val="00DF478E"/>
    <w:rsid w:val="00DF4BB2"/>
    <w:rsid w:val="00DF4D7E"/>
    <w:rsid w:val="00DF4EE2"/>
    <w:rsid w:val="00DF5CB5"/>
    <w:rsid w:val="00DF5FFE"/>
    <w:rsid w:val="00DF6303"/>
    <w:rsid w:val="00DF65F7"/>
    <w:rsid w:val="00DF66AB"/>
    <w:rsid w:val="00DF6820"/>
    <w:rsid w:val="00DF6CDB"/>
    <w:rsid w:val="00DF6D56"/>
    <w:rsid w:val="00DF70D7"/>
    <w:rsid w:val="00DF7A17"/>
    <w:rsid w:val="00DF7AF3"/>
    <w:rsid w:val="00DF7E57"/>
    <w:rsid w:val="00DF7EDA"/>
    <w:rsid w:val="00E00515"/>
    <w:rsid w:val="00E011A8"/>
    <w:rsid w:val="00E01436"/>
    <w:rsid w:val="00E01975"/>
    <w:rsid w:val="00E01A8C"/>
    <w:rsid w:val="00E01B70"/>
    <w:rsid w:val="00E01BFC"/>
    <w:rsid w:val="00E01C05"/>
    <w:rsid w:val="00E02292"/>
    <w:rsid w:val="00E02581"/>
    <w:rsid w:val="00E028D3"/>
    <w:rsid w:val="00E02C39"/>
    <w:rsid w:val="00E02DA9"/>
    <w:rsid w:val="00E02FEA"/>
    <w:rsid w:val="00E036E9"/>
    <w:rsid w:val="00E03E72"/>
    <w:rsid w:val="00E03FD4"/>
    <w:rsid w:val="00E045BD"/>
    <w:rsid w:val="00E04F65"/>
    <w:rsid w:val="00E050A8"/>
    <w:rsid w:val="00E057FE"/>
    <w:rsid w:val="00E05A7B"/>
    <w:rsid w:val="00E05C1C"/>
    <w:rsid w:val="00E05C54"/>
    <w:rsid w:val="00E05DBB"/>
    <w:rsid w:val="00E060B7"/>
    <w:rsid w:val="00E06579"/>
    <w:rsid w:val="00E06777"/>
    <w:rsid w:val="00E071DD"/>
    <w:rsid w:val="00E07269"/>
    <w:rsid w:val="00E0794A"/>
    <w:rsid w:val="00E100F4"/>
    <w:rsid w:val="00E10B0C"/>
    <w:rsid w:val="00E10F47"/>
    <w:rsid w:val="00E10F6C"/>
    <w:rsid w:val="00E11274"/>
    <w:rsid w:val="00E11398"/>
    <w:rsid w:val="00E11AE8"/>
    <w:rsid w:val="00E11EA2"/>
    <w:rsid w:val="00E1218B"/>
    <w:rsid w:val="00E121DA"/>
    <w:rsid w:val="00E1277D"/>
    <w:rsid w:val="00E13113"/>
    <w:rsid w:val="00E13334"/>
    <w:rsid w:val="00E13ADC"/>
    <w:rsid w:val="00E13EE1"/>
    <w:rsid w:val="00E140D1"/>
    <w:rsid w:val="00E15621"/>
    <w:rsid w:val="00E15877"/>
    <w:rsid w:val="00E15A96"/>
    <w:rsid w:val="00E15C2D"/>
    <w:rsid w:val="00E16461"/>
    <w:rsid w:val="00E165BA"/>
    <w:rsid w:val="00E165EE"/>
    <w:rsid w:val="00E166BB"/>
    <w:rsid w:val="00E16E0D"/>
    <w:rsid w:val="00E16ED0"/>
    <w:rsid w:val="00E1720D"/>
    <w:rsid w:val="00E178EE"/>
    <w:rsid w:val="00E17925"/>
    <w:rsid w:val="00E17958"/>
    <w:rsid w:val="00E20191"/>
    <w:rsid w:val="00E20806"/>
    <w:rsid w:val="00E20956"/>
    <w:rsid w:val="00E2097B"/>
    <w:rsid w:val="00E20ED0"/>
    <w:rsid w:val="00E2123B"/>
    <w:rsid w:val="00E213AA"/>
    <w:rsid w:val="00E2156A"/>
    <w:rsid w:val="00E21795"/>
    <w:rsid w:val="00E22191"/>
    <w:rsid w:val="00E22241"/>
    <w:rsid w:val="00E227F3"/>
    <w:rsid w:val="00E228D3"/>
    <w:rsid w:val="00E22982"/>
    <w:rsid w:val="00E22B18"/>
    <w:rsid w:val="00E22D2E"/>
    <w:rsid w:val="00E22E47"/>
    <w:rsid w:val="00E22F48"/>
    <w:rsid w:val="00E22FB4"/>
    <w:rsid w:val="00E235E7"/>
    <w:rsid w:val="00E237F6"/>
    <w:rsid w:val="00E24428"/>
    <w:rsid w:val="00E24C65"/>
    <w:rsid w:val="00E24E03"/>
    <w:rsid w:val="00E24E3A"/>
    <w:rsid w:val="00E24EC0"/>
    <w:rsid w:val="00E250E8"/>
    <w:rsid w:val="00E25218"/>
    <w:rsid w:val="00E255E5"/>
    <w:rsid w:val="00E256B9"/>
    <w:rsid w:val="00E2585B"/>
    <w:rsid w:val="00E25F1C"/>
    <w:rsid w:val="00E25FD7"/>
    <w:rsid w:val="00E260EA"/>
    <w:rsid w:val="00E260FA"/>
    <w:rsid w:val="00E26148"/>
    <w:rsid w:val="00E2640D"/>
    <w:rsid w:val="00E266CD"/>
    <w:rsid w:val="00E26A5E"/>
    <w:rsid w:val="00E26F84"/>
    <w:rsid w:val="00E26F92"/>
    <w:rsid w:val="00E2721F"/>
    <w:rsid w:val="00E27BB7"/>
    <w:rsid w:val="00E30150"/>
    <w:rsid w:val="00E304FB"/>
    <w:rsid w:val="00E305DF"/>
    <w:rsid w:val="00E3064C"/>
    <w:rsid w:val="00E30936"/>
    <w:rsid w:val="00E30AE1"/>
    <w:rsid w:val="00E30CA9"/>
    <w:rsid w:val="00E30DD1"/>
    <w:rsid w:val="00E312D3"/>
    <w:rsid w:val="00E31B59"/>
    <w:rsid w:val="00E32A0A"/>
    <w:rsid w:val="00E32A4E"/>
    <w:rsid w:val="00E33904"/>
    <w:rsid w:val="00E33DBB"/>
    <w:rsid w:val="00E33EAE"/>
    <w:rsid w:val="00E33EDA"/>
    <w:rsid w:val="00E35513"/>
    <w:rsid w:val="00E35A54"/>
    <w:rsid w:val="00E35FF9"/>
    <w:rsid w:val="00E36334"/>
    <w:rsid w:val="00E36C08"/>
    <w:rsid w:val="00E370CD"/>
    <w:rsid w:val="00E37150"/>
    <w:rsid w:val="00E37BAB"/>
    <w:rsid w:val="00E40463"/>
    <w:rsid w:val="00E40574"/>
    <w:rsid w:val="00E408D7"/>
    <w:rsid w:val="00E40E27"/>
    <w:rsid w:val="00E40E7C"/>
    <w:rsid w:val="00E4128D"/>
    <w:rsid w:val="00E4136D"/>
    <w:rsid w:val="00E413B5"/>
    <w:rsid w:val="00E4142B"/>
    <w:rsid w:val="00E4153E"/>
    <w:rsid w:val="00E423B2"/>
    <w:rsid w:val="00E4376C"/>
    <w:rsid w:val="00E44071"/>
    <w:rsid w:val="00E44CBE"/>
    <w:rsid w:val="00E44E97"/>
    <w:rsid w:val="00E453A7"/>
    <w:rsid w:val="00E453B1"/>
    <w:rsid w:val="00E457C1"/>
    <w:rsid w:val="00E4595B"/>
    <w:rsid w:val="00E471B3"/>
    <w:rsid w:val="00E4754D"/>
    <w:rsid w:val="00E4784C"/>
    <w:rsid w:val="00E47A8A"/>
    <w:rsid w:val="00E50A99"/>
    <w:rsid w:val="00E51B44"/>
    <w:rsid w:val="00E51C8A"/>
    <w:rsid w:val="00E51E98"/>
    <w:rsid w:val="00E51F84"/>
    <w:rsid w:val="00E530EF"/>
    <w:rsid w:val="00E53AB6"/>
    <w:rsid w:val="00E54417"/>
    <w:rsid w:val="00E5464C"/>
    <w:rsid w:val="00E54B97"/>
    <w:rsid w:val="00E54C65"/>
    <w:rsid w:val="00E550DF"/>
    <w:rsid w:val="00E55200"/>
    <w:rsid w:val="00E552F6"/>
    <w:rsid w:val="00E5535D"/>
    <w:rsid w:val="00E5539D"/>
    <w:rsid w:val="00E556B0"/>
    <w:rsid w:val="00E557B2"/>
    <w:rsid w:val="00E55AF2"/>
    <w:rsid w:val="00E55CAA"/>
    <w:rsid w:val="00E55EA3"/>
    <w:rsid w:val="00E56614"/>
    <w:rsid w:val="00E57202"/>
    <w:rsid w:val="00E5751F"/>
    <w:rsid w:val="00E5753A"/>
    <w:rsid w:val="00E602DD"/>
    <w:rsid w:val="00E609F9"/>
    <w:rsid w:val="00E61222"/>
    <w:rsid w:val="00E61788"/>
    <w:rsid w:val="00E6181C"/>
    <w:rsid w:val="00E61C7F"/>
    <w:rsid w:val="00E629A8"/>
    <w:rsid w:val="00E62F4C"/>
    <w:rsid w:val="00E62FCE"/>
    <w:rsid w:val="00E6361F"/>
    <w:rsid w:val="00E63889"/>
    <w:rsid w:val="00E64461"/>
    <w:rsid w:val="00E65295"/>
    <w:rsid w:val="00E654CD"/>
    <w:rsid w:val="00E65642"/>
    <w:rsid w:val="00E65A60"/>
    <w:rsid w:val="00E65BFC"/>
    <w:rsid w:val="00E65DE0"/>
    <w:rsid w:val="00E661F4"/>
    <w:rsid w:val="00E66425"/>
    <w:rsid w:val="00E67921"/>
    <w:rsid w:val="00E67A81"/>
    <w:rsid w:val="00E67E88"/>
    <w:rsid w:val="00E705F2"/>
    <w:rsid w:val="00E71121"/>
    <w:rsid w:val="00E71329"/>
    <w:rsid w:val="00E71370"/>
    <w:rsid w:val="00E71989"/>
    <w:rsid w:val="00E71C2F"/>
    <w:rsid w:val="00E71E64"/>
    <w:rsid w:val="00E7293E"/>
    <w:rsid w:val="00E72B30"/>
    <w:rsid w:val="00E72C73"/>
    <w:rsid w:val="00E730E8"/>
    <w:rsid w:val="00E7331A"/>
    <w:rsid w:val="00E73BC3"/>
    <w:rsid w:val="00E74462"/>
    <w:rsid w:val="00E74541"/>
    <w:rsid w:val="00E74918"/>
    <w:rsid w:val="00E74E9C"/>
    <w:rsid w:val="00E76534"/>
    <w:rsid w:val="00E76A71"/>
    <w:rsid w:val="00E76F07"/>
    <w:rsid w:val="00E77367"/>
    <w:rsid w:val="00E7736B"/>
    <w:rsid w:val="00E77491"/>
    <w:rsid w:val="00E7783E"/>
    <w:rsid w:val="00E80742"/>
    <w:rsid w:val="00E8076A"/>
    <w:rsid w:val="00E80E38"/>
    <w:rsid w:val="00E81065"/>
    <w:rsid w:val="00E81080"/>
    <w:rsid w:val="00E8151B"/>
    <w:rsid w:val="00E81D41"/>
    <w:rsid w:val="00E81DE7"/>
    <w:rsid w:val="00E8306E"/>
    <w:rsid w:val="00E830E6"/>
    <w:rsid w:val="00E83392"/>
    <w:rsid w:val="00E8358C"/>
    <w:rsid w:val="00E83AB2"/>
    <w:rsid w:val="00E83AD9"/>
    <w:rsid w:val="00E842F3"/>
    <w:rsid w:val="00E84594"/>
    <w:rsid w:val="00E84708"/>
    <w:rsid w:val="00E84BDE"/>
    <w:rsid w:val="00E84D3F"/>
    <w:rsid w:val="00E851E6"/>
    <w:rsid w:val="00E85471"/>
    <w:rsid w:val="00E8579F"/>
    <w:rsid w:val="00E85A3C"/>
    <w:rsid w:val="00E85DF9"/>
    <w:rsid w:val="00E86904"/>
    <w:rsid w:val="00E86CCA"/>
    <w:rsid w:val="00E879D3"/>
    <w:rsid w:val="00E87FB4"/>
    <w:rsid w:val="00E901D0"/>
    <w:rsid w:val="00E90708"/>
    <w:rsid w:val="00E9070C"/>
    <w:rsid w:val="00E9085E"/>
    <w:rsid w:val="00E90D6E"/>
    <w:rsid w:val="00E912EE"/>
    <w:rsid w:val="00E914CD"/>
    <w:rsid w:val="00E915CC"/>
    <w:rsid w:val="00E91F68"/>
    <w:rsid w:val="00E91F7C"/>
    <w:rsid w:val="00E92949"/>
    <w:rsid w:val="00E92BAF"/>
    <w:rsid w:val="00E93270"/>
    <w:rsid w:val="00E94296"/>
    <w:rsid w:val="00E94607"/>
    <w:rsid w:val="00E9471D"/>
    <w:rsid w:val="00E94937"/>
    <w:rsid w:val="00E94C77"/>
    <w:rsid w:val="00E94DC9"/>
    <w:rsid w:val="00E94F57"/>
    <w:rsid w:val="00E94FDF"/>
    <w:rsid w:val="00E9500A"/>
    <w:rsid w:val="00E95855"/>
    <w:rsid w:val="00E95A0B"/>
    <w:rsid w:val="00E960CE"/>
    <w:rsid w:val="00E960FF"/>
    <w:rsid w:val="00E961CF"/>
    <w:rsid w:val="00E96CED"/>
    <w:rsid w:val="00E976F6"/>
    <w:rsid w:val="00E9774A"/>
    <w:rsid w:val="00E97C94"/>
    <w:rsid w:val="00E97E5A"/>
    <w:rsid w:val="00EA026C"/>
    <w:rsid w:val="00EA0471"/>
    <w:rsid w:val="00EA1D2F"/>
    <w:rsid w:val="00EA1F19"/>
    <w:rsid w:val="00EA2C5B"/>
    <w:rsid w:val="00EA32D8"/>
    <w:rsid w:val="00EA33C2"/>
    <w:rsid w:val="00EA351D"/>
    <w:rsid w:val="00EA3EBC"/>
    <w:rsid w:val="00EA4176"/>
    <w:rsid w:val="00EA4258"/>
    <w:rsid w:val="00EA5058"/>
    <w:rsid w:val="00EA5338"/>
    <w:rsid w:val="00EA5509"/>
    <w:rsid w:val="00EA567F"/>
    <w:rsid w:val="00EA67CA"/>
    <w:rsid w:val="00EB01A5"/>
    <w:rsid w:val="00EB01EE"/>
    <w:rsid w:val="00EB02CD"/>
    <w:rsid w:val="00EB0AA1"/>
    <w:rsid w:val="00EB0B79"/>
    <w:rsid w:val="00EB16FA"/>
    <w:rsid w:val="00EB1B40"/>
    <w:rsid w:val="00EB1E5B"/>
    <w:rsid w:val="00EB1F2D"/>
    <w:rsid w:val="00EB2223"/>
    <w:rsid w:val="00EB22EF"/>
    <w:rsid w:val="00EB234D"/>
    <w:rsid w:val="00EB2676"/>
    <w:rsid w:val="00EB2C53"/>
    <w:rsid w:val="00EB2F62"/>
    <w:rsid w:val="00EB3835"/>
    <w:rsid w:val="00EB4476"/>
    <w:rsid w:val="00EB4856"/>
    <w:rsid w:val="00EB4C66"/>
    <w:rsid w:val="00EB4E0E"/>
    <w:rsid w:val="00EB52C2"/>
    <w:rsid w:val="00EB54AC"/>
    <w:rsid w:val="00EB5A3F"/>
    <w:rsid w:val="00EB5DDE"/>
    <w:rsid w:val="00EB637D"/>
    <w:rsid w:val="00EB6AEA"/>
    <w:rsid w:val="00EB6B22"/>
    <w:rsid w:val="00EB7452"/>
    <w:rsid w:val="00EB74F7"/>
    <w:rsid w:val="00EB7501"/>
    <w:rsid w:val="00EB7B7A"/>
    <w:rsid w:val="00EC015C"/>
    <w:rsid w:val="00EC0796"/>
    <w:rsid w:val="00EC0D2B"/>
    <w:rsid w:val="00EC0FB3"/>
    <w:rsid w:val="00EC102D"/>
    <w:rsid w:val="00EC1C5B"/>
    <w:rsid w:val="00EC1E78"/>
    <w:rsid w:val="00EC2279"/>
    <w:rsid w:val="00EC27C5"/>
    <w:rsid w:val="00EC3C9E"/>
    <w:rsid w:val="00EC3E18"/>
    <w:rsid w:val="00EC3E1E"/>
    <w:rsid w:val="00EC3E2C"/>
    <w:rsid w:val="00EC43D3"/>
    <w:rsid w:val="00EC4891"/>
    <w:rsid w:val="00EC4B44"/>
    <w:rsid w:val="00EC4D1F"/>
    <w:rsid w:val="00EC6673"/>
    <w:rsid w:val="00EC6B24"/>
    <w:rsid w:val="00EC74D4"/>
    <w:rsid w:val="00EC7AE9"/>
    <w:rsid w:val="00EC7E81"/>
    <w:rsid w:val="00ED0702"/>
    <w:rsid w:val="00ED0904"/>
    <w:rsid w:val="00ED0E0F"/>
    <w:rsid w:val="00ED129E"/>
    <w:rsid w:val="00ED13EF"/>
    <w:rsid w:val="00ED1B04"/>
    <w:rsid w:val="00ED27C3"/>
    <w:rsid w:val="00ED28FF"/>
    <w:rsid w:val="00ED2961"/>
    <w:rsid w:val="00ED2E1B"/>
    <w:rsid w:val="00ED3496"/>
    <w:rsid w:val="00ED3D22"/>
    <w:rsid w:val="00ED417D"/>
    <w:rsid w:val="00ED4790"/>
    <w:rsid w:val="00ED5087"/>
    <w:rsid w:val="00ED522B"/>
    <w:rsid w:val="00ED530D"/>
    <w:rsid w:val="00ED544C"/>
    <w:rsid w:val="00ED59B1"/>
    <w:rsid w:val="00ED63FE"/>
    <w:rsid w:val="00ED66B3"/>
    <w:rsid w:val="00ED68FC"/>
    <w:rsid w:val="00ED6BC5"/>
    <w:rsid w:val="00ED6DA3"/>
    <w:rsid w:val="00ED73B9"/>
    <w:rsid w:val="00ED7595"/>
    <w:rsid w:val="00ED75D2"/>
    <w:rsid w:val="00ED7620"/>
    <w:rsid w:val="00ED77C7"/>
    <w:rsid w:val="00ED784D"/>
    <w:rsid w:val="00ED7E7C"/>
    <w:rsid w:val="00ED7EBC"/>
    <w:rsid w:val="00EE00E1"/>
    <w:rsid w:val="00EE0B2F"/>
    <w:rsid w:val="00EE0F8D"/>
    <w:rsid w:val="00EE136C"/>
    <w:rsid w:val="00EE1886"/>
    <w:rsid w:val="00EE1907"/>
    <w:rsid w:val="00EE1D05"/>
    <w:rsid w:val="00EE20E9"/>
    <w:rsid w:val="00EE2CBE"/>
    <w:rsid w:val="00EE2CDA"/>
    <w:rsid w:val="00EE37A6"/>
    <w:rsid w:val="00EE3F5B"/>
    <w:rsid w:val="00EE509E"/>
    <w:rsid w:val="00EE5C92"/>
    <w:rsid w:val="00EE5E3D"/>
    <w:rsid w:val="00EE6309"/>
    <w:rsid w:val="00EE6D1B"/>
    <w:rsid w:val="00EE6DE6"/>
    <w:rsid w:val="00EE72DA"/>
    <w:rsid w:val="00EE76F6"/>
    <w:rsid w:val="00EE78F9"/>
    <w:rsid w:val="00EE7B04"/>
    <w:rsid w:val="00EE7DCA"/>
    <w:rsid w:val="00EE7E16"/>
    <w:rsid w:val="00EF1170"/>
    <w:rsid w:val="00EF1741"/>
    <w:rsid w:val="00EF19FC"/>
    <w:rsid w:val="00EF1ED2"/>
    <w:rsid w:val="00EF322D"/>
    <w:rsid w:val="00EF3A83"/>
    <w:rsid w:val="00EF3AAD"/>
    <w:rsid w:val="00EF3C53"/>
    <w:rsid w:val="00EF456F"/>
    <w:rsid w:val="00EF4608"/>
    <w:rsid w:val="00EF5FBE"/>
    <w:rsid w:val="00EF70F4"/>
    <w:rsid w:val="00EF7615"/>
    <w:rsid w:val="00EF7924"/>
    <w:rsid w:val="00EF7EEB"/>
    <w:rsid w:val="00F00139"/>
    <w:rsid w:val="00F0025F"/>
    <w:rsid w:val="00F003C5"/>
    <w:rsid w:val="00F0070C"/>
    <w:rsid w:val="00F012F4"/>
    <w:rsid w:val="00F0170D"/>
    <w:rsid w:val="00F02A0C"/>
    <w:rsid w:val="00F02BC1"/>
    <w:rsid w:val="00F03119"/>
    <w:rsid w:val="00F033BB"/>
    <w:rsid w:val="00F0348C"/>
    <w:rsid w:val="00F03DCF"/>
    <w:rsid w:val="00F03FEC"/>
    <w:rsid w:val="00F047DD"/>
    <w:rsid w:val="00F04A7C"/>
    <w:rsid w:val="00F04D10"/>
    <w:rsid w:val="00F04F1F"/>
    <w:rsid w:val="00F05C4A"/>
    <w:rsid w:val="00F06066"/>
    <w:rsid w:val="00F06AE0"/>
    <w:rsid w:val="00F07021"/>
    <w:rsid w:val="00F07036"/>
    <w:rsid w:val="00F079D2"/>
    <w:rsid w:val="00F07C4F"/>
    <w:rsid w:val="00F10144"/>
    <w:rsid w:val="00F1017B"/>
    <w:rsid w:val="00F10A43"/>
    <w:rsid w:val="00F10BB0"/>
    <w:rsid w:val="00F111E6"/>
    <w:rsid w:val="00F11A05"/>
    <w:rsid w:val="00F11F2D"/>
    <w:rsid w:val="00F120A8"/>
    <w:rsid w:val="00F12607"/>
    <w:rsid w:val="00F1275A"/>
    <w:rsid w:val="00F127C8"/>
    <w:rsid w:val="00F129F3"/>
    <w:rsid w:val="00F12AED"/>
    <w:rsid w:val="00F13705"/>
    <w:rsid w:val="00F138F2"/>
    <w:rsid w:val="00F13A51"/>
    <w:rsid w:val="00F144D6"/>
    <w:rsid w:val="00F14DF2"/>
    <w:rsid w:val="00F14E9B"/>
    <w:rsid w:val="00F151F5"/>
    <w:rsid w:val="00F1532F"/>
    <w:rsid w:val="00F153E4"/>
    <w:rsid w:val="00F16167"/>
    <w:rsid w:val="00F161C4"/>
    <w:rsid w:val="00F1631A"/>
    <w:rsid w:val="00F1644F"/>
    <w:rsid w:val="00F168A7"/>
    <w:rsid w:val="00F1694B"/>
    <w:rsid w:val="00F16DB6"/>
    <w:rsid w:val="00F17122"/>
    <w:rsid w:val="00F17274"/>
    <w:rsid w:val="00F17410"/>
    <w:rsid w:val="00F179D0"/>
    <w:rsid w:val="00F179E1"/>
    <w:rsid w:val="00F17D12"/>
    <w:rsid w:val="00F203B8"/>
    <w:rsid w:val="00F209A8"/>
    <w:rsid w:val="00F20AE8"/>
    <w:rsid w:val="00F20FE4"/>
    <w:rsid w:val="00F210F3"/>
    <w:rsid w:val="00F212E0"/>
    <w:rsid w:val="00F213A0"/>
    <w:rsid w:val="00F21434"/>
    <w:rsid w:val="00F21ACB"/>
    <w:rsid w:val="00F22B0A"/>
    <w:rsid w:val="00F2318E"/>
    <w:rsid w:val="00F23FAD"/>
    <w:rsid w:val="00F25BCA"/>
    <w:rsid w:val="00F25D19"/>
    <w:rsid w:val="00F25D3E"/>
    <w:rsid w:val="00F26151"/>
    <w:rsid w:val="00F261FF"/>
    <w:rsid w:val="00F26C12"/>
    <w:rsid w:val="00F26D40"/>
    <w:rsid w:val="00F26DE5"/>
    <w:rsid w:val="00F26E9B"/>
    <w:rsid w:val="00F26FC5"/>
    <w:rsid w:val="00F27428"/>
    <w:rsid w:val="00F276CF"/>
    <w:rsid w:val="00F27F5B"/>
    <w:rsid w:val="00F30057"/>
    <w:rsid w:val="00F30113"/>
    <w:rsid w:val="00F303FC"/>
    <w:rsid w:val="00F305D4"/>
    <w:rsid w:val="00F318EA"/>
    <w:rsid w:val="00F31B64"/>
    <w:rsid w:val="00F31CE2"/>
    <w:rsid w:val="00F321DB"/>
    <w:rsid w:val="00F32B74"/>
    <w:rsid w:val="00F32C1A"/>
    <w:rsid w:val="00F33119"/>
    <w:rsid w:val="00F3323B"/>
    <w:rsid w:val="00F3365C"/>
    <w:rsid w:val="00F33C62"/>
    <w:rsid w:val="00F34491"/>
    <w:rsid w:val="00F3458D"/>
    <w:rsid w:val="00F34A79"/>
    <w:rsid w:val="00F34C74"/>
    <w:rsid w:val="00F35253"/>
    <w:rsid w:val="00F35303"/>
    <w:rsid w:val="00F35627"/>
    <w:rsid w:val="00F35659"/>
    <w:rsid w:val="00F35AAA"/>
    <w:rsid w:val="00F35BFE"/>
    <w:rsid w:val="00F35F9D"/>
    <w:rsid w:val="00F3615E"/>
    <w:rsid w:val="00F361C5"/>
    <w:rsid w:val="00F3669D"/>
    <w:rsid w:val="00F3767A"/>
    <w:rsid w:val="00F3779C"/>
    <w:rsid w:val="00F414C8"/>
    <w:rsid w:val="00F41ACC"/>
    <w:rsid w:val="00F41AFB"/>
    <w:rsid w:val="00F428C8"/>
    <w:rsid w:val="00F431B3"/>
    <w:rsid w:val="00F433B8"/>
    <w:rsid w:val="00F4391C"/>
    <w:rsid w:val="00F43D5C"/>
    <w:rsid w:val="00F43F55"/>
    <w:rsid w:val="00F445E2"/>
    <w:rsid w:val="00F4550F"/>
    <w:rsid w:val="00F45E60"/>
    <w:rsid w:val="00F46106"/>
    <w:rsid w:val="00F4625A"/>
    <w:rsid w:val="00F4643C"/>
    <w:rsid w:val="00F469C2"/>
    <w:rsid w:val="00F46FBB"/>
    <w:rsid w:val="00F4710B"/>
    <w:rsid w:val="00F477C9"/>
    <w:rsid w:val="00F47958"/>
    <w:rsid w:val="00F47A7F"/>
    <w:rsid w:val="00F47CE9"/>
    <w:rsid w:val="00F502FD"/>
    <w:rsid w:val="00F503A7"/>
    <w:rsid w:val="00F50673"/>
    <w:rsid w:val="00F508D8"/>
    <w:rsid w:val="00F50B1C"/>
    <w:rsid w:val="00F51164"/>
    <w:rsid w:val="00F51A53"/>
    <w:rsid w:val="00F51EB3"/>
    <w:rsid w:val="00F51F90"/>
    <w:rsid w:val="00F52141"/>
    <w:rsid w:val="00F52185"/>
    <w:rsid w:val="00F52A6D"/>
    <w:rsid w:val="00F5327D"/>
    <w:rsid w:val="00F53CA9"/>
    <w:rsid w:val="00F53E30"/>
    <w:rsid w:val="00F5481D"/>
    <w:rsid w:val="00F55101"/>
    <w:rsid w:val="00F553A0"/>
    <w:rsid w:val="00F55AA1"/>
    <w:rsid w:val="00F55BFE"/>
    <w:rsid w:val="00F56762"/>
    <w:rsid w:val="00F567D8"/>
    <w:rsid w:val="00F56933"/>
    <w:rsid w:val="00F56CA6"/>
    <w:rsid w:val="00F571DE"/>
    <w:rsid w:val="00F57629"/>
    <w:rsid w:val="00F57C0E"/>
    <w:rsid w:val="00F60058"/>
    <w:rsid w:val="00F603B8"/>
    <w:rsid w:val="00F6054C"/>
    <w:rsid w:val="00F6089D"/>
    <w:rsid w:val="00F60977"/>
    <w:rsid w:val="00F6124D"/>
    <w:rsid w:val="00F6168E"/>
    <w:rsid w:val="00F617DE"/>
    <w:rsid w:val="00F618E5"/>
    <w:rsid w:val="00F61919"/>
    <w:rsid w:val="00F619D8"/>
    <w:rsid w:val="00F6211D"/>
    <w:rsid w:val="00F62A9A"/>
    <w:rsid w:val="00F62B9B"/>
    <w:rsid w:val="00F62EE2"/>
    <w:rsid w:val="00F630B7"/>
    <w:rsid w:val="00F63489"/>
    <w:rsid w:val="00F634CF"/>
    <w:rsid w:val="00F642BC"/>
    <w:rsid w:val="00F64DD1"/>
    <w:rsid w:val="00F65225"/>
    <w:rsid w:val="00F657DB"/>
    <w:rsid w:val="00F6628C"/>
    <w:rsid w:val="00F6655F"/>
    <w:rsid w:val="00F6669B"/>
    <w:rsid w:val="00F67000"/>
    <w:rsid w:val="00F67B51"/>
    <w:rsid w:val="00F67E92"/>
    <w:rsid w:val="00F70A2B"/>
    <w:rsid w:val="00F70BE3"/>
    <w:rsid w:val="00F70E87"/>
    <w:rsid w:val="00F70E9B"/>
    <w:rsid w:val="00F71204"/>
    <w:rsid w:val="00F71894"/>
    <w:rsid w:val="00F71D0E"/>
    <w:rsid w:val="00F72781"/>
    <w:rsid w:val="00F72FF5"/>
    <w:rsid w:val="00F7309C"/>
    <w:rsid w:val="00F73759"/>
    <w:rsid w:val="00F73B87"/>
    <w:rsid w:val="00F74280"/>
    <w:rsid w:val="00F74599"/>
    <w:rsid w:val="00F74B29"/>
    <w:rsid w:val="00F74D16"/>
    <w:rsid w:val="00F74F0B"/>
    <w:rsid w:val="00F74F68"/>
    <w:rsid w:val="00F75032"/>
    <w:rsid w:val="00F75744"/>
    <w:rsid w:val="00F757E7"/>
    <w:rsid w:val="00F758FB"/>
    <w:rsid w:val="00F75D53"/>
    <w:rsid w:val="00F7602D"/>
    <w:rsid w:val="00F761EF"/>
    <w:rsid w:val="00F76330"/>
    <w:rsid w:val="00F766E0"/>
    <w:rsid w:val="00F76C27"/>
    <w:rsid w:val="00F77564"/>
    <w:rsid w:val="00F80109"/>
    <w:rsid w:val="00F80141"/>
    <w:rsid w:val="00F80D60"/>
    <w:rsid w:val="00F811F8"/>
    <w:rsid w:val="00F81CA2"/>
    <w:rsid w:val="00F81DE4"/>
    <w:rsid w:val="00F81E1F"/>
    <w:rsid w:val="00F82813"/>
    <w:rsid w:val="00F82A61"/>
    <w:rsid w:val="00F82ABB"/>
    <w:rsid w:val="00F84930"/>
    <w:rsid w:val="00F84B1F"/>
    <w:rsid w:val="00F84BC5"/>
    <w:rsid w:val="00F8534E"/>
    <w:rsid w:val="00F85445"/>
    <w:rsid w:val="00F85DC9"/>
    <w:rsid w:val="00F86233"/>
    <w:rsid w:val="00F86368"/>
    <w:rsid w:val="00F86B2D"/>
    <w:rsid w:val="00F86D23"/>
    <w:rsid w:val="00F8734F"/>
    <w:rsid w:val="00F87875"/>
    <w:rsid w:val="00F87B63"/>
    <w:rsid w:val="00F9065E"/>
    <w:rsid w:val="00F9094E"/>
    <w:rsid w:val="00F90EC1"/>
    <w:rsid w:val="00F90FCB"/>
    <w:rsid w:val="00F910BB"/>
    <w:rsid w:val="00F914BD"/>
    <w:rsid w:val="00F91529"/>
    <w:rsid w:val="00F915F2"/>
    <w:rsid w:val="00F9172C"/>
    <w:rsid w:val="00F91A35"/>
    <w:rsid w:val="00F91F04"/>
    <w:rsid w:val="00F92504"/>
    <w:rsid w:val="00F928F4"/>
    <w:rsid w:val="00F92B78"/>
    <w:rsid w:val="00F92DBE"/>
    <w:rsid w:val="00F93430"/>
    <w:rsid w:val="00F93A6D"/>
    <w:rsid w:val="00F93B1B"/>
    <w:rsid w:val="00F93E01"/>
    <w:rsid w:val="00F9415F"/>
    <w:rsid w:val="00F946B7"/>
    <w:rsid w:val="00F94A12"/>
    <w:rsid w:val="00F94AAB"/>
    <w:rsid w:val="00F94E5B"/>
    <w:rsid w:val="00F94ED5"/>
    <w:rsid w:val="00F953DC"/>
    <w:rsid w:val="00F95705"/>
    <w:rsid w:val="00F96148"/>
    <w:rsid w:val="00F964B6"/>
    <w:rsid w:val="00F96591"/>
    <w:rsid w:val="00F96663"/>
    <w:rsid w:val="00F96A55"/>
    <w:rsid w:val="00F96E6C"/>
    <w:rsid w:val="00F96F01"/>
    <w:rsid w:val="00F97185"/>
    <w:rsid w:val="00FA020E"/>
    <w:rsid w:val="00FA0331"/>
    <w:rsid w:val="00FA042A"/>
    <w:rsid w:val="00FA05C3"/>
    <w:rsid w:val="00FA0999"/>
    <w:rsid w:val="00FA09FE"/>
    <w:rsid w:val="00FA19EB"/>
    <w:rsid w:val="00FA19EE"/>
    <w:rsid w:val="00FA1BD0"/>
    <w:rsid w:val="00FA1E8A"/>
    <w:rsid w:val="00FA21CA"/>
    <w:rsid w:val="00FA244A"/>
    <w:rsid w:val="00FA2DFD"/>
    <w:rsid w:val="00FA2EE2"/>
    <w:rsid w:val="00FA3033"/>
    <w:rsid w:val="00FA3261"/>
    <w:rsid w:val="00FA35A4"/>
    <w:rsid w:val="00FA40DA"/>
    <w:rsid w:val="00FA4223"/>
    <w:rsid w:val="00FA485C"/>
    <w:rsid w:val="00FA48B4"/>
    <w:rsid w:val="00FA5EA1"/>
    <w:rsid w:val="00FA6B3B"/>
    <w:rsid w:val="00FA7892"/>
    <w:rsid w:val="00FA7FEB"/>
    <w:rsid w:val="00FB0CE7"/>
    <w:rsid w:val="00FB0F4D"/>
    <w:rsid w:val="00FB1034"/>
    <w:rsid w:val="00FB14E5"/>
    <w:rsid w:val="00FB1647"/>
    <w:rsid w:val="00FB1C16"/>
    <w:rsid w:val="00FB246E"/>
    <w:rsid w:val="00FB2A40"/>
    <w:rsid w:val="00FB2B22"/>
    <w:rsid w:val="00FB415E"/>
    <w:rsid w:val="00FB4719"/>
    <w:rsid w:val="00FB49B4"/>
    <w:rsid w:val="00FB517E"/>
    <w:rsid w:val="00FB5704"/>
    <w:rsid w:val="00FB581F"/>
    <w:rsid w:val="00FB60E4"/>
    <w:rsid w:val="00FB6580"/>
    <w:rsid w:val="00FB6749"/>
    <w:rsid w:val="00FB6A72"/>
    <w:rsid w:val="00FB6BA8"/>
    <w:rsid w:val="00FB6E04"/>
    <w:rsid w:val="00FB71AB"/>
    <w:rsid w:val="00FB71C1"/>
    <w:rsid w:val="00FB7348"/>
    <w:rsid w:val="00FB739F"/>
    <w:rsid w:val="00FC033D"/>
    <w:rsid w:val="00FC07B8"/>
    <w:rsid w:val="00FC08F0"/>
    <w:rsid w:val="00FC0CBE"/>
    <w:rsid w:val="00FC0CF6"/>
    <w:rsid w:val="00FC0FAD"/>
    <w:rsid w:val="00FC1AE0"/>
    <w:rsid w:val="00FC1D98"/>
    <w:rsid w:val="00FC1E72"/>
    <w:rsid w:val="00FC1FAC"/>
    <w:rsid w:val="00FC3FE0"/>
    <w:rsid w:val="00FC4251"/>
    <w:rsid w:val="00FC4557"/>
    <w:rsid w:val="00FC45BA"/>
    <w:rsid w:val="00FC46F1"/>
    <w:rsid w:val="00FC5328"/>
    <w:rsid w:val="00FC5583"/>
    <w:rsid w:val="00FC5A6F"/>
    <w:rsid w:val="00FC5AA1"/>
    <w:rsid w:val="00FC5B85"/>
    <w:rsid w:val="00FC6C16"/>
    <w:rsid w:val="00FC6C1E"/>
    <w:rsid w:val="00FC6CD3"/>
    <w:rsid w:val="00FC6D57"/>
    <w:rsid w:val="00FC7836"/>
    <w:rsid w:val="00FC7EC4"/>
    <w:rsid w:val="00FD0982"/>
    <w:rsid w:val="00FD0A94"/>
    <w:rsid w:val="00FD0F4E"/>
    <w:rsid w:val="00FD1450"/>
    <w:rsid w:val="00FD147F"/>
    <w:rsid w:val="00FD1912"/>
    <w:rsid w:val="00FD20F7"/>
    <w:rsid w:val="00FD28F9"/>
    <w:rsid w:val="00FD2ADA"/>
    <w:rsid w:val="00FD30FB"/>
    <w:rsid w:val="00FD33A4"/>
    <w:rsid w:val="00FD36C7"/>
    <w:rsid w:val="00FD3A38"/>
    <w:rsid w:val="00FD3B99"/>
    <w:rsid w:val="00FD3C42"/>
    <w:rsid w:val="00FD4E2B"/>
    <w:rsid w:val="00FD5974"/>
    <w:rsid w:val="00FD60FD"/>
    <w:rsid w:val="00FD620B"/>
    <w:rsid w:val="00FD6213"/>
    <w:rsid w:val="00FD6403"/>
    <w:rsid w:val="00FD6435"/>
    <w:rsid w:val="00FD6548"/>
    <w:rsid w:val="00FD69AE"/>
    <w:rsid w:val="00FD6D0C"/>
    <w:rsid w:val="00FD797E"/>
    <w:rsid w:val="00FD7AB3"/>
    <w:rsid w:val="00FD7CB8"/>
    <w:rsid w:val="00FD7E27"/>
    <w:rsid w:val="00FE02DB"/>
    <w:rsid w:val="00FE02F8"/>
    <w:rsid w:val="00FE04D6"/>
    <w:rsid w:val="00FE0BAC"/>
    <w:rsid w:val="00FE135A"/>
    <w:rsid w:val="00FE1443"/>
    <w:rsid w:val="00FE15A0"/>
    <w:rsid w:val="00FE1A02"/>
    <w:rsid w:val="00FE1B36"/>
    <w:rsid w:val="00FE224A"/>
    <w:rsid w:val="00FE22F8"/>
    <w:rsid w:val="00FE2580"/>
    <w:rsid w:val="00FE2D89"/>
    <w:rsid w:val="00FE31F6"/>
    <w:rsid w:val="00FE3798"/>
    <w:rsid w:val="00FE380C"/>
    <w:rsid w:val="00FE3D97"/>
    <w:rsid w:val="00FE4A8B"/>
    <w:rsid w:val="00FE4CF0"/>
    <w:rsid w:val="00FE59BB"/>
    <w:rsid w:val="00FE5C5E"/>
    <w:rsid w:val="00FE5D59"/>
    <w:rsid w:val="00FE5F42"/>
    <w:rsid w:val="00FE631F"/>
    <w:rsid w:val="00FE695E"/>
    <w:rsid w:val="00FE6A8F"/>
    <w:rsid w:val="00FE6A9F"/>
    <w:rsid w:val="00FE6BB5"/>
    <w:rsid w:val="00FF1644"/>
    <w:rsid w:val="00FF25A7"/>
    <w:rsid w:val="00FF2888"/>
    <w:rsid w:val="00FF2953"/>
    <w:rsid w:val="00FF2EA3"/>
    <w:rsid w:val="00FF2EC7"/>
    <w:rsid w:val="00FF385C"/>
    <w:rsid w:val="00FF414C"/>
    <w:rsid w:val="00FF4764"/>
    <w:rsid w:val="00FF4CCA"/>
    <w:rsid w:val="00FF50FD"/>
    <w:rsid w:val="00FF5504"/>
    <w:rsid w:val="00FF5E00"/>
    <w:rsid w:val="00FF5E10"/>
    <w:rsid w:val="00FF6DB6"/>
    <w:rsid w:val="00FF6FDB"/>
    <w:rsid w:val="00FF73A1"/>
    <w:rsid w:val="00FF7F24"/>
    <w:rsid w:val="01252BB5"/>
    <w:rsid w:val="016043AA"/>
    <w:rsid w:val="02175523"/>
    <w:rsid w:val="0263715A"/>
    <w:rsid w:val="02746D61"/>
    <w:rsid w:val="02931780"/>
    <w:rsid w:val="02A227FC"/>
    <w:rsid w:val="02B26B56"/>
    <w:rsid w:val="02C1270F"/>
    <w:rsid w:val="02C74013"/>
    <w:rsid w:val="02E35293"/>
    <w:rsid w:val="031F3DF1"/>
    <w:rsid w:val="039D1C6B"/>
    <w:rsid w:val="03CA1FAF"/>
    <w:rsid w:val="03D66BA6"/>
    <w:rsid w:val="03FB2544"/>
    <w:rsid w:val="04117BDE"/>
    <w:rsid w:val="045126D0"/>
    <w:rsid w:val="045330F4"/>
    <w:rsid w:val="0467259A"/>
    <w:rsid w:val="04DA0918"/>
    <w:rsid w:val="05147E7B"/>
    <w:rsid w:val="051A0D14"/>
    <w:rsid w:val="057C552B"/>
    <w:rsid w:val="05A21435"/>
    <w:rsid w:val="05D1582D"/>
    <w:rsid w:val="062D36C9"/>
    <w:rsid w:val="06652463"/>
    <w:rsid w:val="06BF7DC5"/>
    <w:rsid w:val="07711AE5"/>
    <w:rsid w:val="078C5300"/>
    <w:rsid w:val="07AF1BE8"/>
    <w:rsid w:val="07D712CC"/>
    <w:rsid w:val="07DE24CD"/>
    <w:rsid w:val="07F25F78"/>
    <w:rsid w:val="0803567E"/>
    <w:rsid w:val="080D08F2"/>
    <w:rsid w:val="08373D17"/>
    <w:rsid w:val="08585DDB"/>
    <w:rsid w:val="08D31906"/>
    <w:rsid w:val="08E2367C"/>
    <w:rsid w:val="08EC29C7"/>
    <w:rsid w:val="092C0E55"/>
    <w:rsid w:val="09371C39"/>
    <w:rsid w:val="099B57EC"/>
    <w:rsid w:val="09C35E1E"/>
    <w:rsid w:val="09DE547F"/>
    <w:rsid w:val="09E0252C"/>
    <w:rsid w:val="0A3B4564"/>
    <w:rsid w:val="0A62356F"/>
    <w:rsid w:val="0A7B2255"/>
    <w:rsid w:val="0A8C2B31"/>
    <w:rsid w:val="0A8E3074"/>
    <w:rsid w:val="0A9327ED"/>
    <w:rsid w:val="0AA30366"/>
    <w:rsid w:val="0AA90B70"/>
    <w:rsid w:val="0AC2586B"/>
    <w:rsid w:val="0AD0519B"/>
    <w:rsid w:val="0ADA6B44"/>
    <w:rsid w:val="0AEA1189"/>
    <w:rsid w:val="0AF538A1"/>
    <w:rsid w:val="0B562B80"/>
    <w:rsid w:val="0B9F01C5"/>
    <w:rsid w:val="0C4274CE"/>
    <w:rsid w:val="0CC7731D"/>
    <w:rsid w:val="0D0C3638"/>
    <w:rsid w:val="0D2E7A52"/>
    <w:rsid w:val="0D5116CB"/>
    <w:rsid w:val="0D984DF0"/>
    <w:rsid w:val="0D9A187B"/>
    <w:rsid w:val="0DCB52A1"/>
    <w:rsid w:val="0E7414C9"/>
    <w:rsid w:val="0E7B740C"/>
    <w:rsid w:val="0EE03D9B"/>
    <w:rsid w:val="0F380715"/>
    <w:rsid w:val="0F7D25CB"/>
    <w:rsid w:val="0F977B31"/>
    <w:rsid w:val="0FCD6BA8"/>
    <w:rsid w:val="0FD05800"/>
    <w:rsid w:val="0FEA45E5"/>
    <w:rsid w:val="0FF419B0"/>
    <w:rsid w:val="10A004C7"/>
    <w:rsid w:val="10B32CD5"/>
    <w:rsid w:val="113E2A21"/>
    <w:rsid w:val="11450C6D"/>
    <w:rsid w:val="117A1FBD"/>
    <w:rsid w:val="11A14B86"/>
    <w:rsid w:val="11B4024C"/>
    <w:rsid w:val="12105979"/>
    <w:rsid w:val="127777A6"/>
    <w:rsid w:val="12B21A3F"/>
    <w:rsid w:val="12E11476"/>
    <w:rsid w:val="12FD7B08"/>
    <w:rsid w:val="13C9560B"/>
    <w:rsid w:val="13CA5776"/>
    <w:rsid w:val="13E56991"/>
    <w:rsid w:val="14065285"/>
    <w:rsid w:val="142B42E4"/>
    <w:rsid w:val="14301957"/>
    <w:rsid w:val="14387DD7"/>
    <w:rsid w:val="1451781E"/>
    <w:rsid w:val="14575AE1"/>
    <w:rsid w:val="15151F29"/>
    <w:rsid w:val="151D7A77"/>
    <w:rsid w:val="15411A3E"/>
    <w:rsid w:val="15645886"/>
    <w:rsid w:val="15FB4D0A"/>
    <w:rsid w:val="16082907"/>
    <w:rsid w:val="160A2539"/>
    <w:rsid w:val="161B48EC"/>
    <w:rsid w:val="1680730C"/>
    <w:rsid w:val="177D359D"/>
    <w:rsid w:val="17952F0C"/>
    <w:rsid w:val="18441ED8"/>
    <w:rsid w:val="18700F1F"/>
    <w:rsid w:val="187F6CC4"/>
    <w:rsid w:val="19483C4A"/>
    <w:rsid w:val="19831E6C"/>
    <w:rsid w:val="19D9027D"/>
    <w:rsid w:val="19F13A9E"/>
    <w:rsid w:val="1A231FC1"/>
    <w:rsid w:val="1A491A28"/>
    <w:rsid w:val="1A8E2A10"/>
    <w:rsid w:val="1AC302CE"/>
    <w:rsid w:val="1AC37E3B"/>
    <w:rsid w:val="1AC61687"/>
    <w:rsid w:val="1B132036"/>
    <w:rsid w:val="1B507B0C"/>
    <w:rsid w:val="1B7A6DB4"/>
    <w:rsid w:val="1BBF2B36"/>
    <w:rsid w:val="1BC22817"/>
    <w:rsid w:val="1C463555"/>
    <w:rsid w:val="1C47468D"/>
    <w:rsid w:val="1C542906"/>
    <w:rsid w:val="1C7A2EE3"/>
    <w:rsid w:val="1C8036FB"/>
    <w:rsid w:val="1CB36E4E"/>
    <w:rsid w:val="1CF30371"/>
    <w:rsid w:val="1CF814E3"/>
    <w:rsid w:val="1D3F009D"/>
    <w:rsid w:val="1D507571"/>
    <w:rsid w:val="1D8027D0"/>
    <w:rsid w:val="1D9D144E"/>
    <w:rsid w:val="1DA84CB7"/>
    <w:rsid w:val="1DF61EC7"/>
    <w:rsid w:val="1E5D1F46"/>
    <w:rsid w:val="1E910E51"/>
    <w:rsid w:val="1EA25BAA"/>
    <w:rsid w:val="1F14103B"/>
    <w:rsid w:val="1F3802BD"/>
    <w:rsid w:val="1F7039B1"/>
    <w:rsid w:val="1F83778A"/>
    <w:rsid w:val="1FEB1241"/>
    <w:rsid w:val="2060784B"/>
    <w:rsid w:val="20672767"/>
    <w:rsid w:val="20793D9C"/>
    <w:rsid w:val="207C05EA"/>
    <w:rsid w:val="20A06424"/>
    <w:rsid w:val="20CD3C81"/>
    <w:rsid w:val="20F3093F"/>
    <w:rsid w:val="20FF09BB"/>
    <w:rsid w:val="21364705"/>
    <w:rsid w:val="21751354"/>
    <w:rsid w:val="217575A6"/>
    <w:rsid w:val="21780687"/>
    <w:rsid w:val="218617B3"/>
    <w:rsid w:val="221161CB"/>
    <w:rsid w:val="22120EC8"/>
    <w:rsid w:val="222322D3"/>
    <w:rsid w:val="224631C9"/>
    <w:rsid w:val="2254541C"/>
    <w:rsid w:val="2298179E"/>
    <w:rsid w:val="22C3204C"/>
    <w:rsid w:val="23607DE2"/>
    <w:rsid w:val="23C2284B"/>
    <w:rsid w:val="23CB7951"/>
    <w:rsid w:val="23D314CE"/>
    <w:rsid w:val="24094D6A"/>
    <w:rsid w:val="240F2DC9"/>
    <w:rsid w:val="248C335D"/>
    <w:rsid w:val="249A22F7"/>
    <w:rsid w:val="24C30629"/>
    <w:rsid w:val="24CF32FF"/>
    <w:rsid w:val="24E40BA2"/>
    <w:rsid w:val="25491873"/>
    <w:rsid w:val="25653094"/>
    <w:rsid w:val="25763D25"/>
    <w:rsid w:val="25826736"/>
    <w:rsid w:val="25E95292"/>
    <w:rsid w:val="262D5633"/>
    <w:rsid w:val="26A5092E"/>
    <w:rsid w:val="26DE0756"/>
    <w:rsid w:val="27223D2C"/>
    <w:rsid w:val="27225ADA"/>
    <w:rsid w:val="27343A60"/>
    <w:rsid w:val="276640C7"/>
    <w:rsid w:val="27CE796B"/>
    <w:rsid w:val="27D95460"/>
    <w:rsid w:val="288B0B76"/>
    <w:rsid w:val="28E26633"/>
    <w:rsid w:val="294A57BC"/>
    <w:rsid w:val="295108F9"/>
    <w:rsid w:val="2973261D"/>
    <w:rsid w:val="297B5976"/>
    <w:rsid w:val="29BC0105"/>
    <w:rsid w:val="2A1F09F7"/>
    <w:rsid w:val="2A2C6C70"/>
    <w:rsid w:val="2A525303"/>
    <w:rsid w:val="2A77438F"/>
    <w:rsid w:val="2A9E191C"/>
    <w:rsid w:val="2AD41F67"/>
    <w:rsid w:val="2B4008AA"/>
    <w:rsid w:val="2B4C0D09"/>
    <w:rsid w:val="2B6770FF"/>
    <w:rsid w:val="2BE4380F"/>
    <w:rsid w:val="2BEA06ED"/>
    <w:rsid w:val="2C165F57"/>
    <w:rsid w:val="2C2440A3"/>
    <w:rsid w:val="2C697D08"/>
    <w:rsid w:val="2D123049"/>
    <w:rsid w:val="2D2F2CFF"/>
    <w:rsid w:val="2D371768"/>
    <w:rsid w:val="2D650892"/>
    <w:rsid w:val="2D856DC3"/>
    <w:rsid w:val="2D8C517E"/>
    <w:rsid w:val="2D947006"/>
    <w:rsid w:val="2DBE7E60"/>
    <w:rsid w:val="2DCC49F2"/>
    <w:rsid w:val="2E166456"/>
    <w:rsid w:val="2E1F0FC6"/>
    <w:rsid w:val="2E3276DD"/>
    <w:rsid w:val="2E605140"/>
    <w:rsid w:val="2E740894"/>
    <w:rsid w:val="2E8F7609"/>
    <w:rsid w:val="2EA95307"/>
    <w:rsid w:val="2EBB1012"/>
    <w:rsid w:val="2ECB6A58"/>
    <w:rsid w:val="2EE1596A"/>
    <w:rsid w:val="2EE578FE"/>
    <w:rsid w:val="2EEE2746"/>
    <w:rsid w:val="2F7622FA"/>
    <w:rsid w:val="2F8733D9"/>
    <w:rsid w:val="2FAF0127"/>
    <w:rsid w:val="2FB801CB"/>
    <w:rsid w:val="2FDA54F7"/>
    <w:rsid w:val="2FEC137B"/>
    <w:rsid w:val="30142680"/>
    <w:rsid w:val="3047499E"/>
    <w:rsid w:val="30C220DC"/>
    <w:rsid w:val="31292A95"/>
    <w:rsid w:val="313A7D9C"/>
    <w:rsid w:val="314A0E14"/>
    <w:rsid w:val="316A588B"/>
    <w:rsid w:val="317A4C65"/>
    <w:rsid w:val="31AA1854"/>
    <w:rsid w:val="31BD1A43"/>
    <w:rsid w:val="31DC0FE0"/>
    <w:rsid w:val="32037751"/>
    <w:rsid w:val="320A3D3B"/>
    <w:rsid w:val="3211488A"/>
    <w:rsid w:val="3216448E"/>
    <w:rsid w:val="323C0179"/>
    <w:rsid w:val="32874534"/>
    <w:rsid w:val="328827F7"/>
    <w:rsid w:val="32E36F4F"/>
    <w:rsid w:val="32FC18D5"/>
    <w:rsid w:val="330D18BF"/>
    <w:rsid w:val="33B43F5E"/>
    <w:rsid w:val="33B57CD6"/>
    <w:rsid w:val="33B7367F"/>
    <w:rsid w:val="33BB353F"/>
    <w:rsid w:val="33CE629A"/>
    <w:rsid w:val="33D13DE5"/>
    <w:rsid w:val="33F7209D"/>
    <w:rsid w:val="340842AA"/>
    <w:rsid w:val="342521FB"/>
    <w:rsid w:val="343926B5"/>
    <w:rsid w:val="34AB4938"/>
    <w:rsid w:val="350308E2"/>
    <w:rsid w:val="353115DE"/>
    <w:rsid w:val="3532685B"/>
    <w:rsid w:val="35B02017"/>
    <w:rsid w:val="36063BB7"/>
    <w:rsid w:val="3680748B"/>
    <w:rsid w:val="369E2CA4"/>
    <w:rsid w:val="37DD15AA"/>
    <w:rsid w:val="37E90DFF"/>
    <w:rsid w:val="38042FDA"/>
    <w:rsid w:val="384C3DA9"/>
    <w:rsid w:val="386019AE"/>
    <w:rsid w:val="38B42EEB"/>
    <w:rsid w:val="38D10A86"/>
    <w:rsid w:val="390908A8"/>
    <w:rsid w:val="392D0F5C"/>
    <w:rsid w:val="3949378F"/>
    <w:rsid w:val="39513FFD"/>
    <w:rsid w:val="3A184B1B"/>
    <w:rsid w:val="3AA1137B"/>
    <w:rsid w:val="3B102E3D"/>
    <w:rsid w:val="3B1615D6"/>
    <w:rsid w:val="3B281E5A"/>
    <w:rsid w:val="3BAB20EB"/>
    <w:rsid w:val="3BC67B86"/>
    <w:rsid w:val="3BDB3226"/>
    <w:rsid w:val="3C5D06B7"/>
    <w:rsid w:val="3CB74F79"/>
    <w:rsid w:val="3CC80A7A"/>
    <w:rsid w:val="3D33318C"/>
    <w:rsid w:val="3D6A38DF"/>
    <w:rsid w:val="3D950773"/>
    <w:rsid w:val="3DAA0180"/>
    <w:rsid w:val="3DCF5B1B"/>
    <w:rsid w:val="3DD31485"/>
    <w:rsid w:val="3DDD26FC"/>
    <w:rsid w:val="3E63644F"/>
    <w:rsid w:val="3F685EBE"/>
    <w:rsid w:val="3F6E3B5B"/>
    <w:rsid w:val="3FCE79EF"/>
    <w:rsid w:val="3FEA1811"/>
    <w:rsid w:val="404F0421"/>
    <w:rsid w:val="406D3E12"/>
    <w:rsid w:val="40722D28"/>
    <w:rsid w:val="409071C4"/>
    <w:rsid w:val="40C33A32"/>
    <w:rsid w:val="410B7187"/>
    <w:rsid w:val="413606A8"/>
    <w:rsid w:val="418823EC"/>
    <w:rsid w:val="41AA0C03"/>
    <w:rsid w:val="41AF045B"/>
    <w:rsid w:val="41B16A4B"/>
    <w:rsid w:val="41E023C2"/>
    <w:rsid w:val="41FF4F3E"/>
    <w:rsid w:val="42211EC1"/>
    <w:rsid w:val="428D254A"/>
    <w:rsid w:val="42AD6748"/>
    <w:rsid w:val="42C06726"/>
    <w:rsid w:val="42CD247C"/>
    <w:rsid w:val="430E56F4"/>
    <w:rsid w:val="43220EA1"/>
    <w:rsid w:val="432C4C01"/>
    <w:rsid w:val="43371A09"/>
    <w:rsid w:val="436037BB"/>
    <w:rsid w:val="438D7E6C"/>
    <w:rsid w:val="43BC4AF1"/>
    <w:rsid w:val="43D5358A"/>
    <w:rsid w:val="43E02D92"/>
    <w:rsid w:val="443609BF"/>
    <w:rsid w:val="44760DBC"/>
    <w:rsid w:val="44931781"/>
    <w:rsid w:val="44C8558A"/>
    <w:rsid w:val="4556292A"/>
    <w:rsid w:val="456F2434"/>
    <w:rsid w:val="45AA25D0"/>
    <w:rsid w:val="45D43FEC"/>
    <w:rsid w:val="45DF1EA3"/>
    <w:rsid w:val="45ED50AE"/>
    <w:rsid w:val="460C5551"/>
    <w:rsid w:val="466E7736"/>
    <w:rsid w:val="46891EC2"/>
    <w:rsid w:val="46A401F3"/>
    <w:rsid w:val="46FD0B3A"/>
    <w:rsid w:val="4718679D"/>
    <w:rsid w:val="477409B2"/>
    <w:rsid w:val="478426D2"/>
    <w:rsid w:val="47D429C9"/>
    <w:rsid w:val="47D42ACF"/>
    <w:rsid w:val="485A1120"/>
    <w:rsid w:val="48BB76E5"/>
    <w:rsid w:val="48CC13D9"/>
    <w:rsid w:val="48DB38E3"/>
    <w:rsid w:val="491F71D1"/>
    <w:rsid w:val="49262DB0"/>
    <w:rsid w:val="499E290E"/>
    <w:rsid w:val="49B23DBA"/>
    <w:rsid w:val="49C70D9C"/>
    <w:rsid w:val="49D15412"/>
    <w:rsid w:val="49E56B86"/>
    <w:rsid w:val="49FB270E"/>
    <w:rsid w:val="4A280DAA"/>
    <w:rsid w:val="4A454E53"/>
    <w:rsid w:val="4A6022F2"/>
    <w:rsid w:val="4A8727E4"/>
    <w:rsid w:val="4A92412E"/>
    <w:rsid w:val="4AE922E8"/>
    <w:rsid w:val="4AEE5B50"/>
    <w:rsid w:val="4AF869CF"/>
    <w:rsid w:val="4B296B88"/>
    <w:rsid w:val="4B2F24A2"/>
    <w:rsid w:val="4B5856BF"/>
    <w:rsid w:val="4BB21581"/>
    <w:rsid w:val="4C343A36"/>
    <w:rsid w:val="4C6C17E5"/>
    <w:rsid w:val="4CD34ADE"/>
    <w:rsid w:val="4CDB2302"/>
    <w:rsid w:val="4CE33E1B"/>
    <w:rsid w:val="4D0F7FFF"/>
    <w:rsid w:val="4D387556"/>
    <w:rsid w:val="4DE32994"/>
    <w:rsid w:val="4DE65204"/>
    <w:rsid w:val="4E810A89"/>
    <w:rsid w:val="4ED137BE"/>
    <w:rsid w:val="4EF31987"/>
    <w:rsid w:val="4F4A2335"/>
    <w:rsid w:val="4F5A324B"/>
    <w:rsid w:val="4F992F65"/>
    <w:rsid w:val="4FA86229"/>
    <w:rsid w:val="4FF1509C"/>
    <w:rsid w:val="500F7705"/>
    <w:rsid w:val="50100316"/>
    <w:rsid w:val="50223AD5"/>
    <w:rsid w:val="507C1E50"/>
    <w:rsid w:val="50852AB2"/>
    <w:rsid w:val="50C73AB4"/>
    <w:rsid w:val="50D72F34"/>
    <w:rsid w:val="516D6B81"/>
    <w:rsid w:val="519D5BDA"/>
    <w:rsid w:val="52172BDB"/>
    <w:rsid w:val="52231D58"/>
    <w:rsid w:val="52507821"/>
    <w:rsid w:val="52650B61"/>
    <w:rsid w:val="526A23E9"/>
    <w:rsid w:val="527C7EE5"/>
    <w:rsid w:val="52985676"/>
    <w:rsid w:val="52B2697B"/>
    <w:rsid w:val="53650979"/>
    <w:rsid w:val="536A2433"/>
    <w:rsid w:val="53D901B4"/>
    <w:rsid w:val="53DF697E"/>
    <w:rsid w:val="53E2646E"/>
    <w:rsid w:val="53EC6025"/>
    <w:rsid w:val="541D3002"/>
    <w:rsid w:val="54377B50"/>
    <w:rsid w:val="543F566E"/>
    <w:rsid w:val="54D51B2F"/>
    <w:rsid w:val="5526016C"/>
    <w:rsid w:val="55314FB7"/>
    <w:rsid w:val="55942F06"/>
    <w:rsid w:val="55A03EEB"/>
    <w:rsid w:val="55B81234"/>
    <w:rsid w:val="55F3226C"/>
    <w:rsid w:val="562260D0"/>
    <w:rsid w:val="562722FF"/>
    <w:rsid w:val="568630E0"/>
    <w:rsid w:val="56D95906"/>
    <w:rsid w:val="574865E8"/>
    <w:rsid w:val="57534881"/>
    <w:rsid w:val="579B0E0D"/>
    <w:rsid w:val="57A606AC"/>
    <w:rsid w:val="57DE1EEB"/>
    <w:rsid w:val="581A61D6"/>
    <w:rsid w:val="58670860"/>
    <w:rsid w:val="587578B0"/>
    <w:rsid w:val="58B2640F"/>
    <w:rsid w:val="58B57CAD"/>
    <w:rsid w:val="58C45316"/>
    <w:rsid w:val="58E15EC7"/>
    <w:rsid w:val="591A3FB4"/>
    <w:rsid w:val="599827B6"/>
    <w:rsid w:val="59F7468F"/>
    <w:rsid w:val="5AC97A40"/>
    <w:rsid w:val="5AFD593B"/>
    <w:rsid w:val="5B3C50B8"/>
    <w:rsid w:val="5B9835CF"/>
    <w:rsid w:val="5BA67D81"/>
    <w:rsid w:val="5BE2525D"/>
    <w:rsid w:val="5BEE619D"/>
    <w:rsid w:val="5BF87976"/>
    <w:rsid w:val="5C7B5EC6"/>
    <w:rsid w:val="5CC50FC7"/>
    <w:rsid w:val="5D276EBD"/>
    <w:rsid w:val="5D296EBB"/>
    <w:rsid w:val="5D752101"/>
    <w:rsid w:val="5E251431"/>
    <w:rsid w:val="5E8F086F"/>
    <w:rsid w:val="5E925DAB"/>
    <w:rsid w:val="5F6244B3"/>
    <w:rsid w:val="5F7B6749"/>
    <w:rsid w:val="5FCC6C5E"/>
    <w:rsid w:val="5FE0117D"/>
    <w:rsid w:val="5FF37537"/>
    <w:rsid w:val="60107390"/>
    <w:rsid w:val="60190DF1"/>
    <w:rsid w:val="60340051"/>
    <w:rsid w:val="608C1C3B"/>
    <w:rsid w:val="60BB0848"/>
    <w:rsid w:val="60CF1B28"/>
    <w:rsid w:val="61565DA5"/>
    <w:rsid w:val="61761FA3"/>
    <w:rsid w:val="61834DEC"/>
    <w:rsid w:val="618648DC"/>
    <w:rsid w:val="61A22D98"/>
    <w:rsid w:val="61A35B4E"/>
    <w:rsid w:val="62173786"/>
    <w:rsid w:val="635B258F"/>
    <w:rsid w:val="63711B80"/>
    <w:rsid w:val="63BF7AB4"/>
    <w:rsid w:val="63EE0517"/>
    <w:rsid w:val="640F6E0B"/>
    <w:rsid w:val="641C1C30"/>
    <w:rsid w:val="64736BD3"/>
    <w:rsid w:val="648C3B2E"/>
    <w:rsid w:val="66A74C32"/>
    <w:rsid w:val="66DA21D7"/>
    <w:rsid w:val="66ED507B"/>
    <w:rsid w:val="66EF082E"/>
    <w:rsid w:val="67262AD0"/>
    <w:rsid w:val="67702502"/>
    <w:rsid w:val="67987117"/>
    <w:rsid w:val="67AF7FBD"/>
    <w:rsid w:val="67EB4BD7"/>
    <w:rsid w:val="682970B1"/>
    <w:rsid w:val="68491CDF"/>
    <w:rsid w:val="686314D3"/>
    <w:rsid w:val="68822EA3"/>
    <w:rsid w:val="68896A60"/>
    <w:rsid w:val="68B106FE"/>
    <w:rsid w:val="68B8295B"/>
    <w:rsid w:val="68DD67C8"/>
    <w:rsid w:val="69845BA5"/>
    <w:rsid w:val="699340F5"/>
    <w:rsid w:val="69D56401"/>
    <w:rsid w:val="6A093276"/>
    <w:rsid w:val="6A9C0CCD"/>
    <w:rsid w:val="6ABB51FD"/>
    <w:rsid w:val="6B2334C7"/>
    <w:rsid w:val="6B403D4E"/>
    <w:rsid w:val="6B851761"/>
    <w:rsid w:val="6BA51E03"/>
    <w:rsid w:val="6BA87FF9"/>
    <w:rsid w:val="6BEE27C9"/>
    <w:rsid w:val="6C6D4A83"/>
    <w:rsid w:val="6D0F48A1"/>
    <w:rsid w:val="6D2A25C0"/>
    <w:rsid w:val="6D8D2B4F"/>
    <w:rsid w:val="6D967C55"/>
    <w:rsid w:val="6DFF3A4C"/>
    <w:rsid w:val="6E0F771C"/>
    <w:rsid w:val="6E5E1E17"/>
    <w:rsid w:val="6ECF755A"/>
    <w:rsid w:val="6EFA2466"/>
    <w:rsid w:val="6F0134C5"/>
    <w:rsid w:val="6F060991"/>
    <w:rsid w:val="6FD1670D"/>
    <w:rsid w:val="6FF11AC4"/>
    <w:rsid w:val="702B176E"/>
    <w:rsid w:val="704E0CBB"/>
    <w:rsid w:val="705020FD"/>
    <w:rsid w:val="70B12FF8"/>
    <w:rsid w:val="70B36D70"/>
    <w:rsid w:val="70BA3BCB"/>
    <w:rsid w:val="718304F0"/>
    <w:rsid w:val="71C54519"/>
    <w:rsid w:val="72023B0B"/>
    <w:rsid w:val="7217578F"/>
    <w:rsid w:val="72281098"/>
    <w:rsid w:val="728C5ACB"/>
    <w:rsid w:val="72936E59"/>
    <w:rsid w:val="72A2709C"/>
    <w:rsid w:val="72BB170D"/>
    <w:rsid w:val="73AD4274"/>
    <w:rsid w:val="73EA2AA9"/>
    <w:rsid w:val="740A15EA"/>
    <w:rsid w:val="74254024"/>
    <w:rsid w:val="743453B3"/>
    <w:rsid w:val="74545043"/>
    <w:rsid w:val="745E1309"/>
    <w:rsid w:val="74634609"/>
    <w:rsid w:val="74684956"/>
    <w:rsid w:val="746F7452"/>
    <w:rsid w:val="74B15375"/>
    <w:rsid w:val="75287D2D"/>
    <w:rsid w:val="75482196"/>
    <w:rsid w:val="755E1362"/>
    <w:rsid w:val="759058D2"/>
    <w:rsid w:val="76045978"/>
    <w:rsid w:val="76117BAB"/>
    <w:rsid w:val="76244F59"/>
    <w:rsid w:val="7652226E"/>
    <w:rsid w:val="767E572A"/>
    <w:rsid w:val="76854E63"/>
    <w:rsid w:val="76BC7527"/>
    <w:rsid w:val="76E00193"/>
    <w:rsid w:val="76FB4FCD"/>
    <w:rsid w:val="77065E4C"/>
    <w:rsid w:val="771655A2"/>
    <w:rsid w:val="77272DBC"/>
    <w:rsid w:val="772C203B"/>
    <w:rsid w:val="773C1FA3"/>
    <w:rsid w:val="773C6C4B"/>
    <w:rsid w:val="776B3F01"/>
    <w:rsid w:val="777E3C5F"/>
    <w:rsid w:val="778843F9"/>
    <w:rsid w:val="77894570"/>
    <w:rsid w:val="77E06110"/>
    <w:rsid w:val="7831514A"/>
    <w:rsid w:val="78FF6FF6"/>
    <w:rsid w:val="791A3E76"/>
    <w:rsid w:val="79660E24"/>
    <w:rsid w:val="7983393C"/>
    <w:rsid w:val="798C1C87"/>
    <w:rsid w:val="79A260E7"/>
    <w:rsid w:val="79AE38A9"/>
    <w:rsid w:val="79F1619A"/>
    <w:rsid w:val="7A0F70A9"/>
    <w:rsid w:val="7A2279D6"/>
    <w:rsid w:val="7A7E219D"/>
    <w:rsid w:val="7A911FEB"/>
    <w:rsid w:val="7B0454AB"/>
    <w:rsid w:val="7B3A013A"/>
    <w:rsid w:val="7B434147"/>
    <w:rsid w:val="7B672C31"/>
    <w:rsid w:val="7BCB31C0"/>
    <w:rsid w:val="7BD70A60"/>
    <w:rsid w:val="7C1B48DE"/>
    <w:rsid w:val="7C2A25DC"/>
    <w:rsid w:val="7C991969"/>
    <w:rsid w:val="7D27079E"/>
    <w:rsid w:val="7D80447E"/>
    <w:rsid w:val="7DAD7713"/>
    <w:rsid w:val="7E0230E5"/>
    <w:rsid w:val="7E105802"/>
    <w:rsid w:val="7E21356B"/>
    <w:rsid w:val="7E4041B9"/>
    <w:rsid w:val="7EE1125E"/>
    <w:rsid w:val="7EFE0D38"/>
    <w:rsid w:val="7F0D1D41"/>
    <w:rsid w:val="7FC32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9" w:semiHidden="0" w:name="heading 7"/>
    <w:lsdException w:qFormat="1" w:unhideWhenUsed="0" w:uiPriority="9" w:semiHidden="0" w:name="heading 8"/>
    <w:lsdException w:qFormat="1" w:unhideWhenUsed="0" w:uiPriority="9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qFormat="1"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0" w:semiHidden="0" w:name="Body Text First Indent"/>
    <w:lsdException w:qFormat="1" w:uiPriority="0" w:semiHidden="0" w:name="Body Text First Indent 2"/>
    <w:lsdException w:qFormat="1" w:uiPriority="99" w:semiHidden="0" w:name="Note Heading"/>
    <w:lsdException w:qFormat="1" w:uiPriority="99" w:semiHidden="0" w:name="Body Text 2"/>
    <w:lsdException w:qFormat="1" w:uiPriority="99" w:semiHidden="0" w:name="Body Text 3"/>
    <w:lsdException w:qFormat="1" w:unhideWhenUsed="0" w:uiPriority="99" w:semiHidden="0" w:name="Body Text Indent 2"/>
    <w:lsdException w:qFormat="1" w:uiPriority="99"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qFormat="1" w:uiPriority="99" w:semiHidden="0"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iPriority="0" w:name="Table Grid 5"/>
    <w:lsdException w:qFormat="1" w:uiPriority="0"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iPriority="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qFormat="1" w:uiPriority="99"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62"/>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72"/>
    <w:qFormat/>
    <w:uiPriority w:val="0"/>
    <w:pPr>
      <w:keepNext/>
      <w:keepLines/>
      <w:spacing w:before="260" w:after="260" w:line="416" w:lineRule="auto"/>
      <w:outlineLvl w:val="1"/>
    </w:pPr>
    <w:rPr>
      <w:rFonts w:ascii="Cambria" w:hAnsi="Cambria"/>
      <w:b/>
      <w:bCs/>
      <w:sz w:val="32"/>
      <w:szCs w:val="32"/>
    </w:rPr>
  </w:style>
  <w:style w:type="paragraph" w:styleId="5">
    <w:name w:val="heading 3"/>
    <w:basedOn w:val="1"/>
    <w:next w:val="1"/>
    <w:link w:val="63"/>
    <w:qFormat/>
    <w:uiPriority w:val="0"/>
    <w:pPr>
      <w:keepNext/>
      <w:keepLines/>
      <w:spacing w:before="260" w:after="260" w:line="416" w:lineRule="auto"/>
      <w:outlineLvl w:val="2"/>
    </w:pPr>
    <w:rPr>
      <w:b/>
      <w:bCs/>
      <w:sz w:val="32"/>
      <w:szCs w:val="32"/>
    </w:rPr>
  </w:style>
  <w:style w:type="paragraph" w:styleId="6">
    <w:name w:val="heading 4"/>
    <w:basedOn w:val="1"/>
    <w:next w:val="1"/>
    <w:link w:val="73"/>
    <w:qFormat/>
    <w:uiPriority w:val="0"/>
    <w:pPr>
      <w:keepNext/>
      <w:keepLines/>
      <w:adjustRightInd w:val="0"/>
      <w:snapToGrid w:val="0"/>
      <w:spacing w:line="360" w:lineRule="auto"/>
      <w:ind w:left="425" w:hanging="425"/>
      <w:jc w:val="left"/>
      <w:outlineLvl w:val="3"/>
    </w:pPr>
    <w:rPr>
      <w:b/>
      <w:sz w:val="24"/>
      <w:szCs w:val="24"/>
    </w:rPr>
  </w:style>
  <w:style w:type="paragraph" w:styleId="7">
    <w:name w:val="heading 5"/>
    <w:basedOn w:val="1"/>
    <w:next w:val="1"/>
    <w:link w:val="74"/>
    <w:qFormat/>
    <w:uiPriority w:val="0"/>
    <w:pPr>
      <w:keepNext/>
      <w:keepLines/>
      <w:adjustRightInd w:val="0"/>
      <w:snapToGrid w:val="0"/>
      <w:spacing w:line="360" w:lineRule="auto"/>
      <w:ind w:firstLine="200" w:firstLineChars="200"/>
      <w:jc w:val="left"/>
      <w:outlineLvl w:val="4"/>
    </w:pPr>
    <w:rPr>
      <w:b/>
      <w:bCs/>
      <w:sz w:val="24"/>
      <w:szCs w:val="28"/>
      <w:lang w:val="zh-CN"/>
    </w:rPr>
  </w:style>
  <w:style w:type="paragraph" w:styleId="8">
    <w:name w:val="heading 6"/>
    <w:basedOn w:val="1"/>
    <w:next w:val="1"/>
    <w:link w:val="75"/>
    <w:qFormat/>
    <w:uiPriority w:val="9"/>
    <w:pPr>
      <w:keepNext/>
      <w:keepLines/>
      <w:spacing w:before="240" w:after="64" w:line="317" w:lineRule="auto"/>
      <w:outlineLvl w:val="5"/>
    </w:pPr>
    <w:rPr>
      <w:rFonts w:ascii="Cambria" w:hAnsi="Cambria"/>
      <w:b/>
      <w:sz w:val="24"/>
      <w:szCs w:val="20"/>
    </w:rPr>
  </w:style>
  <w:style w:type="paragraph" w:styleId="9">
    <w:name w:val="heading 7"/>
    <w:basedOn w:val="1"/>
    <w:next w:val="1"/>
    <w:link w:val="76"/>
    <w:qFormat/>
    <w:uiPriority w:val="99"/>
    <w:pPr>
      <w:keepNext/>
      <w:keepLines/>
      <w:spacing w:before="240" w:after="64" w:line="317" w:lineRule="auto"/>
      <w:outlineLvl w:val="6"/>
    </w:pPr>
    <w:rPr>
      <w:b/>
      <w:sz w:val="24"/>
      <w:szCs w:val="20"/>
    </w:rPr>
  </w:style>
  <w:style w:type="paragraph" w:styleId="10">
    <w:name w:val="heading 8"/>
    <w:basedOn w:val="1"/>
    <w:next w:val="1"/>
    <w:link w:val="77"/>
    <w:qFormat/>
    <w:uiPriority w:val="9"/>
    <w:pPr>
      <w:keepNext/>
      <w:keepLines/>
      <w:spacing w:before="240" w:after="64" w:line="317" w:lineRule="auto"/>
      <w:outlineLvl w:val="7"/>
    </w:pPr>
    <w:rPr>
      <w:rFonts w:ascii="Arial" w:hAnsi="Arial" w:eastAsia="黑体"/>
      <w:sz w:val="24"/>
    </w:rPr>
  </w:style>
  <w:style w:type="paragraph" w:styleId="11">
    <w:name w:val="heading 9"/>
    <w:basedOn w:val="1"/>
    <w:next w:val="1"/>
    <w:link w:val="78"/>
    <w:qFormat/>
    <w:uiPriority w:val="99"/>
    <w:pPr>
      <w:keepNext/>
      <w:keepLines/>
      <w:spacing w:before="240" w:after="64" w:line="317" w:lineRule="auto"/>
      <w:outlineLvl w:val="8"/>
    </w:pPr>
    <w:rPr>
      <w:rFonts w:ascii="Cambria" w:hAnsi="Cambria"/>
      <w:sz w:val="20"/>
      <w:szCs w:val="20"/>
    </w:rPr>
  </w:style>
  <w:style w:type="character" w:default="1" w:styleId="50">
    <w:name w:val="Default Paragraph Font"/>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widowControl/>
    </w:pPr>
    <w:rPr>
      <w:szCs w:val="21"/>
      <w:u w:val="single"/>
    </w:rPr>
  </w:style>
  <w:style w:type="paragraph" w:styleId="12">
    <w:name w:val="List 3"/>
    <w:basedOn w:val="1"/>
    <w:semiHidden/>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table of authorities"/>
    <w:basedOn w:val="1"/>
    <w:next w:val="1"/>
    <w:qFormat/>
    <w:uiPriority w:val="0"/>
    <w:pPr>
      <w:ind w:left="420" w:leftChars="200"/>
    </w:pPr>
  </w:style>
  <w:style w:type="paragraph" w:styleId="15">
    <w:name w:val="Note Heading"/>
    <w:basedOn w:val="1"/>
    <w:next w:val="1"/>
    <w:link w:val="79"/>
    <w:unhideWhenUsed/>
    <w:qFormat/>
    <w:uiPriority w:val="99"/>
    <w:pPr>
      <w:jc w:val="center"/>
    </w:pPr>
  </w:style>
  <w:style w:type="paragraph" w:styleId="16">
    <w:name w:val="Normal Indent"/>
    <w:basedOn w:val="17"/>
    <w:link w:val="82"/>
    <w:qFormat/>
    <w:uiPriority w:val="0"/>
    <w:pPr>
      <w:adjustRightInd w:val="0"/>
      <w:snapToGrid w:val="0"/>
      <w:spacing w:after="0" w:line="360" w:lineRule="auto"/>
      <w:ind w:firstLine="0" w:firstLineChars="0"/>
      <w:jc w:val="center"/>
    </w:pPr>
    <w:rPr>
      <w:rFonts w:eastAsia="黑体"/>
      <w:sz w:val="24"/>
      <w:szCs w:val="21"/>
    </w:rPr>
  </w:style>
  <w:style w:type="paragraph" w:styleId="17">
    <w:name w:val="Body Text First Indent"/>
    <w:basedOn w:val="18"/>
    <w:link w:val="81"/>
    <w:unhideWhenUsed/>
    <w:qFormat/>
    <w:uiPriority w:val="0"/>
    <w:pPr>
      <w:ind w:firstLine="420" w:firstLineChars="100"/>
    </w:pPr>
  </w:style>
  <w:style w:type="paragraph" w:styleId="18">
    <w:name w:val="Body Text"/>
    <w:basedOn w:val="1"/>
    <w:link w:val="80"/>
    <w:unhideWhenUsed/>
    <w:qFormat/>
    <w:uiPriority w:val="99"/>
    <w:pPr>
      <w:spacing w:after="120"/>
    </w:pPr>
  </w:style>
  <w:style w:type="paragraph" w:styleId="19">
    <w:name w:val="caption"/>
    <w:basedOn w:val="1"/>
    <w:next w:val="1"/>
    <w:link w:val="83"/>
    <w:qFormat/>
    <w:uiPriority w:val="0"/>
    <w:pPr>
      <w:adjustRightInd w:val="0"/>
      <w:snapToGrid w:val="0"/>
      <w:spacing w:line="360" w:lineRule="auto"/>
      <w:jc w:val="left"/>
    </w:pPr>
    <w:rPr>
      <w:rFonts w:eastAsia="黑体"/>
      <w:sz w:val="24"/>
    </w:rPr>
  </w:style>
  <w:style w:type="paragraph" w:styleId="20">
    <w:name w:val="Document Map"/>
    <w:basedOn w:val="1"/>
    <w:link w:val="84"/>
    <w:unhideWhenUsed/>
    <w:qFormat/>
    <w:uiPriority w:val="0"/>
    <w:rPr>
      <w:rFonts w:ascii="宋体"/>
      <w:sz w:val="18"/>
      <w:szCs w:val="18"/>
    </w:rPr>
  </w:style>
  <w:style w:type="paragraph" w:styleId="21">
    <w:name w:val="annotation text"/>
    <w:basedOn w:val="1"/>
    <w:link w:val="85"/>
    <w:unhideWhenUsed/>
    <w:qFormat/>
    <w:uiPriority w:val="0"/>
    <w:pPr>
      <w:jc w:val="left"/>
    </w:pPr>
    <w:rPr>
      <w:rFonts w:ascii="Calibri" w:hAnsi="Calibri"/>
    </w:rPr>
  </w:style>
  <w:style w:type="paragraph" w:styleId="22">
    <w:name w:val="Body Text 3"/>
    <w:basedOn w:val="1"/>
    <w:link w:val="86"/>
    <w:unhideWhenUsed/>
    <w:qFormat/>
    <w:uiPriority w:val="99"/>
    <w:pPr>
      <w:spacing w:after="120"/>
    </w:pPr>
    <w:rPr>
      <w:sz w:val="16"/>
    </w:rPr>
  </w:style>
  <w:style w:type="paragraph" w:styleId="23">
    <w:name w:val="Body Text Indent"/>
    <w:basedOn w:val="1"/>
    <w:next w:val="24"/>
    <w:link w:val="87"/>
    <w:qFormat/>
    <w:uiPriority w:val="99"/>
    <w:pPr>
      <w:adjustRightInd w:val="0"/>
      <w:snapToGrid w:val="0"/>
      <w:spacing w:line="360" w:lineRule="auto"/>
      <w:ind w:firstLine="480" w:firstLineChars="200"/>
    </w:pPr>
    <w:rPr>
      <w:sz w:val="24"/>
    </w:rPr>
  </w:style>
  <w:style w:type="paragraph" w:styleId="24">
    <w:name w:val="Body Text First Indent 2"/>
    <w:basedOn w:val="23"/>
    <w:next w:val="17"/>
    <w:link w:val="104"/>
    <w:unhideWhenUsed/>
    <w:qFormat/>
    <w:uiPriority w:val="0"/>
    <w:pPr>
      <w:ind w:firstLine="420"/>
    </w:pPr>
    <w:rPr>
      <w:rFonts w:ascii="Calibri" w:hAnsi="Calibri"/>
    </w:rPr>
  </w:style>
  <w:style w:type="paragraph" w:styleId="25">
    <w:name w:val="toc 5"/>
    <w:basedOn w:val="1"/>
    <w:next w:val="1"/>
    <w:unhideWhenUsed/>
    <w:qFormat/>
    <w:uiPriority w:val="39"/>
    <w:pPr>
      <w:ind w:left="1680" w:leftChars="800"/>
    </w:pPr>
  </w:style>
  <w:style w:type="paragraph" w:styleId="26">
    <w:name w:val="toc 3"/>
    <w:basedOn w:val="1"/>
    <w:next w:val="1"/>
    <w:qFormat/>
    <w:uiPriority w:val="39"/>
    <w:pPr>
      <w:adjustRightInd w:val="0"/>
      <w:snapToGrid w:val="0"/>
      <w:spacing w:line="360" w:lineRule="auto"/>
      <w:ind w:left="400" w:leftChars="400"/>
      <w:jc w:val="left"/>
    </w:pPr>
    <w:rPr>
      <w:sz w:val="24"/>
      <w:szCs w:val="24"/>
    </w:rPr>
  </w:style>
  <w:style w:type="paragraph" w:styleId="27">
    <w:name w:val="Plain Text"/>
    <w:basedOn w:val="1"/>
    <w:link w:val="88"/>
    <w:qFormat/>
    <w:uiPriority w:val="0"/>
    <w:rPr>
      <w:rFonts w:ascii="宋体" w:hAnsi="Courier New"/>
      <w:szCs w:val="21"/>
    </w:rPr>
  </w:style>
  <w:style w:type="paragraph" w:styleId="28">
    <w:name w:val="toc 8"/>
    <w:basedOn w:val="1"/>
    <w:next w:val="1"/>
    <w:unhideWhenUsed/>
    <w:qFormat/>
    <w:uiPriority w:val="39"/>
    <w:pPr>
      <w:ind w:left="2940" w:leftChars="1400"/>
    </w:pPr>
  </w:style>
  <w:style w:type="paragraph" w:styleId="29">
    <w:name w:val="Date"/>
    <w:basedOn w:val="1"/>
    <w:next w:val="1"/>
    <w:link w:val="89"/>
    <w:qFormat/>
    <w:uiPriority w:val="0"/>
    <w:pPr>
      <w:ind w:left="100" w:leftChars="2500"/>
    </w:pPr>
    <w:rPr>
      <w:sz w:val="24"/>
    </w:rPr>
  </w:style>
  <w:style w:type="paragraph" w:styleId="30">
    <w:name w:val="Body Text Indent 2"/>
    <w:basedOn w:val="1"/>
    <w:link w:val="90"/>
    <w:qFormat/>
    <w:uiPriority w:val="99"/>
    <w:pPr>
      <w:adjustRightInd w:val="0"/>
      <w:snapToGrid w:val="0"/>
      <w:spacing w:line="360" w:lineRule="auto"/>
      <w:ind w:firstLine="552" w:firstLineChars="200"/>
      <w:jc w:val="left"/>
    </w:pPr>
    <w:rPr>
      <w:rFonts w:ascii="宋体" w:hAnsi="宋体"/>
      <w:spacing w:val="-2"/>
      <w:sz w:val="28"/>
      <w:szCs w:val="28"/>
    </w:rPr>
  </w:style>
  <w:style w:type="paragraph" w:styleId="31">
    <w:name w:val="Balloon Text"/>
    <w:basedOn w:val="1"/>
    <w:link w:val="91"/>
    <w:unhideWhenUsed/>
    <w:qFormat/>
    <w:uiPriority w:val="0"/>
    <w:rPr>
      <w:sz w:val="18"/>
      <w:szCs w:val="18"/>
    </w:rPr>
  </w:style>
  <w:style w:type="paragraph" w:styleId="32">
    <w:name w:val="footer"/>
    <w:basedOn w:val="1"/>
    <w:link w:val="92"/>
    <w:unhideWhenUsed/>
    <w:qFormat/>
    <w:uiPriority w:val="99"/>
    <w:pPr>
      <w:tabs>
        <w:tab w:val="center" w:pos="4153"/>
        <w:tab w:val="right" w:pos="8306"/>
      </w:tabs>
      <w:snapToGrid w:val="0"/>
      <w:jc w:val="left"/>
    </w:pPr>
    <w:rPr>
      <w:sz w:val="18"/>
      <w:szCs w:val="18"/>
    </w:rPr>
  </w:style>
  <w:style w:type="paragraph" w:styleId="33">
    <w:name w:val="header"/>
    <w:basedOn w:val="1"/>
    <w:link w:val="93"/>
    <w:unhideWhenUsed/>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link w:val="94"/>
    <w:unhideWhenUsed/>
    <w:qFormat/>
    <w:uiPriority w:val="39"/>
  </w:style>
  <w:style w:type="paragraph" w:styleId="35">
    <w:name w:val="toc 4"/>
    <w:basedOn w:val="1"/>
    <w:next w:val="1"/>
    <w:unhideWhenUsed/>
    <w:qFormat/>
    <w:uiPriority w:val="39"/>
    <w:pPr>
      <w:ind w:left="1260" w:leftChars="600"/>
    </w:pPr>
  </w:style>
  <w:style w:type="paragraph" w:styleId="36">
    <w:name w:val="Subtitle"/>
    <w:basedOn w:val="1"/>
    <w:next w:val="1"/>
    <w:link w:val="95"/>
    <w:qFormat/>
    <w:uiPriority w:val="0"/>
    <w:pPr>
      <w:adjustRightInd w:val="0"/>
      <w:snapToGrid w:val="0"/>
      <w:spacing w:before="240" w:after="60" w:line="312" w:lineRule="auto"/>
      <w:jc w:val="center"/>
      <w:outlineLvl w:val="1"/>
    </w:pPr>
    <w:rPr>
      <w:rFonts w:ascii="Cambria" w:hAnsi="Cambria"/>
      <w:b/>
      <w:bCs/>
      <w:kern w:val="28"/>
      <w:sz w:val="32"/>
      <w:szCs w:val="32"/>
      <w:lang w:val="zh-CN"/>
    </w:rPr>
  </w:style>
  <w:style w:type="paragraph" w:styleId="37">
    <w:name w:val="List"/>
    <w:basedOn w:val="1"/>
    <w:next w:val="1"/>
    <w:link w:val="96"/>
    <w:qFormat/>
    <w:uiPriority w:val="0"/>
    <w:pPr>
      <w:widowControl/>
      <w:adjustRightInd w:val="0"/>
      <w:snapToGrid w:val="0"/>
      <w:jc w:val="center"/>
    </w:pPr>
    <w:rPr>
      <w:rFonts w:ascii="宋体" w:hAnsi="宋体" w:cs="宋体"/>
      <w:kern w:val="0"/>
      <w:szCs w:val="21"/>
    </w:rPr>
  </w:style>
  <w:style w:type="paragraph" w:styleId="38">
    <w:name w:val="footnote text"/>
    <w:basedOn w:val="1"/>
    <w:link w:val="97"/>
    <w:unhideWhenUsed/>
    <w:qFormat/>
    <w:uiPriority w:val="99"/>
    <w:pPr>
      <w:snapToGrid w:val="0"/>
      <w:jc w:val="left"/>
    </w:pPr>
    <w:rPr>
      <w:sz w:val="18"/>
    </w:rPr>
  </w:style>
  <w:style w:type="paragraph" w:styleId="39">
    <w:name w:val="toc 6"/>
    <w:basedOn w:val="1"/>
    <w:next w:val="1"/>
    <w:qFormat/>
    <w:uiPriority w:val="39"/>
    <w:pPr>
      <w:adjustRightInd w:val="0"/>
      <w:snapToGrid w:val="0"/>
      <w:spacing w:line="360" w:lineRule="auto"/>
      <w:ind w:left="2100" w:leftChars="1000"/>
      <w:jc w:val="left"/>
    </w:pPr>
    <w:rPr>
      <w:sz w:val="24"/>
      <w:szCs w:val="24"/>
    </w:rPr>
  </w:style>
  <w:style w:type="paragraph" w:styleId="40">
    <w:name w:val="Body Text Indent 3"/>
    <w:basedOn w:val="1"/>
    <w:link w:val="98"/>
    <w:unhideWhenUsed/>
    <w:qFormat/>
    <w:uiPriority w:val="99"/>
    <w:pPr>
      <w:spacing w:after="120"/>
      <w:ind w:left="420" w:leftChars="200"/>
    </w:pPr>
    <w:rPr>
      <w:sz w:val="16"/>
    </w:rPr>
  </w:style>
  <w:style w:type="paragraph" w:styleId="41">
    <w:name w:val="toc 9"/>
    <w:basedOn w:val="1"/>
    <w:next w:val="1"/>
    <w:unhideWhenUsed/>
    <w:qFormat/>
    <w:uiPriority w:val="39"/>
    <w:pPr>
      <w:ind w:left="3360" w:leftChars="1600"/>
    </w:pPr>
  </w:style>
  <w:style w:type="paragraph" w:styleId="42">
    <w:name w:val="Body Text 2"/>
    <w:basedOn w:val="1"/>
    <w:link w:val="99"/>
    <w:unhideWhenUsed/>
    <w:qFormat/>
    <w:uiPriority w:val="99"/>
    <w:pPr>
      <w:spacing w:after="120" w:line="480" w:lineRule="auto"/>
    </w:pPr>
  </w:style>
  <w:style w:type="paragraph" w:styleId="43">
    <w:name w:val="HTML Preformatted"/>
    <w:basedOn w:val="1"/>
    <w:link w:val="100"/>
    <w:unhideWhenUsed/>
    <w:qFormat/>
    <w:uiPriority w:val="99"/>
    <w:rPr>
      <w:rFonts w:ascii="Courier New" w:hAnsi="Courier New"/>
      <w:sz w:val="20"/>
    </w:rPr>
  </w:style>
  <w:style w:type="paragraph" w:styleId="44">
    <w:name w:val="Normal (Web)"/>
    <w:basedOn w:val="1"/>
    <w:link w:val="101"/>
    <w:unhideWhenUsed/>
    <w:qFormat/>
    <w:uiPriority w:val="99"/>
    <w:pPr>
      <w:widowControl/>
      <w:spacing w:before="100" w:beforeAutospacing="1" w:after="100" w:afterAutospacing="1"/>
      <w:jc w:val="left"/>
    </w:pPr>
    <w:rPr>
      <w:rFonts w:ascii="宋体" w:hAnsi="宋体"/>
      <w:sz w:val="24"/>
    </w:rPr>
  </w:style>
  <w:style w:type="paragraph" w:styleId="45">
    <w:name w:val="Title"/>
    <w:basedOn w:val="1"/>
    <w:next w:val="1"/>
    <w:link w:val="102"/>
    <w:qFormat/>
    <w:uiPriority w:val="0"/>
    <w:pPr>
      <w:adjustRightInd w:val="0"/>
      <w:snapToGrid w:val="0"/>
      <w:spacing w:line="360" w:lineRule="auto"/>
      <w:jc w:val="center"/>
      <w:outlineLvl w:val="1"/>
    </w:pPr>
    <w:rPr>
      <w:b/>
      <w:bCs/>
      <w:sz w:val="32"/>
      <w:szCs w:val="32"/>
      <w:lang w:val="zh-CN"/>
    </w:rPr>
  </w:style>
  <w:style w:type="paragraph" w:styleId="46">
    <w:name w:val="annotation subject"/>
    <w:basedOn w:val="21"/>
    <w:next w:val="21"/>
    <w:link w:val="103"/>
    <w:unhideWhenUsed/>
    <w:qFormat/>
    <w:uiPriority w:val="0"/>
    <w:rPr>
      <w:b/>
      <w:bCs/>
    </w:r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9">
    <w:name w:val="Table Theme"/>
    <w:basedOn w:val="4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22"/>
    <w:rPr>
      <w:b/>
      <w:bCs/>
    </w:rPr>
  </w:style>
  <w:style w:type="character" w:styleId="52">
    <w:name w:val="page number"/>
    <w:qFormat/>
    <w:uiPriority w:val="0"/>
  </w:style>
  <w:style w:type="character" w:styleId="53">
    <w:name w:val="FollowedHyperlink"/>
    <w:unhideWhenUsed/>
    <w:qFormat/>
    <w:uiPriority w:val="99"/>
    <w:rPr>
      <w:color w:val="954F72"/>
      <w:u w:val="single"/>
    </w:rPr>
  </w:style>
  <w:style w:type="character" w:styleId="54">
    <w:name w:val="Emphasis"/>
    <w:qFormat/>
    <w:uiPriority w:val="20"/>
    <w:rPr>
      <w:i/>
      <w:iCs/>
    </w:rPr>
  </w:style>
  <w:style w:type="character" w:styleId="55">
    <w:name w:val="HTML Typewriter"/>
    <w:unhideWhenUsed/>
    <w:qFormat/>
    <w:uiPriority w:val="99"/>
    <w:rPr>
      <w:rFonts w:hint="eastAsia" w:ascii="宋体" w:hAnsi="宋体" w:eastAsia="宋体" w:cs="Times New Roman"/>
      <w:sz w:val="24"/>
    </w:rPr>
  </w:style>
  <w:style w:type="character" w:styleId="56">
    <w:name w:val="HTML Variable"/>
    <w:qFormat/>
    <w:uiPriority w:val="0"/>
    <w:rPr>
      <w:i/>
      <w:iCs/>
    </w:rPr>
  </w:style>
  <w:style w:type="character" w:styleId="57">
    <w:name w:val="Hyperlink"/>
    <w:qFormat/>
    <w:uiPriority w:val="99"/>
    <w:rPr>
      <w:color w:val="2B2B2B"/>
      <w:u w:val="none"/>
    </w:rPr>
  </w:style>
  <w:style w:type="character" w:styleId="58">
    <w:name w:val="annotation reference"/>
    <w:unhideWhenUsed/>
    <w:qFormat/>
    <w:uiPriority w:val="99"/>
    <w:rPr>
      <w:sz w:val="21"/>
      <w:szCs w:val="21"/>
    </w:rPr>
  </w:style>
  <w:style w:type="character" w:styleId="59">
    <w:name w:val="HTML Cite"/>
    <w:unhideWhenUsed/>
    <w:qFormat/>
    <w:uiPriority w:val="99"/>
    <w:rPr>
      <w:vanish/>
      <w:color w:val="008000"/>
      <w:sz w:val="18"/>
      <w:szCs w:val="18"/>
      <w:u w:val="single"/>
    </w:rPr>
  </w:style>
  <w:style w:type="paragraph" w:customStyle="1" w:styleId="60">
    <w:name w:val="xl27"/>
    <w:basedOn w:val="14"/>
    <w:qFormat/>
    <w:uiPriority w:val="99"/>
    <w:pPr>
      <w:widowControl/>
      <w:pBdr>
        <w:bottom w:val="single" w:color="auto" w:sz="4" w:space="0"/>
        <w:right w:val="single" w:color="auto" w:sz="4" w:space="0"/>
      </w:pBdr>
      <w:spacing w:before="100" w:beforeAutospacing="1" w:after="100" w:afterAutospacing="1"/>
      <w:jc w:val="center"/>
    </w:pPr>
    <w:rPr>
      <w:rFonts w:eastAsia="Arial Unicode MS"/>
      <w:kern w:val="0"/>
      <w:szCs w:val="21"/>
    </w:rPr>
  </w:style>
  <w:style w:type="paragraph" w:customStyle="1" w:styleId="61">
    <w:name w:val="0.0Dmx正文"/>
    <w:basedOn w:val="1"/>
    <w:qFormat/>
    <w:uiPriority w:val="0"/>
    <w:pPr>
      <w:widowControl/>
      <w:overflowPunct w:val="0"/>
      <w:spacing w:line="360" w:lineRule="auto"/>
      <w:ind w:firstLine="200"/>
    </w:pPr>
    <w:rPr>
      <w:color w:val="000000" w:themeColor="text1"/>
      <w:sz w:val="24"/>
      <w14:textFill>
        <w14:solidFill>
          <w14:schemeClr w14:val="tx1"/>
        </w14:solidFill>
      </w14:textFill>
    </w:rPr>
  </w:style>
  <w:style w:type="character" w:customStyle="1" w:styleId="62">
    <w:name w:val="标题 1 字符"/>
    <w:link w:val="3"/>
    <w:qFormat/>
    <w:uiPriority w:val="0"/>
    <w:rPr>
      <w:b/>
      <w:bCs/>
      <w:kern w:val="44"/>
      <w:sz w:val="44"/>
      <w:szCs w:val="44"/>
    </w:rPr>
  </w:style>
  <w:style w:type="character" w:customStyle="1" w:styleId="63">
    <w:name w:val="标题 3 字符"/>
    <w:link w:val="5"/>
    <w:qFormat/>
    <w:uiPriority w:val="0"/>
    <w:rPr>
      <w:rFonts w:ascii="Times New Roman" w:hAnsi="Times New Roman" w:eastAsia="宋体" w:cs="Times New Roman"/>
      <w:b/>
      <w:bCs/>
      <w:sz w:val="32"/>
      <w:szCs w:val="32"/>
    </w:rPr>
  </w:style>
  <w:style w:type="paragraph" w:customStyle="1" w:styleId="64">
    <w:name w:val="表头"/>
    <w:basedOn w:val="1"/>
    <w:link w:val="126"/>
    <w:qFormat/>
    <w:uiPriority w:val="0"/>
    <w:pPr>
      <w:tabs>
        <w:tab w:val="left" w:pos="1021"/>
      </w:tabs>
      <w:adjustRightInd w:val="0"/>
      <w:spacing w:line="300" w:lineRule="auto"/>
      <w:jc w:val="center"/>
    </w:pPr>
    <w:rPr>
      <w:b/>
      <w:color w:val="000000"/>
      <w:kern w:val="24"/>
      <w:szCs w:val="21"/>
    </w:rPr>
  </w:style>
  <w:style w:type="character" w:customStyle="1" w:styleId="65">
    <w:name w:val="表头 Char Char"/>
    <w:qFormat/>
    <w:uiPriority w:val="0"/>
    <w:rPr>
      <w:rFonts w:eastAsia="黑体"/>
      <w:snapToGrid/>
      <w:color w:val="000000"/>
      <w:sz w:val="21"/>
      <w:szCs w:val="26"/>
      <w:lang w:val="en-US" w:eastAsia="zh-CN" w:bidi="ar-SA"/>
    </w:rPr>
  </w:style>
  <w:style w:type="paragraph" w:customStyle="1" w:styleId="66">
    <w:name w:val="表格内文字"/>
    <w:basedOn w:val="1"/>
    <w:qFormat/>
    <w:uiPriority w:val="0"/>
    <w:pPr>
      <w:adjustRightInd w:val="0"/>
      <w:snapToGrid w:val="0"/>
      <w:jc w:val="center"/>
    </w:pPr>
    <w:rPr>
      <w:szCs w:val="24"/>
    </w:rPr>
  </w:style>
  <w:style w:type="paragraph" w:customStyle="1" w:styleId="67">
    <w:name w:val="0.0Dmx表内"/>
    <w:basedOn w:val="1"/>
    <w:next w:val="61"/>
    <w:qFormat/>
    <w:uiPriority w:val="0"/>
    <w:pPr>
      <w:widowControl/>
      <w:overflowPunct w:val="0"/>
      <w:spacing w:before="25" w:after="25"/>
      <w:jc w:val="center"/>
      <w:textAlignment w:val="center"/>
    </w:pPr>
    <w:rPr>
      <w:color w:val="000000"/>
      <w:kern w:val="18"/>
      <w:szCs w:val="21"/>
    </w:rPr>
  </w:style>
  <w:style w:type="character" w:customStyle="1" w:styleId="68">
    <w:name w:val="1表头 Char"/>
    <w:link w:val="69"/>
    <w:qFormat/>
    <w:uiPriority w:val="0"/>
    <w:rPr>
      <w:rFonts w:ascii="Times New Roman" w:hAnsi="Times New Roman"/>
      <w:b/>
      <w:kern w:val="2"/>
      <w:sz w:val="24"/>
      <w:szCs w:val="21"/>
    </w:rPr>
  </w:style>
  <w:style w:type="paragraph" w:customStyle="1" w:styleId="69">
    <w:name w:val="1表头"/>
    <w:basedOn w:val="1"/>
    <w:link w:val="68"/>
    <w:qFormat/>
    <w:uiPriority w:val="0"/>
    <w:pPr>
      <w:adjustRightInd w:val="0"/>
      <w:snapToGrid w:val="0"/>
      <w:jc w:val="center"/>
    </w:pPr>
    <w:rPr>
      <w:b/>
      <w:sz w:val="24"/>
      <w:szCs w:val="21"/>
    </w:rPr>
  </w:style>
  <w:style w:type="character" w:customStyle="1" w:styleId="70">
    <w:name w:val="标题 2 Char"/>
    <w:qFormat/>
    <w:uiPriority w:val="0"/>
    <w:rPr>
      <w:b/>
      <w:kern w:val="2"/>
      <w:sz w:val="30"/>
      <w:szCs w:val="24"/>
    </w:rPr>
  </w:style>
  <w:style w:type="character" w:customStyle="1" w:styleId="71">
    <w:name w:val="标题 4 Char"/>
    <w:qFormat/>
    <w:uiPriority w:val="0"/>
    <w:rPr>
      <w:b/>
      <w:kern w:val="2"/>
      <w:sz w:val="24"/>
      <w:szCs w:val="24"/>
    </w:rPr>
  </w:style>
  <w:style w:type="character" w:customStyle="1" w:styleId="72">
    <w:name w:val="标题 2 字符"/>
    <w:link w:val="4"/>
    <w:qFormat/>
    <w:uiPriority w:val="0"/>
    <w:rPr>
      <w:rFonts w:ascii="Cambria" w:hAnsi="Cambria" w:eastAsia="宋体" w:cs="Times New Roman"/>
      <w:b/>
      <w:bCs/>
      <w:kern w:val="2"/>
      <w:sz w:val="32"/>
      <w:szCs w:val="32"/>
    </w:rPr>
  </w:style>
  <w:style w:type="character" w:customStyle="1" w:styleId="73">
    <w:name w:val="标题 4 字符"/>
    <w:link w:val="6"/>
    <w:qFormat/>
    <w:uiPriority w:val="0"/>
    <w:rPr>
      <w:rFonts w:ascii="Times New Roman" w:hAnsi="Times New Roman"/>
      <w:b/>
      <w:kern w:val="2"/>
      <w:sz w:val="24"/>
      <w:szCs w:val="24"/>
    </w:rPr>
  </w:style>
  <w:style w:type="character" w:customStyle="1" w:styleId="74">
    <w:name w:val="标题 5 字符1"/>
    <w:link w:val="7"/>
    <w:qFormat/>
    <w:uiPriority w:val="0"/>
    <w:rPr>
      <w:rFonts w:ascii="Times New Roman" w:hAnsi="Times New Roman"/>
      <w:b/>
      <w:bCs/>
      <w:kern w:val="2"/>
      <w:sz w:val="24"/>
      <w:szCs w:val="28"/>
      <w:lang w:val="zh-CN"/>
    </w:rPr>
  </w:style>
  <w:style w:type="character" w:customStyle="1" w:styleId="75">
    <w:name w:val="标题 6 字符"/>
    <w:link w:val="8"/>
    <w:qFormat/>
    <w:uiPriority w:val="9"/>
    <w:rPr>
      <w:rFonts w:ascii="Cambria" w:hAnsi="Cambria"/>
      <w:b/>
      <w:kern w:val="2"/>
      <w:sz w:val="24"/>
    </w:rPr>
  </w:style>
  <w:style w:type="character" w:customStyle="1" w:styleId="76">
    <w:name w:val="标题 7 字符"/>
    <w:link w:val="9"/>
    <w:qFormat/>
    <w:uiPriority w:val="99"/>
    <w:rPr>
      <w:rFonts w:ascii="Times New Roman" w:hAnsi="Times New Roman"/>
      <w:b/>
      <w:kern w:val="2"/>
      <w:sz w:val="24"/>
    </w:rPr>
  </w:style>
  <w:style w:type="character" w:customStyle="1" w:styleId="77">
    <w:name w:val="标题 8 字符1"/>
    <w:link w:val="10"/>
    <w:qFormat/>
    <w:uiPriority w:val="0"/>
    <w:rPr>
      <w:rFonts w:hint="eastAsia" w:ascii="仿宋_GB2312" w:eastAsia="仿宋_GB2312" w:cs="仿宋_GB2312"/>
      <w:kern w:val="2"/>
      <w:sz w:val="28"/>
    </w:rPr>
  </w:style>
  <w:style w:type="character" w:customStyle="1" w:styleId="78">
    <w:name w:val="标题 9 字符"/>
    <w:link w:val="11"/>
    <w:qFormat/>
    <w:uiPriority w:val="99"/>
    <w:rPr>
      <w:rFonts w:ascii="Cambria" w:hAnsi="Cambria"/>
      <w:kern w:val="2"/>
    </w:rPr>
  </w:style>
  <w:style w:type="character" w:customStyle="1" w:styleId="79">
    <w:name w:val="注释标题 字符1"/>
    <w:link w:val="15"/>
    <w:qFormat/>
    <w:uiPriority w:val="0"/>
    <w:rPr>
      <w:rFonts w:hint="eastAsia" w:ascii="宋体" w:hAnsi="宋体" w:eastAsia="宋体" w:cs="宋体"/>
      <w:kern w:val="2"/>
      <w:sz w:val="21"/>
    </w:rPr>
  </w:style>
  <w:style w:type="character" w:customStyle="1" w:styleId="80">
    <w:name w:val="正文文本 字符"/>
    <w:link w:val="18"/>
    <w:qFormat/>
    <w:uiPriority w:val="99"/>
  </w:style>
  <w:style w:type="character" w:customStyle="1" w:styleId="81">
    <w:name w:val="正文文本首行缩进 字符"/>
    <w:link w:val="17"/>
    <w:qFormat/>
    <w:uiPriority w:val="0"/>
  </w:style>
  <w:style w:type="character" w:customStyle="1" w:styleId="82">
    <w:name w:val="正文缩进 字符"/>
    <w:link w:val="16"/>
    <w:qFormat/>
    <w:uiPriority w:val="0"/>
    <w:rPr>
      <w:rFonts w:eastAsia="黑体"/>
      <w:sz w:val="24"/>
      <w:szCs w:val="21"/>
    </w:rPr>
  </w:style>
  <w:style w:type="character" w:customStyle="1" w:styleId="83">
    <w:name w:val="题注 字符"/>
    <w:link w:val="19"/>
    <w:qFormat/>
    <w:locked/>
    <w:uiPriority w:val="0"/>
    <w:rPr>
      <w:rFonts w:ascii="Times New Roman" w:hAnsi="Times New Roman" w:eastAsia="黑体"/>
      <w:sz w:val="24"/>
    </w:rPr>
  </w:style>
  <w:style w:type="character" w:customStyle="1" w:styleId="84">
    <w:name w:val="文档结构图 字符"/>
    <w:link w:val="20"/>
    <w:semiHidden/>
    <w:qFormat/>
    <w:uiPriority w:val="99"/>
    <w:rPr>
      <w:rFonts w:ascii="宋体" w:eastAsia="宋体"/>
      <w:sz w:val="18"/>
      <w:szCs w:val="18"/>
    </w:rPr>
  </w:style>
  <w:style w:type="character" w:customStyle="1" w:styleId="85">
    <w:name w:val="批注文字 字符"/>
    <w:link w:val="21"/>
    <w:qFormat/>
    <w:uiPriority w:val="0"/>
    <w:rPr>
      <w:rFonts w:ascii="Calibri" w:hAnsi="Calibri" w:eastAsia="宋体" w:cs="Times New Roman"/>
    </w:rPr>
  </w:style>
  <w:style w:type="character" w:customStyle="1" w:styleId="86">
    <w:name w:val="正文文本 3 字符1"/>
    <w:link w:val="22"/>
    <w:qFormat/>
    <w:uiPriority w:val="0"/>
    <w:rPr>
      <w:kern w:val="2"/>
      <w:sz w:val="16"/>
      <w:szCs w:val="16"/>
    </w:rPr>
  </w:style>
  <w:style w:type="character" w:customStyle="1" w:styleId="87">
    <w:name w:val="正文文本缩进 字符"/>
    <w:link w:val="23"/>
    <w:qFormat/>
    <w:uiPriority w:val="99"/>
    <w:rPr>
      <w:rFonts w:ascii="Calibri" w:hAnsi="Calibri" w:eastAsia="宋体"/>
      <w:sz w:val="24"/>
    </w:rPr>
  </w:style>
  <w:style w:type="character" w:customStyle="1" w:styleId="88">
    <w:name w:val="纯文本 字符"/>
    <w:link w:val="27"/>
    <w:qFormat/>
    <w:uiPriority w:val="99"/>
    <w:rPr>
      <w:rFonts w:ascii="宋体" w:hAnsi="Courier New" w:eastAsia="宋体" w:cs="Times New Roman"/>
      <w:szCs w:val="21"/>
    </w:rPr>
  </w:style>
  <w:style w:type="character" w:customStyle="1" w:styleId="89">
    <w:name w:val="日期 字符1"/>
    <w:link w:val="29"/>
    <w:qFormat/>
    <w:locked/>
    <w:uiPriority w:val="0"/>
    <w:rPr>
      <w:rFonts w:ascii="Times New Roman" w:hAnsi="Times New Roman" w:eastAsia="宋体"/>
      <w:sz w:val="24"/>
    </w:rPr>
  </w:style>
  <w:style w:type="character" w:customStyle="1" w:styleId="90">
    <w:name w:val="正文文本缩进 2 字符"/>
    <w:link w:val="30"/>
    <w:qFormat/>
    <w:uiPriority w:val="99"/>
    <w:rPr>
      <w:rFonts w:ascii="宋体" w:hAnsi="宋体"/>
      <w:spacing w:val="-2"/>
      <w:kern w:val="2"/>
      <w:sz w:val="28"/>
      <w:szCs w:val="28"/>
    </w:rPr>
  </w:style>
  <w:style w:type="character" w:customStyle="1" w:styleId="91">
    <w:name w:val="批注框文本 字符"/>
    <w:link w:val="31"/>
    <w:semiHidden/>
    <w:qFormat/>
    <w:uiPriority w:val="99"/>
    <w:rPr>
      <w:sz w:val="18"/>
      <w:szCs w:val="18"/>
    </w:rPr>
  </w:style>
  <w:style w:type="character" w:customStyle="1" w:styleId="92">
    <w:name w:val="页脚 字符"/>
    <w:link w:val="32"/>
    <w:qFormat/>
    <w:uiPriority w:val="99"/>
    <w:rPr>
      <w:sz w:val="18"/>
      <w:szCs w:val="18"/>
    </w:rPr>
  </w:style>
  <w:style w:type="character" w:customStyle="1" w:styleId="93">
    <w:name w:val="页眉 字符"/>
    <w:link w:val="33"/>
    <w:qFormat/>
    <w:uiPriority w:val="99"/>
    <w:rPr>
      <w:sz w:val="18"/>
      <w:szCs w:val="18"/>
    </w:rPr>
  </w:style>
  <w:style w:type="character" w:customStyle="1" w:styleId="94">
    <w:name w:val="TOC 1 字符"/>
    <w:link w:val="34"/>
    <w:qFormat/>
    <w:uiPriority w:val="0"/>
    <w:rPr>
      <w:rFonts w:hint="default" w:ascii="Calibri" w:hAnsi="Calibri" w:eastAsia="宋体" w:cs="Times New Roman"/>
      <w:b/>
      <w:bCs/>
      <w:caps/>
      <w:kern w:val="2"/>
      <w:sz w:val="21"/>
      <w:szCs w:val="22"/>
    </w:rPr>
  </w:style>
  <w:style w:type="character" w:customStyle="1" w:styleId="95">
    <w:name w:val="副标题 字符1"/>
    <w:link w:val="36"/>
    <w:qFormat/>
    <w:uiPriority w:val="0"/>
    <w:rPr>
      <w:rFonts w:ascii="Cambria" w:hAnsi="Cambria"/>
      <w:b/>
      <w:bCs/>
      <w:kern w:val="28"/>
      <w:sz w:val="32"/>
      <w:szCs w:val="32"/>
      <w:lang w:val="zh-CN"/>
    </w:rPr>
  </w:style>
  <w:style w:type="character" w:customStyle="1" w:styleId="96">
    <w:name w:val="列表 字符"/>
    <w:link w:val="37"/>
    <w:qFormat/>
    <w:uiPriority w:val="0"/>
    <w:rPr>
      <w:kern w:val="2"/>
      <w:sz w:val="21"/>
      <w:szCs w:val="24"/>
    </w:rPr>
  </w:style>
  <w:style w:type="character" w:customStyle="1" w:styleId="97">
    <w:name w:val="脚注文本 字符1"/>
    <w:link w:val="38"/>
    <w:qFormat/>
    <w:uiPriority w:val="0"/>
    <w:rPr>
      <w:rFonts w:hint="default" w:ascii="Book Antiqua" w:hAnsi="Book Antiqua" w:eastAsia="Book Antiqua" w:cs="Book Antiqua"/>
      <w:kern w:val="2"/>
      <w:sz w:val="21"/>
      <w:lang w:eastAsia="en-US"/>
    </w:rPr>
  </w:style>
  <w:style w:type="character" w:customStyle="1" w:styleId="98">
    <w:name w:val="正文文本缩进 3 字符1"/>
    <w:link w:val="40"/>
    <w:qFormat/>
    <w:uiPriority w:val="0"/>
    <w:rPr>
      <w:kern w:val="2"/>
      <w:sz w:val="16"/>
      <w:szCs w:val="16"/>
    </w:rPr>
  </w:style>
  <w:style w:type="character" w:customStyle="1" w:styleId="99">
    <w:name w:val="正文文本 2 字符1"/>
    <w:link w:val="42"/>
    <w:qFormat/>
    <w:uiPriority w:val="0"/>
    <w:rPr>
      <w:kern w:val="2"/>
      <w:sz w:val="21"/>
      <w:szCs w:val="24"/>
    </w:rPr>
  </w:style>
  <w:style w:type="character" w:customStyle="1" w:styleId="100">
    <w:name w:val="HTML 预设格式 字符1"/>
    <w:link w:val="43"/>
    <w:qFormat/>
    <w:uiPriority w:val="0"/>
    <w:rPr>
      <w:rFonts w:hint="eastAsia" w:ascii="宋体" w:hAnsi="宋体" w:eastAsia="宋体" w:cs="Times New Roman"/>
      <w:kern w:val="2"/>
      <w:sz w:val="24"/>
      <w:szCs w:val="22"/>
    </w:rPr>
  </w:style>
  <w:style w:type="character" w:customStyle="1" w:styleId="101">
    <w:name w:val="普通(网站) 字符"/>
    <w:link w:val="44"/>
    <w:qFormat/>
    <w:locked/>
    <w:uiPriority w:val="0"/>
    <w:rPr>
      <w:rFonts w:ascii="宋体" w:hAnsi="宋体" w:eastAsia="宋体"/>
      <w:sz w:val="24"/>
    </w:rPr>
  </w:style>
  <w:style w:type="character" w:customStyle="1" w:styleId="102">
    <w:name w:val="标题 字符1"/>
    <w:link w:val="45"/>
    <w:qFormat/>
    <w:uiPriority w:val="0"/>
    <w:rPr>
      <w:rFonts w:ascii="Times New Roman" w:hAnsi="Times New Roman"/>
      <w:b/>
      <w:bCs/>
      <w:kern w:val="2"/>
      <w:sz w:val="32"/>
      <w:szCs w:val="32"/>
      <w:lang w:val="zh-CN"/>
    </w:rPr>
  </w:style>
  <w:style w:type="character" w:customStyle="1" w:styleId="103">
    <w:name w:val="批注主题 字符"/>
    <w:link w:val="46"/>
    <w:semiHidden/>
    <w:qFormat/>
    <w:uiPriority w:val="99"/>
    <w:rPr>
      <w:rFonts w:ascii="Calibri" w:hAnsi="Calibri" w:eastAsia="宋体" w:cs="Times New Roman"/>
      <w:b/>
      <w:bCs/>
    </w:rPr>
  </w:style>
  <w:style w:type="character" w:customStyle="1" w:styleId="104">
    <w:name w:val="正文文本首行缩进 2 字符"/>
    <w:link w:val="24"/>
    <w:qFormat/>
    <w:uiPriority w:val="0"/>
    <w:rPr>
      <w:rFonts w:ascii="Calibri" w:hAnsi="Calibri" w:eastAsia="宋体" w:cs="Times New Roman"/>
    </w:rPr>
  </w:style>
  <w:style w:type="character" w:customStyle="1" w:styleId="105">
    <w:name w:val="标题 2 字符1"/>
    <w:qFormat/>
    <w:uiPriority w:val="0"/>
    <w:rPr>
      <w:rFonts w:hint="default" w:ascii="Arial" w:hAnsi="Arial" w:eastAsia="黑体" w:cs="Arial"/>
      <w:b/>
      <w:bCs/>
      <w:kern w:val="2"/>
      <w:sz w:val="32"/>
      <w:szCs w:val="32"/>
    </w:rPr>
  </w:style>
  <w:style w:type="character" w:customStyle="1" w:styleId="106">
    <w:name w:val="标题 4 字符1"/>
    <w:qFormat/>
    <w:uiPriority w:val="0"/>
    <w:rPr>
      <w:rFonts w:hint="eastAsia" w:ascii="宋体" w:hAnsi="宋体" w:eastAsia="宋体" w:cs="宋体"/>
      <w:b/>
      <w:snapToGrid/>
      <w:sz w:val="24"/>
    </w:rPr>
  </w:style>
  <w:style w:type="character" w:customStyle="1" w:styleId="107">
    <w:name w:val="标题 6 字符1"/>
    <w:qFormat/>
    <w:uiPriority w:val="0"/>
    <w:rPr>
      <w:rFonts w:hint="default" w:ascii="Arial" w:hAnsi="Arial" w:eastAsia="黑体" w:cs="Arial"/>
      <w:b/>
      <w:snapToGrid/>
      <w:sz w:val="24"/>
    </w:rPr>
  </w:style>
  <w:style w:type="character" w:customStyle="1" w:styleId="108">
    <w:name w:val="标题 7 字符1"/>
    <w:qFormat/>
    <w:uiPriority w:val="0"/>
    <w:rPr>
      <w:rFonts w:hint="eastAsia" w:ascii="仿宋_GB2312" w:eastAsia="仿宋_GB2312" w:cs="仿宋_GB2312"/>
      <w:kern w:val="2"/>
      <w:sz w:val="28"/>
    </w:rPr>
  </w:style>
  <w:style w:type="character" w:customStyle="1" w:styleId="109">
    <w:name w:val="标题 9 字符1"/>
    <w:qFormat/>
    <w:uiPriority w:val="0"/>
    <w:rPr>
      <w:rFonts w:hint="eastAsia" w:ascii="仿宋_GB2312" w:eastAsia="仿宋_GB2312" w:cs="仿宋_GB2312"/>
      <w:kern w:val="2"/>
      <w:sz w:val="28"/>
    </w:rPr>
  </w:style>
  <w:style w:type="character" w:customStyle="1" w:styleId="110">
    <w:name w:val="正文文本缩进 2 字符1"/>
    <w:qFormat/>
    <w:uiPriority w:val="0"/>
    <w:rPr>
      <w:rFonts w:hint="default" w:ascii="Calibri" w:hAnsi="Calibri" w:eastAsia="宋体" w:cs="Times New Roman"/>
      <w:kern w:val="2"/>
      <w:sz w:val="21"/>
      <w:szCs w:val="24"/>
    </w:rPr>
  </w:style>
  <w:style w:type="paragraph" w:customStyle="1" w:styleId="111">
    <w:name w:val="Default"/>
    <w:basedOn w:val="112"/>
    <w:link w:val="113"/>
    <w:qFormat/>
    <w:uiPriority w:val="0"/>
    <w:pPr>
      <w:autoSpaceDE w:val="0"/>
      <w:autoSpaceDN w:val="0"/>
      <w:adjustRightInd w:val="0"/>
    </w:pPr>
    <w:rPr>
      <w:rFonts w:ascii="宋体"/>
      <w:color w:val="000000"/>
      <w:sz w:val="24"/>
      <w:szCs w:val="24"/>
    </w:rPr>
  </w:style>
  <w:style w:type="paragraph" w:customStyle="1" w:styleId="112">
    <w:name w:val="！正文 Alt+0"/>
    <w:basedOn w:val="1"/>
    <w:qFormat/>
    <w:uiPriority w:val="0"/>
    <w:pPr>
      <w:ind w:firstLine="200"/>
    </w:pPr>
    <w:rPr>
      <w:sz w:val="28"/>
      <w:szCs w:val="28"/>
    </w:rPr>
  </w:style>
  <w:style w:type="character" w:customStyle="1" w:styleId="113">
    <w:name w:val="Default Char"/>
    <w:link w:val="111"/>
    <w:qFormat/>
    <w:uiPriority w:val="0"/>
    <w:rPr>
      <w:rFonts w:ascii="宋体"/>
      <w:color w:val="000000"/>
      <w:sz w:val="24"/>
      <w:szCs w:val="24"/>
    </w:rPr>
  </w:style>
  <w:style w:type="character" w:customStyle="1" w:styleId="114">
    <w:name w:val="表格 Char"/>
    <w:link w:val="115"/>
    <w:qFormat/>
    <w:locked/>
    <w:uiPriority w:val="0"/>
    <w:rPr>
      <w:rFonts w:ascii="宋体" w:hAnsi="宋体" w:eastAsia="宋体"/>
    </w:rPr>
  </w:style>
  <w:style w:type="paragraph" w:customStyle="1" w:styleId="115">
    <w:name w:val="表格"/>
    <w:basedOn w:val="1"/>
    <w:next w:val="1"/>
    <w:link w:val="114"/>
    <w:qFormat/>
    <w:uiPriority w:val="0"/>
    <w:pPr>
      <w:adjustRightInd w:val="0"/>
      <w:snapToGrid w:val="0"/>
      <w:spacing w:beforeLines="10" w:line="256" w:lineRule="auto"/>
      <w:jc w:val="center"/>
    </w:pPr>
    <w:rPr>
      <w:rFonts w:ascii="宋体" w:hAnsi="宋体"/>
    </w:rPr>
  </w:style>
  <w:style w:type="character" w:customStyle="1" w:styleId="116">
    <w:name w:val="标题 3 Char"/>
    <w:qFormat/>
    <w:uiPriority w:val="0"/>
    <w:rPr>
      <w:b/>
      <w:bCs/>
      <w:sz w:val="32"/>
      <w:szCs w:val="32"/>
    </w:rPr>
  </w:style>
  <w:style w:type="paragraph" w:customStyle="1" w:styleId="117">
    <w:name w:val="Table Paragraph"/>
    <w:basedOn w:val="1"/>
    <w:qFormat/>
    <w:uiPriority w:val="1"/>
    <w:pPr>
      <w:jc w:val="left"/>
    </w:pPr>
    <w:rPr>
      <w:rFonts w:ascii="Calibri" w:hAnsi="Calibri"/>
      <w:kern w:val="0"/>
      <w:sz w:val="22"/>
      <w:lang w:eastAsia="en-US"/>
    </w:rPr>
  </w:style>
  <w:style w:type="paragraph" w:customStyle="1" w:styleId="118">
    <w:name w:val="列出段落1"/>
    <w:basedOn w:val="1"/>
    <w:qFormat/>
    <w:uiPriority w:val="34"/>
    <w:pPr>
      <w:jc w:val="left"/>
    </w:pPr>
    <w:rPr>
      <w:rFonts w:ascii="Calibri" w:hAnsi="Calibri"/>
      <w:kern w:val="0"/>
      <w:sz w:val="22"/>
      <w:lang w:eastAsia="en-US"/>
    </w:rPr>
  </w:style>
  <w:style w:type="paragraph" w:customStyle="1" w:styleId="119">
    <w:name w:val="表头样式"/>
    <w:basedOn w:val="1"/>
    <w:link w:val="120"/>
    <w:qFormat/>
    <w:uiPriority w:val="0"/>
    <w:pPr>
      <w:suppressAutoHyphens/>
      <w:adjustRightInd w:val="0"/>
      <w:snapToGrid w:val="0"/>
      <w:spacing w:line="240" w:lineRule="atLeast"/>
      <w:jc w:val="center"/>
    </w:pPr>
    <w:rPr>
      <w:b/>
      <w:kern w:val="0"/>
      <w:szCs w:val="21"/>
    </w:rPr>
  </w:style>
  <w:style w:type="character" w:customStyle="1" w:styleId="120">
    <w:name w:val="表头样式 Char"/>
    <w:link w:val="119"/>
    <w:qFormat/>
    <w:uiPriority w:val="0"/>
    <w:rPr>
      <w:rFonts w:ascii="Times New Roman" w:hAnsi="Times New Roman" w:eastAsia="宋体" w:cs="Times New Roman"/>
      <w:b/>
      <w:kern w:val="0"/>
      <w:szCs w:val="21"/>
    </w:rPr>
  </w:style>
  <w:style w:type="character" w:customStyle="1" w:styleId="121">
    <w:name w:val="段落(G) Char Char"/>
    <w:link w:val="122"/>
    <w:qFormat/>
    <w:uiPriority w:val="0"/>
    <w:rPr>
      <w:rFonts w:ascii="Arial" w:hAnsi="Arial" w:eastAsia="宋体"/>
      <w:color w:val="000000"/>
      <w:kern w:val="24"/>
      <w:szCs w:val="24"/>
      <w:lang w:val="zh-CN"/>
    </w:rPr>
  </w:style>
  <w:style w:type="paragraph" w:customStyle="1" w:styleId="122">
    <w:name w:val="段落(G)"/>
    <w:basedOn w:val="1"/>
    <w:link w:val="121"/>
    <w:qFormat/>
    <w:uiPriority w:val="0"/>
    <w:pPr>
      <w:tabs>
        <w:tab w:val="left" w:pos="1320"/>
      </w:tabs>
      <w:spacing w:line="360" w:lineRule="auto"/>
      <w:ind w:firstLine="480" w:firstLineChars="200"/>
    </w:pPr>
    <w:rPr>
      <w:rFonts w:ascii="Arial" w:hAnsi="Arial"/>
      <w:color w:val="000000"/>
      <w:kern w:val="24"/>
      <w:szCs w:val="24"/>
      <w:lang w:val="zh-CN"/>
    </w:rPr>
  </w:style>
  <w:style w:type="character" w:customStyle="1" w:styleId="123">
    <w:name w:val="表头1 Char"/>
    <w:link w:val="124"/>
    <w:qFormat/>
    <w:uiPriority w:val="0"/>
    <w:rPr>
      <w:rFonts w:eastAsia="宋体"/>
      <w:b/>
      <w:color w:val="000000"/>
      <w:szCs w:val="21"/>
    </w:rPr>
  </w:style>
  <w:style w:type="paragraph" w:customStyle="1" w:styleId="124">
    <w:name w:val="表头1"/>
    <w:basedOn w:val="1"/>
    <w:link w:val="123"/>
    <w:qFormat/>
    <w:uiPriority w:val="0"/>
    <w:pPr>
      <w:overflowPunct w:val="0"/>
      <w:autoSpaceDE w:val="0"/>
      <w:autoSpaceDN w:val="0"/>
      <w:adjustRightInd w:val="0"/>
      <w:snapToGrid w:val="0"/>
      <w:spacing w:line="360" w:lineRule="auto"/>
      <w:jc w:val="center"/>
      <w:textAlignment w:val="baseline"/>
    </w:pPr>
    <w:rPr>
      <w:b/>
      <w:color w:val="000000"/>
      <w:szCs w:val="21"/>
    </w:rPr>
  </w:style>
  <w:style w:type="character" w:customStyle="1" w:styleId="125">
    <w:name w:val="正文文本缩进 Char1"/>
    <w:semiHidden/>
    <w:qFormat/>
    <w:uiPriority w:val="99"/>
  </w:style>
  <w:style w:type="character" w:customStyle="1" w:styleId="126">
    <w:name w:val="表头 Char1"/>
    <w:link w:val="64"/>
    <w:qFormat/>
    <w:uiPriority w:val="0"/>
    <w:rPr>
      <w:rFonts w:eastAsia="宋体"/>
      <w:b/>
      <w:color w:val="000000"/>
      <w:kern w:val="24"/>
      <w:szCs w:val="21"/>
    </w:rPr>
  </w:style>
  <w:style w:type="paragraph" w:customStyle="1" w:styleId="127">
    <w:name w:val="正文_32"/>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8">
    <w:name w:val="_Style 2"/>
    <w:qFormat/>
    <w:uiPriority w:val="0"/>
    <w:pPr>
      <w:widowControl w:val="0"/>
      <w:spacing w:line="360" w:lineRule="exact"/>
      <w:jc w:val="center"/>
    </w:pPr>
    <w:rPr>
      <w:rFonts w:ascii="Times New Roman" w:hAnsi="Times New Roman" w:eastAsia="新宋体" w:cs="Times New Roman"/>
      <w:kern w:val="2"/>
      <w:sz w:val="21"/>
      <w:szCs w:val="22"/>
      <w:lang w:val="en-US" w:eastAsia="zh-CN" w:bidi="ar-SA"/>
    </w:rPr>
  </w:style>
  <w:style w:type="paragraph" w:customStyle="1" w:styleId="129">
    <w:name w:val="正文1"/>
    <w:link w:val="130"/>
    <w:qFormat/>
    <w:uiPriority w:val="0"/>
    <w:pPr>
      <w:jc w:val="both"/>
    </w:pPr>
    <w:rPr>
      <w:rFonts w:ascii="Times New Roman" w:hAnsi="Times New Roman" w:eastAsia="宋体" w:cs="Times New Roman"/>
      <w:kern w:val="2"/>
      <w:sz w:val="21"/>
      <w:szCs w:val="21"/>
      <w:lang w:val="en-US" w:eastAsia="zh-CN" w:bidi="ar-SA"/>
    </w:rPr>
  </w:style>
  <w:style w:type="character" w:customStyle="1" w:styleId="130">
    <w:name w:val="正文1 Char"/>
    <w:link w:val="129"/>
    <w:qFormat/>
    <w:uiPriority w:val="0"/>
    <w:rPr>
      <w:rFonts w:ascii="Times New Roman" w:hAnsi="Times New Roman"/>
      <w:kern w:val="2"/>
      <w:sz w:val="21"/>
      <w:szCs w:val="21"/>
    </w:rPr>
  </w:style>
  <w:style w:type="paragraph" w:customStyle="1" w:styleId="131">
    <w:name w:val="1文章"/>
    <w:basedOn w:val="1"/>
    <w:qFormat/>
    <w:uiPriority w:val="0"/>
    <w:pPr>
      <w:snapToGrid w:val="0"/>
      <w:spacing w:line="360" w:lineRule="auto"/>
      <w:ind w:firstLine="573"/>
    </w:pPr>
    <w:rPr>
      <w:rFonts w:eastAsia="仿宋_GB2312"/>
      <w:sz w:val="28"/>
      <w:szCs w:val="20"/>
    </w:rPr>
  </w:style>
  <w:style w:type="character" w:customStyle="1" w:styleId="132">
    <w:name w:val="表文字 Char1"/>
    <w:link w:val="133"/>
    <w:qFormat/>
    <w:uiPriority w:val="0"/>
    <w:rPr>
      <w:rFonts w:eastAsia="宋体"/>
      <w:sz w:val="24"/>
      <w:szCs w:val="21"/>
    </w:rPr>
  </w:style>
  <w:style w:type="paragraph" w:customStyle="1" w:styleId="133">
    <w:name w:val="表文字"/>
    <w:basedOn w:val="1"/>
    <w:link w:val="132"/>
    <w:qFormat/>
    <w:uiPriority w:val="99"/>
    <w:pPr>
      <w:overflowPunct w:val="0"/>
      <w:autoSpaceDE w:val="0"/>
      <w:autoSpaceDN w:val="0"/>
      <w:adjustRightInd w:val="0"/>
      <w:spacing w:line="240" w:lineRule="atLeast"/>
      <w:textAlignment w:val="baseline"/>
    </w:pPr>
    <w:rPr>
      <w:sz w:val="24"/>
      <w:szCs w:val="21"/>
    </w:rPr>
  </w:style>
  <w:style w:type="paragraph" w:customStyle="1" w:styleId="134">
    <w:name w:val="列出段落2"/>
    <w:basedOn w:val="1"/>
    <w:qFormat/>
    <w:uiPriority w:val="34"/>
    <w:pPr>
      <w:ind w:firstLine="420" w:firstLineChars="200"/>
    </w:pPr>
  </w:style>
  <w:style w:type="character" w:customStyle="1" w:styleId="135">
    <w:name w:val="表格文字 Char"/>
    <w:link w:val="136"/>
    <w:qFormat/>
    <w:uiPriority w:val="0"/>
    <w:rPr>
      <w:rFonts w:eastAsia="宋体"/>
    </w:rPr>
  </w:style>
  <w:style w:type="paragraph" w:customStyle="1" w:styleId="136">
    <w:name w:val="表格文字"/>
    <w:basedOn w:val="17"/>
    <w:link w:val="135"/>
    <w:qFormat/>
    <w:uiPriority w:val="0"/>
    <w:pPr>
      <w:adjustRightInd w:val="0"/>
      <w:snapToGrid w:val="0"/>
      <w:spacing w:beforeLines="50" w:after="0" w:line="360" w:lineRule="auto"/>
      <w:ind w:firstLine="200" w:firstLineChars="200"/>
      <w:jc w:val="center"/>
      <w:textAlignment w:val="center"/>
    </w:pPr>
  </w:style>
  <w:style w:type="character" w:customStyle="1" w:styleId="137">
    <w:name w:val="段落 Char"/>
    <w:link w:val="138"/>
    <w:qFormat/>
    <w:uiPriority w:val="0"/>
    <w:rPr>
      <w:rFonts w:hAnsi="宋体" w:eastAsia="宋体"/>
      <w:kern w:val="24"/>
      <w:sz w:val="24"/>
      <w:szCs w:val="24"/>
    </w:rPr>
  </w:style>
  <w:style w:type="paragraph" w:customStyle="1" w:styleId="138">
    <w:name w:val="段落"/>
    <w:basedOn w:val="1"/>
    <w:link w:val="137"/>
    <w:qFormat/>
    <w:uiPriority w:val="0"/>
    <w:pPr>
      <w:tabs>
        <w:tab w:val="left" w:pos="780"/>
      </w:tabs>
      <w:adjustRightInd w:val="0"/>
      <w:snapToGrid w:val="0"/>
      <w:spacing w:line="360" w:lineRule="auto"/>
      <w:ind w:firstLine="480" w:firstLineChars="200"/>
    </w:pPr>
    <w:rPr>
      <w:rFonts w:hAnsi="宋体"/>
      <w:kern w:val="24"/>
      <w:sz w:val="24"/>
      <w:szCs w:val="24"/>
    </w:rPr>
  </w:style>
  <w:style w:type="character" w:customStyle="1" w:styleId="139">
    <w:name w:val="表文字 Char"/>
    <w:qFormat/>
    <w:uiPriority w:val="0"/>
    <w:rPr>
      <w:rFonts w:ascii="宋体" w:hAnsi="Times New Roman" w:eastAsia="宋体" w:cs="Times New Roman"/>
      <w:color w:val="000000"/>
      <w:kern w:val="0"/>
      <w:szCs w:val="20"/>
    </w:rPr>
  </w:style>
  <w:style w:type="character" w:customStyle="1" w:styleId="140">
    <w:name w:val="正文文本首行缩进 2 字符1"/>
    <w:semiHidden/>
    <w:qFormat/>
    <w:uiPriority w:val="0"/>
    <w:rPr>
      <w:rFonts w:ascii="Calibri" w:hAnsi="Calibri" w:eastAsia="宋体"/>
      <w:sz w:val="24"/>
    </w:rPr>
  </w:style>
  <w:style w:type="paragraph" w:customStyle="1" w:styleId="141">
    <w:name w:val="表头字体宋"/>
    <w:basedOn w:val="1"/>
    <w:qFormat/>
    <w:uiPriority w:val="0"/>
    <w:pPr>
      <w:widowControl/>
      <w:spacing w:line="500" w:lineRule="exact"/>
      <w:jc w:val="center"/>
    </w:pPr>
    <w:rPr>
      <w:rFonts w:ascii="宋体" w:hAnsi="宋体" w:cs="宋体"/>
      <w:b/>
      <w:bCs/>
      <w:kern w:val="0"/>
      <w:sz w:val="24"/>
      <w:szCs w:val="20"/>
    </w:rPr>
  </w:style>
  <w:style w:type="character" w:customStyle="1" w:styleId="142">
    <w:name w:val="fontstyle01"/>
    <w:qFormat/>
    <w:uiPriority w:val="0"/>
    <w:rPr>
      <w:rFonts w:hint="eastAsia" w:ascii="宋体" w:hAnsi="宋体" w:eastAsia="宋体"/>
      <w:color w:val="000000"/>
      <w:sz w:val="24"/>
      <w:szCs w:val="24"/>
    </w:rPr>
  </w:style>
  <w:style w:type="character" w:customStyle="1" w:styleId="143">
    <w:name w:val="批注文字 字符1"/>
    <w:qFormat/>
    <w:uiPriority w:val="99"/>
  </w:style>
  <w:style w:type="character" w:customStyle="1" w:styleId="144">
    <w:name w:val="表格内容 Char"/>
    <w:link w:val="145"/>
    <w:qFormat/>
    <w:locked/>
    <w:uiPriority w:val="0"/>
    <w:rPr>
      <w:rFonts w:ascii="Times New Roman" w:hAnsi="Times New Roman"/>
    </w:rPr>
  </w:style>
  <w:style w:type="paragraph" w:customStyle="1" w:styleId="145">
    <w:name w:val="表格内容"/>
    <w:basedOn w:val="1"/>
    <w:link w:val="144"/>
    <w:qFormat/>
    <w:uiPriority w:val="0"/>
    <w:pPr>
      <w:widowControl/>
      <w:jc w:val="center"/>
    </w:pPr>
  </w:style>
  <w:style w:type="character" w:customStyle="1" w:styleId="146">
    <w:name w:val="纯文本 字符1"/>
    <w:qFormat/>
    <w:uiPriority w:val="0"/>
    <w:rPr>
      <w:rFonts w:ascii="宋体" w:hAnsi="Courier New" w:cs="Courier New"/>
    </w:rPr>
  </w:style>
  <w:style w:type="paragraph" w:customStyle="1" w:styleId="147">
    <w:name w:val="列表段落1"/>
    <w:basedOn w:val="1"/>
    <w:qFormat/>
    <w:uiPriority w:val="99"/>
    <w:pPr>
      <w:ind w:firstLine="420" w:firstLineChars="200"/>
    </w:pPr>
    <w:rPr>
      <w:szCs w:val="24"/>
    </w:rPr>
  </w:style>
  <w:style w:type="paragraph" w:customStyle="1" w:styleId="148">
    <w:name w:val="居中正文"/>
    <w:basedOn w:val="1"/>
    <w:next w:val="1"/>
    <w:qFormat/>
    <w:uiPriority w:val="0"/>
    <w:pPr>
      <w:adjustRightInd w:val="0"/>
      <w:spacing w:before="120" w:line="360" w:lineRule="auto"/>
      <w:jc w:val="center"/>
    </w:pPr>
    <w:rPr>
      <w:rFonts w:ascii="宋体"/>
      <w:kern w:val="28"/>
      <w:sz w:val="24"/>
      <w:szCs w:val="20"/>
    </w:rPr>
  </w:style>
  <w:style w:type="paragraph" w:customStyle="1" w:styleId="149">
    <w:name w:val="正文文本首行缩进1"/>
    <w:basedOn w:val="1"/>
    <w:qFormat/>
    <w:uiPriority w:val="0"/>
    <w:pPr>
      <w:adjustRightInd w:val="0"/>
      <w:snapToGrid w:val="0"/>
      <w:spacing w:line="360" w:lineRule="auto"/>
      <w:ind w:firstLine="200" w:firstLineChars="200"/>
    </w:pPr>
    <w:rPr>
      <w:sz w:val="24"/>
      <w:szCs w:val="21"/>
    </w:rPr>
  </w:style>
  <w:style w:type="paragraph" w:customStyle="1" w:styleId="150">
    <w:name w:val="标题 41"/>
    <w:basedOn w:val="1"/>
    <w:qFormat/>
    <w:uiPriority w:val="0"/>
    <w:pPr>
      <w:autoSpaceDE w:val="0"/>
      <w:autoSpaceDN w:val="0"/>
      <w:adjustRightInd w:val="0"/>
      <w:spacing w:before="26"/>
      <w:ind w:left="326"/>
      <w:jc w:val="left"/>
      <w:outlineLvl w:val="3"/>
    </w:pPr>
    <w:rPr>
      <w:rFonts w:ascii="宋体" w:cs="宋体"/>
      <w:b/>
      <w:bCs/>
      <w:kern w:val="0"/>
      <w:sz w:val="24"/>
      <w:szCs w:val="24"/>
    </w:rPr>
  </w:style>
  <w:style w:type="character" w:customStyle="1" w:styleId="151">
    <w:name w:val="表标题 Char"/>
    <w:link w:val="152"/>
    <w:qFormat/>
    <w:uiPriority w:val="0"/>
    <w:rPr>
      <w:rFonts w:eastAsia="黑体"/>
      <w:sz w:val="24"/>
    </w:rPr>
  </w:style>
  <w:style w:type="paragraph" w:customStyle="1" w:styleId="152">
    <w:name w:val="表标题"/>
    <w:basedOn w:val="1"/>
    <w:next w:val="1"/>
    <w:link w:val="151"/>
    <w:qFormat/>
    <w:uiPriority w:val="0"/>
    <w:pPr>
      <w:spacing w:line="360" w:lineRule="auto"/>
      <w:jc w:val="center"/>
    </w:pPr>
    <w:rPr>
      <w:rFonts w:eastAsia="黑体"/>
      <w:sz w:val="24"/>
    </w:rPr>
  </w:style>
  <w:style w:type="character" w:customStyle="1" w:styleId="153">
    <w:name w:val="fontstyle11"/>
    <w:qFormat/>
    <w:uiPriority w:val="0"/>
    <w:rPr>
      <w:rFonts w:hint="default" w:ascii="TimesNewRomanPSMT" w:hAnsi="TimesNewRomanPSMT"/>
      <w:color w:val="000000"/>
      <w:sz w:val="22"/>
      <w:szCs w:val="22"/>
    </w:rPr>
  </w:style>
  <w:style w:type="paragraph" w:customStyle="1" w:styleId="154">
    <w:name w:val="表文"/>
    <w:basedOn w:val="1"/>
    <w:link w:val="155"/>
    <w:qFormat/>
    <w:uiPriority w:val="0"/>
    <w:pPr>
      <w:tabs>
        <w:tab w:val="left" w:pos="1021"/>
      </w:tabs>
      <w:jc w:val="center"/>
    </w:pPr>
    <w:rPr>
      <w:kern w:val="0"/>
      <w:position w:val="-24"/>
      <w:szCs w:val="21"/>
    </w:rPr>
  </w:style>
  <w:style w:type="character" w:customStyle="1" w:styleId="155">
    <w:name w:val="表文 Char"/>
    <w:link w:val="154"/>
    <w:qFormat/>
    <w:locked/>
    <w:uiPriority w:val="0"/>
    <w:rPr>
      <w:rFonts w:ascii="Times New Roman" w:hAnsi="Times New Roman" w:eastAsia="宋体" w:cs="Times New Roman"/>
      <w:kern w:val="0"/>
      <w:position w:val="-24"/>
      <w:szCs w:val="21"/>
    </w:rPr>
  </w:style>
  <w:style w:type="paragraph" w:customStyle="1" w:styleId="156">
    <w:name w:val="表"/>
    <w:basedOn w:val="1"/>
    <w:link w:val="157"/>
    <w:qFormat/>
    <w:uiPriority w:val="0"/>
    <w:pPr>
      <w:jc w:val="center"/>
    </w:pPr>
  </w:style>
  <w:style w:type="character" w:customStyle="1" w:styleId="157">
    <w:name w:val="表 Char"/>
    <w:link w:val="156"/>
    <w:qFormat/>
    <w:locked/>
    <w:uiPriority w:val="0"/>
    <w:rPr>
      <w:kern w:val="2"/>
      <w:sz w:val="21"/>
      <w:szCs w:val="22"/>
    </w:rPr>
  </w:style>
  <w:style w:type="paragraph" w:customStyle="1" w:styleId="158">
    <w:name w:val="Char"/>
    <w:basedOn w:val="1"/>
    <w:qFormat/>
    <w:uiPriority w:val="0"/>
    <w:rPr>
      <w:sz w:val="24"/>
    </w:rPr>
  </w:style>
  <w:style w:type="paragraph" w:customStyle="1" w:styleId="159">
    <w:name w:val="03WX"/>
    <w:basedOn w:val="1"/>
    <w:next w:val="1"/>
    <w:qFormat/>
    <w:uiPriority w:val="0"/>
    <w:pPr>
      <w:numPr>
        <w:ilvl w:val="2"/>
        <w:numId w:val="1"/>
      </w:numPr>
      <w:spacing w:line="360" w:lineRule="auto"/>
      <w:outlineLvl w:val="2"/>
    </w:pPr>
    <w:rPr>
      <w:b/>
      <w:kern w:val="0"/>
      <w:sz w:val="24"/>
      <w:szCs w:val="24"/>
    </w:rPr>
  </w:style>
  <w:style w:type="paragraph" w:customStyle="1" w:styleId="160">
    <w:name w:val="02WX"/>
    <w:basedOn w:val="1"/>
    <w:next w:val="1"/>
    <w:qFormat/>
    <w:uiPriority w:val="0"/>
    <w:pPr>
      <w:numPr>
        <w:ilvl w:val="1"/>
        <w:numId w:val="1"/>
      </w:numPr>
      <w:spacing w:line="360" w:lineRule="auto"/>
      <w:outlineLvl w:val="1"/>
    </w:pPr>
    <w:rPr>
      <w:b/>
      <w:kern w:val="0"/>
      <w:sz w:val="28"/>
      <w:szCs w:val="24"/>
    </w:rPr>
  </w:style>
  <w:style w:type="paragraph" w:customStyle="1" w:styleId="161">
    <w:name w:val="01WX"/>
    <w:basedOn w:val="1"/>
    <w:next w:val="1"/>
    <w:qFormat/>
    <w:uiPriority w:val="0"/>
    <w:pPr>
      <w:numPr>
        <w:ilvl w:val="0"/>
        <w:numId w:val="1"/>
      </w:numPr>
      <w:spacing w:line="360" w:lineRule="auto"/>
      <w:jc w:val="center"/>
      <w:outlineLvl w:val="0"/>
    </w:pPr>
    <w:rPr>
      <w:b/>
      <w:kern w:val="0"/>
      <w:sz w:val="30"/>
      <w:szCs w:val="24"/>
    </w:rPr>
  </w:style>
  <w:style w:type="paragraph" w:customStyle="1" w:styleId="162">
    <w:name w:val="04WX"/>
    <w:basedOn w:val="1"/>
    <w:next w:val="1"/>
    <w:qFormat/>
    <w:uiPriority w:val="0"/>
    <w:pPr>
      <w:numPr>
        <w:ilvl w:val="3"/>
        <w:numId w:val="1"/>
      </w:numPr>
      <w:spacing w:line="360" w:lineRule="auto"/>
      <w:outlineLvl w:val="3"/>
    </w:pPr>
    <w:rPr>
      <w:b/>
      <w:kern w:val="0"/>
      <w:sz w:val="24"/>
      <w:szCs w:val="24"/>
    </w:rPr>
  </w:style>
  <w:style w:type="paragraph" w:customStyle="1" w:styleId="163">
    <w:name w:val="05WX"/>
    <w:basedOn w:val="1"/>
    <w:next w:val="1"/>
    <w:link w:val="164"/>
    <w:qFormat/>
    <w:uiPriority w:val="0"/>
    <w:pPr>
      <w:numPr>
        <w:ilvl w:val="4"/>
        <w:numId w:val="1"/>
      </w:numPr>
      <w:spacing w:line="360" w:lineRule="auto"/>
      <w:jc w:val="center"/>
      <w:outlineLvl w:val="4"/>
    </w:pPr>
    <w:rPr>
      <w:b/>
      <w:kern w:val="0"/>
      <w:sz w:val="24"/>
      <w:szCs w:val="24"/>
    </w:rPr>
  </w:style>
  <w:style w:type="character" w:customStyle="1" w:styleId="164">
    <w:name w:val="05WX 字符"/>
    <w:link w:val="163"/>
    <w:qFormat/>
    <w:uiPriority w:val="0"/>
    <w:rPr>
      <w:rFonts w:ascii="Times New Roman" w:hAnsi="Times New Roman" w:eastAsia="宋体" w:cs="Times New Roman"/>
      <w:b/>
      <w:kern w:val="0"/>
      <w:sz w:val="24"/>
      <w:szCs w:val="24"/>
    </w:rPr>
  </w:style>
  <w:style w:type="paragraph" w:customStyle="1" w:styleId="165">
    <w:name w:val="样式 首行缩进:  1 厘米 行距: 固定值 25 磅"/>
    <w:basedOn w:val="1"/>
    <w:qFormat/>
    <w:uiPriority w:val="0"/>
    <w:pPr>
      <w:adjustRightInd w:val="0"/>
      <w:spacing w:line="360" w:lineRule="auto"/>
      <w:ind w:firstLine="200" w:firstLineChars="200"/>
      <w:jc w:val="left"/>
      <w:textAlignment w:val="baseline"/>
    </w:pPr>
    <w:rPr>
      <w:rFonts w:ascii="宋体" w:cs="宋体"/>
      <w:snapToGrid w:val="0"/>
      <w:kern w:val="24"/>
      <w:sz w:val="24"/>
      <w:szCs w:val="24"/>
    </w:rPr>
  </w:style>
  <w:style w:type="paragraph" w:customStyle="1" w:styleId="166">
    <w:name w:val="样式 宋体 13.5 磅 行距: 1.5 倍行距"/>
    <w:basedOn w:val="1"/>
    <w:qFormat/>
    <w:uiPriority w:val="0"/>
    <w:pPr>
      <w:spacing w:before="50" w:after="50" w:line="500" w:lineRule="exact"/>
      <w:ind w:firstLine="480" w:firstLineChars="200"/>
    </w:pPr>
    <w:rPr>
      <w:rFonts w:ascii="宋体" w:hAnsi="宋体" w:cs="宋体"/>
      <w:bCs/>
      <w:sz w:val="24"/>
      <w:szCs w:val="24"/>
    </w:rPr>
  </w:style>
  <w:style w:type="character" w:customStyle="1" w:styleId="167">
    <w:name w:val="正文首行缩进 Char1"/>
    <w:link w:val="168"/>
    <w:qFormat/>
    <w:uiPriority w:val="99"/>
    <w:rPr>
      <w:rFonts w:eastAsia="宋体"/>
      <w:szCs w:val="24"/>
    </w:rPr>
  </w:style>
  <w:style w:type="paragraph" w:customStyle="1" w:styleId="168">
    <w:name w:val="正文首行缩进1"/>
    <w:basedOn w:val="18"/>
    <w:link w:val="167"/>
    <w:qFormat/>
    <w:uiPriority w:val="99"/>
    <w:pPr>
      <w:ind w:firstLine="420" w:firstLineChars="100"/>
    </w:pPr>
    <w:rPr>
      <w:szCs w:val="24"/>
    </w:rPr>
  </w:style>
  <w:style w:type="paragraph" w:customStyle="1" w:styleId="169">
    <w:name w:val="修订1"/>
    <w:qFormat/>
    <w:uiPriority w:val="99"/>
    <w:rPr>
      <w:rFonts w:ascii="Times New Roman" w:hAnsi="Times New Roman" w:eastAsia="宋体" w:cs="Times New Roman"/>
      <w:kern w:val="2"/>
      <w:sz w:val="21"/>
      <w:szCs w:val="22"/>
      <w:lang w:val="en-US" w:eastAsia="zh-CN" w:bidi="ar-SA"/>
    </w:rPr>
  </w:style>
  <w:style w:type="character" w:customStyle="1" w:styleId="170">
    <w:name w:val="批注文字 Char"/>
    <w:qFormat/>
    <w:locked/>
    <w:uiPriority w:val="0"/>
    <w:rPr>
      <w:rFonts w:ascii="Times New Roman" w:hAnsi="Times New Roman" w:eastAsia="宋体"/>
      <w:sz w:val="24"/>
    </w:rPr>
  </w:style>
  <w:style w:type="character" w:customStyle="1" w:styleId="171">
    <w:name w:val="日期 字符"/>
    <w:semiHidden/>
    <w:qFormat/>
    <w:uiPriority w:val="99"/>
  </w:style>
  <w:style w:type="character" w:customStyle="1" w:styleId="172">
    <w:name w:val="题注 字符2"/>
    <w:qFormat/>
    <w:uiPriority w:val="0"/>
    <w:rPr>
      <w:rFonts w:eastAsia="黑体" w:cs="Times New Roman"/>
      <w:sz w:val="24"/>
    </w:rPr>
  </w:style>
  <w:style w:type="paragraph" w:customStyle="1" w:styleId="173">
    <w:name w:val="9"/>
    <w:basedOn w:val="23"/>
    <w:next w:val="24"/>
    <w:qFormat/>
    <w:uiPriority w:val="0"/>
    <w:pPr>
      <w:ind w:firstLine="420"/>
    </w:pPr>
    <w:rPr>
      <w:szCs w:val="24"/>
    </w:rPr>
  </w:style>
  <w:style w:type="character" w:customStyle="1" w:styleId="174">
    <w:name w:val="报告书正文 Char"/>
    <w:link w:val="175"/>
    <w:qFormat/>
    <w:uiPriority w:val="0"/>
    <w:rPr>
      <w:kern w:val="2"/>
      <w:sz w:val="24"/>
    </w:rPr>
  </w:style>
  <w:style w:type="paragraph" w:customStyle="1" w:styleId="175">
    <w:name w:val="报告书正文"/>
    <w:basedOn w:val="1"/>
    <w:link w:val="174"/>
    <w:qFormat/>
    <w:uiPriority w:val="0"/>
    <w:pPr>
      <w:adjustRightInd w:val="0"/>
      <w:spacing w:line="360" w:lineRule="auto"/>
      <w:ind w:firstLine="200" w:firstLineChars="200"/>
      <w:textAlignment w:val="baseline"/>
    </w:pPr>
    <w:rPr>
      <w:sz w:val="24"/>
      <w:szCs w:val="20"/>
    </w:rPr>
  </w:style>
  <w:style w:type="paragraph" w:customStyle="1" w:styleId="176">
    <w:name w:val="TOC 标题1"/>
    <w:basedOn w:val="3"/>
    <w:next w:val="1"/>
    <w:unhideWhenUsed/>
    <w:qFormat/>
    <w:uiPriority w:val="39"/>
    <w:pPr>
      <w:widowControl/>
      <w:spacing w:before="240" w:after="0" w:line="259" w:lineRule="auto"/>
      <w:jc w:val="left"/>
      <w:outlineLvl w:val="9"/>
    </w:pPr>
    <w:rPr>
      <w:rFonts w:ascii="Cambria" w:hAnsi="Cambria"/>
      <w:b w:val="0"/>
      <w:bCs w:val="0"/>
      <w:color w:val="366091"/>
      <w:kern w:val="0"/>
      <w:sz w:val="32"/>
      <w:szCs w:val="32"/>
    </w:rPr>
  </w:style>
  <w:style w:type="paragraph" w:customStyle="1" w:styleId="177">
    <w:name w:val="环评正文"/>
    <w:basedOn w:val="1"/>
    <w:qFormat/>
    <w:uiPriority w:val="0"/>
    <w:pPr>
      <w:spacing w:line="360" w:lineRule="auto"/>
      <w:ind w:firstLine="480" w:firstLineChars="200"/>
    </w:pPr>
    <w:rPr>
      <w:sz w:val="24"/>
      <w:szCs w:val="24"/>
    </w:rPr>
  </w:style>
  <w:style w:type="paragraph" w:customStyle="1" w:styleId="178">
    <w:name w:val="列表段落11"/>
    <w:basedOn w:val="1"/>
    <w:qFormat/>
    <w:uiPriority w:val="99"/>
    <w:pPr>
      <w:ind w:firstLine="420" w:firstLineChars="200"/>
    </w:pPr>
    <w:rPr>
      <w:szCs w:val="24"/>
    </w:rPr>
  </w:style>
  <w:style w:type="table" w:customStyle="1" w:styleId="179">
    <w:name w:val="Table Normal"/>
    <w:basedOn w:val="47"/>
    <w:qFormat/>
    <w:uiPriority w:val="2"/>
    <w:pPr>
      <w:widowControl w:val="0"/>
    </w:pPr>
    <w:rPr>
      <w:sz w:val="22"/>
      <w:szCs w:val="22"/>
      <w:lang w:eastAsia="en-US"/>
    </w:rPr>
    <w:tblPr>
      <w:tblCellMar>
        <w:left w:w="0" w:type="dxa"/>
        <w:right w:w="0" w:type="dxa"/>
      </w:tblCellMar>
    </w:tblPr>
  </w:style>
  <w:style w:type="character" w:customStyle="1" w:styleId="180">
    <w:name w:val="标题 5 字符"/>
    <w:semiHidden/>
    <w:qFormat/>
    <w:uiPriority w:val="9"/>
    <w:rPr>
      <w:b/>
      <w:bCs/>
      <w:kern w:val="2"/>
      <w:sz w:val="28"/>
      <w:szCs w:val="28"/>
    </w:rPr>
  </w:style>
  <w:style w:type="character" w:customStyle="1" w:styleId="181">
    <w:name w:val="副标题 字符"/>
    <w:qFormat/>
    <w:uiPriority w:val="99"/>
    <w:rPr>
      <w:rFonts w:ascii="等线 Light" w:hAnsi="等线 Light" w:cs="Times New Roman"/>
      <w:b/>
      <w:bCs/>
      <w:kern w:val="28"/>
      <w:sz w:val="32"/>
      <w:szCs w:val="32"/>
    </w:rPr>
  </w:style>
  <w:style w:type="character" w:customStyle="1" w:styleId="182">
    <w:name w:val="标题 字符"/>
    <w:qFormat/>
    <w:uiPriority w:val="99"/>
    <w:rPr>
      <w:rFonts w:ascii="等线 Light" w:hAnsi="等线 Light" w:cs="Times New Roman"/>
      <w:b/>
      <w:bCs/>
      <w:kern w:val="2"/>
      <w:sz w:val="32"/>
      <w:szCs w:val="32"/>
    </w:rPr>
  </w:style>
  <w:style w:type="paragraph" w:styleId="183">
    <w:name w:val="List Paragraph"/>
    <w:basedOn w:val="1"/>
    <w:qFormat/>
    <w:uiPriority w:val="34"/>
    <w:pPr>
      <w:ind w:firstLine="420" w:firstLineChars="200"/>
    </w:pPr>
    <w:rPr>
      <w:rFonts w:ascii="Calibri" w:hAnsi="Calibri"/>
    </w:rPr>
  </w:style>
  <w:style w:type="paragraph" w:customStyle="1" w:styleId="184">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5">
    <w:name w:val="表文W"/>
    <w:basedOn w:val="1"/>
    <w:link w:val="186"/>
    <w:qFormat/>
    <w:uiPriority w:val="0"/>
    <w:pPr>
      <w:autoSpaceDE w:val="0"/>
      <w:autoSpaceDN w:val="0"/>
      <w:adjustRightInd w:val="0"/>
      <w:jc w:val="center"/>
    </w:pPr>
    <w:rPr>
      <w:kern w:val="0"/>
      <w:szCs w:val="21"/>
    </w:rPr>
  </w:style>
  <w:style w:type="character" w:customStyle="1" w:styleId="186">
    <w:name w:val="表文W Char"/>
    <w:link w:val="185"/>
    <w:qFormat/>
    <w:uiPriority w:val="0"/>
    <w:rPr>
      <w:rFonts w:ascii="Times New Roman" w:hAnsi="Times New Roman"/>
      <w:sz w:val="21"/>
      <w:szCs w:val="21"/>
    </w:rPr>
  </w:style>
  <w:style w:type="character" w:customStyle="1" w:styleId="187">
    <w:name w:val="明显强调1"/>
    <w:qFormat/>
    <w:uiPriority w:val="21"/>
    <w:rPr>
      <w:b/>
      <w:bCs/>
      <w:i/>
      <w:iCs/>
      <w:color w:val="4F81BD"/>
    </w:rPr>
  </w:style>
  <w:style w:type="character" w:customStyle="1" w:styleId="188">
    <w:name w:val="书籍标题1"/>
    <w:qFormat/>
    <w:uiPriority w:val="33"/>
    <w:rPr>
      <w:b/>
      <w:bCs/>
      <w:smallCaps/>
      <w:spacing w:val="5"/>
    </w:rPr>
  </w:style>
  <w:style w:type="character" w:customStyle="1" w:styleId="189">
    <w:name w:val="表 图 内容 Char"/>
    <w:link w:val="190"/>
    <w:qFormat/>
    <w:uiPriority w:val="0"/>
    <w:rPr>
      <w:color w:val="000000"/>
      <w:kern w:val="2"/>
      <w:sz w:val="21"/>
      <w:szCs w:val="24"/>
    </w:rPr>
  </w:style>
  <w:style w:type="paragraph" w:customStyle="1" w:styleId="190">
    <w:name w:val="表 图 内容"/>
    <w:basedOn w:val="1"/>
    <w:link w:val="189"/>
    <w:qFormat/>
    <w:uiPriority w:val="0"/>
    <w:pPr>
      <w:jc w:val="center"/>
    </w:pPr>
    <w:rPr>
      <w:color w:val="000000"/>
      <w:szCs w:val="24"/>
    </w:rPr>
  </w:style>
  <w:style w:type="character" w:customStyle="1" w:styleId="191">
    <w:name w:val="文本 Char"/>
    <w:link w:val="192"/>
    <w:qFormat/>
    <w:uiPriority w:val="0"/>
    <w:rPr>
      <w:sz w:val="24"/>
    </w:rPr>
  </w:style>
  <w:style w:type="paragraph" w:customStyle="1" w:styleId="192">
    <w:name w:val="文本"/>
    <w:basedOn w:val="1"/>
    <w:link w:val="191"/>
    <w:qFormat/>
    <w:uiPriority w:val="0"/>
    <w:pPr>
      <w:widowControl/>
      <w:spacing w:line="360" w:lineRule="auto"/>
      <w:ind w:firstLine="422" w:firstLineChars="200"/>
      <w:jc w:val="left"/>
    </w:pPr>
    <w:rPr>
      <w:kern w:val="0"/>
      <w:sz w:val="24"/>
      <w:szCs w:val="20"/>
    </w:rPr>
  </w:style>
  <w:style w:type="character" w:customStyle="1" w:styleId="193">
    <w:name w:val="题注 Char1"/>
    <w:qFormat/>
    <w:uiPriority w:val="0"/>
    <w:rPr>
      <w:b/>
      <w:sz w:val="24"/>
      <w:szCs w:val="22"/>
    </w:rPr>
  </w:style>
  <w:style w:type="character" w:customStyle="1" w:styleId="194">
    <w:name w:val="表文电化 Char"/>
    <w:link w:val="195"/>
    <w:qFormat/>
    <w:uiPriority w:val="0"/>
    <w:rPr>
      <w:rFonts w:cs="宋体"/>
      <w:kern w:val="2"/>
      <w:sz w:val="24"/>
    </w:rPr>
  </w:style>
  <w:style w:type="paragraph" w:customStyle="1" w:styleId="195">
    <w:name w:val="表文电化"/>
    <w:basedOn w:val="1"/>
    <w:link w:val="194"/>
    <w:qFormat/>
    <w:uiPriority w:val="0"/>
    <w:pPr>
      <w:adjustRightInd w:val="0"/>
      <w:snapToGrid w:val="0"/>
      <w:spacing w:before="48" w:after="48" w:line="360" w:lineRule="auto"/>
      <w:jc w:val="center"/>
    </w:pPr>
    <w:rPr>
      <w:rFonts w:cs="宋体"/>
      <w:sz w:val="24"/>
      <w:szCs w:val="20"/>
    </w:rPr>
  </w:style>
  <w:style w:type="character" w:customStyle="1" w:styleId="196">
    <w:name w:val="表格右 Char Char"/>
    <w:qFormat/>
    <w:uiPriority w:val="0"/>
    <w:rPr>
      <w:rFonts w:ascii="宋体" w:hAnsi="宋体" w:eastAsia="宋体"/>
      <w:bCs/>
      <w:color w:val="0000FF"/>
      <w:kern w:val="2"/>
      <w:sz w:val="21"/>
      <w:szCs w:val="24"/>
      <w:lang w:val="en-US" w:eastAsia="zh-CN" w:bidi="he-IL"/>
    </w:rPr>
  </w:style>
  <w:style w:type="character" w:customStyle="1" w:styleId="197">
    <w:name w:val="卓龙表格正文 Char"/>
    <w:link w:val="198"/>
    <w:qFormat/>
    <w:uiPriority w:val="0"/>
    <w:rPr>
      <w:rFonts w:ascii="宋体" w:hAnsi="宋体" w:cs="宋体"/>
      <w:color w:val="000000"/>
      <w:sz w:val="21"/>
      <w:szCs w:val="21"/>
    </w:rPr>
  </w:style>
  <w:style w:type="paragraph" w:customStyle="1" w:styleId="198">
    <w:name w:val="卓龙表格正文"/>
    <w:basedOn w:val="136"/>
    <w:link w:val="197"/>
    <w:qFormat/>
    <w:uiPriority w:val="0"/>
    <w:pPr>
      <w:widowControl/>
      <w:spacing w:before="20" w:beforeLines="20" w:after="20" w:afterLines="20" w:line="240" w:lineRule="auto"/>
      <w:ind w:firstLine="0" w:firstLineChars="0"/>
      <w:textAlignment w:val="auto"/>
    </w:pPr>
    <w:rPr>
      <w:rFonts w:ascii="宋体" w:hAnsi="宋体" w:cs="宋体"/>
      <w:color w:val="000000"/>
      <w:kern w:val="0"/>
      <w:szCs w:val="21"/>
    </w:rPr>
  </w:style>
  <w:style w:type="character" w:customStyle="1" w:styleId="199">
    <w:name w:val="不明显参考1"/>
    <w:qFormat/>
    <w:uiPriority w:val="31"/>
    <w:rPr>
      <w:smallCaps/>
      <w:color w:val="C0504D"/>
      <w:u w:val="single"/>
    </w:rPr>
  </w:style>
  <w:style w:type="character" w:customStyle="1" w:styleId="200">
    <w:name w:val="纯文本 Char1"/>
    <w:qFormat/>
    <w:uiPriority w:val="0"/>
    <w:rPr>
      <w:rFonts w:ascii="宋体" w:hAnsi="Courier New" w:cs="Courier New"/>
      <w:kern w:val="2"/>
      <w:sz w:val="21"/>
      <w:szCs w:val="21"/>
    </w:rPr>
  </w:style>
  <w:style w:type="character" w:customStyle="1" w:styleId="201">
    <w:name w:val="电化段落 Char Char"/>
    <w:qFormat/>
    <w:uiPriority w:val="0"/>
    <w:rPr>
      <w:rFonts w:eastAsia="宋体"/>
      <w:snapToGrid/>
      <w:kern w:val="28"/>
      <w:sz w:val="24"/>
      <w:szCs w:val="28"/>
      <w:lang w:val="en-US" w:eastAsia="zh-CN" w:bidi="ar-SA"/>
    </w:rPr>
  </w:style>
  <w:style w:type="character" w:customStyle="1" w:styleId="202">
    <w:name w:val="文档结构图 字符1"/>
    <w:qFormat/>
    <w:uiPriority w:val="0"/>
    <w:rPr>
      <w:rFonts w:ascii="宋体"/>
      <w:kern w:val="2"/>
      <w:sz w:val="18"/>
      <w:szCs w:val="18"/>
    </w:rPr>
  </w:style>
  <w:style w:type="character" w:customStyle="1" w:styleId="203">
    <w:name w:val="font01"/>
    <w:qFormat/>
    <w:uiPriority w:val="0"/>
    <w:rPr>
      <w:rFonts w:hint="default" w:ascii="Times New Roman" w:hAnsi="Times New Roman" w:cs="Times New Roman"/>
      <w:color w:val="000000"/>
      <w:sz w:val="21"/>
      <w:szCs w:val="21"/>
      <w:u w:val="none"/>
      <w:vertAlign w:val="superscript"/>
    </w:rPr>
  </w:style>
  <w:style w:type="character" w:customStyle="1" w:styleId="204">
    <w:name w:val="页眉 字符1"/>
    <w:qFormat/>
    <w:uiPriority w:val="0"/>
    <w:rPr>
      <w:kern w:val="2"/>
      <w:sz w:val="18"/>
      <w:szCs w:val="24"/>
    </w:rPr>
  </w:style>
  <w:style w:type="character" w:customStyle="1" w:styleId="205">
    <w:name w:val="报告正文 Char"/>
    <w:link w:val="206"/>
    <w:qFormat/>
    <w:uiPriority w:val="0"/>
    <w:rPr>
      <w:kern w:val="2"/>
      <w:sz w:val="24"/>
      <w:szCs w:val="24"/>
    </w:rPr>
  </w:style>
  <w:style w:type="paragraph" w:customStyle="1" w:styleId="206">
    <w:name w:val="报告正文"/>
    <w:basedOn w:val="1"/>
    <w:link w:val="205"/>
    <w:qFormat/>
    <w:uiPriority w:val="0"/>
    <w:pPr>
      <w:autoSpaceDE w:val="0"/>
      <w:autoSpaceDN w:val="0"/>
      <w:adjustRightInd w:val="0"/>
      <w:snapToGrid w:val="0"/>
      <w:jc w:val="center"/>
    </w:pPr>
    <w:rPr>
      <w:sz w:val="24"/>
      <w:szCs w:val="24"/>
    </w:rPr>
  </w:style>
  <w:style w:type="character" w:customStyle="1" w:styleId="207">
    <w:name w:val="font41"/>
    <w:qFormat/>
    <w:uiPriority w:val="0"/>
    <w:rPr>
      <w:rFonts w:hint="eastAsia" w:ascii="宋体" w:hAnsi="宋体" w:eastAsia="宋体" w:cs="宋体"/>
      <w:color w:val="000000"/>
      <w:sz w:val="21"/>
      <w:szCs w:val="21"/>
      <w:u w:val="none"/>
    </w:rPr>
  </w:style>
  <w:style w:type="character" w:customStyle="1" w:styleId="208">
    <w:name w:val="表格正文 Char"/>
    <w:link w:val="209"/>
    <w:qFormat/>
    <w:uiPriority w:val="0"/>
    <w:rPr>
      <w:spacing w:val="3"/>
      <w:kern w:val="2"/>
      <w:sz w:val="21"/>
      <w:szCs w:val="24"/>
    </w:rPr>
  </w:style>
  <w:style w:type="paragraph" w:customStyle="1" w:styleId="209">
    <w:name w:val="表格正文"/>
    <w:basedOn w:val="1"/>
    <w:link w:val="208"/>
    <w:qFormat/>
    <w:uiPriority w:val="0"/>
    <w:pPr>
      <w:adjustRightInd w:val="0"/>
      <w:snapToGrid w:val="0"/>
      <w:jc w:val="center"/>
    </w:pPr>
    <w:rPr>
      <w:spacing w:val="3"/>
      <w:szCs w:val="24"/>
    </w:rPr>
  </w:style>
  <w:style w:type="character" w:customStyle="1" w:styleId="210">
    <w:name w:val="慧智表格样式"/>
    <w:qFormat/>
    <w:uiPriority w:val="0"/>
    <w:rPr>
      <w:rFonts w:ascii="Times New Roman" w:hAnsi="Times New Roman" w:eastAsia="宋体"/>
      <w:kern w:val="0"/>
      <w:sz w:val="18"/>
    </w:rPr>
  </w:style>
  <w:style w:type="character" w:customStyle="1" w:styleId="211">
    <w:name w:val="1正文 Char"/>
    <w:link w:val="212"/>
    <w:qFormat/>
    <w:uiPriority w:val="0"/>
    <w:rPr>
      <w:kern w:val="2"/>
      <w:sz w:val="24"/>
      <w:szCs w:val="24"/>
    </w:rPr>
  </w:style>
  <w:style w:type="paragraph" w:customStyle="1" w:styleId="212">
    <w:name w:val="1正文"/>
    <w:link w:val="211"/>
    <w:qFormat/>
    <w:uiPriority w:val="0"/>
    <w:pPr>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213">
    <w:name w:val="卓龙正文 Char"/>
    <w:link w:val="214"/>
    <w:qFormat/>
    <w:uiPriority w:val="0"/>
    <w:rPr>
      <w:kern w:val="2"/>
      <w:sz w:val="24"/>
      <w:szCs w:val="24"/>
    </w:rPr>
  </w:style>
  <w:style w:type="paragraph" w:customStyle="1" w:styleId="214">
    <w:name w:val="卓龙正文"/>
    <w:basedOn w:val="1"/>
    <w:link w:val="213"/>
    <w:qFormat/>
    <w:uiPriority w:val="0"/>
    <w:pPr>
      <w:adjustRightInd w:val="0"/>
      <w:snapToGrid w:val="0"/>
      <w:spacing w:line="360" w:lineRule="auto"/>
      <w:ind w:firstLine="200" w:firstLineChars="200"/>
    </w:pPr>
    <w:rPr>
      <w:sz w:val="24"/>
      <w:szCs w:val="24"/>
    </w:rPr>
  </w:style>
  <w:style w:type="character" w:customStyle="1" w:styleId="215">
    <w:name w:val="慧智正文 Char Char"/>
    <w:link w:val="216"/>
    <w:qFormat/>
    <w:uiPriority w:val="0"/>
    <w:rPr>
      <w:bCs/>
      <w:sz w:val="24"/>
    </w:rPr>
  </w:style>
  <w:style w:type="paragraph" w:customStyle="1" w:styleId="216">
    <w:name w:val="慧智正文"/>
    <w:link w:val="215"/>
    <w:qFormat/>
    <w:uiPriority w:val="0"/>
    <w:pPr>
      <w:adjustRightInd w:val="0"/>
      <w:snapToGrid w:val="0"/>
      <w:spacing w:line="360" w:lineRule="auto"/>
      <w:ind w:firstLine="200" w:firstLineChars="200"/>
      <w:jc w:val="both"/>
    </w:pPr>
    <w:rPr>
      <w:rFonts w:ascii="Times New Roman" w:hAnsi="Times New Roman" w:eastAsia="宋体" w:cs="Times New Roman"/>
      <w:bCs/>
      <w:sz w:val="24"/>
      <w:lang w:val="en-US" w:eastAsia="zh-CN" w:bidi="ar-SA"/>
    </w:rPr>
  </w:style>
  <w:style w:type="character" w:customStyle="1" w:styleId="217">
    <w:name w:val="引用 字符1"/>
    <w:link w:val="218"/>
    <w:qFormat/>
    <w:uiPriority w:val="99"/>
    <w:rPr>
      <w:rFonts w:ascii="仿宋" w:eastAsia="仿宋"/>
      <w:iCs/>
      <w:color w:val="000000"/>
      <w:kern w:val="2"/>
      <w:sz w:val="24"/>
      <w:szCs w:val="24"/>
    </w:rPr>
  </w:style>
  <w:style w:type="paragraph" w:styleId="218">
    <w:name w:val="Quote"/>
    <w:basedOn w:val="1"/>
    <w:next w:val="1"/>
    <w:link w:val="217"/>
    <w:qFormat/>
    <w:uiPriority w:val="99"/>
    <w:pPr>
      <w:adjustRightInd w:val="0"/>
      <w:snapToGrid w:val="0"/>
      <w:spacing w:line="360" w:lineRule="auto"/>
      <w:ind w:firstLine="200" w:firstLineChars="200"/>
      <w:jc w:val="left"/>
    </w:pPr>
    <w:rPr>
      <w:rFonts w:ascii="仿宋" w:eastAsia="仿宋"/>
      <w:iCs/>
      <w:color w:val="000000"/>
      <w:sz w:val="24"/>
      <w:szCs w:val="24"/>
    </w:rPr>
  </w:style>
  <w:style w:type="character" w:customStyle="1" w:styleId="219">
    <w:name w:val="引用 字符"/>
    <w:qFormat/>
    <w:uiPriority w:val="99"/>
    <w:rPr>
      <w:i/>
      <w:iCs/>
      <w:color w:val="404040"/>
      <w:kern w:val="2"/>
      <w:sz w:val="21"/>
      <w:szCs w:val="22"/>
    </w:rPr>
  </w:style>
  <w:style w:type="character" w:customStyle="1" w:styleId="220">
    <w:name w:val="批注框文本 字符1"/>
    <w:qFormat/>
    <w:uiPriority w:val="0"/>
    <w:rPr>
      <w:kern w:val="2"/>
      <w:sz w:val="18"/>
      <w:szCs w:val="18"/>
    </w:rPr>
  </w:style>
  <w:style w:type="character" w:customStyle="1" w:styleId="221">
    <w:name w:val="样式 (西文) Arial (中文) PMingLiU 加粗 黑色"/>
    <w:qFormat/>
    <w:uiPriority w:val="0"/>
    <w:rPr>
      <w:rFonts w:hint="default" w:ascii="Arial" w:hAnsi="Arial" w:eastAsia="PMingLiU" w:cs="Arial"/>
      <w:b/>
      <w:bCs/>
      <w:color w:val="000000"/>
      <w:shd w:val="clear" w:color="auto" w:fill="33CCCC"/>
    </w:rPr>
  </w:style>
  <w:style w:type="character" w:customStyle="1" w:styleId="222">
    <w:name w:val="正文文本 字符1"/>
    <w:qFormat/>
    <w:uiPriority w:val="99"/>
    <w:rPr>
      <w:kern w:val="2"/>
      <w:sz w:val="24"/>
      <w:szCs w:val="24"/>
    </w:rPr>
  </w:style>
  <w:style w:type="character" w:customStyle="1" w:styleId="223">
    <w:name w:val="（正文） Char Char"/>
    <w:link w:val="224"/>
    <w:qFormat/>
    <w:uiPriority w:val="0"/>
    <w:rPr>
      <w:sz w:val="24"/>
    </w:rPr>
  </w:style>
  <w:style w:type="paragraph" w:customStyle="1" w:styleId="224">
    <w:name w:val="（正文）"/>
    <w:basedOn w:val="1"/>
    <w:link w:val="223"/>
    <w:qFormat/>
    <w:uiPriority w:val="0"/>
    <w:pPr>
      <w:spacing w:line="360" w:lineRule="auto"/>
      <w:ind w:firstLine="200" w:firstLineChars="200"/>
    </w:pPr>
    <w:rPr>
      <w:kern w:val="0"/>
      <w:sz w:val="24"/>
      <w:szCs w:val="20"/>
    </w:rPr>
  </w:style>
  <w:style w:type="character" w:customStyle="1" w:styleId="225">
    <w:name w:val="表文电化 Char Char"/>
    <w:qFormat/>
    <w:uiPriority w:val="0"/>
    <w:rPr>
      <w:rFonts w:eastAsia="宋体" w:cs="宋体"/>
      <w:kern w:val="2"/>
      <w:sz w:val="21"/>
      <w:lang w:val="en-US" w:eastAsia="zh-CN" w:bidi="ar-SA"/>
    </w:rPr>
  </w:style>
  <w:style w:type="character" w:customStyle="1" w:styleId="226">
    <w:name w:val="font31"/>
    <w:qFormat/>
    <w:uiPriority w:val="0"/>
    <w:rPr>
      <w:rFonts w:hint="default" w:ascii="Times New Roman" w:hAnsi="Times New Roman" w:cs="Times New Roman"/>
      <w:color w:val="000000"/>
      <w:sz w:val="21"/>
      <w:szCs w:val="21"/>
      <w:u w:val="none"/>
    </w:rPr>
  </w:style>
  <w:style w:type="character" w:customStyle="1" w:styleId="227">
    <w:name w:val="页脚 字符1"/>
    <w:qFormat/>
    <w:uiPriority w:val="99"/>
    <w:rPr>
      <w:kern w:val="2"/>
      <w:sz w:val="18"/>
      <w:szCs w:val="24"/>
    </w:rPr>
  </w:style>
  <w:style w:type="character" w:customStyle="1" w:styleId="228">
    <w:name w:val="魏秀珍  报告正文1 Char Char"/>
    <w:link w:val="229"/>
    <w:qFormat/>
    <w:uiPriority w:val="0"/>
    <w:rPr>
      <w:rFonts w:ascii="宋体"/>
      <w:kern w:val="2"/>
      <w:sz w:val="24"/>
    </w:rPr>
  </w:style>
  <w:style w:type="paragraph" w:customStyle="1" w:styleId="229">
    <w:name w:val="魏秀珍  报告正文1"/>
    <w:basedOn w:val="1"/>
    <w:link w:val="228"/>
    <w:qFormat/>
    <w:uiPriority w:val="0"/>
    <w:pPr>
      <w:widowControl/>
      <w:adjustRightInd w:val="0"/>
      <w:snapToGrid w:val="0"/>
      <w:spacing w:line="360" w:lineRule="auto"/>
      <w:ind w:firstLine="200" w:firstLineChars="200"/>
      <w:jc w:val="left"/>
    </w:pPr>
    <w:rPr>
      <w:rFonts w:ascii="宋体"/>
      <w:sz w:val="24"/>
      <w:szCs w:val="20"/>
    </w:rPr>
  </w:style>
  <w:style w:type="character" w:customStyle="1" w:styleId="230">
    <w:name w:val="图表标题 Char"/>
    <w:link w:val="231"/>
    <w:qFormat/>
    <w:uiPriority w:val="0"/>
    <w:rPr>
      <w:b/>
      <w:kern w:val="2"/>
      <w:sz w:val="24"/>
      <w:lang w:val="zh-CN"/>
    </w:rPr>
  </w:style>
  <w:style w:type="paragraph" w:customStyle="1" w:styleId="231">
    <w:name w:val="图表标题"/>
    <w:basedOn w:val="1"/>
    <w:link w:val="230"/>
    <w:qFormat/>
    <w:uiPriority w:val="0"/>
    <w:pPr>
      <w:numPr>
        <w:ilvl w:val="0"/>
        <w:numId w:val="2"/>
      </w:numPr>
      <w:adjustRightInd w:val="0"/>
      <w:snapToGrid w:val="0"/>
      <w:jc w:val="center"/>
    </w:pPr>
    <w:rPr>
      <w:b/>
      <w:sz w:val="24"/>
      <w:szCs w:val="20"/>
      <w:lang w:val="zh-CN"/>
    </w:rPr>
  </w:style>
  <w:style w:type="character" w:customStyle="1" w:styleId="232">
    <w:name w:val="不明显强调1"/>
    <w:qFormat/>
    <w:uiPriority w:val="19"/>
    <w:rPr>
      <w:i/>
      <w:iCs/>
      <w:color w:val="808080"/>
    </w:rPr>
  </w:style>
  <w:style w:type="character" w:customStyle="1" w:styleId="233">
    <w:name w:val="明显参考1"/>
    <w:qFormat/>
    <w:uiPriority w:val="32"/>
    <w:rPr>
      <w:b/>
      <w:bCs/>
      <w:smallCaps/>
      <w:color w:val="C0504D"/>
      <w:spacing w:val="5"/>
      <w:u w:val="single"/>
    </w:rPr>
  </w:style>
  <w:style w:type="character" w:customStyle="1" w:styleId="234">
    <w:name w:val="批注主题 字符1"/>
    <w:qFormat/>
    <w:uiPriority w:val="0"/>
    <w:rPr>
      <w:b/>
      <w:bCs/>
      <w:kern w:val="2"/>
      <w:sz w:val="24"/>
      <w:szCs w:val="24"/>
    </w:rPr>
  </w:style>
  <w:style w:type="character" w:customStyle="1" w:styleId="235">
    <w:name w:val="font11"/>
    <w:qFormat/>
    <w:uiPriority w:val="0"/>
    <w:rPr>
      <w:rFonts w:hint="default" w:ascii="Times New Roman" w:hAnsi="Times New Roman" w:cs="Times New Roman"/>
      <w:color w:val="000000"/>
      <w:sz w:val="21"/>
      <w:szCs w:val="21"/>
      <w:u w:val="none"/>
    </w:rPr>
  </w:style>
  <w:style w:type="character" w:customStyle="1" w:styleId="236">
    <w:name w:val="表字居中 Char"/>
    <w:link w:val="237"/>
    <w:qFormat/>
    <w:uiPriority w:val="0"/>
    <w:rPr>
      <w:szCs w:val="24"/>
    </w:rPr>
  </w:style>
  <w:style w:type="paragraph" w:customStyle="1" w:styleId="237">
    <w:name w:val="表字居中"/>
    <w:basedOn w:val="1"/>
    <w:link w:val="236"/>
    <w:qFormat/>
    <w:uiPriority w:val="0"/>
    <w:pPr>
      <w:jc w:val="center"/>
    </w:pPr>
    <w:rPr>
      <w:kern w:val="0"/>
      <w:sz w:val="20"/>
      <w:szCs w:val="24"/>
    </w:rPr>
  </w:style>
  <w:style w:type="character" w:customStyle="1" w:styleId="238">
    <w:name w:val="表头 字元"/>
    <w:qFormat/>
    <w:uiPriority w:val="0"/>
    <w:rPr>
      <w:rFonts w:cs="宋体"/>
      <w:b/>
      <w:color w:val="000000"/>
      <w:sz w:val="24"/>
      <w:lang w:val="en-US" w:eastAsia="zh-CN" w:bidi="ar-SA"/>
    </w:rPr>
  </w:style>
  <w:style w:type="character" w:customStyle="1" w:styleId="239">
    <w:name w:val="font21"/>
    <w:qFormat/>
    <w:uiPriority w:val="0"/>
    <w:rPr>
      <w:rFonts w:hint="eastAsia" w:ascii="宋体" w:hAnsi="宋体" w:eastAsia="宋体" w:cs="宋体"/>
      <w:color w:val="000000"/>
      <w:sz w:val="21"/>
      <w:szCs w:val="21"/>
      <w:u w:val="none"/>
    </w:rPr>
  </w:style>
  <w:style w:type="character" w:customStyle="1" w:styleId="240">
    <w:name w:val="font71"/>
    <w:qFormat/>
    <w:uiPriority w:val="0"/>
    <w:rPr>
      <w:rFonts w:hint="eastAsia" w:ascii="宋体" w:hAnsi="宋体" w:eastAsia="宋体" w:cs="宋体"/>
      <w:color w:val="000000"/>
      <w:sz w:val="20"/>
      <w:szCs w:val="20"/>
      <w:u w:val="none"/>
    </w:rPr>
  </w:style>
  <w:style w:type="paragraph" w:customStyle="1" w:styleId="241">
    <w:name w:val="正文首行缩进电化"/>
    <w:basedOn w:val="17"/>
    <w:qFormat/>
    <w:uiPriority w:val="99"/>
    <w:pPr>
      <w:adjustRightInd w:val="0"/>
      <w:snapToGrid w:val="0"/>
      <w:spacing w:after="0" w:line="324" w:lineRule="auto"/>
      <w:ind w:firstLine="505" w:firstLineChars="0"/>
      <w:jc w:val="left"/>
    </w:pPr>
    <w:rPr>
      <w:snapToGrid w:val="0"/>
      <w:kern w:val="28"/>
      <w:sz w:val="24"/>
      <w:szCs w:val="28"/>
      <w:lang w:val="zh-CN"/>
    </w:rPr>
  </w:style>
  <w:style w:type="character" w:customStyle="1" w:styleId="242">
    <w:name w:val="正文文本首行缩进 字符2"/>
    <w:qFormat/>
    <w:uiPriority w:val="0"/>
    <w:rPr>
      <w:snapToGrid/>
      <w:kern w:val="28"/>
      <w:sz w:val="24"/>
      <w:szCs w:val="28"/>
    </w:rPr>
  </w:style>
  <w:style w:type="paragraph" w:customStyle="1" w:styleId="243">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4"/>
      <w:szCs w:val="24"/>
    </w:rPr>
  </w:style>
  <w:style w:type="paragraph" w:customStyle="1" w:styleId="244">
    <w:name w:val="表头电化"/>
    <w:basedOn w:val="1"/>
    <w:qFormat/>
    <w:uiPriority w:val="99"/>
    <w:pPr>
      <w:adjustRightInd w:val="0"/>
      <w:snapToGrid w:val="0"/>
      <w:spacing w:before="48" w:beforeLines="20" w:line="360" w:lineRule="auto"/>
      <w:jc w:val="center"/>
    </w:pPr>
    <w:rPr>
      <w:rFonts w:eastAsia="黑体" w:cs="宋体"/>
      <w:b/>
      <w:w w:val="99"/>
      <w:kern w:val="0"/>
      <w:sz w:val="24"/>
      <w:szCs w:val="28"/>
    </w:rPr>
  </w:style>
  <w:style w:type="paragraph" w:customStyle="1" w:styleId="245">
    <w:name w:val="xl81"/>
    <w:basedOn w:val="1"/>
    <w:qFormat/>
    <w:uiPriority w:val="99"/>
    <w:pPr>
      <w:widowControl/>
      <w:spacing w:before="100" w:beforeAutospacing="1" w:after="100" w:afterAutospacing="1"/>
      <w:jc w:val="center"/>
      <w:textAlignment w:val="center"/>
    </w:pPr>
    <w:rPr>
      <w:kern w:val="0"/>
      <w:szCs w:val="21"/>
    </w:rPr>
  </w:style>
  <w:style w:type="paragraph" w:customStyle="1" w:styleId="246">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47">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248">
    <w:name w:val="xl78"/>
    <w:basedOn w:val="1"/>
    <w:qFormat/>
    <w:uiPriority w:val="99"/>
    <w:pPr>
      <w:widowControl/>
      <w:pBdr>
        <w:top w:val="single" w:color="auto" w:sz="12" w:space="0"/>
        <w:bottom w:val="single" w:color="auto" w:sz="8" w:space="0"/>
        <w:right w:val="single" w:color="auto" w:sz="12" w:space="0"/>
      </w:pBdr>
      <w:shd w:val="clear" w:color="000000" w:fill="F2F2F2"/>
      <w:spacing w:before="100" w:beforeAutospacing="1" w:after="100" w:afterAutospacing="1"/>
      <w:jc w:val="center"/>
      <w:textAlignment w:val="center"/>
    </w:pPr>
    <w:rPr>
      <w:b/>
      <w:bCs/>
      <w:kern w:val="0"/>
      <w:szCs w:val="21"/>
    </w:rPr>
  </w:style>
  <w:style w:type="paragraph" w:customStyle="1" w:styleId="249">
    <w:name w:val="表格字体"/>
    <w:basedOn w:val="1"/>
    <w:qFormat/>
    <w:uiPriority w:val="99"/>
    <w:pPr>
      <w:adjustRightInd w:val="0"/>
      <w:spacing w:before="62" w:beforeLines="20" w:after="62" w:afterLines="20"/>
      <w:jc w:val="center"/>
      <w:textAlignment w:val="center"/>
    </w:pPr>
    <w:rPr>
      <w:szCs w:val="21"/>
    </w:rPr>
  </w:style>
  <w:style w:type="paragraph" w:customStyle="1" w:styleId="250">
    <w:name w:val="纯文本1"/>
    <w:basedOn w:val="1"/>
    <w:qFormat/>
    <w:uiPriority w:val="99"/>
    <w:pPr>
      <w:spacing w:line="360" w:lineRule="auto"/>
    </w:pPr>
    <w:rPr>
      <w:rFonts w:hint="eastAsia" w:ascii="宋体" w:hAnsi="Courier New"/>
      <w:szCs w:val="20"/>
    </w:rPr>
  </w:style>
  <w:style w:type="paragraph" w:customStyle="1" w:styleId="251">
    <w:name w:val="font14"/>
    <w:basedOn w:val="1"/>
    <w:qFormat/>
    <w:uiPriority w:val="99"/>
    <w:pPr>
      <w:widowControl/>
      <w:spacing w:before="100" w:beforeAutospacing="1" w:after="100" w:afterAutospacing="1"/>
      <w:jc w:val="left"/>
    </w:pPr>
    <w:rPr>
      <w:rFonts w:ascii="宋体" w:hAnsi="宋体" w:cs="宋体"/>
      <w:color w:val="000000"/>
      <w:kern w:val="0"/>
      <w:szCs w:val="21"/>
    </w:rPr>
  </w:style>
  <w:style w:type="paragraph" w:customStyle="1" w:styleId="252">
    <w:name w:val="Char Char Char Char Char Char"/>
    <w:basedOn w:val="1"/>
    <w:qFormat/>
    <w:uiPriority w:val="0"/>
    <w:rPr>
      <w:szCs w:val="24"/>
    </w:rPr>
  </w:style>
  <w:style w:type="paragraph" w:customStyle="1" w:styleId="253">
    <w:name w:val="三级"/>
    <w:basedOn w:val="1"/>
    <w:qFormat/>
    <w:uiPriority w:val="99"/>
    <w:pPr>
      <w:tabs>
        <w:tab w:val="left" w:pos="567"/>
      </w:tabs>
      <w:adjustRightInd w:val="0"/>
      <w:snapToGrid w:val="0"/>
      <w:spacing w:beforeLines="50" w:afterLines="50" w:line="360" w:lineRule="auto"/>
      <w:ind w:left="720" w:hanging="720"/>
      <w:jc w:val="left"/>
      <w:outlineLvl w:val="2"/>
    </w:pPr>
    <w:rPr>
      <w:b/>
      <w:sz w:val="24"/>
      <w:szCs w:val="20"/>
    </w:rPr>
  </w:style>
  <w:style w:type="paragraph" w:customStyle="1" w:styleId="254">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szCs w:val="24"/>
    </w:rPr>
  </w:style>
  <w:style w:type="paragraph" w:customStyle="1" w:styleId="255">
    <w:name w:val="报告书正文 Char Char Char"/>
    <w:basedOn w:val="1"/>
    <w:qFormat/>
    <w:uiPriority w:val="99"/>
    <w:pPr>
      <w:spacing w:line="300" w:lineRule="auto"/>
      <w:ind w:firstLine="480" w:firstLineChars="200"/>
    </w:pPr>
    <w:rPr>
      <w:rFonts w:ascii="宋体" w:hAnsi="宋体"/>
      <w:sz w:val="24"/>
      <w:szCs w:val="20"/>
    </w:rPr>
  </w:style>
  <w:style w:type="paragraph" w:customStyle="1" w:styleId="256">
    <w:name w:val="xl79"/>
    <w:basedOn w:val="1"/>
    <w:qFormat/>
    <w:uiPriority w:val="99"/>
    <w:pPr>
      <w:widowControl/>
      <w:pBdr>
        <w:top w:val="single" w:color="auto" w:sz="12" w:space="0"/>
        <w:left w:val="single" w:color="auto" w:sz="12" w:space="0"/>
        <w:right w:val="single" w:color="auto" w:sz="8" w:space="0"/>
      </w:pBdr>
      <w:spacing w:before="100" w:beforeAutospacing="1" w:after="100" w:afterAutospacing="1"/>
      <w:jc w:val="center"/>
      <w:textAlignment w:val="center"/>
    </w:pPr>
    <w:rPr>
      <w:kern w:val="0"/>
      <w:szCs w:val="21"/>
    </w:rPr>
  </w:style>
  <w:style w:type="paragraph" w:customStyle="1" w:styleId="257">
    <w:name w:val="font13"/>
    <w:basedOn w:val="1"/>
    <w:qFormat/>
    <w:uiPriority w:val="99"/>
    <w:pPr>
      <w:widowControl/>
      <w:spacing w:before="100" w:beforeAutospacing="1" w:after="100" w:afterAutospacing="1"/>
      <w:jc w:val="left"/>
    </w:pPr>
    <w:rPr>
      <w:color w:val="000000"/>
      <w:kern w:val="0"/>
      <w:szCs w:val="21"/>
    </w:rPr>
  </w:style>
  <w:style w:type="paragraph" w:customStyle="1" w:styleId="258">
    <w:name w:val="_Style 3"/>
    <w:basedOn w:val="1"/>
    <w:qFormat/>
    <w:uiPriority w:val="99"/>
    <w:pPr>
      <w:adjustRightInd w:val="0"/>
      <w:snapToGrid w:val="0"/>
      <w:spacing w:line="360" w:lineRule="auto"/>
    </w:pPr>
  </w:style>
  <w:style w:type="paragraph" w:customStyle="1" w:styleId="259">
    <w:name w:val="正本"/>
    <w:basedOn w:val="1"/>
    <w:qFormat/>
    <w:uiPriority w:val="99"/>
    <w:pPr>
      <w:adjustRightInd w:val="0"/>
      <w:snapToGrid w:val="0"/>
      <w:spacing w:line="360" w:lineRule="auto"/>
      <w:ind w:firstLine="200" w:firstLineChars="200"/>
    </w:pPr>
    <w:rPr>
      <w:rFonts w:ascii="宋体"/>
      <w:sz w:val="24"/>
      <w:szCs w:val="24"/>
    </w:rPr>
  </w:style>
  <w:style w:type="paragraph" w:customStyle="1" w:styleId="260">
    <w:name w:val="font6"/>
    <w:basedOn w:val="1"/>
    <w:qFormat/>
    <w:uiPriority w:val="99"/>
    <w:pPr>
      <w:widowControl/>
      <w:spacing w:before="100" w:beforeAutospacing="1" w:after="100" w:afterAutospacing="1"/>
      <w:jc w:val="left"/>
    </w:pPr>
    <w:rPr>
      <w:rFonts w:ascii="等线" w:hAnsi="等线" w:eastAsia="等线" w:cs="宋体"/>
      <w:kern w:val="0"/>
      <w:sz w:val="18"/>
      <w:szCs w:val="18"/>
    </w:rPr>
  </w:style>
  <w:style w:type="paragraph" w:customStyle="1" w:styleId="261">
    <w:name w:val="font12"/>
    <w:basedOn w:val="1"/>
    <w:qFormat/>
    <w:uiPriority w:val="99"/>
    <w:pPr>
      <w:widowControl/>
      <w:spacing w:before="100" w:beforeAutospacing="1" w:after="100" w:afterAutospacing="1"/>
      <w:jc w:val="left"/>
    </w:pPr>
    <w:rPr>
      <w:rFonts w:ascii="宋体" w:hAnsi="宋体" w:cs="宋体"/>
      <w:kern w:val="0"/>
      <w:szCs w:val="21"/>
    </w:rPr>
  </w:style>
  <w:style w:type="paragraph" w:customStyle="1" w:styleId="262">
    <w:name w:val="标注文本"/>
    <w:basedOn w:val="1"/>
    <w:qFormat/>
    <w:uiPriority w:val="99"/>
    <w:pPr>
      <w:adjustRightInd w:val="0"/>
      <w:snapToGrid w:val="0"/>
      <w:jc w:val="left"/>
    </w:pPr>
    <w:rPr>
      <w:b/>
      <w:spacing w:val="6"/>
      <w:szCs w:val="24"/>
    </w:rPr>
  </w:style>
  <w:style w:type="paragraph" w:customStyle="1" w:styleId="263">
    <w:name w:val="xl8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szCs w:val="24"/>
    </w:rPr>
  </w:style>
  <w:style w:type="paragraph" w:customStyle="1" w:styleId="264">
    <w:name w:val="正文文本缩进1"/>
    <w:basedOn w:val="1"/>
    <w:qFormat/>
    <w:uiPriority w:val="99"/>
    <w:pPr>
      <w:adjustRightInd w:val="0"/>
      <w:spacing w:line="232" w:lineRule="auto"/>
      <w:ind w:firstLine="570"/>
    </w:pPr>
    <w:rPr>
      <w:rFonts w:hint="eastAsia" w:ascii="仿宋_GB2312" w:eastAsia="仿宋_GB2312"/>
      <w:kern w:val="0"/>
      <w:sz w:val="28"/>
      <w:szCs w:val="20"/>
    </w:rPr>
  </w:style>
  <w:style w:type="paragraph" w:customStyle="1" w:styleId="265">
    <w:name w:val="source"/>
    <w:basedOn w:val="1"/>
    <w:qFormat/>
    <w:uiPriority w:val="99"/>
    <w:pPr>
      <w:jc w:val="left"/>
    </w:pPr>
    <w:rPr>
      <w:color w:val="999999"/>
      <w:kern w:val="0"/>
      <w:sz w:val="18"/>
      <w:szCs w:val="18"/>
    </w:rPr>
  </w:style>
  <w:style w:type="paragraph" w:customStyle="1" w:styleId="266">
    <w:name w:val="表格内容居中"/>
    <w:qFormat/>
    <w:uiPriority w:val="99"/>
    <w:pPr>
      <w:adjustRightInd w:val="0"/>
      <w:snapToGrid w:val="0"/>
      <w:jc w:val="center"/>
    </w:pPr>
    <w:rPr>
      <w:rFonts w:ascii="Times New Roman" w:hAnsi="Times New Roman" w:eastAsia="宋体" w:cs="Times New Roman"/>
      <w:snapToGrid w:val="0"/>
      <w:sz w:val="21"/>
      <w:szCs w:val="21"/>
      <w:lang w:val="en-US" w:eastAsia="zh-CN" w:bidi="ar-SA"/>
    </w:rPr>
  </w:style>
  <w:style w:type="paragraph" w:customStyle="1" w:styleId="267">
    <w:name w:val="正文_19"/>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268">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color w:val="0070C0"/>
      <w:kern w:val="0"/>
      <w:sz w:val="24"/>
      <w:szCs w:val="24"/>
    </w:rPr>
  </w:style>
  <w:style w:type="paragraph" w:customStyle="1" w:styleId="269">
    <w:name w:val="正文文本缩进 21"/>
    <w:basedOn w:val="1"/>
    <w:qFormat/>
    <w:uiPriority w:val="99"/>
    <w:pPr>
      <w:adjustRightInd w:val="0"/>
      <w:spacing w:line="312" w:lineRule="atLeast"/>
      <w:ind w:firstLine="570"/>
      <w:jc w:val="distribute"/>
    </w:pPr>
    <w:rPr>
      <w:rFonts w:eastAsia="仿宋_GB2312"/>
      <w:kern w:val="0"/>
      <w:sz w:val="28"/>
      <w:szCs w:val="20"/>
    </w:rPr>
  </w:style>
  <w:style w:type="paragraph" w:customStyle="1" w:styleId="270">
    <w:name w:val="附录表标题"/>
    <w:qFormat/>
    <w:uiPriority w:val="99"/>
    <w:pPr>
      <w:widowControl w:val="0"/>
      <w:numPr>
        <w:ilvl w:val="1"/>
        <w:numId w:val="3"/>
      </w:numPr>
      <w:tabs>
        <w:tab w:val="left" w:pos="720"/>
        <w:tab w:val="clear" w:pos="840"/>
      </w:tabs>
      <w:spacing w:before="156" w:beforeLines="50" w:after="156" w:afterLines="50"/>
      <w:jc w:val="center"/>
    </w:pPr>
    <w:rPr>
      <w:rFonts w:ascii="黑体" w:hAnsi="Times New Roman" w:eastAsia="黑体" w:cs="Times New Roman"/>
      <w:szCs w:val="21"/>
      <w:lang w:val="en-US" w:eastAsia="zh-CN" w:bidi="ar-SA"/>
    </w:rPr>
  </w:style>
  <w:style w:type="paragraph" w:customStyle="1" w:styleId="271">
    <w:name w:val="xl77"/>
    <w:basedOn w:val="1"/>
    <w:qFormat/>
    <w:uiPriority w:val="99"/>
    <w:pPr>
      <w:widowControl/>
      <w:pBdr>
        <w:top w:val="single" w:color="auto" w:sz="12" w:space="0"/>
        <w:left w:val="single" w:color="auto" w:sz="12" w:space="0"/>
        <w:bottom w:val="single" w:color="auto" w:sz="8" w:space="0"/>
        <w:right w:val="single" w:color="auto" w:sz="8" w:space="0"/>
      </w:pBdr>
      <w:shd w:val="clear" w:color="000000" w:fill="F2F2F2"/>
      <w:spacing w:before="100" w:beforeAutospacing="1" w:after="100" w:afterAutospacing="1"/>
      <w:jc w:val="center"/>
      <w:textAlignment w:val="center"/>
    </w:pPr>
    <w:rPr>
      <w:b/>
      <w:bCs/>
      <w:kern w:val="0"/>
      <w:szCs w:val="21"/>
    </w:rPr>
  </w:style>
  <w:style w:type="paragraph" w:customStyle="1" w:styleId="272">
    <w:name w:val="font8"/>
    <w:basedOn w:val="1"/>
    <w:qFormat/>
    <w:uiPriority w:val="99"/>
    <w:pPr>
      <w:widowControl/>
      <w:spacing w:before="100" w:beforeAutospacing="1" w:after="100" w:afterAutospacing="1"/>
      <w:jc w:val="left"/>
    </w:pPr>
    <w:rPr>
      <w:rFonts w:ascii="宋体" w:hAnsi="宋体" w:cs="宋体"/>
      <w:b/>
      <w:bCs/>
      <w:color w:val="0070C0"/>
      <w:kern w:val="0"/>
      <w:sz w:val="22"/>
    </w:rPr>
  </w:style>
  <w:style w:type="paragraph" w:customStyle="1" w:styleId="273">
    <w:name w:val="普通(网站)1"/>
    <w:basedOn w:val="1"/>
    <w:qFormat/>
    <w:uiPriority w:val="99"/>
    <w:pPr>
      <w:widowControl/>
      <w:spacing w:before="100" w:beforeAutospacing="1" w:after="100" w:afterAutospacing="1" w:line="360" w:lineRule="auto"/>
      <w:jc w:val="left"/>
    </w:pPr>
    <w:rPr>
      <w:rFonts w:hint="eastAsia" w:ascii="宋体" w:hAnsi="宋体"/>
      <w:kern w:val="0"/>
      <w:sz w:val="24"/>
      <w:szCs w:val="24"/>
    </w:rPr>
  </w:style>
  <w:style w:type="paragraph" w:customStyle="1" w:styleId="274">
    <w:name w:val="font15"/>
    <w:basedOn w:val="1"/>
    <w:qFormat/>
    <w:uiPriority w:val="99"/>
    <w:pPr>
      <w:widowControl/>
      <w:spacing w:before="100" w:beforeAutospacing="1" w:after="100" w:afterAutospacing="1"/>
      <w:jc w:val="left"/>
    </w:pPr>
    <w:rPr>
      <w:color w:val="FF0000"/>
      <w:kern w:val="0"/>
      <w:szCs w:val="21"/>
    </w:rPr>
  </w:style>
  <w:style w:type="paragraph" w:customStyle="1" w:styleId="275">
    <w:name w:val="xl76"/>
    <w:basedOn w:val="1"/>
    <w:qFormat/>
    <w:uiPriority w:val="99"/>
    <w:pPr>
      <w:widowControl/>
      <w:spacing w:before="100" w:beforeAutospacing="1" w:after="100" w:afterAutospacing="1"/>
      <w:jc w:val="center"/>
      <w:textAlignment w:val="center"/>
    </w:pPr>
    <w:rPr>
      <w:kern w:val="0"/>
      <w:sz w:val="24"/>
      <w:szCs w:val="24"/>
    </w:rPr>
  </w:style>
  <w:style w:type="paragraph" w:customStyle="1" w:styleId="276">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0000"/>
      <w:kern w:val="0"/>
      <w:sz w:val="24"/>
      <w:szCs w:val="24"/>
    </w:rPr>
  </w:style>
  <w:style w:type="paragraph" w:customStyle="1" w:styleId="277">
    <w:name w:val="font5"/>
    <w:basedOn w:val="1"/>
    <w:qFormat/>
    <w:uiPriority w:val="99"/>
    <w:pPr>
      <w:widowControl/>
      <w:spacing w:before="100" w:beforeAutospacing="1" w:after="100" w:afterAutospacing="1"/>
      <w:jc w:val="left"/>
    </w:pPr>
    <w:rPr>
      <w:rFonts w:ascii="宋体" w:hAnsi="宋体" w:cs="宋体"/>
      <w:b/>
      <w:bCs/>
      <w:color w:val="000000"/>
      <w:kern w:val="0"/>
      <w:sz w:val="22"/>
    </w:rPr>
  </w:style>
  <w:style w:type="paragraph" w:customStyle="1" w:styleId="278">
    <w:name w:val="font7"/>
    <w:basedOn w:val="1"/>
    <w:qFormat/>
    <w:uiPriority w:val="99"/>
    <w:pPr>
      <w:widowControl/>
      <w:spacing w:before="100" w:beforeAutospacing="1" w:after="100" w:afterAutospacing="1"/>
      <w:jc w:val="left"/>
    </w:pPr>
    <w:rPr>
      <w:b/>
      <w:bCs/>
      <w:color w:val="0070C0"/>
      <w:kern w:val="0"/>
      <w:sz w:val="22"/>
    </w:rPr>
  </w:style>
  <w:style w:type="paragraph" w:customStyle="1" w:styleId="279">
    <w:name w:val="纯文本11"/>
    <w:basedOn w:val="1"/>
    <w:qFormat/>
    <w:uiPriority w:val="99"/>
    <w:rPr>
      <w:rFonts w:ascii="宋体" w:hAnsi="Courier New"/>
    </w:rPr>
  </w:style>
  <w:style w:type="paragraph" w:customStyle="1" w:styleId="280">
    <w:name w:val="font9"/>
    <w:basedOn w:val="1"/>
    <w:qFormat/>
    <w:uiPriority w:val="99"/>
    <w:pPr>
      <w:widowControl/>
      <w:spacing w:before="100" w:beforeAutospacing="1" w:after="100" w:afterAutospacing="1"/>
      <w:jc w:val="left"/>
    </w:pPr>
    <w:rPr>
      <w:rFonts w:ascii="宋体" w:hAnsi="宋体" w:cs="宋体"/>
      <w:kern w:val="0"/>
      <w:sz w:val="22"/>
    </w:rPr>
  </w:style>
  <w:style w:type="paragraph" w:customStyle="1" w:styleId="281">
    <w:name w:val="font10"/>
    <w:basedOn w:val="1"/>
    <w:qFormat/>
    <w:uiPriority w:val="99"/>
    <w:pPr>
      <w:widowControl/>
      <w:spacing w:before="100" w:beforeAutospacing="1" w:after="100" w:afterAutospacing="1"/>
      <w:jc w:val="left"/>
    </w:pPr>
    <w:rPr>
      <w:rFonts w:ascii="宋体" w:hAnsi="宋体" w:cs="宋体"/>
      <w:color w:val="FF0000"/>
      <w:kern w:val="0"/>
      <w:sz w:val="22"/>
    </w:rPr>
  </w:style>
  <w:style w:type="paragraph" w:customStyle="1" w:styleId="282">
    <w:name w:val="xl80"/>
    <w:basedOn w:val="1"/>
    <w:qFormat/>
    <w:uiPriority w:val="99"/>
    <w:pPr>
      <w:widowControl/>
      <w:pBdr>
        <w:top w:val="single" w:color="auto" w:sz="12" w:space="0"/>
        <w:left w:val="single" w:color="auto" w:sz="12" w:space="0"/>
        <w:right w:val="single" w:color="auto" w:sz="8" w:space="0"/>
      </w:pBdr>
      <w:spacing w:before="100" w:beforeAutospacing="1" w:after="100" w:afterAutospacing="1"/>
      <w:jc w:val="center"/>
      <w:textAlignment w:val="center"/>
    </w:pPr>
    <w:rPr>
      <w:kern w:val="0"/>
      <w:szCs w:val="21"/>
    </w:rPr>
  </w:style>
  <w:style w:type="paragraph" w:customStyle="1" w:styleId="283">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szCs w:val="24"/>
    </w:rPr>
  </w:style>
  <w:style w:type="paragraph" w:customStyle="1" w:styleId="284">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0000"/>
      <w:kern w:val="0"/>
      <w:sz w:val="24"/>
      <w:szCs w:val="24"/>
    </w:rPr>
  </w:style>
  <w:style w:type="paragraph" w:customStyle="1" w:styleId="285">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0000"/>
      <w:kern w:val="0"/>
      <w:szCs w:val="21"/>
    </w:rPr>
  </w:style>
  <w:style w:type="paragraph" w:customStyle="1" w:styleId="286">
    <w:name w:val="xl86"/>
    <w:basedOn w:val="1"/>
    <w:qFormat/>
    <w:uiPriority w:val="99"/>
    <w:pPr>
      <w:widowControl/>
      <w:spacing w:before="100" w:beforeAutospacing="1" w:after="100" w:afterAutospacing="1"/>
      <w:jc w:val="center"/>
      <w:textAlignment w:val="center"/>
    </w:pPr>
    <w:rPr>
      <w:b/>
      <w:bCs/>
      <w:kern w:val="0"/>
      <w:sz w:val="24"/>
      <w:szCs w:val="24"/>
    </w:rPr>
  </w:style>
  <w:style w:type="paragraph" w:customStyle="1" w:styleId="287">
    <w:name w:val="xl73"/>
    <w:basedOn w:val="1"/>
    <w:qFormat/>
    <w:uiPriority w:val="99"/>
    <w:pPr>
      <w:widowControl/>
      <w:pBdr>
        <w:top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88">
    <w:name w:val="xl74"/>
    <w:basedOn w:val="1"/>
    <w:qFormat/>
    <w:uiPriority w:val="99"/>
    <w:pPr>
      <w:widowControl/>
      <w:pBdr>
        <w:top w:val="single" w:color="auto" w:sz="4" w:space="0"/>
      </w:pBdr>
      <w:spacing w:before="100" w:beforeAutospacing="1" w:after="100" w:afterAutospacing="1"/>
      <w:jc w:val="center"/>
      <w:textAlignment w:val="center"/>
    </w:pPr>
    <w:rPr>
      <w:kern w:val="0"/>
      <w:sz w:val="24"/>
      <w:szCs w:val="24"/>
    </w:rPr>
  </w:style>
  <w:style w:type="paragraph" w:customStyle="1" w:styleId="289">
    <w:name w:val="xl75"/>
    <w:basedOn w:val="1"/>
    <w:qFormat/>
    <w:uiPriority w:val="99"/>
    <w:pPr>
      <w:widowControl/>
      <w:spacing w:before="100" w:beforeAutospacing="1" w:after="100" w:afterAutospacing="1"/>
      <w:jc w:val="center"/>
      <w:textAlignment w:val="center"/>
    </w:pPr>
    <w:rPr>
      <w:rFonts w:ascii="宋体" w:hAnsi="宋体" w:cs="宋体"/>
      <w:kern w:val="0"/>
      <w:sz w:val="24"/>
      <w:szCs w:val="24"/>
    </w:rPr>
  </w:style>
  <w:style w:type="paragraph" w:customStyle="1" w:styleId="290">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1">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92">
    <w:name w:val="表格标题"/>
    <w:basedOn w:val="19"/>
    <w:qFormat/>
    <w:uiPriority w:val="99"/>
    <w:pPr>
      <w:adjustRightInd/>
      <w:snapToGrid/>
      <w:jc w:val="center"/>
    </w:pPr>
    <w:rPr>
      <w:rFonts w:eastAsia="宋体" w:cs="Arial"/>
      <w:b/>
      <w:kern w:val="0"/>
      <w:sz w:val="21"/>
      <w:szCs w:val="20"/>
    </w:rPr>
  </w:style>
  <w:style w:type="paragraph" w:customStyle="1" w:styleId="293">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Cs w:val="21"/>
    </w:rPr>
  </w:style>
  <w:style w:type="character" w:customStyle="1" w:styleId="294">
    <w:name w:val="font111"/>
    <w:qFormat/>
    <w:uiPriority w:val="0"/>
    <w:rPr>
      <w:rFonts w:hint="eastAsia" w:ascii="宋体" w:hAnsi="宋体" w:eastAsia="宋体" w:cs="宋体"/>
      <w:b/>
      <w:color w:val="000000"/>
      <w:sz w:val="22"/>
      <w:szCs w:val="22"/>
      <w:u w:val="none"/>
    </w:rPr>
  </w:style>
  <w:style w:type="character" w:customStyle="1" w:styleId="295">
    <w:name w:val="font122"/>
    <w:qFormat/>
    <w:uiPriority w:val="0"/>
    <w:rPr>
      <w:rFonts w:hint="eastAsia" w:ascii="宋体" w:hAnsi="宋体" w:eastAsia="宋体" w:cs="宋体"/>
      <w:color w:val="000000"/>
      <w:sz w:val="22"/>
      <w:szCs w:val="22"/>
      <w:u w:val="none"/>
    </w:rPr>
  </w:style>
  <w:style w:type="character" w:customStyle="1" w:styleId="296">
    <w:name w:val="font91"/>
    <w:qFormat/>
    <w:uiPriority w:val="0"/>
    <w:rPr>
      <w:rFonts w:hint="default" w:ascii="Times New Roman" w:hAnsi="Times New Roman" w:cs="Times New Roman"/>
      <w:color w:val="000000"/>
      <w:sz w:val="22"/>
      <w:szCs w:val="22"/>
      <w:u w:val="none"/>
    </w:rPr>
  </w:style>
  <w:style w:type="character" w:customStyle="1" w:styleId="297">
    <w:name w:val="font131"/>
    <w:qFormat/>
    <w:uiPriority w:val="0"/>
    <w:rPr>
      <w:rFonts w:hint="eastAsia" w:ascii="宋体" w:hAnsi="宋体" w:eastAsia="宋体" w:cs="宋体"/>
      <w:color w:val="000000"/>
      <w:sz w:val="22"/>
      <w:szCs w:val="22"/>
      <w:u w:val="none"/>
    </w:rPr>
  </w:style>
  <w:style w:type="paragraph" w:styleId="298">
    <w:name w:val="No Spacing"/>
    <w:link w:val="299"/>
    <w:qFormat/>
    <w:uiPriority w:val="99"/>
    <w:pPr>
      <w:widowControl w:val="0"/>
      <w:adjustRightInd w:val="0"/>
      <w:snapToGrid w:val="0"/>
    </w:pPr>
    <w:rPr>
      <w:rFonts w:ascii="Times New Roman" w:hAnsi="Times New Roman" w:eastAsia="宋体" w:cs="Times New Roman"/>
      <w:kern w:val="2"/>
      <w:sz w:val="24"/>
      <w:szCs w:val="24"/>
      <w:lang w:val="en-US" w:eastAsia="zh-CN" w:bidi="ar-SA"/>
    </w:rPr>
  </w:style>
  <w:style w:type="character" w:customStyle="1" w:styleId="299">
    <w:name w:val="无间隔 字符"/>
    <w:link w:val="298"/>
    <w:qFormat/>
    <w:uiPriority w:val="0"/>
    <w:rPr>
      <w:rFonts w:hint="eastAsia" w:ascii="宋体" w:hAnsi="宋体" w:eastAsia="宋体" w:cs="宋体"/>
      <w:kern w:val="2"/>
      <w:sz w:val="24"/>
    </w:rPr>
  </w:style>
  <w:style w:type="character" w:customStyle="1" w:styleId="300">
    <w:name w:val="正文文本 Char3"/>
    <w:qFormat/>
    <w:uiPriority w:val="0"/>
    <w:rPr>
      <w:rFonts w:ascii="Times New Roman" w:hAnsi="Times New Roman" w:eastAsia="宋体" w:cs="Times New Roman"/>
      <w:szCs w:val="24"/>
    </w:rPr>
  </w:style>
  <w:style w:type="paragraph" w:customStyle="1" w:styleId="301">
    <w:name w:val="样式 首行缩进:  2 字符"/>
    <w:basedOn w:val="1"/>
    <w:qFormat/>
    <w:uiPriority w:val="0"/>
    <w:pPr>
      <w:ind w:firstLine="480"/>
    </w:pPr>
    <w:rPr>
      <w:rFonts w:cs="宋体"/>
      <w:szCs w:val="20"/>
    </w:rPr>
  </w:style>
  <w:style w:type="character" w:customStyle="1" w:styleId="302">
    <w:name w:val="apple-style-span"/>
    <w:qFormat/>
    <w:uiPriority w:val="0"/>
  </w:style>
  <w:style w:type="paragraph" w:customStyle="1" w:styleId="303">
    <w:name w:val="正文."/>
    <w:basedOn w:val="27"/>
    <w:link w:val="304"/>
    <w:qFormat/>
    <w:uiPriority w:val="0"/>
    <w:pPr>
      <w:spacing w:line="360" w:lineRule="auto"/>
      <w:ind w:firstLine="200" w:firstLineChars="200"/>
    </w:pPr>
    <w:rPr>
      <w:rFonts w:ascii="Times New Roman" w:hAnsi="Times New Roman"/>
      <w:color w:val="000000"/>
      <w:sz w:val="24"/>
      <w:szCs w:val="24"/>
    </w:rPr>
  </w:style>
  <w:style w:type="character" w:customStyle="1" w:styleId="304">
    <w:name w:val="正文. Char"/>
    <w:link w:val="303"/>
    <w:qFormat/>
    <w:uiPriority w:val="0"/>
    <w:rPr>
      <w:rFonts w:ascii="Times New Roman" w:hAnsi="Times New Roman"/>
      <w:color w:val="000000"/>
      <w:kern w:val="2"/>
      <w:sz w:val="24"/>
      <w:szCs w:val="24"/>
    </w:rPr>
  </w:style>
  <w:style w:type="character" w:customStyle="1" w:styleId="305">
    <w:name w:val="标题（2） Char"/>
    <w:link w:val="306"/>
    <w:qFormat/>
    <w:uiPriority w:val="0"/>
    <w:rPr>
      <w:rFonts w:ascii="Arial" w:hAnsi="Arial"/>
      <w:b/>
      <w:bCs/>
      <w:kern w:val="28"/>
      <w:sz w:val="28"/>
      <w:szCs w:val="32"/>
    </w:rPr>
  </w:style>
  <w:style w:type="paragraph" w:customStyle="1" w:styleId="306">
    <w:name w:val="标题（2）"/>
    <w:basedOn w:val="4"/>
    <w:next w:val="1"/>
    <w:link w:val="305"/>
    <w:qFormat/>
    <w:uiPriority w:val="0"/>
    <w:pPr>
      <w:keepNext w:val="0"/>
      <w:keepLines w:val="0"/>
      <w:numPr>
        <w:ilvl w:val="1"/>
        <w:numId w:val="4"/>
      </w:numPr>
      <w:adjustRightInd w:val="0"/>
      <w:spacing w:before="40" w:beforeLines="50" w:after="0" w:line="360" w:lineRule="auto"/>
      <w:jc w:val="left"/>
    </w:pPr>
    <w:rPr>
      <w:rFonts w:ascii="Arial" w:hAnsi="Arial"/>
      <w:kern w:val="28"/>
      <w:sz w:val="28"/>
    </w:rPr>
  </w:style>
  <w:style w:type="paragraph" w:customStyle="1" w:styleId="307">
    <w:name w:val="标题（3）"/>
    <w:basedOn w:val="5"/>
    <w:next w:val="1"/>
    <w:qFormat/>
    <w:uiPriority w:val="99"/>
    <w:pPr>
      <w:keepNext w:val="0"/>
      <w:keepLines w:val="0"/>
      <w:numPr>
        <w:ilvl w:val="0"/>
        <w:numId w:val="4"/>
      </w:numPr>
      <w:adjustRightInd w:val="0"/>
      <w:spacing w:before="0" w:beforeLines="50" w:after="0" w:line="360" w:lineRule="auto"/>
      <w:jc w:val="left"/>
    </w:pPr>
    <w:rPr>
      <w:b w:val="0"/>
      <w:bCs w:val="0"/>
      <w:snapToGrid w:val="0"/>
      <w:kern w:val="28"/>
      <w:sz w:val="28"/>
      <w:szCs w:val="20"/>
    </w:rPr>
  </w:style>
  <w:style w:type="paragraph" w:customStyle="1" w:styleId="308">
    <w:name w:val="表头W"/>
    <w:basedOn w:val="19"/>
    <w:link w:val="309"/>
    <w:qFormat/>
    <w:uiPriority w:val="1"/>
    <w:pPr>
      <w:autoSpaceDE w:val="0"/>
      <w:autoSpaceDN w:val="0"/>
      <w:snapToGrid/>
      <w:jc w:val="center"/>
    </w:pPr>
    <w:rPr>
      <w:rFonts w:eastAsia="宋体"/>
      <w:b/>
      <w:kern w:val="0"/>
    </w:rPr>
  </w:style>
  <w:style w:type="character" w:customStyle="1" w:styleId="309">
    <w:name w:val="表头W Char"/>
    <w:link w:val="308"/>
    <w:qFormat/>
    <w:uiPriority w:val="1"/>
    <w:rPr>
      <w:rFonts w:ascii="Times New Roman" w:hAnsi="Times New Roman"/>
      <w:b/>
      <w:sz w:val="24"/>
      <w:szCs w:val="22"/>
    </w:rPr>
  </w:style>
  <w:style w:type="paragraph" w:customStyle="1" w:styleId="310">
    <w:name w:val="msonormal"/>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311">
    <w:name w:val="正文w"/>
    <w:basedOn w:val="1"/>
    <w:link w:val="312"/>
    <w:qFormat/>
    <w:uiPriority w:val="0"/>
    <w:pPr>
      <w:autoSpaceDE w:val="0"/>
      <w:autoSpaceDN w:val="0"/>
      <w:adjustRightInd w:val="0"/>
      <w:spacing w:line="360" w:lineRule="auto"/>
      <w:ind w:firstLine="480" w:firstLineChars="200"/>
    </w:pPr>
    <w:rPr>
      <w:kern w:val="0"/>
      <w:sz w:val="24"/>
      <w:szCs w:val="24"/>
    </w:rPr>
  </w:style>
  <w:style w:type="character" w:customStyle="1" w:styleId="312">
    <w:name w:val="正文w Char"/>
    <w:link w:val="311"/>
    <w:qFormat/>
    <w:uiPriority w:val="0"/>
    <w:rPr>
      <w:rFonts w:ascii="Times New Roman" w:hAnsi="Times New Roman"/>
      <w:sz w:val="24"/>
      <w:szCs w:val="24"/>
    </w:rPr>
  </w:style>
  <w:style w:type="paragraph" w:customStyle="1" w:styleId="313">
    <w:name w:val="Char Char Char Char Char Char1"/>
    <w:basedOn w:val="1"/>
    <w:qFormat/>
    <w:uiPriority w:val="99"/>
    <w:rPr>
      <w:szCs w:val="24"/>
    </w:rPr>
  </w:style>
  <w:style w:type="character" w:customStyle="1" w:styleId="314">
    <w:name w:val="Body text|1_"/>
    <w:link w:val="315"/>
    <w:qFormat/>
    <w:uiPriority w:val="0"/>
    <w:rPr>
      <w:rFonts w:ascii="宋体" w:hAnsi="宋体" w:cs="宋体"/>
      <w:sz w:val="26"/>
      <w:szCs w:val="26"/>
      <w:lang w:val="zh-TW" w:eastAsia="zh-TW" w:bidi="zh-TW"/>
    </w:rPr>
  </w:style>
  <w:style w:type="paragraph" w:customStyle="1" w:styleId="315">
    <w:name w:val="Body text|1"/>
    <w:basedOn w:val="1"/>
    <w:link w:val="314"/>
    <w:qFormat/>
    <w:uiPriority w:val="0"/>
    <w:pPr>
      <w:spacing w:line="425" w:lineRule="auto"/>
      <w:ind w:firstLine="400"/>
      <w:jc w:val="left"/>
    </w:pPr>
    <w:rPr>
      <w:rFonts w:ascii="宋体" w:hAnsi="宋体" w:cs="宋体"/>
      <w:kern w:val="0"/>
      <w:sz w:val="26"/>
      <w:szCs w:val="26"/>
      <w:lang w:val="zh-TW" w:eastAsia="zh-TW" w:bidi="zh-TW"/>
    </w:rPr>
  </w:style>
  <w:style w:type="character" w:customStyle="1" w:styleId="316">
    <w:name w:val="标题 1 Char"/>
    <w:qFormat/>
    <w:uiPriority w:val="0"/>
    <w:rPr>
      <w:b/>
      <w:kern w:val="44"/>
      <w:sz w:val="32"/>
      <w:szCs w:val="24"/>
    </w:rPr>
  </w:style>
  <w:style w:type="character" w:customStyle="1" w:styleId="317">
    <w:name w:val="正文文本缩进 2 Char"/>
    <w:qFormat/>
    <w:uiPriority w:val="99"/>
    <w:rPr>
      <w:rFonts w:ascii="宋体" w:hAnsi="宋体"/>
      <w:spacing w:val="-2"/>
      <w:kern w:val="2"/>
      <w:sz w:val="28"/>
      <w:szCs w:val="28"/>
    </w:rPr>
  </w:style>
  <w:style w:type="paragraph" w:customStyle="1" w:styleId="318">
    <w:name w:val="3"/>
    <w:unhideWhenUsed/>
    <w:qFormat/>
    <w:uiPriority w:val="99"/>
    <w:pPr>
      <w:widowControl w:val="0"/>
      <w:adjustRightInd w:val="0"/>
      <w:snapToGrid w:val="0"/>
      <w:spacing w:line="360" w:lineRule="auto"/>
    </w:pPr>
    <w:rPr>
      <w:rFonts w:ascii="Times New Roman" w:hAnsi="Times New Roman" w:eastAsia="宋体" w:cs="Times New Roman"/>
      <w:kern w:val="2"/>
      <w:sz w:val="24"/>
      <w:szCs w:val="24"/>
      <w:lang w:val="en-US" w:eastAsia="zh-CN" w:bidi="ar-SA"/>
    </w:rPr>
  </w:style>
  <w:style w:type="character" w:customStyle="1" w:styleId="319">
    <w:name w:val="font61"/>
    <w:qFormat/>
    <w:uiPriority w:val="0"/>
    <w:rPr>
      <w:rFonts w:hint="default" w:ascii="Times New Roman" w:hAnsi="Times New Roman" w:cs="Times New Roman"/>
      <w:color w:val="000000"/>
      <w:sz w:val="24"/>
      <w:szCs w:val="24"/>
      <w:u w:val="none"/>
    </w:rPr>
  </w:style>
  <w:style w:type="character" w:customStyle="1" w:styleId="320">
    <w:name w:val="font81"/>
    <w:qFormat/>
    <w:uiPriority w:val="0"/>
    <w:rPr>
      <w:rFonts w:hint="default" w:ascii="Arial" w:hAnsi="Arial" w:cs="Arial"/>
      <w:color w:val="F73131"/>
      <w:sz w:val="20"/>
      <w:szCs w:val="20"/>
      <w:u w:val="none"/>
    </w:rPr>
  </w:style>
  <w:style w:type="character" w:customStyle="1" w:styleId="321">
    <w:name w:val="操作规程-正文 Char"/>
    <w:link w:val="322"/>
    <w:qFormat/>
    <w:locked/>
    <w:uiPriority w:val="0"/>
    <w:rPr>
      <w:rFonts w:ascii="仿宋" w:hAnsi="仿宋" w:eastAsia="仿宋" w:cs="仿宋"/>
      <w:kern w:val="2"/>
      <w:sz w:val="28"/>
      <w:szCs w:val="32"/>
    </w:rPr>
  </w:style>
  <w:style w:type="paragraph" w:customStyle="1" w:styleId="322">
    <w:name w:val="操作规程-正文"/>
    <w:basedOn w:val="1"/>
    <w:link w:val="321"/>
    <w:qFormat/>
    <w:uiPriority w:val="0"/>
    <w:pPr>
      <w:spacing w:line="360" w:lineRule="auto"/>
      <w:ind w:firstLine="640" w:firstLineChars="200"/>
    </w:pPr>
    <w:rPr>
      <w:rFonts w:ascii="仿宋" w:hAnsi="仿宋" w:eastAsia="仿宋" w:cs="仿宋"/>
      <w:sz w:val="28"/>
      <w:szCs w:val="32"/>
    </w:rPr>
  </w:style>
  <w:style w:type="paragraph" w:customStyle="1" w:styleId="323">
    <w:name w:val="2"/>
    <w:unhideWhenUsed/>
    <w:qFormat/>
    <w:uiPriority w:val="99"/>
    <w:pPr>
      <w:widowControl w:val="0"/>
      <w:adjustRightInd w:val="0"/>
      <w:snapToGrid w:val="0"/>
      <w:spacing w:line="360" w:lineRule="auto"/>
    </w:pPr>
    <w:rPr>
      <w:rFonts w:ascii="Times New Roman" w:hAnsi="Times New Roman" w:eastAsia="宋体" w:cs="Times New Roman"/>
      <w:kern w:val="2"/>
      <w:sz w:val="24"/>
      <w:szCs w:val="24"/>
      <w:lang w:val="en-US" w:eastAsia="zh-CN" w:bidi="ar-SA"/>
    </w:rPr>
  </w:style>
  <w:style w:type="paragraph" w:customStyle="1" w:styleId="324">
    <w:name w:val="1"/>
    <w:unhideWhenUsed/>
    <w:qFormat/>
    <w:uiPriority w:val="99"/>
    <w:pPr>
      <w:widowControl w:val="0"/>
      <w:adjustRightInd w:val="0"/>
      <w:snapToGrid w:val="0"/>
      <w:spacing w:line="360" w:lineRule="auto"/>
    </w:pPr>
    <w:rPr>
      <w:rFonts w:ascii="Times New Roman" w:hAnsi="Times New Roman" w:eastAsia="宋体" w:cs="Times New Roman"/>
      <w:kern w:val="2"/>
      <w:sz w:val="24"/>
      <w:szCs w:val="24"/>
      <w:lang w:val="en-US" w:eastAsia="zh-CN" w:bidi="ar-SA"/>
    </w:rPr>
  </w:style>
  <w:style w:type="character" w:customStyle="1" w:styleId="325">
    <w:name w:val="Other|1_"/>
    <w:link w:val="326"/>
    <w:qFormat/>
    <w:uiPriority w:val="0"/>
    <w:rPr>
      <w:rFonts w:ascii="宋体" w:hAnsi="宋体" w:cs="宋体"/>
      <w:sz w:val="26"/>
      <w:szCs w:val="26"/>
      <w:lang w:val="zh-TW" w:eastAsia="zh-TW" w:bidi="zh-TW"/>
    </w:rPr>
  </w:style>
  <w:style w:type="paragraph" w:customStyle="1" w:styleId="326">
    <w:name w:val="Other|1"/>
    <w:basedOn w:val="1"/>
    <w:link w:val="325"/>
    <w:qFormat/>
    <w:uiPriority w:val="0"/>
    <w:pPr>
      <w:spacing w:line="425" w:lineRule="auto"/>
      <w:ind w:firstLine="400"/>
      <w:jc w:val="left"/>
    </w:pPr>
    <w:rPr>
      <w:rFonts w:ascii="宋体" w:hAnsi="宋体" w:cs="宋体"/>
      <w:kern w:val="0"/>
      <w:sz w:val="26"/>
      <w:szCs w:val="26"/>
      <w:lang w:val="zh-TW" w:eastAsia="zh-TW" w:bidi="zh-TW"/>
    </w:rPr>
  </w:style>
  <w:style w:type="character" w:customStyle="1" w:styleId="327">
    <w:name w:val="Other|2_"/>
    <w:link w:val="328"/>
    <w:qFormat/>
    <w:uiPriority w:val="0"/>
    <w:rPr>
      <w:rFonts w:ascii="宋体" w:hAnsi="宋体" w:cs="宋体"/>
      <w:color w:val="8A8471"/>
      <w:sz w:val="13"/>
      <w:szCs w:val="13"/>
      <w:lang w:val="zh-TW" w:eastAsia="zh-TW" w:bidi="zh-TW"/>
    </w:rPr>
  </w:style>
  <w:style w:type="paragraph" w:customStyle="1" w:styleId="328">
    <w:name w:val="Other|2"/>
    <w:basedOn w:val="1"/>
    <w:link w:val="327"/>
    <w:qFormat/>
    <w:uiPriority w:val="0"/>
    <w:pPr>
      <w:jc w:val="left"/>
    </w:pPr>
    <w:rPr>
      <w:rFonts w:ascii="宋体" w:hAnsi="宋体" w:cs="宋体"/>
      <w:color w:val="8A8471"/>
      <w:kern w:val="0"/>
      <w:sz w:val="13"/>
      <w:szCs w:val="13"/>
      <w:lang w:val="zh-TW" w:eastAsia="zh-TW" w:bidi="zh-TW"/>
    </w:rPr>
  </w:style>
  <w:style w:type="character" w:customStyle="1" w:styleId="329">
    <w:name w:val="W正文 Char"/>
    <w:link w:val="330"/>
    <w:qFormat/>
    <w:locked/>
    <w:uiPriority w:val="0"/>
    <w:rPr>
      <w:sz w:val="24"/>
      <w:szCs w:val="24"/>
    </w:rPr>
  </w:style>
  <w:style w:type="paragraph" w:customStyle="1" w:styleId="330">
    <w:name w:val="W正文"/>
    <w:basedOn w:val="1"/>
    <w:link w:val="329"/>
    <w:qFormat/>
    <w:uiPriority w:val="0"/>
    <w:pPr>
      <w:autoSpaceDE w:val="0"/>
      <w:autoSpaceDN w:val="0"/>
      <w:adjustRightInd w:val="0"/>
      <w:spacing w:line="360" w:lineRule="auto"/>
      <w:ind w:firstLine="480" w:firstLineChars="200"/>
    </w:pPr>
    <w:rPr>
      <w:kern w:val="0"/>
      <w:sz w:val="24"/>
      <w:szCs w:val="24"/>
    </w:rPr>
  </w:style>
  <w:style w:type="paragraph" w:customStyle="1" w:styleId="331">
    <w:name w:val="W图表标题"/>
    <w:basedOn w:val="1"/>
    <w:qFormat/>
    <w:uiPriority w:val="0"/>
    <w:pPr>
      <w:widowControl/>
      <w:suppressAutoHyphens/>
      <w:autoSpaceDE w:val="0"/>
      <w:autoSpaceDN w:val="0"/>
      <w:adjustRightInd w:val="0"/>
      <w:spacing w:line="360" w:lineRule="auto"/>
      <w:jc w:val="center"/>
      <w:textAlignment w:val="baseline"/>
    </w:pPr>
    <w:rPr>
      <w:b/>
      <w:kern w:val="0"/>
      <w:sz w:val="24"/>
      <w:szCs w:val="28"/>
    </w:rPr>
  </w:style>
  <w:style w:type="paragraph" w:customStyle="1" w:styleId="332">
    <w:name w:val="W表文"/>
    <w:basedOn w:val="311"/>
    <w:link w:val="333"/>
    <w:qFormat/>
    <w:uiPriority w:val="0"/>
    <w:pPr>
      <w:spacing w:line="240" w:lineRule="auto"/>
      <w:ind w:firstLine="0" w:firstLineChars="0"/>
      <w:jc w:val="center"/>
    </w:pPr>
    <w:rPr>
      <w:sz w:val="21"/>
      <w:szCs w:val="21"/>
    </w:rPr>
  </w:style>
  <w:style w:type="character" w:customStyle="1" w:styleId="333">
    <w:name w:val="W表文 Char"/>
    <w:link w:val="332"/>
    <w:qFormat/>
    <w:uiPriority w:val="0"/>
    <w:rPr>
      <w:rFonts w:ascii="Times New Roman" w:hAnsi="Times New Roman"/>
      <w:sz w:val="21"/>
      <w:szCs w:val="21"/>
    </w:rPr>
  </w:style>
  <w:style w:type="character" w:customStyle="1" w:styleId="334">
    <w:name w:val="未处理的提及1"/>
    <w:unhideWhenUsed/>
    <w:qFormat/>
    <w:uiPriority w:val="99"/>
    <w:rPr>
      <w:color w:val="605E5C"/>
      <w:shd w:val="clear" w:color="auto" w:fill="E1DFDD"/>
    </w:rPr>
  </w:style>
  <w:style w:type="paragraph" w:customStyle="1" w:styleId="335">
    <w:name w:val="1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6">
    <w:name w:val="3级标题"/>
    <w:basedOn w:val="1"/>
    <w:qFormat/>
    <w:uiPriority w:val="99"/>
    <w:pPr>
      <w:spacing w:line="360" w:lineRule="auto"/>
      <w:jc w:val="left"/>
      <w:outlineLvl w:val="2"/>
    </w:pPr>
    <w:rPr>
      <w:b/>
      <w:kern w:val="18"/>
      <w:sz w:val="24"/>
      <w:szCs w:val="24"/>
    </w:rPr>
  </w:style>
  <w:style w:type="paragraph" w:customStyle="1" w:styleId="337">
    <w:name w:val="2级标题"/>
    <w:basedOn w:val="1"/>
    <w:link w:val="338"/>
    <w:qFormat/>
    <w:uiPriority w:val="99"/>
    <w:pPr>
      <w:spacing w:before="60" w:after="60" w:line="360" w:lineRule="auto"/>
      <w:jc w:val="left"/>
      <w:outlineLvl w:val="1"/>
    </w:pPr>
    <w:rPr>
      <w:b/>
      <w:sz w:val="28"/>
      <w:szCs w:val="28"/>
    </w:rPr>
  </w:style>
  <w:style w:type="character" w:customStyle="1" w:styleId="338">
    <w:name w:val="2级标题 Char"/>
    <w:link w:val="337"/>
    <w:qFormat/>
    <w:uiPriority w:val="99"/>
    <w:rPr>
      <w:rFonts w:ascii="Times New Roman" w:hAnsi="Times New Roman"/>
      <w:b/>
      <w:kern w:val="2"/>
      <w:sz w:val="28"/>
      <w:szCs w:val="28"/>
    </w:rPr>
  </w:style>
  <w:style w:type="character" w:customStyle="1" w:styleId="339">
    <w:name w:val="标题 4 Char1"/>
    <w:qFormat/>
    <w:uiPriority w:val="0"/>
    <w:rPr>
      <w:b/>
      <w:kern w:val="2"/>
      <w:sz w:val="24"/>
      <w:szCs w:val="24"/>
    </w:rPr>
  </w:style>
  <w:style w:type="paragraph" w:customStyle="1" w:styleId="340">
    <w:name w:val="15"/>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341">
    <w:name w:val="标题 3 Char1"/>
    <w:qFormat/>
    <w:uiPriority w:val="0"/>
    <w:rPr>
      <w:b/>
      <w:kern w:val="2"/>
      <w:sz w:val="28"/>
      <w:szCs w:val="24"/>
    </w:rPr>
  </w:style>
  <w:style w:type="paragraph" w:customStyle="1" w:styleId="342">
    <w:name w:val="W标题4"/>
    <w:basedOn w:val="6"/>
    <w:link w:val="343"/>
    <w:qFormat/>
    <w:uiPriority w:val="0"/>
    <w:pPr>
      <w:tabs>
        <w:tab w:val="left" w:pos="0"/>
      </w:tabs>
      <w:autoSpaceDE w:val="0"/>
      <w:autoSpaceDN w:val="0"/>
      <w:adjustRightInd/>
      <w:snapToGrid/>
      <w:jc w:val="both"/>
    </w:pPr>
    <w:rPr>
      <w:bCs/>
      <w:kern w:val="0"/>
      <w:szCs w:val="28"/>
    </w:rPr>
  </w:style>
  <w:style w:type="character" w:customStyle="1" w:styleId="343">
    <w:name w:val="W标题4 Char"/>
    <w:link w:val="342"/>
    <w:qFormat/>
    <w:uiPriority w:val="0"/>
    <w:rPr>
      <w:rFonts w:ascii="Times New Roman" w:hAnsi="Times New Roman"/>
      <w:b/>
      <w:bCs/>
      <w:sz w:val="24"/>
      <w:szCs w:val="28"/>
    </w:rPr>
  </w:style>
  <w:style w:type="paragraph" w:customStyle="1" w:styleId="344">
    <w:name w:val="W标题5."/>
    <w:basedOn w:val="311"/>
    <w:link w:val="345"/>
    <w:qFormat/>
    <w:uiPriority w:val="0"/>
    <w:pPr>
      <w:adjustRightInd/>
      <w:ind w:firstLine="200"/>
    </w:pPr>
    <w:rPr>
      <w:b/>
    </w:rPr>
  </w:style>
  <w:style w:type="character" w:customStyle="1" w:styleId="345">
    <w:name w:val="W标题5. Char"/>
    <w:link w:val="344"/>
    <w:qFormat/>
    <w:uiPriority w:val="0"/>
    <w:rPr>
      <w:rFonts w:ascii="Times New Roman" w:hAnsi="Times New Roman"/>
      <w:b/>
      <w:sz w:val="24"/>
      <w:szCs w:val="24"/>
    </w:rPr>
  </w:style>
  <w:style w:type="paragraph" w:customStyle="1" w:styleId="346">
    <w:name w:val="WPSOffice手动目录 1"/>
    <w:qFormat/>
    <w:uiPriority w:val="0"/>
    <w:rPr>
      <w:rFonts w:ascii="Times New Roman" w:hAnsi="Times New Roman" w:eastAsia="宋体" w:cs="Calibri"/>
      <w:lang w:val="en-US" w:eastAsia="zh-CN" w:bidi="ar-SA"/>
    </w:rPr>
  </w:style>
  <w:style w:type="paragraph" w:customStyle="1" w:styleId="347">
    <w:name w:val="WPSOffice手动目录 2"/>
    <w:qFormat/>
    <w:uiPriority w:val="0"/>
    <w:pPr>
      <w:ind w:left="200" w:leftChars="200"/>
    </w:pPr>
    <w:rPr>
      <w:rFonts w:ascii="Times New Roman" w:hAnsi="Times New Roman" w:eastAsia="宋体" w:cs="Calibri"/>
      <w:lang w:val="en-US" w:eastAsia="zh-CN" w:bidi="ar-SA"/>
    </w:rPr>
  </w:style>
  <w:style w:type="paragraph" w:customStyle="1" w:styleId="348">
    <w:name w:val="WPSOffice手动目录 3"/>
    <w:qFormat/>
    <w:uiPriority w:val="0"/>
    <w:pPr>
      <w:ind w:left="400" w:leftChars="400"/>
    </w:pPr>
    <w:rPr>
      <w:rFonts w:ascii="Times New Roman" w:hAnsi="Times New Roman" w:eastAsia="宋体" w:cs="Calibri"/>
      <w:lang w:val="en-US" w:eastAsia="zh-CN" w:bidi="ar-SA"/>
    </w:rPr>
  </w:style>
  <w:style w:type="paragraph" w:customStyle="1" w:styleId="349">
    <w:name w:val="Char Char Char1 Char Char Char Char Char Char Char Char Char Char Char Char Char Char Char Char"/>
    <w:basedOn w:val="1"/>
    <w:qFormat/>
    <w:uiPriority w:val="0"/>
    <w:pPr>
      <w:adjustRightInd w:val="0"/>
      <w:spacing w:line="360" w:lineRule="atLeast"/>
      <w:jc w:val="left"/>
      <w:textAlignment w:val="baseline"/>
    </w:pPr>
    <w:rPr>
      <w:szCs w:val="24"/>
    </w:rPr>
  </w:style>
  <w:style w:type="paragraph" w:customStyle="1" w:styleId="350">
    <w:name w:val="Char Char Char1 Char Char Char Char Char Char Char Char Char Char Char Char Char Char Char Char1"/>
    <w:basedOn w:val="1"/>
    <w:qFormat/>
    <w:uiPriority w:val="0"/>
    <w:pPr>
      <w:adjustRightInd w:val="0"/>
      <w:spacing w:line="360" w:lineRule="atLeast"/>
      <w:jc w:val="left"/>
      <w:textAlignment w:val="baseline"/>
    </w:pPr>
    <w:rPr>
      <w:szCs w:val="24"/>
    </w:rPr>
  </w:style>
  <w:style w:type="character" w:customStyle="1" w:styleId="351">
    <w:name w:val="表头LB Char"/>
    <w:link w:val="352"/>
    <w:qFormat/>
    <w:uiPriority w:val="0"/>
    <w:rPr>
      <w:rFonts w:ascii="宋体" w:hAnsi="宋体"/>
      <w:b/>
      <w:sz w:val="24"/>
    </w:rPr>
  </w:style>
  <w:style w:type="paragraph" w:customStyle="1" w:styleId="352">
    <w:name w:val="表头LB"/>
    <w:basedOn w:val="1"/>
    <w:link w:val="351"/>
    <w:qFormat/>
    <w:uiPriority w:val="0"/>
    <w:pPr>
      <w:adjustRightInd w:val="0"/>
      <w:snapToGrid w:val="0"/>
      <w:jc w:val="center"/>
    </w:pPr>
    <w:rPr>
      <w:rFonts w:ascii="宋体" w:hAnsi="宋体"/>
      <w:b/>
      <w:kern w:val="0"/>
      <w:sz w:val="24"/>
      <w:szCs w:val="20"/>
    </w:rPr>
  </w:style>
  <w:style w:type="paragraph" w:customStyle="1" w:styleId="353">
    <w:name w:val="正  文"/>
    <w:basedOn w:val="1"/>
    <w:next w:val="1"/>
    <w:qFormat/>
    <w:uiPriority w:val="0"/>
    <w:pPr>
      <w:spacing w:line="360" w:lineRule="auto"/>
      <w:ind w:firstLine="200" w:firstLineChars="200"/>
    </w:pPr>
    <w:rPr>
      <w:kern w:val="0"/>
      <w:sz w:val="24"/>
      <w:szCs w:val="28"/>
    </w:rPr>
  </w:style>
  <w:style w:type="paragraph" w:customStyle="1" w:styleId="354">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szCs w:val="24"/>
      <w:lang w:eastAsia="en-US"/>
    </w:rPr>
  </w:style>
  <w:style w:type="character" w:customStyle="1" w:styleId="355">
    <w:name w:val="NormalCharacter"/>
    <w:qFormat/>
    <w:uiPriority w:val="0"/>
    <w:rPr>
      <w:rFonts w:ascii="Calibri" w:hAnsi="Calibri" w:eastAsia="宋体"/>
      <w:kern w:val="2"/>
      <w:sz w:val="21"/>
      <w:szCs w:val="22"/>
      <w:lang w:val="en-US" w:eastAsia="zh-CN" w:bidi="ar-SA"/>
    </w:rPr>
  </w:style>
  <w:style w:type="paragraph" w:customStyle="1" w:styleId="356">
    <w:name w:val="5"/>
    <w:basedOn w:val="23"/>
    <w:next w:val="24"/>
    <w:link w:val="357"/>
    <w:unhideWhenUsed/>
    <w:qFormat/>
    <w:uiPriority w:val="99"/>
    <w:pPr>
      <w:ind w:firstLine="420"/>
    </w:pPr>
    <w:rPr>
      <w:kern w:val="0"/>
      <w:sz w:val="20"/>
      <w:szCs w:val="20"/>
    </w:rPr>
  </w:style>
  <w:style w:type="character" w:customStyle="1" w:styleId="357">
    <w:name w:val="正文首行缩进 2 字符"/>
    <w:link w:val="356"/>
    <w:qFormat/>
    <w:uiPriority w:val="99"/>
    <w:rPr>
      <w:rFonts w:ascii="Calibri" w:hAnsi="Calibri" w:eastAsia="宋体" w:cs="Times New Roman"/>
    </w:rPr>
  </w:style>
  <w:style w:type="paragraph" w:customStyle="1" w:styleId="358">
    <w:name w:val="4"/>
    <w:basedOn w:val="18"/>
    <w:next w:val="17"/>
    <w:link w:val="359"/>
    <w:unhideWhenUsed/>
    <w:qFormat/>
    <w:uiPriority w:val="99"/>
    <w:pPr>
      <w:ind w:firstLine="420" w:firstLineChars="100"/>
    </w:pPr>
  </w:style>
  <w:style w:type="character" w:customStyle="1" w:styleId="359">
    <w:name w:val="正文首行缩进 字符"/>
    <w:link w:val="358"/>
    <w:qFormat/>
    <w:uiPriority w:val="0"/>
    <w:rPr>
      <w:kern w:val="2"/>
      <w:sz w:val="21"/>
      <w:szCs w:val="22"/>
    </w:rPr>
  </w:style>
  <w:style w:type="character" w:customStyle="1" w:styleId="360">
    <w:name w:val="表头 Char"/>
    <w:qFormat/>
    <w:uiPriority w:val="0"/>
    <w:rPr>
      <w:rFonts w:hint="default" w:ascii="Times New Roman" w:hAnsi="Times New Roman" w:cs="Times New Roman"/>
      <w:b/>
      <w:kern w:val="2"/>
      <w:sz w:val="24"/>
      <w:szCs w:val="24"/>
    </w:rPr>
  </w:style>
  <w:style w:type="character" w:customStyle="1" w:styleId="361">
    <w:name w:val="页眉 Char Char"/>
    <w:qFormat/>
    <w:uiPriority w:val="0"/>
    <w:rPr>
      <w:kern w:val="2"/>
      <w:sz w:val="18"/>
    </w:rPr>
  </w:style>
  <w:style w:type="character" w:customStyle="1" w:styleId="362">
    <w:name w:val="正文1-1 Char"/>
    <w:qFormat/>
    <w:uiPriority w:val="0"/>
    <w:rPr>
      <w:color w:val="000000"/>
      <w:sz w:val="24"/>
      <w:szCs w:val="24"/>
    </w:rPr>
  </w:style>
  <w:style w:type="character" w:customStyle="1" w:styleId="363">
    <w:name w:val="正文文本缩进 2 Char1"/>
    <w:qFormat/>
    <w:uiPriority w:val="0"/>
    <w:rPr>
      <w:kern w:val="2"/>
      <w:sz w:val="21"/>
      <w:szCs w:val="24"/>
    </w:rPr>
  </w:style>
  <w:style w:type="character" w:customStyle="1" w:styleId="364">
    <w:name w:val="纯文本 Char"/>
    <w:qFormat/>
    <w:uiPriority w:val="0"/>
    <w:rPr>
      <w:rFonts w:hint="eastAsia" w:ascii="宋体" w:hAnsi="Courier New" w:eastAsia="宋体" w:cs="宋体"/>
      <w:kern w:val="2"/>
      <w:sz w:val="21"/>
      <w:lang w:val="en-US" w:eastAsia="zh-CN" w:bidi="ar"/>
    </w:rPr>
  </w:style>
  <w:style w:type="character" w:customStyle="1" w:styleId="365">
    <w:name w:val="正文对齐 Char"/>
    <w:qFormat/>
    <w:uiPriority w:val="0"/>
    <w:rPr>
      <w:rFonts w:hint="eastAsia" w:ascii="楷体_GB2312" w:eastAsia="楷体_GB2312" w:cs="楷体_GB2312"/>
      <w:sz w:val="28"/>
      <w:szCs w:val="28"/>
    </w:rPr>
  </w:style>
  <w:style w:type="character" w:customStyle="1" w:styleId="366">
    <w:name w:val="font241"/>
    <w:qFormat/>
    <w:uiPriority w:val="0"/>
    <w:rPr>
      <w:sz w:val="21"/>
    </w:rPr>
  </w:style>
  <w:style w:type="character" w:customStyle="1" w:styleId="367">
    <w:name w:val="font141"/>
    <w:qFormat/>
    <w:uiPriority w:val="0"/>
    <w:rPr>
      <w:color w:val="333333"/>
      <w:sz w:val="28"/>
      <w:szCs w:val="28"/>
    </w:rPr>
  </w:style>
  <w:style w:type="character" w:customStyle="1" w:styleId="368">
    <w:name w:val="bsharetext"/>
    <w:qFormat/>
    <w:uiPriority w:val="0"/>
  </w:style>
  <w:style w:type="character" w:customStyle="1" w:styleId="369">
    <w:name w:val="short_text1"/>
    <w:qFormat/>
    <w:uiPriority w:val="0"/>
    <w:rPr>
      <w:sz w:val="29"/>
    </w:rPr>
  </w:style>
  <w:style w:type="character" w:customStyle="1" w:styleId="370">
    <w:name w:val="表文字 Char Char"/>
    <w:qFormat/>
    <w:uiPriority w:val="0"/>
    <w:rPr>
      <w:kern w:val="2"/>
      <w:sz w:val="24"/>
    </w:rPr>
  </w:style>
  <w:style w:type="character" w:customStyle="1" w:styleId="371">
    <w:name w:val="占位符文本1"/>
    <w:qFormat/>
    <w:uiPriority w:val="0"/>
    <w:rPr>
      <w:color w:val="808080"/>
    </w:rPr>
  </w:style>
  <w:style w:type="character" w:customStyle="1" w:styleId="372">
    <w:name w:val="text"/>
    <w:qFormat/>
    <w:uiPriority w:val="0"/>
  </w:style>
  <w:style w:type="character" w:customStyle="1" w:styleId="373">
    <w:name w:val="正文A Char"/>
    <w:qFormat/>
    <w:uiPriority w:val="0"/>
    <w:rPr>
      <w:rFonts w:hint="eastAsia" w:ascii="宋体" w:hAnsi="宋体" w:eastAsia="宋体" w:cs="宋体"/>
      <w:sz w:val="24"/>
    </w:rPr>
  </w:style>
  <w:style w:type="character" w:customStyle="1" w:styleId="374">
    <w:name w:val="Char Char11"/>
    <w:qFormat/>
    <w:uiPriority w:val="0"/>
    <w:rPr>
      <w:rFonts w:hint="eastAsia" w:ascii="宋体" w:hAnsi="宋体" w:eastAsia="宋体" w:cs="宋体"/>
      <w:b/>
      <w:kern w:val="44"/>
      <w:sz w:val="44"/>
      <w:lang w:val="en-US" w:eastAsia="zh-CN"/>
    </w:rPr>
  </w:style>
  <w:style w:type="character" w:customStyle="1" w:styleId="375">
    <w:name w:val="页脚 Char"/>
    <w:qFormat/>
    <w:uiPriority w:val="0"/>
    <w:rPr>
      <w:rFonts w:hint="eastAsia" w:ascii="宋体" w:hAnsi="宋体" w:eastAsia="宋体" w:cs="宋体"/>
      <w:kern w:val="2"/>
      <w:sz w:val="18"/>
      <w:szCs w:val="18"/>
      <w:lang w:val="en-US" w:eastAsia="zh-CN" w:bidi="ar"/>
    </w:rPr>
  </w:style>
  <w:style w:type="character" w:customStyle="1" w:styleId="376">
    <w:name w:val="HTML 预设格式 字符"/>
    <w:qFormat/>
    <w:uiPriority w:val="0"/>
    <w:rPr>
      <w:rFonts w:hint="default" w:ascii="Courier New" w:hAnsi="Courier New" w:cs="Courier New"/>
      <w:sz w:val="20"/>
      <w:szCs w:val="20"/>
    </w:rPr>
  </w:style>
  <w:style w:type="character" w:customStyle="1" w:styleId="377">
    <w:name w:val="样式 标题 2H2He + 首行缩进:  0.5 字符 Char"/>
    <w:qFormat/>
    <w:uiPriority w:val="0"/>
    <w:rPr>
      <w:rFonts w:hint="default" w:ascii="Arial" w:hAnsi="Arial" w:cs="宋体"/>
      <w:b/>
      <w:bCs/>
      <w:color w:val="000000"/>
      <w:kern w:val="32"/>
      <w:sz w:val="28"/>
      <w:szCs w:val="32"/>
    </w:rPr>
  </w:style>
  <w:style w:type="character" w:customStyle="1" w:styleId="378">
    <w:name w:val="fontstyle21"/>
    <w:qFormat/>
    <w:uiPriority w:val="0"/>
    <w:rPr>
      <w:rFonts w:hint="default" w:ascii="TimesNewRomanPSMT" w:hAnsi="TimesNewRomanPSMT" w:eastAsia="TimesNewRomanPSMT" w:cs="TimesNewRomanPSMT"/>
      <w:color w:val="000000"/>
      <w:sz w:val="32"/>
      <w:szCs w:val="32"/>
    </w:rPr>
  </w:style>
  <w:style w:type="character" w:customStyle="1" w:styleId="379">
    <w:name w:val="Char Char31"/>
    <w:qFormat/>
    <w:uiPriority w:val="0"/>
    <w:rPr>
      <w:rFonts w:hint="eastAsia" w:ascii="宋体" w:hAnsi="宋体" w:eastAsia="宋体" w:cs="宋体"/>
      <w:kern w:val="2"/>
      <w:sz w:val="28"/>
      <w:lang w:val="en-US" w:eastAsia="zh-CN"/>
    </w:rPr>
  </w:style>
  <w:style w:type="character" w:customStyle="1" w:styleId="380">
    <w:name w:val="标题 8 字符"/>
    <w:qFormat/>
    <w:uiPriority w:val="0"/>
    <w:rPr>
      <w:rFonts w:hint="default" w:ascii="Cambria" w:hAnsi="Cambria" w:eastAsia="宋体" w:cs="Times New Roman"/>
      <w:sz w:val="24"/>
      <w:szCs w:val="24"/>
    </w:rPr>
  </w:style>
  <w:style w:type="character" w:customStyle="1" w:styleId="381">
    <w:name w:val="注释标题 字符"/>
    <w:qFormat/>
    <w:uiPriority w:val="0"/>
  </w:style>
  <w:style w:type="character" w:customStyle="1" w:styleId="382">
    <w:name w:val="本次正文 Char"/>
    <w:qFormat/>
    <w:uiPriority w:val="0"/>
    <w:rPr>
      <w:kern w:val="2"/>
      <w:sz w:val="24"/>
    </w:rPr>
  </w:style>
  <w:style w:type="character" w:customStyle="1" w:styleId="383">
    <w:name w:val="正文文本 3 字符"/>
    <w:qFormat/>
    <w:uiPriority w:val="0"/>
    <w:rPr>
      <w:sz w:val="16"/>
      <w:szCs w:val="16"/>
    </w:rPr>
  </w:style>
  <w:style w:type="character" w:customStyle="1" w:styleId="384">
    <w:name w:val="脚注文本 字符"/>
    <w:qFormat/>
    <w:uiPriority w:val="0"/>
    <w:rPr>
      <w:sz w:val="18"/>
      <w:szCs w:val="18"/>
    </w:rPr>
  </w:style>
  <w:style w:type="character" w:customStyle="1" w:styleId="385">
    <w:name w:val="正文文本缩进 3 字符"/>
    <w:qFormat/>
    <w:uiPriority w:val="0"/>
    <w:rPr>
      <w:sz w:val="16"/>
      <w:szCs w:val="16"/>
    </w:rPr>
  </w:style>
  <w:style w:type="character" w:customStyle="1" w:styleId="386">
    <w:name w:val="正文文本 2 字符"/>
    <w:qFormat/>
    <w:uiPriority w:val="0"/>
  </w:style>
  <w:style w:type="character" w:customStyle="1" w:styleId="387">
    <w:name w:val="段落 Char1"/>
    <w:qFormat/>
    <w:uiPriority w:val="0"/>
    <w:rPr>
      <w:rFonts w:hint="eastAsia" w:ascii="宋体" w:hAnsi="宋体" w:eastAsia="宋体" w:cs="宋体"/>
      <w:kern w:val="24"/>
      <w:sz w:val="28"/>
      <w:lang w:val="en-US" w:eastAsia="zh-CN" w:bidi="ar"/>
    </w:rPr>
  </w:style>
  <w:style w:type="character" w:customStyle="1" w:styleId="388">
    <w:name w:val="Char Char1"/>
    <w:qFormat/>
    <w:uiPriority w:val="0"/>
    <w:rPr>
      <w:rFonts w:hint="default" w:ascii="Book Antiqua" w:hAnsi="Book Antiqua" w:eastAsia="宋体" w:cs="Book Antiqua"/>
      <w:lang w:val="en-US" w:eastAsia="en-US"/>
    </w:rPr>
  </w:style>
  <w:style w:type="character" w:customStyle="1" w:styleId="389">
    <w:name w:val="正文缩进 Char"/>
    <w:qFormat/>
    <w:uiPriority w:val="0"/>
    <w:rPr>
      <w:kern w:val="2"/>
      <w:sz w:val="21"/>
    </w:rPr>
  </w:style>
  <w:style w:type="character" w:customStyle="1" w:styleId="390">
    <w:name w:val="Char Char5"/>
    <w:qFormat/>
    <w:uiPriority w:val="0"/>
    <w:rPr>
      <w:rFonts w:hint="eastAsia" w:ascii="宋体" w:hAnsi="Courier New" w:eastAsia="宋体" w:cs="宋体"/>
      <w:kern w:val="2"/>
      <w:sz w:val="21"/>
      <w:lang w:val="en-US" w:eastAsia="zh-CN"/>
    </w:rPr>
  </w:style>
  <w:style w:type="character" w:customStyle="1" w:styleId="391">
    <w:name w:val="段落 Char2"/>
    <w:qFormat/>
    <w:uiPriority w:val="0"/>
    <w:rPr>
      <w:rFonts w:hint="eastAsia" w:ascii="宋体" w:hAnsi="宋体" w:eastAsia="宋体" w:cs="宋体"/>
      <w:sz w:val="24"/>
      <w:szCs w:val="24"/>
    </w:rPr>
  </w:style>
  <w:style w:type="character" w:customStyle="1" w:styleId="392">
    <w:name w:val="未处理的提及2"/>
    <w:qFormat/>
    <w:uiPriority w:val="0"/>
    <w:rPr>
      <w:color w:val="605E5C"/>
      <w:shd w:val="clear" w:color="auto" w:fill="E1DFDD"/>
    </w:rPr>
  </w:style>
  <w:style w:type="character" w:customStyle="1" w:styleId="393">
    <w:name w:val="c lh15"/>
    <w:qFormat/>
    <w:uiPriority w:val="0"/>
  </w:style>
  <w:style w:type="character" w:customStyle="1" w:styleId="394">
    <w:name w:val="8 Char Char Char Char"/>
    <w:qFormat/>
    <w:uiPriority w:val="0"/>
    <w:rPr>
      <w:kern w:val="10"/>
      <w:sz w:val="24"/>
    </w:rPr>
  </w:style>
  <w:style w:type="character" w:customStyle="1" w:styleId="395">
    <w:name w:val="样式小4 Char Char"/>
    <w:qFormat/>
    <w:uiPriority w:val="0"/>
    <w:rPr>
      <w:rFonts w:hint="eastAsia" w:ascii="宋体" w:hAnsi="宋体" w:eastAsia="宋体" w:cs="宋体"/>
      <w:sz w:val="28"/>
      <w:szCs w:val="28"/>
    </w:rPr>
  </w:style>
  <w:style w:type="character" w:customStyle="1" w:styleId="396">
    <w:name w:val="正文四号ss Char Char"/>
    <w:qFormat/>
    <w:uiPriority w:val="0"/>
    <w:rPr>
      <w:rFonts w:hint="eastAsia" w:ascii="宋体" w:hAnsi="宋体" w:eastAsia="宋体" w:cs="宋体"/>
      <w:sz w:val="28"/>
      <w:szCs w:val="28"/>
    </w:rPr>
  </w:style>
  <w:style w:type="character" w:customStyle="1" w:styleId="397">
    <w:name w:val="报告 Char"/>
    <w:qFormat/>
    <w:uiPriority w:val="0"/>
    <w:rPr>
      <w:sz w:val="24"/>
    </w:rPr>
  </w:style>
  <w:style w:type="character" w:customStyle="1" w:styleId="398">
    <w:name w:val="普通文字 Char1"/>
    <w:qFormat/>
    <w:uiPriority w:val="0"/>
    <w:rPr>
      <w:rFonts w:hint="eastAsia" w:ascii="宋体" w:hAnsi="Courier New" w:eastAsia="宋体" w:cs="Courier New"/>
      <w:kern w:val="2"/>
      <w:sz w:val="21"/>
      <w:szCs w:val="21"/>
      <w:lang w:val="en-US" w:eastAsia="zh-CN" w:bidi="ar"/>
    </w:rPr>
  </w:style>
  <w:style w:type="character" w:customStyle="1" w:styleId="399">
    <w:name w:val="8 Char1"/>
    <w:qFormat/>
    <w:uiPriority w:val="0"/>
    <w:rPr>
      <w:kern w:val="10"/>
      <w:sz w:val="24"/>
    </w:rPr>
  </w:style>
  <w:style w:type="character" w:customStyle="1" w:styleId="400">
    <w:name w:val="ENFI表体 Char Char"/>
    <w:qFormat/>
    <w:uiPriority w:val="0"/>
    <w:rPr>
      <w:rFonts w:hint="eastAsia" w:ascii="仿宋_GB2312" w:eastAsia="仿宋_GB2312" w:cs="仿宋_GB2312"/>
      <w:sz w:val="24"/>
    </w:rPr>
  </w:style>
  <w:style w:type="character" w:customStyle="1" w:styleId="401">
    <w:name w:val="报告正文 Char Char"/>
    <w:qFormat/>
    <w:uiPriority w:val="0"/>
    <w:rPr>
      <w:rFonts w:hint="eastAsia" w:ascii="宋体" w:hAnsi="宋体" w:eastAsia="宋体" w:cs="宋体"/>
      <w:sz w:val="24"/>
    </w:rPr>
  </w:style>
  <w:style w:type="character" w:customStyle="1" w:styleId="402">
    <w:name w:val="表格 Char1"/>
    <w:qFormat/>
    <w:uiPriority w:val="0"/>
    <w:rPr>
      <w:rFonts w:hint="eastAsia" w:ascii="昆仑仿宋" w:hAnsi="昆仑仿宋" w:eastAsia="昆仑仿宋" w:cs="昆仑仿宋"/>
      <w:kern w:val="2"/>
      <w:sz w:val="24"/>
      <w:szCs w:val="24"/>
      <w:lang w:val="en-US" w:eastAsia="zh-CN" w:bidi="ar"/>
    </w:rPr>
  </w:style>
  <w:style w:type="character" w:customStyle="1" w:styleId="403">
    <w:name w:val="Char Char21"/>
    <w:qFormat/>
    <w:uiPriority w:val="0"/>
    <w:rPr>
      <w:rFonts w:hint="eastAsia" w:ascii="宋体" w:hAnsi="Courier New" w:eastAsia="宋体" w:cs="宋体"/>
      <w:kern w:val="2"/>
      <w:sz w:val="21"/>
      <w:lang w:val="en-US" w:eastAsia="zh-CN"/>
    </w:rPr>
  </w:style>
  <w:style w:type="character" w:customStyle="1" w:styleId="404">
    <w:name w:val="正文首行缩进 Char"/>
    <w:qFormat/>
    <w:uiPriority w:val="0"/>
    <w:rPr>
      <w:sz w:val="24"/>
      <w:szCs w:val="21"/>
    </w:rPr>
  </w:style>
  <w:style w:type="character" w:customStyle="1" w:styleId="405">
    <w:name w:val="批注主题 Char"/>
    <w:qFormat/>
    <w:uiPriority w:val="0"/>
    <w:rPr>
      <w:b/>
      <w:bCs/>
      <w:kern w:val="2"/>
      <w:sz w:val="21"/>
      <w:szCs w:val="24"/>
    </w:rPr>
  </w:style>
  <w:style w:type="character" w:customStyle="1" w:styleId="406">
    <w:name w:val="样式 标题 4 + 段前: 0.5 行 段后: 0.5 行 Char"/>
    <w:qFormat/>
    <w:uiPriority w:val="0"/>
    <w:rPr>
      <w:rFonts w:hint="eastAsia" w:ascii="宋体" w:hAnsi="宋体" w:eastAsia="宋体" w:cs="宋体"/>
      <w:b/>
      <w:snapToGrid/>
      <w:kern w:val="20"/>
      <w:sz w:val="24"/>
    </w:rPr>
  </w:style>
  <w:style w:type="character" w:customStyle="1" w:styleId="407">
    <w:name w:val="样式 四号"/>
    <w:qFormat/>
    <w:uiPriority w:val="0"/>
    <w:rPr>
      <w:rFonts w:hint="default" w:ascii="Times New Roman" w:hAnsi="Times New Roman" w:eastAsia="Times New Roman" w:cs="Times New Roman"/>
      <w:sz w:val="28"/>
    </w:rPr>
  </w:style>
  <w:style w:type="character" w:customStyle="1" w:styleId="408">
    <w:name w:val="表格内文字 Char"/>
    <w:qFormat/>
    <w:uiPriority w:val="0"/>
    <w:rPr>
      <w:rFonts w:hint="eastAsia" w:ascii="仿宋_GB2312" w:eastAsia="仿宋_GB2312" w:cs="仿宋_GB2312"/>
      <w:spacing w:val="4"/>
      <w:kern w:val="18"/>
      <w:sz w:val="24"/>
      <w:szCs w:val="24"/>
    </w:rPr>
  </w:style>
  <w:style w:type="character" w:customStyle="1" w:styleId="409">
    <w:name w:val="页眉 Char"/>
    <w:qFormat/>
    <w:uiPriority w:val="0"/>
    <w:rPr>
      <w:kern w:val="2"/>
      <w:sz w:val="18"/>
      <w:szCs w:val="18"/>
    </w:rPr>
  </w:style>
  <w:style w:type="character" w:customStyle="1" w:styleId="410">
    <w:name w:val="正文首行缩进 Char Char"/>
    <w:qFormat/>
    <w:uiPriority w:val="0"/>
    <w:rPr>
      <w:rFonts w:hint="default" w:ascii="Times New Roman" w:hAnsi="Times New Roman" w:eastAsia="宋体" w:cs="Times New Roman"/>
      <w:sz w:val="24"/>
      <w:szCs w:val="21"/>
    </w:rPr>
  </w:style>
  <w:style w:type="character" w:customStyle="1" w:styleId="411">
    <w:name w:val="正文文本缩进 Char"/>
    <w:qFormat/>
    <w:uiPriority w:val="0"/>
    <w:rPr>
      <w:kern w:val="2"/>
      <w:sz w:val="21"/>
      <w:szCs w:val="24"/>
    </w:rPr>
  </w:style>
  <w:style w:type="character" w:customStyle="1" w:styleId="412">
    <w:name w:val="批注框文本 Char"/>
    <w:qFormat/>
    <w:uiPriority w:val="0"/>
    <w:rPr>
      <w:kern w:val="2"/>
      <w:sz w:val="18"/>
      <w:szCs w:val="18"/>
    </w:rPr>
  </w:style>
  <w:style w:type="character" w:customStyle="1" w:styleId="413">
    <w:name w:val="文档结构图 Char"/>
    <w:qFormat/>
    <w:uiPriority w:val="0"/>
    <w:rPr>
      <w:kern w:val="2"/>
      <w:sz w:val="21"/>
      <w:szCs w:val="24"/>
      <w:shd w:val="clear" w:color="auto" w:fill="000080"/>
    </w:rPr>
  </w:style>
  <w:style w:type="character" w:customStyle="1" w:styleId="414">
    <w:name w:val="正文文本 Char"/>
    <w:qFormat/>
    <w:uiPriority w:val="0"/>
    <w:rPr>
      <w:kern w:val="2"/>
      <w:sz w:val="21"/>
      <w:szCs w:val="24"/>
    </w:rPr>
  </w:style>
  <w:style w:type="character" w:customStyle="1" w:styleId="415">
    <w:name w:val="书籍标题11"/>
    <w:qFormat/>
    <w:uiPriority w:val="0"/>
    <w:rPr>
      <w:b/>
      <w:bCs/>
      <w:smallCaps/>
      <w:spacing w:val="5"/>
    </w:rPr>
  </w:style>
  <w:style w:type="character" w:customStyle="1" w:styleId="416">
    <w:name w:val="Char Char"/>
    <w:qFormat/>
    <w:uiPriority w:val="0"/>
    <w:rPr>
      <w:rFonts w:hint="eastAsia" w:ascii="宋体" w:hAnsi="宋体" w:eastAsia="宋体" w:cs="宋体"/>
      <w:kern w:val="2"/>
      <w:sz w:val="21"/>
      <w:lang w:val="en-US" w:eastAsia="zh-CN" w:bidi="ar"/>
    </w:rPr>
  </w:style>
  <w:style w:type="character" w:customStyle="1" w:styleId="417">
    <w:name w:val="正文首行缩进 2 Char"/>
    <w:qFormat/>
    <w:uiPriority w:val="0"/>
    <w:rPr>
      <w:rFonts w:hint="default" w:ascii="Calibri" w:hAnsi="Calibri" w:eastAsia="宋体" w:cs="Times New Roman"/>
      <w:kern w:val="2"/>
      <w:sz w:val="21"/>
      <w:szCs w:val="24"/>
    </w:rPr>
  </w:style>
  <w:style w:type="character" w:customStyle="1" w:styleId="418">
    <w:name w:val="题注 Char"/>
    <w:qFormat/>
    <w:uiPriority w:val="0"/>
    <w:rPr>
      <w:rFonts w:hint="default" w:ascii="Arial" w:hAnsi="Arial" w:cs="黑体"/>
      <w:kern w:val="24"/>
      <w:sz w:val="24"/>
      <w:szCs w:val="24"/>
    </w:rPr>
  </w:style>
  <w:style w:type="character" w:customStyle="1" w:styleId="419">
    <w:name w:val="headline-content2"/>
    <w:qFormat/>
    <w:uiPriority w:val="0"/>
    <w:rPr>
      <w:rFonts w:hint="default" w:ascii="Times New Roman" w:hAnsi="Times New Roman" w:cs="Times New Roman"/>
    </w:rPr>
  </w:style>
  <w:style w:type="character" w:customStyle="1" w:styleId="420">
    <w:name w:val="项目标题 Char Char"/>
    <w:qFormat/>
    <w:uiPriority w:val="0"/>
    <w:rPr>
      <w:rFonts w:hint="eastAsia" w:ascii="宋体" w:hAnsi="宋体" w:eastAsia="宋体" w:cs="宋体"/>
      <w:b/>
      <w:sz w:val="28"/>
      <w:szCs w:val="28"/>
    </w:rPr>
  </w:style>
  <w:style w:type="character" w:customStyle="1" w:styleId="421">
    <w:name w:val="Char Char2"/>
    <w:qFormat/>
    <w:uiPriority w:val="0"/>
    <w:rPr>
      <w:rFonts w:hint="default" w:ascii="Cambria" w:hAnsi="Cambria" w:eastAsia="宋体" w:cs="Cambria"/>
      <w:b/>
      <w:bCs/>
      <w:kern w:val="2"/>
      <w:sz w:val="32"/>
      <w:szCs w:val="32"/>
      <w:lang w:val="en-US" w:eastAsia="zh-CN" w:bidi="ar"/>
    </w:rPr>
  </w:style>
  <w:style w:type="character" w:customStyle="1" w:styleId="422">
    <w:name w:val="Char Char3"/>
    <w:qFormat/>
    <w:uiPriority w:val="0"/>
    <w:rPr>
      <w:kern w:val="2"/>
      <w:sz w:val="18"/>
      <w:szCs w:val="18"/>
    </w:rPr>
  </w:style>
  <w:style w:type="character" w:customStyle="1" w:styleId="423">
    <w:name w:val="标题 Char Char"/>
    <w:qFormat/>
    <w:uiPriority w:val="0"/>
    <w:rPr>
      <w:rFonts w:hint="default" w:ascii="Cambria" w:hAnsi="Cambria" w:eastAsia="Cambria" w:cs="Times New Roman"/>
      <w:b/>
      <w:bCs/>
      <w:kern w:val="2"/>
      <w:sz w:val="32"/>
      <w:szCs w:val="32"/>
    </w:rPr>
  </w:style>
  <w:style w:type="character" w:customStyle="1" w:styleId="424">
    <w:name w:val="样式11"/>
    <w:qFormat/>
    <w:uiPriority w:val="0"/>
    <w:rPr>
      <w:b/>
      <w:bCs/>
      <w:color w:val="000099"/>
    </w:rPr>
  </w:style>
  <w:style w:type="character" w:customStyle="1" w:styleId="425">
    <w:name w:val="标题 2 Char Char"/>
    <w:qFormat/>
    <w:uiPriority w:val="0"/>
    <w:rPr>
      <w:rFonts w:hint="default" w:ascii="Cambria" w:hAnsi="Cambria" w:eastAsia="Cambria" w:cs="Cambria"/>
      <w:b/>
      <w:bCs/>
      <w:kern w:val="2"/>
      <w:sz w:val="32"/>
      <w:szCs w:val="32"/>
    </w:rPr>
  </w:style>
  <w:style w:type="character" w:customStyle="1" w:styleId="426">
    <w:name w:val="页脚 Char Char Char"/>
    <w:qFormat/>
    <w:uiPriority w:val="0"/>
    <w:rPr>
      <w:rFonts w:hint="eastAsia" w:ascii="宋体" w:hAnsi="宋体" w:eastAsia="宋体" w:cs="宋体"/>
      <w:kern w:val="2"/>
      <w:sz w:val="18"/>
      <w:szCs w:val="18"/>
      <w:lang w:val="en-US" w:eastAsia="zh-CN" w:bidi="ar"/>
    </w:rPr>
  </w:style>
  <w:style w:type="character" w:customStyle="1" w:styleId="427">
    <w:name w:val="副标题 Char1"/>
    <w:qFormat/>
    <w:uiPriority w:val="0"/>
    <w:rPr>
      <w:rFonts w:hint="default" w:ascii="Cambria" w:hAnsi="Cambria" w:eastAsia="Cambria" w:cs="Times New Roman"/>
      <w:b/>
      <w:bCs/>
      <w:kern w:val="28"/>
      <w:sz w:val="32"/>
      <w:szCs w:val="32"/>
    </w:rPr>
  </w:style>
  <w:style w:type="character" w:customStyle="1" w:styleId="428">
    <w:name w:val="正文文本 2 Char1"/>
    <w:qFormat/>
    <w:uiPriority w:val="0"/>
    <w:rPr>
      <w:rFonts w:hint="default" w:ascii="Times New Roman" w:hAnsi="Times New Roman" w:eastAsia="宋体" w:cs="Times New Roman"/>
      <w:kern w:val="2"/>
      <w:sz w:val="21"/>
      <w:szCs w:val="24"/>
    </w:rPr>
  </w:style>
  <w:style w:type="character" w:customStyle="1" w:styleId="429">
    <w:name w:val="标题 Char1"/>
    <w:qFormat/>
    <w:uiPriority w:val="0"/>
    <w:rPr>
      <w:rFonts w:hint="default" w:ascii="Cambria" w:hAnsi="Cambria" w:eastAsia="Cambria" w:cs="Times New Roman"/>
      <w:b/>
      <w:bCs/>
      <w:kern w:val="2"/>
      <w:sz w:val="32"/>
      <w:szCs w:val="32"/>
    </w:rPr>
  </w:style>
  <w:style w:type="character" w:customStyle="1" w:styleId="430">
    <w:name w:val="zhengwen"/>
    <w:qFormat/>
    <w:uiPriority w:val="0"/>
  </w:style>
  <w:style w:type="character" w:customStyle="1" w:styleId="431">
    <w:name w:val="def"/>
    <w:qFormat/>
    <w:uiPriority w:val="0"/>
  </w:style>
  <w:style w:type="character" w:customStyle="1" w:styleId="432">
    <w:name w:val="条标题1.1.1 Char"/>
    <w:qFormat/>
    <w:uiPriority w:val="0"/>
    <w:rPr>
      <w:rFonts w:hint="eastAsia" w:ascii="宋体" w:hAnsi="宋体" w:eastAsia="宋体" w:cs="宋体"/>
      <w:b/>
      <w:kern w:val="2"/>
      <w:sz w:val="32"/>
      <w:lang w:val="en-US" w:eastAsia="zh-CN"/>
    </w:rPr>
  </w:style>
  <w:style w:type="character" w:customStyle="1" w:styleId="433">
    <w:name w:val="HTML 预设格式 Char1"/>
    <w:qFormat/>
    <w:uiPriority w:val="0"/>
    <w:rPr>
      <w:rFonts w:hint="default" w:ascii="Courier New" w:hAnsi="Courier New" w:cs="Courier New"/>
      <w:kern w:val="2"/>
    </w:rPr>
  </w:style>
  <w:style w:type="character" w:customStyle="1" w:styleId="434">
    <w:name w:val="结束语 Char2"/>
    <w:qFormat/>
    <w:uiPriority w:val="0"/>
  </w:style>
  <w:style w:type="character" w:customStyle="1" w:styleId="435">
    <w:name w:val="表格文字 Char Char"/>
    <w:qFormat/>
    <w:uiPriority w:val="0"/>
    <w:rPr>
      <w:rFonts w:hint="default" w:ascii="Times New Roman" w:hAnsi="Times New Roman" w:eastAsia="宋体" w:cs="Times New Roman"/>
      <w:szCs w:val="21"/>
    </w:rPr>
  </w:style>
  <w:style w:type="character" w:customStyle="1" w:styleId="436">
    <w:name w:val="正文文字 Char"/>
    <w:qFormat/>
    <w:uiPriority w:val="0"/>
    <w:rPr>
      <w:kern w:val="2"/>
      <w:sz w:val="24"/>
    </w:rPr>
  </w:style>
  <w:style w:type="character" w:customStyle="1" w:styleId="437">
    <w:name w:val="报告表正文 Char"/>
    <w:qFormat/>
    <w:uiPriority w:val="0"/>
    <w:rPr>
      <w:sz w:val="24"/>
    </w:rPr>
  </w:style>
  <w:style w:type="character" w:customStyle="1" w:styleId="438">
    <w:name w:val="表文（桑） Char"/>
    <w:qFormat/>
    <w:uiPriority w:val="0"/>
    <w:rPr>
      <w:rFonts w:hint="eastAsia" w:ascii="宋体" w:hAnsi="宋体" w:eastAsia="宋体" w:cs="宋体"/>
      <w:sz w:val="21"/>
    </w:rPr>
  </w:style>
  <w:style w:type="character" w:customStyle="1" w:styleId="439">
    <w:name w:val="hover27"/>
    <w:qFormat/>
    <w:uiPriority w:val="0"/>
  </w:style>
  <w:style w:type="table" w:customStyle="1" w:styleId="440">
    <w:name w:val="网格型11"/>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41">
    <w:name w:val="A0正文"/>
    <w:basedOn w:val="1"/>
    <w:link w:val="442"/>
    <w:qFormat/>
    <w:uiPriority w:val="0"/>
    <w:pPr>
      <w:spacing w:line="560" w:lineRule="exact"/>
      <w:ind w:firstLine="200" w:firstLineChars="200"/>
    </w:pPr>
    <w:rPr>
      <w:sz w:val="24"/>
      <w:szCs w:val="20"/>
    </w:rPr>
  </w:style>
  <w:style w:type="character" w:customStyle="1" w:styleId="442">
    <w:name w:val="A0正文 Char"/>
    <w:link w:val="441"/>
    <w:qFormat/>
    <w:uiPriority w:val="0"/>
    <w:rPr>
      <w:rFonts w:hint="eastAsia" w:ascii="宋体" w:hAnsi="宋体" w:eastAsia="宋体" w:cs="宋体"/>
      <w:kern w:val="2"/>
      <w:sz w:val="24"/>
      <w:lang w:val="zh-CN"/>
    </w:rPr>
  </w:style>
  <w:style w:type="paragraph" w:customStyle="1" w:styleId="443">
    <w:name w:val="表格内容-德正"/>
    <w:basedOn w:val="1"/>
    <w:qFormat/>
    <w:uiPriority w:val="0"/>
    <w:pPr>
      <w:widowControl/>
      <w:autoSpaceDE w:val="0"/>
      <w:autoSpaceDN w:val="0"/>
      <w:adjustRightInd w:val="0"/>
      <w:jc w:val="center"/>
    </w:pPr>
    <w:rPr>
      <w:color w:val="000000"/>
      <w:kern w:val="0"/>
      <w:szCs w:val="21"/>
    </w:rPr>
  </w:style>
  <w:style w:type="paragraph" w:customStyle="1" w:styleId="444">
    <w:name w:val="1、正文-德正"/>
    <w:basedOn w:val="1"/>
    <w:qFormat/>
    <w:uiPriority w:val="0"/>
    <w:pPr>
      <w:spacing w:line="360" w:lineRule="auto"/>
      <w:ind w:firstLine="720" w:firstLineChars="200"/>
    </w:pPr>
    <w:rPr>
      <w:sz w:val="24"/>
      <w:szCs w:val="24"/>
    </w:rPr>
  </w:style>
  <w:style w:type="paragraph" w:customStyle="1" w:styleId="445">
    <w:name w:val="德正正文"/>
    <w:basedOn w:val="1"/>
    <w:next w:val="1"/>
    <w:qFormat/>
    <w:uiPriority w:val="0"/>
    <w:pPr>
      <w:adjustRightInd w:val="0"/>
      <w:snapToGrid w:val="0"/>
      <w:spacing w:line="360" w:lineRule="auto"/>
      <w:ind w:firstLine="200" w:firstLineChars="200"/>
    </w:pPr>
    <w:rPr>
      <w:rFonts w:cs="宋体"/>
      <w:sz w:val="24"/>
      <w:szCs w:val="24"/>
    </w:rPr>
  </w:style>
  <w:style w:type="paragraph" w:customStyle="1" w:styleId="446">
    <w:name w:val="marklang-paragraph"/>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447">
    <w:name w:val="katex-mathml"/>
    <w:basedOn w:val="50"/>
    <w:qFormat/>
    <w:uiPriority w:val="0"/>
  </w:style>
  <w:style w:type="character" w:customStyle="1" w:styleId="448">
    <w:name w:val="mord"/>
    <w:basedOn w:val="50"/>
    <w:qFormat/>
    <w:uiPriority w:val="0"/>
  </w:style>
  <w:style w:type="character" w:customStyle="1" w:styleId="449">
    <w:name w:val="mrel"/>
    <w:basedOn w:val="50"/>
    <w:qFormat/>
    <w:uiPriority w:val="0"/>
  </w:style>
  <w:style w:type="character" w:customStyle="1" w:styleId="450">
    <w:name w:val="mopen"/>
    <w:basedOn w:val="50"/>
    <w:qFormat/>
    <w:uiPriority w:val="0"/>
  </w:style>
  <w:style w:type="character" w:customStyle="1" w:styleId="451">
    <w:name w:val="mbin"/>
    <w:basedOn w:val="50"/>
    <w:qFormat/>
    <w:uiPriority w:val="0"/>
  </w:style>
  <w:style w:type="character" w:customStyle="1" w:styleId="452">
    <w:name w:val="mclose"/>
    <w:basedOn w:val="50"/>
    <w:qFormat/>
    <w:uiPriority w:val="0"/>
  </w:style>
  <w:style w:type="character" w:customStyle="1" w:styleId="453">
    <w:name w:val="vlist-s"/>
    <w:basedOn w:val="50"/>
    <w:qFormat/>
    <w:uiPriority w:val="0"/>
  </w:style>
  <w:style w:type="character" w:customStyle="1" w:styleId="454">
    <w:name w:val="cosd-citation-citationid"/>
    <w:basedOn w:val="50"/>
    <w:qFormat/>
    <w:uiPriority w:val="0"/>
  </w:style>
  <w:style w:type="character" w:customStyle="1" w:styleId="455">
    <w:name w:val="lb"/>
    <w:basedOn w:val="50"/>
    <w:qFormat/>
    <w:uiPriority w:val="0"/>
  </w:style>
  <w:style w:type="paragraph" w:customStyle="1" w:styleId="456">
    <w:name w:val="表格头样式"/>
    <w:basedOn w:val="1"/>
    <w:qFormat/>
    <w:uiPriority w:val="0"/>
    <w:pPr>
      <w:spacing w:line="240" w:lineRule="auto"/>
      <w:ind w:firstLine="0" w:firstLineChars="0"/>
      <w:jc w:val="center"/>
    </w:pPr>
    <w:rPr>
      <w:rFonts w:ascii="Times New Roman" w:hAnsi="Times New Roman"/>
      <w:b/>
    </w:rPr>
  </w:style>
  <w:style w:type="paragraph" w:customStyle="1" w:styleId="457">
    <w:name w:val="表格（丫丫）"/>
    <w:basedOn w:val="1"/>
    <w:next w:val="1"/>
    <w:qFormat/>
    <w:uiPriority w:val="0"/>
    <w:pPr>
      <w:adjustRightInd w:val="0"/>
      <w:spacing w:line="240" w:lineRule="auto"/>
      <w:ind w:firstLine="0" w:firstLineChars="0"/>
      <w:jc w:val="center"/>
      <w:textAlignment w:val="baseline"/>
    </w:pPr>
    <w:rPr>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customXml" Target="../customXml/item1.xml"/><Relationship Id="rId25" Type="http://schemas.openxmlformats.org/officeDocument/2006/relationships/numbering" Target="numbering.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emf"/><Relationship Id="rId14" Type="http://schemas.openxmlformats.org/officeDocument/2006/relationships/oleObject" Target="embeddings/oleObject2.bin"/><Relationship Id="rId13" Type="http://schemas.openxmlformats.org/officeDocument/2006/relationships/image" Target="media/image5.png"/><Relationship Id="rId12" Type="http://schemas.openxmlformats.org/officeDocument/2006/relationships/image" Target="media/image4.emf"/><Relationship Id="rId11" Type="http://schemas.openxmlformats.org/officeDocument/2006/relationships/oleObject" Target="embeddings/oleObject1.bin"/><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eade74cf-f42e-4c89-b150-812d8cc65731</errorID>
      <errorWord>（</errorWord>
      <group>L1_Format</group>
      <groupName>格式问题</groupName>
      <ability>L2_HalfPunc_CN</ability>
      <abilityName>全半角问题</abilityName>
      <candidateList>
        <item>(</item>
      </candidateList>
      <explain>文本全半角错误。</explain>
      <paraID>7F5BE67D</paraID>
      <start>0</start>
      <end>1</end>
      <status>unmodified</status>
      <modifiedWord/>
      <trackRevisions>false</trackRevisions>
    </reviewItem>
    <reviewItem>
      <errorID>90a62a42-b78b-4e40-9a82-264594ddc08f</errorID>
      <errorWord>，</errorWord>
      <group>L1_Format</group>
      <groupName>格式问题</groupName>
      <ability>L2_HalfPunc_CN</ability>
      <abilityName>全半角问题</abilityName>
      <candidateList>
        <item>,</item>
      </candidateList>
      <explain>文本全半角错误。</explain>
      <paraID>7F5BE67D</paraID>
      <start>16</start>
      <end>17</end>
      <status>unmodified</status>
      <modifiedWord/>
      <trackRevisions>false</trackRevisions>
    </reviewItem>
    <reviewItem>
      <errorID>40dc38c7-d784-46f1-b52a-878275b9db54</errorID>
      <errorWord>）</errorWord>
      <group>L1_Format</group>
      <groupName>格式问题</groupName>
      <ability>L2_HalfPunc_CN</ability>
      <abilityName>全半角问题</abilityName>
      <candidateList>
        <item>)</item>
      </candidateList>
      <explain>文本全半角错误。</explain>
      <paraID>7F5BE67D</paraID>
      <start>30</start>
      <end>31</end>
      <status>unmodified</status>
      <modifiedWord/>
      <trackRevisions>false</trackRevisions>
    </reviewItem>
    <reviewItem>
      <errorID>09042f00-5f8e-4370-a6c4-0e715d466be0</errorID>
      <errorWord>-</errorWord>
      <group>L1_Format</group>
      <groupName>格式问题</groupName>
      <ability>L2_HalfPunc_CN</ability>
      <abilityName>全半角问题</abilityName>
      <candidateList>
        <item>－</item>
      </candidateList>
      <explain>文本全半角错误。</explain>
      <paraID>51629200</paraID>
      <start>8</start>
      <end>9</end>
      <status>unmodified</status>
      <modifiedWord/>
      <trackRevisions>false</trackRevisions>
    </reviewItem>
    <reviewItem>
      <errorID>a3b9044e-70ef-4e26-b694-d1be1812dd5f</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75CCC59B</paraID>
      <start>13</start>
      <end>17</end>
      <status>unmodified</status>
      <modifiedWord/>
      <trackRevisions>false</trackRevisions>
    </reviewItem>
    <reviewItem>
      <errorID>bccf8d75-4cf5-4daf-8c77-e96aa0bff475</errorID>
      <errorWord>表所示</errorWord>
      <group>L1_Grammar</group>
      <groupName>语法问题</groupName>
      <ability>L2_Redundancy</ability>
      <abilityName>成分冗余</abilityName>
      <candidateList>
        <item>表</item>
      </candidateList>
      <explain>句子中可能存在主语、谓语、定语等成分的赘余或重复。</explain>
      <paraID>75CCC59B</paraID>
      <start>25</start>
      <end>28</end>
      <status>unmodified</status>
      <modifiedWord/>
      <trackRevisions>false</trackRevisions>
    </reviewItem>
    <reviewItem>
      <errorID>b655351a-5cb3-45d8-891c-eb3fde4ec1fd</errorID>
      <errorWord>(</errorWord>
      <group>L1_Format</group>
      <groupName>格式问题</groupName>
      <ability>L2_HalfPunc_CN</ability>
      <abilityName>全半角问题</abilityName>
      <candidateList>
        <item>（</item>
      </candidateList>
      <explain>文本全半角错误。</explain>
      <paraID>698746C2</paraID>
      <start>101</start>
      <end>102</end>
      <status>unmodified</status>
      <modifiedWord/>
      <trackRevisions>false</trackRevisions>
    </reviewItem>
    <reviewItem>
      <errorID>39870257-68c2-468b-bca0-50c78a9db16d</errorID>
      <errorWord>)</errorWord>
      <group>L1_Format</group>
      <groupName>格式问题</groupName>
      <ability>L2_HalfPunc_CN</ability>
      <abilityName>全半角问题</abilityName>
      <candidateList>
        <item>）</item>
      </candidateList>
      <explain>文本全半角错误。</explain>
      <paraID>698746C2</paraID>
      <start>113</start>
      <end>114</end>
      <status>unmodified</status>
      <modifiedWord/>
      <trackRevisions>false</trackRevisions>
    </reviewItem>
    <reviewItem>
      <errorID>2f7e6435-b0cd-4c70-ad3c-4993fd72c96b</errorID>
      <errorWord>(</errorWord>
      <group>L1_Format</group>
      <groupName>格式问题</groupName>
      <ability>L2_HalfPunc_CN</ability>
      <abilityName>全半角问题</abilityName>
      <candidateList>
        <item>（</item>
      </candidateList>
      <explain>文本全半角错误。</explain>
      <paraID> 5B2687B</paraID>
      <start>17</start>
      <end>18</end>
      <status>unmodified</status>
      <modifiedWord/>
      <trackRevisions>false</trackRevisions>
    </reviewItem>
    <reviewItem>
      <errorID>0e51006b-365c-41a6-93e9-f10b43a42a53</errorID>
      <errorWord>)</errorWord>
      <group>L1_Format</group>
      <groupName>格式问题</groupName>
      <ability>L2_HalfPunc_CN</ability>
      <abilityName>全半角问题</abilityName>
      <candidateList>
        <item>）</item>
      </candidateList>
      <explain>文本全半角错误。</explain>
      <paraID> 5B2687B</paraID>
      <start>29</start>
      <end>30</end>
      <status>unmodified</status>
      <modifiedWord/>
      <trackRevisions>false</trackRevisions>
    </reviewItem>
    <reviewItem>
      <errorID>0f5a3df9-f3af-4720-87d3-4bec2036dea1</errorID>
      <errorWord>III类</errorWord>
      <group>L1_Knowledge</group>
      <groupName>知识性问题</groupName>
      <ability>L2_Knowledge</ability>
      <abilityName>其他知识</abilityName>
      <candidateList>
        <item>Ⅲ类</item>
      </candidateList>
      <explain>中文环境下罗马数字格式错误。</explain>
      <paraID> 5B2687B</paraID>
      <start>31</start>
      <end>35</end>
      <status>unmodified</status>
      <modifiedWord/>
      <trackRevisions>false</trackRevisions>
    </reviewItem>
    <reviewItem>
      <errorID>54974cae-b3f3-4fd2-a7df-b4be77a805e4</errorID>
      <errorWord>：</errorWord>
      <group>L1_Word</group>
      <groupName>字词问题</groupName>
      <ability>L2_Typo</ability>
      <abilityName>字词错误</abilityName>
      <candidateList>
        <item>：以</item>
      </candidateList>
      <explain/>
      <paraID>328110B0</paraID>
      <start>3</start>
      <end>4</end>
      <status>unmodified</status>
      <modifiedWord/>
      <trackRevisions>false</trackRevisions>
    </reviewItem>
    <reviewItem>
      <errorID>efd5e50e-0cc8-4a0d-8493-c89cd866714f</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30CE483C</paraID>
      <start>28</start>
      <end>32</end>
      <status>unmodified</status>
      <modifiedWord/>
      <trackRevisions>false</trackRevisions>
    </reviewItem>
    <reviewItem>
      <errorID>c27bc80d-01dc-4f26-a831-d04bcf415992</errorID>
      <errorWord>生态红线</errorWord>
      <group>L1_Political</group>
      <groupName>政治性问题</groupName>
      <ability>L2_Unpolitical</ability>
      <abilityName>政治敏感错误</abilityName>
      <candidateList>
        <item>生态保护红线</item>
      </candidateList>
      <explain/>
      <paraID>30CE483C</paraID>
      <start>32</start>
      <end>36</end>
      <status>unmodified</status>
      <modifiedWord/>
      <trackRevisions>false</trackRevisions>
    </reviewItem>
    <reviewItem>
      <errorID>445c4c0a-afc8-41ae-bd54-7c2435539fd0</errorID>
      <errorWord>（</errorWord>
      <group>L1_Punc</group>
      <groupName>标点问题</groupName>
      <ability>L2_Punc_CN</ability>
      <abilityName>标点符号问题</abilityName>
      <candidateList/>
      <explain>同一形式括号套用。</explain>
      <paraID>30CE483C</paraID>
      <start>114</start>
      <end>115</end>
      <status>unmodified</status>
      <modifiedWord/>
      <trackRevisions>false</trackRevisions>
    </reviewItem>
    <reviewItem>
      <errorID>2ffce8a6-b144-44b3-ba9b-9227bb43d825</errorID>
      <errorWord>）</errorWord>
      <group>L1_Punc</group>
      <groupName>标点问题</groupName>
      <ability>L2_Punc_CN</ability>
      <abilityName>标点符号问题</abilityName>
      <candidateList/>
      <explain>同一形式括号套用。</explain>
      <paraID>30CE483C</paraID>
      <start>120</start>
      <end>121</end>
      <status>unmodified</status>
      <modifiedWord/>
      <trackRevisions>false</trackRevisions>
    </reviewItem>
    <reviewItem>
      <errorID>cba1b5f9-c669-4354-9eb4-4e154e717cc4</errorID>
      <errorWord>（</errorWord>
      <group>L1_Punc</group>
      <groupName>标点问题</groupName>
      <ability>L2_Punc_CN</ability>
      <abilityName>标点符号问题</abilityName>
      <candidateList/>
      <explain>同一形式括号套用。</explain>
      <paraID>30CE483C</paraID>
      <start>210</start>
      <end>211</end>
      <status>unmodified</status>
      <modifiedWord/>
      <trackRevisions>false</trackRevisions>
    </reviewItem>
    <reviewItem>
      <errorID>f2abe6de-3ea9-4108-aa0a-1263b8b1b787</errorID>
      <errorWord>）</errorWord>
      <group>L1_Punc</group>
      <groupName>标点问题</groupName>
      <ability>L2_Punc_CN</ability>
      <abilityName>标点符号问题</abilityName>
      <candidateList/>
      <explain>同一形式括号套用。</explain>
      <paraID>30CE483C</paraID>
      <start>212</start>
      <end>213</end>
      <status>unmodified</status>
      <modifiedWord/>
      <trackRevisions>false</trackRevisions>
    </reviewItem>
    <reviewItem>
      <errorID>2c51bc27-b573-4d45-8fa4-0b9b040e9abc</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 8E870BD</paraID>
      <start>22</start>
      <end>26</end>
      <status>unmodified</status>
      <modifiedWord/>
      <trackRevisions>false</trackRevisions>
    </reviewItem>
    <reviewItem>
      <errorID>9cd25453-08ad-4cb2-a1d9-aa4654dc6af1</errorID>
      <errorWord>生态红线</errorWord>
      <group>L1_Political</group>
      <groupName>政治性问题</groupName>
      <ability>L2_Unpolitical</ability>
      <abilityName>政治敏感错误</abilityName>
      <candidateList>
        <item>生态保护红线</item>
      </candidateList>
      <explain/>
      <paraID> 8E870BD</paraID>
      <start>26</start>
      <end>30</end>
      <status>unmodified</status>
      <modifiedWord/>
      <trackRevisions>false</trackRevisions>
    </reviewItem>
    <reviewItem>
      <errorID>4b45ab92-7a09-44cf-b9c9-99f9b2e5be14</errorID>
      <errorWord>达</errorWord>
      <group>L1_Word</group>
      <groupName>字词问题</groupName>
      <ability>L2_Typo</ability>
      <abilityName>字词错误</abilityName>
      <candidateList>
        <item>达到</item>
      </candidateList>
      <explain/>
      <paraID>1F38F551</paraID>
      <start>35</start>
      <end>36</end>
      <status>unmodified</status>
      <modifiedWord/>
      <trackRevisions>false</trackRevisions>
    </reviewItem>
    <reviewItem>
      <errorID>f60b1226-b406-41c1-9933-577548c67c73</errorID>
      <errorWord>(</errorWord>
      <group>L1_Format</group>
      <groupName>格式问题</groupName>
      <ability>L2_HalfPunc_CN</ability>
      <abilityName>全半角问题</abilityName>
      <candidateList>
        <item>（</item>
      </candidateList>
      <explain>文本全半角错误。</explain>
      <paraID>1F38F551</paraID>
      <start>50</start>
      <end>51</end>
      <status>unmodified</status>
      <modifiedWord/>
      <trackRevisions>false</trackRevisions>
    </reviewItem>
    <reviewItem>
      <errorID>d2cb1be5-57c7-4af3-ba89-d4021de6b9b5</errorID>
      <errorWord>(</errorWord>
      <group>L1_Format</group>
      <groupName>格式问题</groupName>
      <ability>L2_HalfPunc_CN</ability>
      <abilityName>全半角问题</abilityName>
      <candidateList>
        <item>（</item>
      </candidateList>
      <explain>文本全半角错误。</explain>
      <paraID>1F38F551</paraID>
      <start>64</start>
      <end>65</end>
      <status>unmodified</status>
      <modifiedWord/>
      <trackRevisions>false</trackRevisions>
    </reviewItem>
    <reviewItem>
      <errorID>7a99ff14-f545-4828-97ff-1ab268c6e6b2</errorID>
      <errorWord>)</errorWord>
      <group>L1_Format</group>
      <groupName>格式问题</groupName>
      <ability>L2_HalfPunc_CN</ability>
      <abilityName>全半角问题</abilityName>
      <candidateList>
        <item>）</item>
      </candidateList>
      <explain>文本全半角错误。</explain>
      <paraID>1F38F551</paraID>
      <start>74</start>
      <end>75</end>
      <status>unmodified</status>
      <modifiedWord/>
      <trackRevisions>false</trackRevisions>
    </reviewItem>
    <reviewItem>
      <errorID>141372d8-41b3-417d-ad2e-d09bfa68500d</errorID>
      <errorWord>(</errorWord>
      <group>L1_Format</group>
      <groupName>格式问题</groupName>
      <ability>L2_HalfPunc_CN</ability>
      <abilityName>全半角问题</abilityName>
      <candidateList>
        <item>（</item>
      </candidateList>
      <explain>文本全半角错误。</explain>
      <paraID>1F38F551</paraID>
      <start>125</start>
      <end>126</end>
      <status>unmodified</status>
      <modifiedWord/>
      <trackRevisions>false</trackRevisions>
    </reviewItem>
    <reviewItem>
      <errorID>ea711f51-6ee0-4a64-ba75-ab1ea2cc7307</errorID>
      <errorWord>)</errorWord>
      <group>L1_Format</group>
      <groupName>格式问题</groupName>
      <ability>L2_HalfPunc_CN</ability>
      <abilityName>全半角问题</abilityName>
      <candidateList>
        <item>）</item>
      </candidateList>
      <explain>文本全半角错误。</explain>
      <paraID>1F38F551</paraID>
      <start>138</start>
      <end>139</end>
      <status>unmodified</status>
      <modifiedWord/>
      <trackRevisions>false</trackRevisions>
    </reviewItem>
    <reviewItem>
      <errorID>6d36977d-8a53-4b2e-9002-70aec47fe8f3</errorID>
      <errorWord>（</errorWord>
      <group>L1_Punc</group>
      <groupName>标点问题</groupName>
      <ability>L2_Punc_CN</ability>
      <abilityName>标点符号问题</abilityName>
      <candidateList/>
      <explain>同一形式括号套用。</explain>
      <paraID>1D081E26</paraID>
      <start>52</start>
      <end>53</end>
      <status>unmodified</status>
      <modifiedWord/>
      <trackRevisions>false</trackRevisions>
    </reviewItem>
    <reviewItem>
      <errorID>71707172-82ab-41f8-a0bf-960293ac1ebb</errorID>
      <errorWord>）</errorWord>
      <group>L1_Punc</group>
      <groupName>标点问题</groupName>
      <ability>L2_Punc_CN</ability>
      <abilityName>标点符号问题</abilityName>
      <candidateList/>
      <explain>同一形式括号套用。</explain>
      <paraID>1D081E26</paraID>
      <start>57</start>
      <end>58</end>
      <status>unmodified</status>
      <modifiedWord/>
      <trackRevisions>false</trackRevisions>
    </reviewItem>
    <reviewItem>
      <errorID>0904a853-99c9-4f08-bd53-d1efd732d6d0</errorID>
      <errorWord>（</errorWord>
      <group>L1_Punc</group>
      <groupName>标点问题</groupName>
      <ability>L2_Punc_CN</ability>
      <abilityName>标点符号问题</abilityName>
      <candidateList/>
      <explain>同一形式括号套用。</explain>
      <paraID>1D081E26</paraID>
      <start>140</start>
      <end>141</end>
      <status>unmodified</status>
      <modifiedWord/>
      <trackRevisions>false</trackRevisions>
    </reviewItem>
    <reviewItem>
      <errorID>6f49024c-ef1a-4b76-a659-83fda73194ee</errorID>
      <errorWord>）</errorWord>
      <group>L1_Punc</group>
      <groupName>标点问题</groupName>
      <ability>L2_Punc_CN</ability>
      <abilityName>标点符号问题</abilityName>
      <candidateList/>
      <explain>同一形式括号套用。</explain>
      <paraID>1D081E26</paraID>
      <start>145</start>
      <end>146</end>
      <status>unmodified</status>
      <modifiedWord/>
      <trackRevisions>false</trackRevisions>
    </reviewItem>
    <reviewItem>
      <errorID>0f3edf54-7731-4fbf-934f-f9823338fc64</errorID>
      <errorWord>医疗机构内</errorWord>
      <group>L1_Word</group>
      <groupName>字词问题</groupName>
      <ability>L2_Typo</ability>
      <abilityName>字词错误</abilityName>
      <candidateList>
        <item>医疗机构</item>
      </candidateList>
      <explain/>
      <paraID>55764C1E</paraID>
      <start>13</start>
      <end>18</end>
      <status>unmodified</status>
      <modifiedWord/>
      <trackRevisions>false</trackRevisions>
    </reviewItem>
    <reviewItem>
      <errorID>bf4516e9-7c47-4119-9a5c-368f8eca9f6d</errorID>
      <errorWord>(</errorWord>
      <group>L1_Format</group>
      <groupName>格式问题</groupName>
      <ability>L2_HalfPunc_CN</ability>
      <abilityName>全半角问题</abilityName>
      <candidateList>
        <item>（</item>
      </candidateList>
      <explain>文本全半角错误。</explain>
      <paraID>652E360B</paraID>
      <start>5</start>
      <end>6</end>
      <status>unmodified</status>
      <modifiedWord/>
      <trackRevisions>false</trackRevisions>
    </reviewItem>
    <reviewItem>
      <errorID>f55d034e-a08a-4a16-87e4-7cb26880151a</errorID>
      <errorWord>)</errorWord>
      <group>L1_Format</group>
      <groupName>格式问题</groupName>
      <ability>L2_HalfPunc_CN</ability>
      <abilityName>全半角问题</abilityName>
      <candidateList>
        <item>）</item>
      </candidateList>
      <explain>文本全半角错误。</explain>
      <paraID>652E360B</paraID>
      <start>7</start>
      <end>8</end>
      <status>unmodified</status>
      <modifiedWord/>
      <trackRevisions>false</trackRevisions>
    </reviewItem>
    <reviewItem>
      <errorID>3208c893-a815-4942-bf46-0377d81120f1</errorID>
      <errorWord>(</errorWord>
      <group>L1_Format</group>
      <groupName>格式问题</groupName>
      <ability>L2_HalfPunc_CN</ability>
      <abilityName>全半角问题</abilityName>
      <candidateList>
        <item>（</item>
      </candidateList>
      <explain>文本全半角错误。</explain>
      <paraID>38DC216F</paraID>
      <start>20</start>
      <end>21</end>
      <status>unmodified</status>
      <modifiedWord/>
      <trackRevisions>false</trackRevisions>
    </reviewItem>
    <reviewItem>
      <errorID>2b01db2e-97a8-46c9-804e-9b4446e8fc71</errorID>
      <errorWord>)</errorWord>
      <group>L1_Format</group>
      <groupName>格式问题</groupName>
      <ability>L2_HalfPunc_CN</ability>
      <abilityName>全半角问题</abilityName>
      <candidateList>
        <item>）</item>
      </candidateList>
      <explain>文本全半角错误。</explain>
      <paraID>38DC216F</paraID>
      <start>22</start>
      <end>23</end>
      <status>unmodified</status>
      <modifiedWord/>
      <trackRevisions>false</trackRevisions>
    </reviewItem>
    <reviewItem>
      <errorID>4623ba26-7d27-410f-8b1a-d2863e79f2ca</errorID>
      <errorWord>人类全面发展</errorWord>
      <group>L1_Political</group>
      <groupName>政治性问题</groupName>
      <ability>L2_Keyword</ability>
      <abilityName>固定表述</abilityName>
      <candidateList>
        <item>人的全面发展</item>
      </candidateList>
      <explain>词汇“人的全面发展”在特定场景下为固定表述形式，请确认此处的“人类全面发展”是否存在不当。</explain>
      <paraID> F2D143B</paraID>
      <start>25</start>
      <end>31</end>
      <status>unmodified</status>
      <modifiedWord/>
      <trackRevisions>false</trackRevisions>
    </reviewItem>
    <reviewItem>
      <errorID>1256034e-830f-4882-b363-4c6b334e52fb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1D65F940</paraID>
      <start>95</start>
      <end>98</end>
      <status>unmodified</status>
      <modifiedWord/>
      <trackRevisions>false</trackRevisions>
    </reviewItem>
    <reviewItem>
      <errorID>4262b25e-be7e-4a4b-b565-92aa2be1daf3</errorID>
      <errorWord>”</errorWord>
      <group>L1_Word</group>
      <groupName>字词问题</groupName>
      <ability>L2_Typo</ability>
      <abilityName>字词错误</abilityName>
      <candidateList>
        <item>”和</item>
      </candidateList>
      <explain/>
      <paraID>1D65F940</paraID>
      <start>118</start>
      <end>119</end>
      <status>unmodified</status>
      <modifiedWord/>
      <trackRevisions>false</trackRevisions>
    </reviewItem>
    <reviewItem>
      <errorID>d7cdac63-28ff-4e45-ab74-fe8ea31d7b7f</errorID>
      <errorWord>(</errorWord>
      <group>L1_Format</group>
      <groupName>格式问题</groupName>
      <ability>L2_HalfPunc_CN</ability>
      <abilityName>全半角问题</abilityName>
      <candidateList>
        <item>（</item>
      </candidateList>
      <explain>文本全半角错误。</explain>
      <paraID> 6EFCDC2</paraID>
      <start>39</start>
      <end>40</end>
      <status>unmodified</status>
      <modifiedWord/>
      <trackRevisions>false</trackRevisions>
    </reviewItem>
    <reviewItem>
      <errorID>1ef549c8-f2e7-4993-8fd8-9972f8b2e61a</errorID>
      <errorWord>)</errorWord>
      <group>L1_Format</group>
      <groupName>格式问题</groupName>
      <ability>L2_HalfPunc_CN</ability>
      <abilityName>全半角问题</abilityName>
      <candidateList>
        <item>）</item>
      </candidateList>
      <explain>文本全半角错误。</explain>
      <paraID> 6EFCDC2</paraID>
      <start>60</start>
      <end>61</end>
      <status>unmodified</status>
      <modifiedWord/>
      <trackRevisions>false</trackRevisions>
    </reviewItem>
    <reviewItem>
      <errorID>e104cf4e-0244-462e-8f76-b44ecea854a0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3B2F421A</paraID>
      <start>142</start>
      <end>143</end>
      <status>unmodified</status>
      <modifiedWord/>
      <trackRevisions>false</trackRevisions>
    </reviewItem>
    <reviewItem>
      <errorID>7f214121-3bbd-4c48-9d0a-a6a008f24a35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4CD1FBCD</paraID>
      <start>63</start>
      <end>64</end>
      <status>unmodified</status>
      <modifiedWord/>
      <trackRevisions>false</trackRevisions>
    </reviewItem>
    <reviewItem>
      <errorID>f39871af-8aec-4d8b-9c97-5a2d0daa5975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6D5023C8</paraID>
      <start>63</start>
      <end>64</end>
      <status>unmodified</status>
      <modifiedWord/>
      <trackRevisions>false</trackRevisions>
    </reviewItem>
    <reviewItem>
      <errorID>94f61455-e607-486d-aa04-f9b43052a47f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E2C2404</paraID>
      <start>63</start>
      <end>64</end>
      <status>unmodified</status>
      <modifiedWord/>
      <trackRevisions>false</trackRevisions>
    </reviewItem>
    <reviewItem>
      <errorID>6bac1b1d-53b5-44df-ab3c-5b41202c2154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58DABF3C</paraID>
      <start>63</start>
      <end>64</end>
      <status>unmodified</status>
      <modifiedWord/>
      <trackRevisions>false</trackRevisions>
    </reviewItem>
    <reviewItem>
      <errorID>c96ad84c-b190-45d1-85d2-4dc776d2ed2d</errorID>
      <errorWord>、</errorWord>
      <group>L1_Word</group>
      <groupName>字词问题</groupName>
      <ability>L2_Typo</ability>
      <abilityName>字词错误</abilityName>
      <candidateList>
        <item>、对</item>
      </candidateList>
      <explain/>
      <paraID>6EA97AEF</paraID>
      <start>19</start>
      <end>20</end>
      <status>unmodified</status>
      <modifiedWord/>
      <trackRevisions>false</trackRevisions>
    </reviewItem>
    <reviewItem>
      <errorID>3067fecd-9010-48f5-9ded-7270c599397d</errorID>
      <errorWord>其它</errorWord>
      <group>L1_Word</group>
      <groupName>字词问题</groupName>
      <ability>L2_Alias</ability>
      <abilityName>也作/曾用词</abilityName>
      <candidateList>
        <item>其他</item>
      </candidateList>
      <explain>词汇[其它]为不规范表述或旧称，其规范书面表述为[其他]。</explain>
      <paraID> B1D7BF9</paraID>
      <start>0</start>
      <end>2</end>
      <status>unmodified</status>
      <modifiedWord/>
      <trackRevisions>false</trackRevisions>
    </reviewItem>
    <reviewItem>
      <errorID>dec091a6-15ac-486e-9d21-794c355da82b</errorID>
      <errorWord>：</errorWord>
      <group>L1_Format</group>
      <groupName>格式问题</groupName>
      <ability>L2_HalfPunc_CN</ability>
      <abilityName>全半角问题</abilityName>
      <candidateList>
        <item>:</item>
      </candidateList>
      <explain>文本全半角错误。</explain>
      <paraID>471A601D</paraID>
      <start>5</start>
      <end>6</end>
      <status>unmodified</status>
      <modifiedWord/>
      <trackRevisions>false</trackRevisions>
    </reviewItem>
    <reviewItem>
      <errorID>04a0c49a-af4f-4ec2-9b38-2e408d432f45</errorID>
      <errorWord>：</errorWord>
      <group>L1_Format</group>
      <groupName>格式问题</groupName>
      <ability>L2_HalfPunc_CN</ability>
      <abilityName>全半角问题</abilityName>
      <candidateList>
        <item>:</item>
      </candidateList>
      <explain>文本全半角错误。</explain>
      <paraID>2B3E915E</paraID>
      <start>4</start>
      <end>5</end>
      <status>unmodified</status>
      <modifiedWord/>
      <trackRevisions>false</trackRevisions>
    </reviewItem>
    <reviewItem>
      <errorID>e13bbd3f-6739-4503-aeec-5dac02e60230</errorID>
      <errorWord>：</errorWord>
      <group>L1_Format</group>
      <groupName>格式问题</groupName>
      <ability>L2_HalfPunc_CN</ability>
      <abilityName>全半角问题</abilityName>
      <candidateList>
        <item>:</item>
      </candidateList>
      <explain>文本全半角错误。</explain>
      <paraID>71F5FDF8</paraID>
      <start>4</start>
      <end>5</end>
      <status>unmodified</status>
      <modifiedWord/>
      <trackRevisions>false</trackRevisions>
    </reviewItem>
    <reviewItem>
      <errorID>c8cd114b-1892-4811-bc02-2977d537dac5</errorID>
      <errorWord>(</errorWord>
      <group>L1_Format</group>
      <groupName>格式问题</groupName>
      <ability>L2_HalfPunc_CN</ability>
      <abilityName>全半角问题</abilityName>
      <candidateList>
        <item>（</item>
      </candidateList>
      <explain>文本全半角错误。</explain>
      <paraID>3DA1627E</paraID>
      <start>59</start>
      <end>60</end>
      <status>unmodified</status>
      <modifiedWord/>
      <trackRevisions>false</trackRevisions>
    </reviewItem>
    <reviewItem>
      <errorID>a4b4d4ef-18d9-4851-aa69-ccf0aca51fa4</errorID>
      <errorWord>(</errorWord>
      <group>L1_Format</group>
      <groupName>格式问题</groupName>
      <ability>L2_HalfPunc_CN</ability>
      <abilityName>全半角问题</abilityName>
      <candidateList>
        <item>（</item>
      </candidateList>
      <explain>文本全半角错误。</explain>
      <paraID>3DA1627E</paraID>
      <start>73</start>
      <end>74</end>
      <status>unmodified</status>
      <modifiedWord/>
      <trackRevisions>false</trackRevisions>
    </reviewItem>
    <reviewItem>
      <errorID>dbbeb9e8-5448-41c0-80f5-26e98af4b99c</errorID>
      <errorWord>)</errorWord>
      <group>L1_Format</group>
      <groupName>格式问题</groupName>
      <ability>L2_HalfPunc_CN</ability>
      <abilityName>全半角问题</abilityName>
      <candidateList>
        <item>）</item>
      </candidateList>
      <explain>文本全半角错误。</explain>
      <paraID>3DA1627E</paraID>
      <start>83</start>
      <end>84</end>
      <status>unmodified</status>
      <modifiedWord/>
      <trackRevisions>false</trackRevisions>
    </reviewItem>
    <reviewItem>
      <errorID>7094f2fd-55db-48bd-91db-c4e2fdc934b6</errorID>
      <errorWord>(</errorWord>
      <group>L1_Format</group>
      <groupName>格式问题</groupName>
      <ability>L2_HalfPunc_CN</ability>
      <abilityName>全半角问题</abilityName>
      <candidateList>
        <item>（</item>
      </candidateList>
      <explain>文本全半角错误。</explain>
      <paraID>3DA1627E</paraID>
      <start>135</start>
      <end>136</end>
      <status>unmodified</status>
      <modifiedWord/>
      <trackRevisions>false</trackRevisions>
    </reviewItem>
    <reviewItem>
      <errorID>b2cbf152-f028-4c24-95fe-f585830674db</errorID>
      <errorWord>)</errorWord>
      <group>L1_Format</group>
      <groupName>格式问题</groupName>
      <ability>L2_HalfPunc_CN</ability>
      <abilityName>全半角问题</abilityName>
      <candidateList>
        <item>）</item>
      </candidateList>
      <explain>文本全半角错误。</explain>
      <paraID>3DA1627E</paraID>
      <start>148</start>
      <end>149</end>
      <status>unmodified</status>
      <modifiedWord/>
      <trackRevisions>false</trackRevisions>
    </reviewItem>
    <reviewItem>
      <errorID>154f809c-e170-4097-9039-b7a7fb768343</errorID>
      <errorWord>~</errorWord>
      <group>L1_Format</group>
      <groupName>格式问题</groupName>
      <ability>L2_HalfPunc_CN</ability>
      <abilityName>全半角问题</abilityName>
      <candidateList>
        <item>～</item>
      </candidateList>
      <explain>文本全半角错误。</explain>
      <paraID>4E3D4C01</paraID>
      <start>52</start>
      <end>53</end>
      <status>unmodified</status>
      <modifiedWord/>
      <trackRevisions>false</trackRevisions>
    </reviewItem>
    <reviewItem>
      <errorID>34b123fb-00ec-4dad-ad60-e3180a0f5879</errorID>
      <errorWord>(</errorWord>
      <group>L1_Format</group>
      <groupName>格式问题</groupName>
      <ability>L2_HalfPunc_CN</ability>
      <abilityName>全半角问题</abilityName>
      <candidateList>
        <item>（</item>
      </candidateList>
      <explain>文本全半角错误。</explain>
      <paraID>3F60DDBC</paraID>
      <start>270</start>
      <end>271</end>
      <status>unmodified</status>
      <modifiedWord/>
      <trackRevisions>false</trackRevisions>
    </reviewItem>
    <reviewItem>
      <errorID>d91aa30d-abe9-4372-9258-3a01e6fea24f</errorID>
      <errorWord>)</errorWord>
      <group>L1_Format</group>
      <groupName>格式问题</groupName>
      <ability>L2_HalfPunc_CN</ability>
      <abilityName>全半角问题</abilityName>
      <candidateList>
        <item>）</item>
      </candidateList>
      <explain>文本全半角错误。</explain>
      <paraID>3F60DDBC</paraID>
      <start>280</start>
      <end>281</end>
      <status>unmodified</status>
      <modifiedWord/>
      <trackRevisions>false</trackRevisions>
    </reviewItem>
    <reviewItem>
      <errorID>b4ed1656-9ea0-43e5-b775-3e1a9363a7a3</errorID>
      <errorWord>~</errorWord>
      <group>L1_Format</group>
      <groupName>格式问题</groupName>
      <ability>L2_HalfPunc_CN</ability>
      <abilityName>全半角问题</abilityName>
      <candidateList>
        <item>～</item>
      </candidateList>
      <explain>文本全半角错误。</explain>
      <paraID>2D27C80A</paraID>
      <start>47</start>
      <end>48</end>
      <status>unmodified</status>
      <modifiedWord/>
      <trackRevisions>false</trackRevisions>
    </reviewItem>
    <reviewItem>
      <errorID>b054a552-a593-4615-8bd0-9adf75ca60fd</errorID>
      <errorWord>)</errorWord>
      <group>L1_Format</group>
      <groupName>格式问题</groupName>
      <ability>L2_HalfPunc_CN</ability>
      <abilityName>全半角问题</abilityName>
      <candidateList>
        <item>）</item>
      </candidateList>
      <explain>文本全半角错误。</explain>
      <paraID>2D27C80A</paraID>
      <start>159</start>
      <end>160</end>
      <status>unmodified</status>
      <modifiedWord/>
      <trackRevisions>false</trackRevisions>
    </reviewItem>
    <reviewItem>
      <errorID>99b63264-d8e8-4438-8525-544f62d23be6</errorID>
      <errorWord>(</errorWord>
      <group>L1_Format</group>
      <groupName>格式问题</groupName>
      <ability>L2_HalfPunc_CN</ability>
      <abilityName>全半角问题</abilityName>
      <candidateList>
        <item>（</item>
      </candidateList>
      <explain>文本全半角错误。</explain>
      <paraID>2934ABDF</paraID>
      <start>123</start>
      <end>124</end>
      <status>unmodified</status>
      <modifiedWord/>
      <trackRevisions>false</trackRevisions>
    </reviewItem>
    <reviewItem>
      <errorID>b7a4c59b-6739-43e7-a4f2-5e539944d9d3</errorID>
      <errorWord>)</errorWord>
      <group>L1_Format</group>
      <groupName>格式问题</groupName>
      <ability>L2_HalfPunc_CN</ability>
      <abilityName>全半角问题</abilityName>
      <candidateList>
        <item>）</item>
      </candidateList>
      <explain>文本全半角错误。</explain>
      <paraID>2934ABDF</paraID>
      <start>136</start>
      <end>137</end>
      <status>unmodified</status>
      <modifiedWord/>
      <trackRevisions>false</trackRevisions>
    </reviewItem>
    <reviewItem>
      <errorID>3acf832c-b066-424b-b17c-7013a9420d3c</errorID>
      <errorWord>)</errorWord>
      <group>L1_Format</group>
      <groupName>格式问题</groupName>
      <ability>L2_HalfPunc_CN</ability>
      <abilityName>全半角问题</abilityName>
      <candidateList>
        <item>）</item>
      </candidateList>
      <explain>文本全半角错误。</explain>
      <paraID>2934ABDF</paraID>
      <start>237</start>
      <end>238</end>
      <status>unmodified</status>
      <modifiedWord/>
      <trackRevisions>false</trackRevisions>
    </reviewItem>
    <reviewItem>
      <errorID>ae0cd7e0-dc62-410d-88a3-d1fc977a0378</errorID>
      <errorWord>)</errorWord>
      <group>L1_Format</group>
      <groupName>格式问题</groupName>
      <ability>L2_HalfPunc_CN</ability>
      <abilityName>全半角问题</abilityName>
      <candidateList>
        <item>）</item>
      </candidateList>
      <explain>文本全半角错误。</explain>
      <paraID>2934ABDF</paraID>
      <start>273</start>
      <end>274</end>
      <status>unmodified</status>
      <modifiedWord/>
      <trackRevisions>false</trackRevisions>
    </reviewItem>
    <reviewItem>
      <errorID>2b469bd7-4df8-4f90-8851-05793a22635f</errorID>
      <errorWord>为共</errorWord>
      <group>L1_Word</group>
      <groupName>字词问题</groupName>
      <ability>L2_Typo</ability>
      <abilityName>字词错误</abilityName>
      <candidateList>
        <item>为</item>
      </candidateList>
      <explain/>
      <paraID> 418D4EA</paraID>
      <start>48</start>
      <end>50</end>
      <status>unmodified</status>
      <modifiedWord/>
      <trackRevisions>false</trackRevisions>
    </reviewItem>
    <reviewItem>
      <errorID>1932d3a2-5261-4392-9f24-832fb36d52c3</errorID>
      <errorWord>~</errorWord>
      <group>L1_Format</group>
      <groupName>格式问题</groupName>
      <ability>L2_HalfPunc_CN</ability>
      <abilityName>全半角问题</abilityName>
      <candidateList>
        <item>～</item>
      </candidateList>
      <explain>文本全半角错误。</explain>
      <paraID> 418D4EA</paraID>
      <start>127</start>
      <end>128</end>
      <status>unmodified</status>
      <modifiedWord/>
      <trackRevisions>false</trackRevisions>
    </reviewItem>
    <reviewItem>
      <errorID>c76d4bac-2aba-42a1-b15f-0f6db9ad98f5</errorID>
      <errorWord>-</errorWord>
      <group>L1_Format</group>
      <groupName>格式问题</groupName>
      <ability>L2_HalfPunc_CN</ability>
      <abilityName>全半角问题</abilityName>
      <candidateList>
        <item>－</item>
      </candidateList>
      <explain>文本全半角错误。</explain>
      <paraID>411F8427</paraID>
      <start>77</start>
      <end>78</end>
      <status>unmodified</status>
      <modifiedWord/>
      <trackRevisions>false</trackRevisions>
    </reviewItem>
    <reviewItem>
      <errorID>d60b30d6-ab66-4e4c-9084-499b477e72be</errorID>
      <errorWord>（</errorWord>
      <group>L1_Format</group>
      <groupName>格式问题</groupName>
      <ability>L2_HalfPunc_CN</ability>
      <abilityName>全半角问题</abilityName>
      <candidateList>
        <item>(</item>
      </candidateList>
      <explain>文本全半角错误。</explain>
      <paraID>2176669A</paraID>
      <start>0</start>
      <end>1</end>
      <status>unmodified</status>
      <modifiedWord/>
      <trackRevisions>false</trackRevisions>
    </reviewItem>
    <reviewItem>
      <errorID>b52b91b5-c32c-42b1-ada0-3f557ddea5c6</errorID>
      <errorWord>）</errorWord>
      <group>L1_Format</group>
      <groupName>格式问题</groupName>
      <ability>L2_HalfPunc_CN</ability>
      <abilityName>全半角问题</abilityName>
      <candidateList>
        <item>)</item>
      </candidateList>
      <explain>文本全半角错误。</explain>
      <paraID>2176669A</paraID>
      <start>9</start>
      <end>10</end>
      <status>unmodified</status>
      <modifiedWord/>
      <trackRevisions>false</trackRevisions>
    </reviewItem>
    <reviewItem>
      <errorID>fb039d45-0b01-4303-9726-4e4ec0159def</errorID>
      <errorWord>（</errorWord>
      <group>L1_Format</group>
      <groupName>格式问题</groupName>
      <ability>L2_HalfPunc_CN</ability>
      <abilityName>全半角问题</abilityName>
      <candidateList>
        <item>(</item>
      </candidateList>
      <explain>文本全半角错误。</explain>
      <paraID>5A5D5FA4</paraID>
      <start>0</start>
      <end>1</end>
      <status>unmodified</status>
      <modifiedWord/>
      <trackRevisions>false</trackRevisions>
    </reviewItem>
    <reviewItem>
      <errorID>8d656468-87e0-4bcf-9845-a1ab1c568747</errorID>
      <errorWord>）</errorWord>
      <group>L1_Format</group>
      <groupName>格式问题</groupName>
      <ability>L2_HalfPunc_CN</ability>
      <abilityName>全半角问题</abilityName>
      <candidateList>
        <item>)</item>
      </candidateList>
      <explain>文本全半角错误。</explain>
      <paraID>5A5D5FA4</paraID>
      <start>9</start>
      <end>10</end>
      <status>unmodified</status>
      <modifiedWord/>
      <trackRevisions>false</trackRevisions>
    </reviewItem>
    <reviewItem>
      <errorID>f921cdc1-55f3-40fb-b0d4-e44657fb7f6a</errorID>
      <errorWord>（</errorWord>
      <group>L1_Format</group>
      <groupName>格式问题</groupName>
      <ability>L2_HalfPunc_CN</ability>
      <abilityName>全半角问题</abilityName>
      <candidateList>
        <item>(</item>
      </candidateList>
      <explain>文本全半角错误。</explain>
      <paraID>7F116DB6</paraID>
      <start>0</start>
      <end>1</end>
      <status>unmodified</status>
      <modifiedWord/>
      <trackRevisions>false</trackRevisions>
    </reviewItem>
    <reviewItem>
      <errorID>fb7bb437-370f-4125-adf4-f81b365a5b97</errorID>
      <errorWord>）</errorWord>
      <group>L1_Format</group>
      <groupName>格式问题</groupName>
      <ability>L2_HalfPunc_CN</ability>
      <abilityName>全半角问题</abilityName>
      <candidateList>
        <item>)</item>
      </candidateList>
      <explain>文本全半角错误。</explain>
      <paraID>7F116DB6</paraID>
      <start>10</start>
      <end>11</end>
      <status>unmodified</status>
      <modifiedWord/>
      <trackRevisions>false</trackRevisions>
    </reviewItem>
    <reviewItem>
      <errorID>522941a3-35a8-4dd4-981d-482984e75d55</errorID>
      <errorWord>（</errorWord>
      <group>L1_Format</group>
      <groupName>格式问题</groupName>
      <ability>L2_HalfPunc_CN</ability>
      <abilityName>全半角问题</abilityName>
      <candidateList>
        <item>(</item>
      </candidateList>
      <explain>文本全半角错误。</explain>
      <paraID>4973B84A</paraID>
      <start>0</start>
      <end>1</end>
      <status>unmodified</status>
      <modifiedWord/>
      <trackRevisions>false</trackRevisions>
    </reviewItem>
    <reviewItem>
      <errorID>0e289b79-7771-4123-abc8-60b4abf16b07</errorID>
      <errorWord>）</errorWord>
      <group>L1_Format</group>
      <groupName>格式问题</groupName>
      <ability>L2_HalfPunc_CN</ability>
      <abilityName>全半角问题</abilityName>
      <candidateList>
        <item>)</item>
      </candidateList>
      <explain>文本全半角错误。</explain>
      <paraID>4973B84A</paraID>
      <start>10</start>
      <end>11</end>
      <status>unmodified</status>
      <modifiedWord/>
      <trackRevisions>false</trackRevisions>
    </reviewItem>
    <reviewItem>
      <errorID>9871a65f-0b2d-46bc-b73e-7a2e626d3ce2</errorID>
      <errorWord>（</errorWord>
      <group>L1_Format</group>
      <groupName>格式问题</groupName>
      <ability>L2_HalfPunc_CN</ability>
      <abilityName>全半角问题</abilityName>
      <candidateList>
        <item>(</item>
      </candidateList>
      <explain>文本全半角错误。</explain>
      <paraID>4200F449</paraID>
      <start>0</start>
      <end>1</end>
      <status>unmodified</status>
      <modifiedWord/>
      <trackRevisions>false</trackRevisions>
    </reviewItem>
    <reviewItem>
      <errorID>62cb2611-646b-4c24-9f7e-0d5dd4a9239c</errorID>
      <errorWord>）</errorWord>
      <group>L1_Format</group>
      <groupName>格式问题</groupName>
      <ability>L2_HalfPunc_CN</ability>
      <abilityName>全半角问题</abilityName>
      <candidateList>
        <item>)</item>
      </candidateList>
      <explain>文本全半角错误。</explain>
      <paraID>4200F449</paraID>
      <start>13</start>
      <end>14</end>
      <status>unmodified</status>
      <modifiedWord/>
      <trackRevisions>false</trackRevisions>
    </reviewItem>
    <reviewItem>
      <errorID>712e7b26-d264-434b-8106-2c8f4aa5ff59</errorID>
      <errorWord>（</errorWord>
      <group>L1_Format</group>
      <groupName>格式问题</groupName>
      <ability>L2_HalfPunc_CN</ability>
      <abilityName>全半角问题</abilityName>
      <candidateList>
        <item>(</item>
      </candidateList>
      <explain>文本全半角错误。</explain>
      <paraID>6967C4D9</paraID>
      <start>8</start>
      <end>9</end>
      <status>unmodified</status>
      <modifiedWord/>
      <trackRevisions>false</trackRevisions>
    </reviewItem>
    <reviewItem>
      <errorID>8aa0a592-714e-4002-94b9-2c4cc840a5e7</errorID>
      <errorWord>）</errorWord>
      <group>L1_Format</group>
      <groupName>格式问题</groupName>
      <ability>L2_HalfPunc_CN</ability>
      <abilityName>全半角问题</abilityName>
      <candidateList>
        <item>)</item>
      </candidateList>
      <explain>文本全半角错误。</explain>
      <paraID>6967C4D9</paraID>
      <start>16</start>
      <end>17</end>
      <status>unmodified</status>
      <modifiedWord/>
      <trackRevisions>false</trackRevisions>
    </reviewItem>
    <reviewItem>
      <errorID>93518388-9470-4e27-9034-971e23884ca7</errorID>
      <errorWord>（</errorWord>
      <group>L1_Format</group>
      <groupName>格式问题</groupName>
      <ability>L2_HalfPunc_CN</ability>
      <abilityName>全半角问题</abilityName>
      <candidateList>
        <item>(</item>
      </candidateList>
      <explain>文本全半角错误。</explain>
      <paraID>40314D71</paraID>
      <start>10</start>
      <end>11</end>
      <status>unmodified</status>
      <modifiedWord/>
      <trackRevisions>false</trackRevisions>
    </reviewItem>
    <reviewItem>
      <errorID>09725139-e44c-4131-9672-b78acc767651</errorID>
      <errorWord>）</errorWord>
      <group>L1_Format</group>
      <groupName>格式问题</groupName>
      <ability>L2_HalfPunc_CN</ability>
      <abilityName>全半角问题</abilityName>
      <candidateList>
        <item>)</item>
      </candidateList>
      <explain>文本全半角错误。</explain>
      <paraID>40314D71</paraID>
      <start>24</start>
      <end>25</end>
      <status>unmodified</status>
      <modifiedWord/>
      <trackRevisions>false</trackRevisions>
    </reviewItem>
    <reviewItem>
      <errorID>d203de05-ed6d-4f45-b7d9-a0f3cc821658</errorID>
      <errorWord>地将</errorWord>
      <group>L1_Word</group>
      <groupName>字词问题</groupName>
      <ability>L2_Typo</ability>
      <abilityName>字词错误</abilityName>
      <candidateList>
        <item>地</item>
      </candidateList>
      <explain/>
      <paraID>4CCDAE40</paraID>
      <start>63</start>
      <end>65</end>
      <status>unmodified</status>
      <modifiedWord/>
      <trackRevisions>false</trackRevisions>
    </reviewItem>
    <reviewItem>
      <errorID>ea50dc0d-669a-4b1c-8d72-85dff27d1127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4880C557</paraID>
      <start>0</start>
      <end>2</end>
      <status>unmodified</status>
      <modifiedWord/>
      <trackRevisions>false</trackRevisions>
    </reviewItem>
    <reviewItem>
      <errorID>a2097237-e9b7-45a0-a3d5-57d9b65ca3b3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727333CE</paraID>
      <start>0</start>
      <end>2</end>
      <status>unmodified</status>
      <modifiedWord/>
      <trackRevisions>false</trackRevisions>
    </reviewItem>
    <reviewItem>
      <errorID>46744cc5-fccf-4281-adae-22ba9e31fda2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1FA07E7E</paraID>
      <start>0</start>
      <end>2</end>
      <status>unmodified</status>
      <modifiedWord/>
      <trackRevisions>false</trackRevisions>
    </reviewItem>
    <reviewItem>
      <errorID>6112677b-3f8d-4cfe-8734-409ea66eea1c</errorID>
      <errorWord>对于</errorWord>
      <group>L1_Word</group>
      <groupName>字词问题</groupName>
      <ability>L2_Typo</ability>
      <abilityName>字词错误</abilityName>
      <candidateList>
        <item>对</item>
      </candidateList>
      <explain/>
      <paraID>1FA07E7E</paraID>
      <start>11</start>
      <end>13</end>
      <status>unmodified</status>
      <modifiedWord/>
      <trackRevisions>false</trackRevisions>
    </reviewItem>
    <reviewItem>
      <errorID>f7f71292-a5f2-4f10-bcf5-20b66c3e9952</errorID>
      <errorWord>(</errorWord>
      <group>L1_Format</group>
      <groupName>格式问题</groupName>
      <ability>L2_HalfPunc_CN</ability>
      <abilityName>全半角问题</abilityName>
      <candidateList>
        <item>（</item>
      </candidateList>
      <explain>文本全半角错误。</explain>
      <paraID> AA399F3</paraID>
      <start>56</start>
      <end>57</end>
      <status>unmodified</status>
      <modifiedWord/>
      <trackRevisions>false</trackRevisions>
    </reviewItem>
    <reviewItem>
      <errorID>3713d736-98ee-4060-adfe-04d52e8f6ac2</errorID>
      <errorWord>)</errorWord>
      <group>L1_Format</group>
      <groupName>格式问题</groupName>
      <ability>L2_HalfPunc_CN</ability>
      <abilityName>全半角问题</abilityName>
      <candidateList>
        <item>）</item>
      </candidateList>
      <explain>文本全半角错误。</explain>
      <paraID> AA399F3</paraID>
      <start>68</start>
      <end>69</end>
      <status>unmodified</status>
      <modifiedWord/>
      <trackRevisions>false</trackRevisions>
    </reviewItem>
    <reviewItem>
      <errorID>b808d415-9fda-4e3b-a41e-d2bcf8d6635c</errorID>
      <errorWord>日正式实施</errorWord>
      <group>L1_Word</group>
      <groupName>字词问题</groupName>
      <ability>L2_Typo</ability>
      <abilityName>字词错误</abilityName>
      <candidateList>
        <item>日起正式实施</item>
      </candidateList>
      <explain/>
      <paraID> AA399F3</paraID>
      <start>79</start>
      <end>84</end>
      <status>unmodified</status>
      <modifiedWord/>
      <trackRevisions>false</trackRevisions>
    </reviewItem>
    <reviewItem>
      <errorID>a2ec38a9-921c-4a9e-a1d2-a99f25b6d707</errorID>
      <errorWord>(</errorWord>
      <group>L1_Format</group>
      <groupName>格式问题</groupName>
      <ability>L2_HalfPunc_CN</ability>
      <abilityName>全半角问题</abilityName>
      <candidateList>
        <item>（</item>
      </candidateList>
      <explain>文本全半角错误。</explain>
      <paraID> AA399F3</paraID>
      <start>97</start>
      <end>98</end>
      <status>unmodified</status>
      <modifiedWord/>
      <trackRevisions>false</trackRevisions>
    </reviewItem>
    <reviewItem>
      <errorID>2ec3ed41-c3c3-4dd5-ab3e-ebf3409a7bba</errorID>
      <errorWord>)</errorWord>
      <group>L1_Format</group>
      <groupName>格式问题</groupName>
      <ability>L2_HalfPunc_CN</ability>
      <abilityName>全半角问题</abilityName>
      <candidateList>
        <item>）</item>
      </candidateList>
      <explain>文本全半角错误。</explain>
      <paraID> AA399F3</paraID>
      <start>109</start>
      <end>110</end>
      <status>unmodified</status>
      <modifiedWord/>
      <trackRevisions>false</trackRevisions>
    </reviewItem>
    <reviewItem>
      <errorID>913aa40e-c0ff-471f-bb0b-1e6d643a1be1</errorID>
      <errorWord>:</errorWord>
      <group>L1_Format</group>
      <groupName>格式问题</groupName>
      <ability>L2_HalfPunc_CN</ability>
      <abilityName>全半角问题</abilityName>
      <candidateList>
        <item>：</item>
      </candidateList>
      <explain>文本全半角错误。</explain>
      <paraID>5D0AF7BC</paraID>
      <start>26</start>
      <end>27</end>
      <status>unmodified</status>
      <modifiedWord/>
      <trackRevisions>false</trackRevisions>
    </reviewItem>
    <reviewItem>
      <errorID>2717f9d6-7ac4-43b1-b3b5-e2fcb85c81c8</errorID>
      <errorWord>(</errorWord>
      <group>L1_Format</group>
      <groupName>格式问题</groupName>
      <ability>L2_HalfPunc_CN</ability>
      <abilityName>全半角问题</abilityName>
      <candidateList>
        <item>（</item>
      </candidateList>
      <explain>文本全半角错误。</explain>
      <paraID>7C535376</paraID>
      <start>20</start>
      <end>21</end>
      <status>unmodified</status>
      <modifiedWord/>
      <trackRevisions>false</trackRevisions>
    </reviewItem>
    <reviewItem>
      <errorID>3b0e208c-a80e-47eb-b454-e7d38726351a</errorID>
      <errorWord>)(</errorWord>
      <group>L1_Format</group>
      <groupName>格式问题</groupName>
      <ability>L2_HalfPunc_CN</ability>
      <abilityName>全半角问题</abilityName>
      <candidateList>
        <item>）（</item>
      </candidateList>
      <explain>文本全半角错误。</explain>
      <paraID>7C535376</paraID>
      <start>26</start>
      <end>28</end>
      <status>unmodified</status>
      <modifiedWord/>
      <trackRevisions>false</trackRevisions>
    </reviewItem>
    <reviewItem>
      <errorID>9461032c-d609-41d0-8219-27e2df30d69c</errorID>
      <errorWord>)</errorWord>
      <group>L1_Format</group>
      <groupName>格式问题</groupName>
      <ability>L2_HalfPunc_CN</ability>
      <abilityName>全半角问题</abilityName>
      <candidateList>
        <item>）</item>
      </candidateList>
      <explain>文本全半角错误。</explain>
      <paraID>7C535376</paraID>
      <start>30</start>
      <end>31</end>
      <status>unmodified</status>
      <modifiedWord/>
      <trackRevisions>false</trackRevisions>
    </reviewItem>
    <reviewItem>
      <errorID>f8ab351f-0921-411f-9845-3594d8e6159c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7C535376</paraID>
      <start>154</start>
      <end>155</end>
      <status>unmodified</status>
      <modifiedWord/>
      <trackRevisions>false</trackRevisions>
    </reviewItem>
    <reviewItem>
      <errorID>54e5ecf3-c8a1-46c0-a32c-04642938333f</errorID>
      <errorWord>II</errorWord>
      <group>L1_Knowledge</group>
      <groupName>知识性问题</groupName>
      <ability>L2_Knowledge</ability>
      <abilityName>其他知识</abilityName>
      <candidateList>
        <item>Ⅱ</item>
      </candidateList>
      <explain>中文环境下罗马数字格式错误。</explain>
      <paraID>67867F75</paraID>
      <start>0</start>
      <end>2</end>
      <status>unmodified</status>
      <modifiedWord/>
      <trackRevisions>false</trackRevisions>
    </reviewItem>
    <reviewItem>
      <errorID>1d36ee71-5c96-41cf-806d-97fb4fd7f71b</errorID>
      <errorWord>II</errorWord>
      <group>L1_Knowledge</group>
      <groupName>知识性问题</groupName>
      <ability>L2_Knowledge</ability>
      <abilityName>其他知识</abilityName>
      <candidateList>
        <item>Ⅱ</item>
      </candidateList>
      <explain>中文环境下罗马数字格式错误。</explain>
      <paraID>6DB92768</paraID>
      <start>0</start>
      <end>2</end>
      <status>unmodified</status>
      <modifiedWord/>
      <trackRevisions>false</trackRevisions>
    </reviewItem>
    <reviewItem>
      <errorID>b0db945a-55d7-40b1-8be1-f17b9df409fc</errorID>
      <errorWord>II</errorWord>
      <group>L1_Knowledge</group>
      <groupName>知识性问题</groupName>
      <ability>L2_Knowledge</ability>
      <abilityName>其他知识</abilityName>
      <candidateList>
        <item>Ⅱ</item>
      </candidateList>
      <explain>中文环境下罗马数字格式错误。</explain>
      <paraID>142FF9D0</paraID>
      <start>0</start>
      <end>2</end>
      <status>unmodified</status>
      <modifiedWord/>
      <trackRevisions>false</trackRevisions>
    </reviewItem>
    <reviewItem>
      <errorID>8f256b26-4172-4ba7-9ab4-40e056c06094</errorID>
      <errorWord>II</errorWord>
      <group>L1_Knowledge</group>
      <groupName>知识性问题</groupName>
      <ability>L2_Knowledge</ability>
      <abilityName>其他知识</abilityName>
      <candidateList>
        <item>Ⅱ</item>
      </candidateList>
      <explain>中文环境下罗马数字格式错误。</explain>
      <paraID>1E2B9AD2</paraID>
      <start>0</start>
      <end>2</end>
      <status>unmodified</status>
      <modifiedWord/>
      <trackRevisions>false</trackRevisions>
    </reviewItem>
    <reviewItem>
      <errorID>cf92b745-ca30-4072-8db1-f025a49d1750</errorID>
      <errorWord>II</errorWord>
      <group>L1_Knowledge</group>
      <groupName>知识性问题</groupName>
      <ability>L2_Knowledge</ability>
      <abilityName>其他知识</abilityName>
      <candidateList>
        <item>Ⅱ</item>
      </candidateList>
      <explain>中文环境下罗马数字格式错误。</explain>
      <paraID>774915C5</paraID>
      <start>0</start>
      <end>2</end>
      <status>unmodified</status>
      <modifiedWord/>
      <trackRevisions>false</trackRevisions>
    </reviewItem>
    <reviewItem>
      <errorID>97c31622-1ab1-4102-b91c-93fab1cf01e6</errorID>
      <errorWord>II</errorWord>
      <group>L1_Knowledge</group>
      <groupName>知识性问题</groupName>
      <ability>L2_Knowledge</ability>
      <abilityName>其他知识</abilityName>
      <candidateList>
        <item>Ⅱ</item>
      </candidateList>
      <explain>中文环境下罗马数字格式错误。</explain>
      <paraID>7EA48813</paraID>
      <start>0</start>
      <end>2</end>
      <status>unmodified</status>
      <modifiedWord/>
      <trackRevisions>false</trackRevisions>
    </reviewItem>
    <reviewItem>
      <errorID>ba8b0dc4-f9f4-410b-be6b-f7e7e70877ea</errorID>
      <errorWord>II</errorWord>
      <group>L1_Knowledge</group>
      <groupName>知识性问题</groupName>
      <ability>L2_Knowledge</ability>
      <abilityName>其他知识</abilityName>
      <candidateList>
        <item>Ⅱ</item>
      </candidateList>
      <explain>中文环境下罗马数字格式错误。</explain>
      <paraID>5103096F</paraID>
      <start>0</start>
      <end>2</end>
      <status>unmodified</status>
      <modifiedWord/>
      <trackRevisions>false</trackRevisions>
    </reviewItem>
    <reviewItem>
      <errorID>44eef6ec-0fa2-4bc0-860d-45b0609c7561</errorID>
      <errorWord>II</errorWord>
      <group>L1_Knowledge</group>
      <groupName>知识性问题</groupName>
      <ability>L2_Knowledge</ability>
      <abilityName>其他知识</abilityName>
      <candidateList>
        <item>Ⅱ</item>
      </candidateList>
      <explain>中文环境下罗马数字格式错误。</explain>
      <paraID>4CA9A37C</paraID>
      <start>0</start>
      <end>2</end>
      <status>unmodified</status>
      <modifiedWord/>
      <trackRevisions>false</trackRevisions>
    </reviewItem>
    <reviewItem>
      <errorID>66a45bf5-8854-417c-b3b1-bac993159518</errorID>
      <errorWord>III</errorWord>
      <group>L1_Knowledge</group>
      <groupName>知识性问题</groupName>
      <ability>L2_Knowledge</ability>
      <abilityName>其他知识</abilityName>
      <candidateList>
        <item>Ⅲ</item>
      </candidateList>
      <explain>中文环境下罗马数字格式错误。</explain>
      <paraID>4D92F310</paraID>
      <start>0</start>
      <end>3</end>
      <status>unmodified</status>
      <modifiedWord/>
      <trackRevisions>false</trackRevisions>
    </reviewItem>
    <reviewItem>
      <errorID>27d62f19-1fa0-462d-989d-8b1d11ef88d0</errorID>
      <errorWord>II</errorWord>
      <group>L1_Knowledge</group>
      <groupName>知识性问题</groupName>
      <ability>L2_Knowledge</ability>
      <abilityName>其他知识</abilityName>
      <candidateList>
        <item>Ⅱ</item>
      </candidateList>
      <explain>中文环境下罗马数字格式错误。</explain>
      <paraID> 5109743</paraID>
      <start>0</start>
      <end>2</end>
      <status>unmodified</status>
      <modifiedWord/>
      <trackRevisions>false</trackRevisions>
    </reviewItem>
    <reviewItem>
      <errorID>4a312ffd-a778-458f-be32-744e158eb326</errorID>
      <errorWord>II</errorWord>
      <group>L1_Knowledge</group>
      <groupName>知识性问题</groupName>
      <ability>L2_Knowledge</ability>
      <abilityName>其他知识</abilityName>
      <candidateList>
        <item>Ⅱ</item>
      </candidateList>
      <explain>中文环境下罗马数字格式错误。</explain>
      <paraID>4BD72355</paraID>
      <start>0</start>
      <end>2</end>
      <status>unmodified</status>
      <modifiedWord/>
      <trackRevisions>false</trackRevisions>
    </reviewItem>
    <reviewItem>
      <errorID>610e1e70-8a67-4e31-8218-cc4a0d70384b</errorID>
      <errorWord>II</errorWord>
      <group>L1_Knowledge</group>
      <groupName>知识性问题</groupName>
      <ability>L2_Knowledge</ability>
      <abilityName>其他知识</abilityName>
      <candidateList>
        <item>Ⅱ</item>
      </candidateList>
      <explain>中文环境下罗马数字格式错误。</explain>
      <paraID>6DD25E2A</paraID>
      <start>0</start>
      <end>2</end>
      <status>unmodified</status>
      <modifiedWord/>
      <trackRevisions>false</trackRevisions>
    </reviewItem>
    <reviewItem>
      <errorID>9ed87c54-31f5-45dd-a695-78dbac8b769c</errorID>
      <errorWord>III类</errorWord>
      <group>L1_Knowledge</group>
      <groupName>知识性问题</groupName>
      <ability>L2_Knowledge</ability>
      <abilityName>其他知识</abilityName>
      <candidateList>
        <item>Ⅲ类</item>
      </candidateList>
      <explain>中文环境下罗马数字格式错误。</explain>
      <paraID>57067D8A</paraID>
      <start>51</start>
      <end>55</end>
      <status>unmodified</status>
      <modifiedWord/>
      <trackRevisions>false</trackRevisions>
    </reviewItem>
    <reviewItem>
      <errorID>1c828de1-8f9e-4be9-bc3f-5a415ce766d7</errorID>
      <errorWord>(</errorWord>
      <group>L1_Format</group>
      <groupName>格式问题</groupName>
      <ability>L2_HalfPunc_CN</ability>
      <abilityName>全半角问题</abilityName>
      <candidateList>
        <item>（</item>
      </candidateList>
      <explain>文本全半角错误。</explain>
      <paraID>53C53B5E</paraID>
      <start>20</start>
      <end>21</end>
      <status>unmodified</status>
      <modifiedWord/>
      <trackRevisions>false</trackRevisions>
    </reviewItem>
    <reviewItem>
      <errorID>d457d708-325c-4c73-a409-5252a7ae006d</errorID>
      <errorWord>)(</errorWord>
      <group>L1_Format</group>
      <groupName>格式问题</groupName>
      <ability>L2_HalfPunc_CN</ability>
      <abilityName>全半角问题</abilityName>
      <candidateList>
        <item>）（</item>
      </candidateList>
      <explain>文本全半角错误。</explain>
      <paraID>53C53B5E</paraID>
      <start>26</start>
      <end>28</end>
      <status>unmodified</status>
      <modifiedWord/>
      <trackRevisions>false</trackRevisions>
    </reviewItem>
    <reviewItem>
      <errorID>56d89c2a-c018-4ee0-a3d7-6c0749b54110</errorID>
      <errorWord>)</errorWord>
      <group>L1_Format</group>
      <groupName>格式问题</groupName>
      <ability>L2_HalfPunc_CN</ability>
      <abilityName>全半角问题</abilityName>
      <candidateList>
        <item>）</item>
      </candidateList>
      <explain>文本全半角错误。</explain>
      <paraID>53C53B5E</paraID>
      <start>30</start>
      <end>31</end>
      <status>unmodified</status>
      <modifiedWord/>
      <trackRevisions>false</trackRevisions>
    </reviewItem>
    <reviewItem>
      <errorID>094ce50f-2482-4ff1-b20e-170b7ad72200</errorID>
      <errorWord>(</errorWord>
      <group>L1_Format</group>
      <groupName>格式问题</groupName>
      <ability>L2_HalfPunc_CN</ability>
      <abilityName>全半角问题</abilityName>
      <candidateList>
        <item>（</item>
      </candidateList>
      <explain>文本全半角错误。</explain>
      <paraID>2004C012</paraID>
      <start>172</start>
      <end>173</end>
      <status>unmodified</status>
      <modifiedWord/>
      <trackRevisions>false</trackRevisions>
    </reviewItem>
    <reviewItem>
      <errorID>8063690c-4b3a-48b8-8a8a-f4c74b1af7f7</errorID>
      <errorWord>)(</errorWord>
      <group>L1_Format</group>
      <groupName>格式问题</groupName>
      <ability>L2_HalfPunc_CN</ability>
      <abilityName>全半角问题</abilityName>
      <candidateList>
        <item>）（</item>
      </candidateList>
      <explain>文本全半角错误。</explain>
      <paraID>2004C012</paraID>
      <start>178</start>
      <end>180</end>
      <status>unmodified</status>
      <modifiedWord/>
      <trackRevisions>false</trackRevisions>
    </reviewItem>
    <reviewItem>
      <errorID>08101e82-b4ad-40e4-9d46-4cc45daffc29</errorID>
      <errorWord>)</errorWord>
      <group>L1_Format</group>
      <groupName>格式问题</groupName>
      <ability>L2_HalfPunc_CN</ability>
      <abilityName>全半角问题</abilityName>
      <candidateList>
        <item>）</item>
      </candidateList>
      <explain>文本全半角错误。</explain>
      <paraID>2004C012</paraID>
      <start>182</start>
      <end>183</end>
      <status>unmodified</status>
      <modifiedWord/>
      <trackRevisions>false</trackRevisions>
    </reviewItem>
    <reviewItem>
      <errorID>f6815511-5aa0-48fc-8d76-0eb7ce6c5294</errorID>
      <errorWord>程</errorWord>
      <group>L1_Word</group>
      <groupName>字词问题</groupName>
      <ability>L2_Typo</ability>
      <abilityName>字词错误</abilityName>
      <candidateList>
        <item>程中</item>
      </candidateList>
      <explain/>
      <paraID>5BBD8523</paraID>
      <start>139</start>
      <end>140</end>
      <status>unmodified</status>
      <modifiedWord/>
      <trackRevisions>false</trackRevisions>
    </reviewItem>
    <reviewItem>
      <errorID>e6dba0b2-ae4e-4526-9a87-a0da5316bd0f</errorID>
      <errorWord>III类</errorWord>
      <group>L1_Knowledge</group>
      <groupName>知识性问题</groupName>
      <ability>L2_Knowledge</ability>
      <abilityName>其他知识</abilityName>
      <candidateList>
        <item>Ⅲ类</item>
      </candidateList>
      <explain>中文环境下罗马数字格式错误。</explain>
      <paraID>1B399CC5</paraID>
      <start>0</start>
      <end>4</end>
      <status>unmodified</status>
      <modifiedWord/>
      <trackRevisions>false</trackRevisions>
    </reviewItem>
    <reviewItem>
      <errorID>f760d151-c5c9-4ad5-9ceb-644dc198afa5</errorID>
      <errorWord>（</errorWord>
      <group>L1_Punc</group>
      <groupName>标点问题</groupName>
      <ability>L2_Punc_CN</ability>
      <abilityName>标点符号问题</abilityName>
      <candidateList/>
      <explain>同一形式括号套用。</explain>
      <paraID>3F788693</paraID>
      <start>39</start>
      <end>40</end>
      <status>unmodified</status>
      <modifiedWord/>
      <trackRevisions>false</trackRevisions>
    </reviewItem>
    <reviewItem>
      <errorID>1bec2d23-3e1f-4339-948c-492e72e0c7af</errorID>
      <errorWord>）</errorWord>
      <group>L1_Punc</group>
      <groupName>标点问题</groupName>
      <ability>L2_Punc_CN</ability>
      <abilityName>标点符号问题</abilityName>
      <candidateList/>
      <explain>同一形式括号套用。</explain>
      <paraID>3F788693</paraID>
      <start>49</start>
      <end>50</end>
      <status>unmodified</status>
      <modifiedWord/>
      <trackRevisions>false</trackRevisions>
    </reviewItem>
    <reviewItem>
      <errorID>0e6992f1-f748-4759-8d59-0ed1538d5637</errorID>
      <errorWord>(</errorWord>
      <group>L1_Format</group>
      <groupName>格式问题</groupName>
      <ability>L2_HalfPunc_CN</ability>
      <abilityName>全半角问题</abilityName>
      <candidateList>
        <item>（</item>
      </candidateList>
      <explain>文本全半角错误。</explain>
      <paraID>7449EABA</paraID>
      <start>20</start>
      <end>21</end>
      <status>unmodified</status>
      <modifiedWord/>
      <trackRevisions>false</trackRevisions>
    </reviewItem>
    <reviewItem>
      <errorID>9c63bf99-662a-4a64-945c-1b7c5a536653</errorID>
      <errorWord>)</errorWord>
      <group>L1_Format</group>
      <groupName>格式问题</groupName>
      <ability>L2_HalfPunc_CN</ability>
      <abilityName>全半角问题</abilityName>
      <candidateList>
        <item>）</item>
      </candidateList>
      <explain>文本全半角错误。</explain>
      <paraID>7449EABA</paraID>
      <start>33</start>
      <end>34</end>
      <status>unmodified</status>
      <modifiedWord/>
      <trackRevisions>false</trackRevisions>
    </reviewItem>
    <reviewItem>
      <errorID>6bf200b8-76dc-4647-b553-0f309328f44d</errorID>
      <errorWord>(</errorWord>
      <group>L1_Format</group>
      <groupName>格式问题</groupName>
      <ability>L2_HalfPunc_CN</ability>
      <abilityName>全半角问题</abilityName>
      <candidateList>
        <item>（</item>
      </candidateList>
      <explain>文本全半角错误。</explain>
      <paraID>7449EABA</paraID>
      <start>176</start>
      <end>177</end>
      <status>unmodified</status>
      <modifiedWord/>
      <trackRevisions>false</trackRevisions>
    </reviewItem>
    <reviewItem>
      <errorID>565b4f46-146a-493e-8094-0de21a827f91</errorID>
      <errorWord>)</errorWord>
      <group>L1_Format</group>
      <groupName>格式问题</groupName>
      <ability>L2_HalfPunc_CN</ability>
      <abilityName>全半角问题</abilityName>
      <candidateList>
        <item>）</item>
      </candidateList>
      <explain>文本全半角错误。</explain>
      <paraID>7449EABA</paraID>
      <start>205</start>
      <end>206</end>
      <status>unmodified</status>
      <modifiedWord/>
      <trackRevisions>false</trackRevisions>
    </reviewItem>
    <reviewItem>
      <errorID>00ef20f8-1dd8-406d-a043-6f1ef873d2dc</errorID>
      <errorWord>(</errorWord>
      <group>L1_Format</group>
      <groupName>格式问题</groupName>
      <ability>L2_HalfPunc_CN</ability>
      <abilityName>全半角问题</abilityName>
      <candidateList>
        <item>（</item>
      </candidateList>
      <explain>文本全半角错误。</explain>
      <paraID>5EE4C9FB</paraID>
      <start>14</start>
      <end>15</end>
      <status>unmodified</status>
      <modifiedWord/>
      <trackRevisions>false</trackRevisions>
    </reviewItem>
    <reviewItem>
      <errorID>1570c45d-1ecf-4fbb-a927-81a50d2af4e1</errorID>
      <errorWord>)</errorWord>
      <group>L1_Format</group>
      <groupName>格式问题</groupName>
      <ability>L2_HalfPunc_CN</ability>
      <abilityName>全半角问题</abilityName>
      <candidateList>
        <item>）</item>
      </candidateList>
      <explain>文本全半角错误。</explain>
      <paraID>5EE4C9FB</paraID>
      <start>38</start>
      <end>39</end>
      <status>unmodified</status>
      <modifiedWord/>
      <trackRevisions>false</trackRevisions>
    </reviewItem>
    <reviewItem>
      <errorID>a754cb5f-89df-4eac-9503-12bcef8a1a4e</errorID>
      <errorWord>（</errorWord>
      <group>L1_Format</group>
      <groupName>格式问题</groupName>
      <ability>L2_HalfPunc_CN</ability>
      <abilityName>全半角问题</abilityName>
      <candidateList>
        <item>(</item>
      </candidateList>
      <explain>文本全半角错误。</explain>
      <paraID>39AF4A07</paraID>
      <start>0</start>
      <end>1</end>
      <status>unmodified</status>
      <modifiedWord/>
      <trackRevisions>false</trackRevisions>
    </reviewItem>
    <reviewItem>
      <errorID>8f70c7c4-11bf-422b-a411-11852300339a</errorID>
      <errorWord>）</errorWord>
      <group>L1_Format</group>
      <groupName>格式问题</groupName>
      <ability>L2_HalfPunc_CN</ability>
      <abilityName>全半角问题</abilityName>
      <candidateList>
        <item>)</item>
      </candidateList>
      <explain>文本全半角错误。</explain>
      <paraID>39AF4A07</paraID>
      <start>6</start>
      <end>7</end>
      <status>unmodified</status>
      <modifiedWord/>
      <trackRevisions>false</trackRevisions>
    </reviewItem>
    <reviewItem>
      <errorID>02a73663-9a83-4ad3-88ee-e9d8ee13276d</errorID>
      <errorWord>)</errorWord>
      <group>L1_Format</group>
      <groupName>格式问题</groupName>
      <ability>L2_HalfPunc_CN</ability>
      <abilityName>全半角问题</abilityName>
      <candidateList>
        <item>）</item>
      </candidateList>
      <explain>文本全半角错误。</explain>
      <paraID>67D0D887</paraID>
      <start>3</start>
      <end>4</end>
      <status>unmodified</status>
      <modifiedWord/>
      <trackRevisions>false</trackRevisions>
    </reviewItem>
    <reviewItem>
      <errorID>d2322426-eb4a-4f0e-a487-b234cb02d303</errorID>
      <errorWord>（</errorWord>
      <group>L1_Format</group>
      <groupName>格式问题</groupName>
      <ability>L2_HalfPunc_CN</ability>
      <abilityName>全半角问题</abilityName>
      <candidateList>
        <item>(</item>
      </candidateList>
      <explain>文本全半角错误。</explain>
      <paraID>60F44509</paraID>
      <start>0</start>
      <end>1</end>
      <status>unmodified</status>
      <modifiedWord/>
      <trackRevisions>false</trackRevisions>
    </reviewItem>
    <reviewItem>
      <errorID>a11e42e0-c72a-4c13-b37a-a277647fa0c3</errorID>
      <errorWord>）</errorWord>
      <group>L1_Format</group>
      <groupName>格式问题</groupName>
      <ability>L2_HalfPunc_CN</ability>
      <abilityName>全半角问题</abilityName>
      <candidateList>
        <item>)</item>
      </candidateList>
      <explain>文本全半角错误。</explain>
      <paraID>60F44509</paraID>
      <start>6</start>
      <end>7</end>
      <status>unmodified</status>
      <modifiedWord/>
      <trackRevisions>false</trackRevisions>
    </reviewItem>
    <reviewItem>
      <errorID>5315321d-81e7-4166-b6f1-f24eaab5d3c6</errorID>
      <errorWord>(</errorWord>
      <group>L1_Format</group>
      <groupName>格式问题</groupName>
      <ability>L2_HalfPunc_CN</ability>
      <abilityName>全半角问题</abilityName>
      <candidateList>
        <item>（</item>
      </candidateList>
      <explain>文本全半角错误。</explain>
      <paraID>1DBC91F5</paraID>
      <start>15</start>
      <end>16</end>
      <status>unmodified</status>
      <modifiedWord/>
      <trackRevisions>false</trackRevisions>
    </reviewItem>
    <reviewItem>
      <errorID>149fa0e3-490d-40b9-bcf0-5acb1366f7e0</errorID>
      <errorWord>)</errorWord>
      <group>L1_Format</group>
      <groupName>格式问题</groupName>
      <ability>L2_HalfPunc_CN</ability>
      <abilityName>全半角问题</abilityName>
      <candidateList>
        <item>）</item>
      </candidateList>
      <explain>文本全半角错误。</explain>
      <paraID>1DBC91F5</paraID>
      <start>29</start>
      <end>30</end>
      <status>unmodified</status>
      <modifiedWord/>
      <trackRevisions>false</trackRevisions>
    </reviewItem>
    <reviewItem>
      <errorID>c0544962-3c74-4680-83af-45f51105e685</errorID>
      <errorWord>(</errorWord>
      <group>L1_Format</group>
      <groupName>格式问题</groupName>
      <ability>L2_HalfPunc_CN</ability>
      <abilityName>全半角问题</abilityName>
      <candidateList>
        <item>（</item>
      </candidateList>
      <explain>文本全半角错误。</explain>
      <paraID>553EFC2F</paraID>
      <start>26</start>
      <end>27</end>
      <status>unmodified</status>
      <modifiedWord/>
      <trackRevisions>false</trackRevisions>
    </reviewItem>
    <reviewItem>
      <errorID>9a91d4cd-6160-4079-b44c-bfd978a847b7</errorID>
      <errorWord>)</errorWord>
      <group>L1_Format</group>
      <groupName>格式问题</groupName>
      <ability>L2_HalfPunc_CN</ability>
      <abilityName>全半角问题</abilityName>
      <candidateList>
        <item>）</item>
      </candidateList>
      <explain>文本全半角错误。</explain>
      <paraID>553EFC2F</paraID>
      <start>49</start>
      <end>50</end>
      <status>unmodified</status>
      <modifiedWord/>
      <trackRevisions>false</trackRevisions>
    </reviewItem>
    <reviewItem>
      <errorID>e2539baf-b012-433a-8697-2b3cce4ab104</errorID>
      <errorWord>工地</errorWord>
      <group>L1_Word</group>
      <groupName>字词问题</groupName>
      <ability>L2_Typo</ability>
      <abilityName>字词错误</abilityName>
      <candidateList>
        <item>场地</item>
      </candidateList>
      <explain/>
      <paraID>50102145</paraID>
      <start>3</start>
      <end>5</end>
      <status>unmodified</status>
      <modifiedWord/>
      <trackRevisions>false</trackRevisions>
    </reviewItem>
    <reviewItem>
      <errorID>4103c6bb-9b27-45c8-b30c-22e5535c920b</errorID>
      <errorWord>：</errorWord>
      <group>L1_Format</group>
      <groupName>格式问题</groupName>
      <ability>L2_HalfPunc_CN</ability>
      <abilityName>全半角问题</abilityName>
      <candidateList>
        <item>:</item>
      </candidateList>
      <explain>文本全半角错误。</explain>
      <paraID> 4F83BC8</paraID>
      <start>46</start>
      <end>47</end>
      <status>unmodified</status>
      <modifiedWord/>
      <trackRevisions>false</trackRevisions>
    </reviewItem>
    <reviewItem>
      <errorID>e10bfc66-6efb-4ae8-84d3-f27fc2d480d4</errorID>
      <errorWord>：</errorWord>
      <group>L1_Format</group>
      <groupName>格式问题</groupName>
      <ability>L2_HalfPunc_CN</ability>
      <abilityName>全半角问题</abilityName>
      <candidateList>
        <item>:</item>
      </candidateList>
      <explain>文本全半角错误。</explain>
      <paraID> 4F83BC8</paraID>
      <start>52</start>
      <end>53</end>
      <status>unmodified</status>
      <modifiedWord/>
      <trackRevisions>false</trackRevisions>
    </reviewItem>
    <reviewItem>
      <errorID>0d003328-785a-4a8f-86c7-8f943f1d3096</errorID>
      <errorWord>：</errorWord>
      <group>L1_Format</group>
      <groupName>格式问题</groupName>
      <ability>L2_HalfPunc_CN</ability>
      <abilityName>全半角问题</abilityName>
      <candidateList>
        <item>:</item>
      </candidateList>
      <explain>文本全半角错误。</explain>
      <paraID> 4F83BC8</paraID>
      <start>58</start>
      <end>59</end>
      <status>unmodified</status>
      <modifiedWord/>
      <trackRevisions>false</trackRevisions>
    </reviewItem>
    <reviewItem>
      <errorID>e233a2fa-94ea-4e57-bbf8-f259c4a01357</errorID>
      <errorWord>：</errorWord>
      <group>L1_Format</group>
      <groupName>格式问题</groupName>
      <ability>L2_HalfPunc_CN</ability>
      <abilityName>全半角问题</abilityName>
      <candidateList>
        <item>:</item>
      </candidateList>
      <explain>文本全半角错误。</explain>
      <paraID> 4F83BC8</paraID>
      <start>64</start>
      <end>65</end>
      <status>unmodified</status>
      <modifiedWord/>
      <trackRevisions>false</trackRevisions>
    </reviewItem>
    <reviewItem>
      <errorID>872c438f-faab-4888-a8bf-5b28e6937a60</errorID>
      <errorWord>：</errorWord>
      <group>L1_Format</group>
      <groupName>格式问题</groupName>
      <ability>L2_HalfPunc_CN</ability>
      <abilityName>全半角问题</abilityName>
      <candidateList>
        <item>:</item>
      </candidateList>
      <explain>文本全半角错误。</explain>
      <paraID> 4F83BC8</paraID>
      <start>127</start>
      <end>128</end>
      <status>unmodified</status>
      <modifiedWord/>
      <trackRevisions>false</trackRevisions>
    </reviewItem>
    <reviewItem>
      <errorID>c6051465-f5df-4f42-922c-070cf374470d</errorID>
      <errorWord>：</errorWord>
      <group>L1_Format</group>
      <groupName>格式问题</groupName>
      <ability>L2_HalfPunc_CN</ability>
      <abilityName>全半角问题</abilityName>
      <candidateList>
        <item>:</item>
      </candidateList>
      <explain>文本全半角错误。</explain>
      <paraID> 4F83BC8</paraID>
      <start>133</start>
      <end>134</end>
      <status>unmodified</status>
      <modifiedWord/>
      <trackRevisions>false</trackRevisions>
    </reviewItem>
    <reviewItem>
      <errorID>8b319c27-6c50-4b21-949a-94395976cc0d</errorID>
      <errorWord>：</errorWord>
      <group>L1_Format</group>
      <groupName>格式问题</groupName>
      <ability>L2_HalfPunc_CN</ability>
      <abilityName>全半角问题</abilityName>
      <candidateList>
        <item>:</item>
      </candidateList>
      <explain>文本全半角错误。</explain>
      <paraID> 4F83BC8</paraID>
      <start>139</start>
      <end>140</end>
      <status>unmodified</status>
      <modifiedWord/>
      <trackRevisions>false</trackRevisions>
    </reviewItem>
    <reviewItem>
      <errorID>c3d7c3e4-b735-42e1-a0e8-6818d8171213</errorID>
      <errorWord>：</errorWord>
      <group>L1_Format</group>
      <groupName>格式问题</groupName>
      <ability>L2_HalfPunc_CN</ability>
      <abilityName>全半角问题</abilityName>
      <candidateList>
        <item>:</item>
      </candidateList>
      <explain>文本全半角错误。</explain>
      <paraID> 4F83BC8</paraID>
      <start>144</start>
      <end>145</end>
      <status>unmodified</status>
      <modifiedWord/>
      <trackRevisions>false</trackRevisions>
    </reviewItem>
    <reviewItem>
      <errorID>beef0cf8-8952-47fa-9089-6d1b0bae35e7</errorID>
      <errorWord>；</errorWord>
      <group>L1_Word</group>
      <groupName>字词问题</groupName>
      <ability>L2_Typo</ability>
      <abilityName>字词错误</abilityName>
      <candidateList>
        <item>；在</item>
      </candidateList>
      <explain/>
      <paraID>3D8398FD</paraID>
      <start>111</start>
      <end>112</end>
      <status>unmodified</status>
      <modifiedWord/>
      <trackRevisions>false</trackRevisions>
    </reviewItem>
    <reviewItem>
      <errorID>35dd1cd6-b7fb-4b8b-806c-4675598efeab</errorID>
      <errorWord>须</errorWord>
      <group>L1_Word</group>
      <groupName>字词问题</groupName>
      <ability>L2_Typo</ability>
      <abilityName>字词错误</abilityName>
      <candidateList>
        <item>需</item>
      </candidateList>
      <explain>存在发音相同字词的误用。</explain>
      <paraID>5CEA06E6</paraID>
      <start>28</start>
      <end>29</end>
      <status>unmodified</status>
      <modifiedWord/>
      <trackRevisions>false</trackRevisions>
    </reviewItem>
    <reviewItem>
      <errorID>5b2f4ad0-2892-4c9a-adf8-0c4bf6cb581c</errorID>
      <errorWord>(</errorWord>
      <group>L1_Format</group>
      <groupName>格式问题</groupName>
      <ability>L2_HalfPunc_CN</ability>
      <abilityName>全半角问题</abilityName>
      <candidateList>
        <item>（</item>
      </candidateList>
      <explain>文本全半角错误。</explain>
      <paraID>4626993D</paraID>
      <start>55</start>
      <end>56</end>
      <status>unmodified</status>
      <modifiedWord/>
      <trackRevisions>false</trackRevisions>
    </reviewItem>
    <reviewItem>
      <errorID>28a20771-9204-4926-ad3c-12f76997e141</errorID>
      <errorWord>)</errorWord>
      <group>L1_Format</group>
      <groupName>格式问题</groupName>
      <ability>L2_HalfPunc_CN</ability>
      <abilityName>全半角问题</abilityName>
      <candidateList>
        <item>）</item>
      </candidateList>
      <explain>文本全半角错误。</explain>
      <paraID>4626993D</paraID>
      <start>59</start>
      <end>60</end>
      <status>unmodified</status>
      <modifiedWord/>
      <trackRevisions>false</trackRevisions>
    </reviewItem>
    <reviewItem>
      <errorID>531fa798-4917-4884-ae2f-a5daa69a91f2</errorID>
      <errorWord>~</errorWord>
      <group>L1_Format</group>
      <groupName>格式问题</groupName>
      <ability>L2_HalfPunc_CN</ability>
      <abilityName>全半角问题</abilityName>
      <candidateList>
        <item>～</item>
      </candidateList>
      <explain>文本全半角错误。</explain>
      <paraID>21F8040C</paraID>
      <start>61</start>
      <end>62</end>
      <status>unmodified</status>
      <modifiedWord/>
      <trackRevisions>false</trackRevisions>
    </reviewItem>
    <reviewItem>
      <errorID>823960e4-d2dc-469e-aae7-6d67b8e65c1c</errorID>
      <errorWord>(</errorWord>
      <group>L1_Format</group>
      <groupName>格式问题</groupName>
      <ability>L2_HalfPunc_CN</ability>
      <abilityName>全半角问题</abilityName>
      <candidateList>
        <item>（</item>
      </candidateList>
      <explain>文本全半角错误。</explain>
      <paraID>2C560ECB</paraID>
      <start>11</start>
      <end>12</end>
      <status>unmodified</status>
      <modifiedWord/>
      <trackRevisions>false</trackRevisions>
    </reviewItem>
    <reviewItem>
      <errorID>f228b444-7464-4ce7-83bc-c6d8ea572a3f</errorID>
      <errorWord>)</errorWord>
      <group>L1_Format</group>
      <groupName>格式问题</groupName>
      <ability>L2_HalfPunc_CN</ability>
      <abilityName>全半角问题</abilityName>
      <candidateList>
        <item>）</item>
      </candidateList>
      <explain>文本全半角错误。</explain>
      <paraID>2C560ECB</paraID>
      <start>22</start>
      <end>23</end>
      <status>unmodified</status>
      <modifiedWord/>
      <trackRevisions>false</trackRevisions>
    </reviewItem>
    <reviewItem>
      <errorID>e5a238fc-f1f9-4b41-b7f8-f82a36acf250</errorID>
      <errorWord>(</errorWord>
      <group>L1_Format</group>
      <groupName>格式问题</groupName>
      <ability>L2_HalfPunc_CN</ability>
      <abilityName>全半角问题</abilityName>
      <candidateList>
        <item>（</item>
      </candidateList>
      <explain>文本全半角错误。</explain>
      <paraID>6AF3B8D0</paraID>
      <start>11</start>
      <end>12</end>
      <status>unmodified</status>
      <modifiedWord/>
      <trackRevisions>false</trackRevisions>
    </reviewItem>
    <reviewItem>
      <errorID>c7311e4f-2ce8-40ee-9867-d0dd2f12e0ff</errorID>
      <errorWord>)</errorWord>
      <group>L1_Format</group>
      <groupName>格式问题</groupName>
      <ability>L2_HalfPunc_CN</ability>
      <abilityName>全半角问题</abilityName>
      <candidateList>
        <item>）</item>
      </candidateList>
      <explain>文本全半角错误。</explain>
      <paraID>6AF3B8D0</paraID>
      <start>22</start>
      <end>23</end>
      <status>unmodified</status>
      <modifiedWord/>
      <trackRevisions>false</trackRevisions>
    </reviewItem>
    <reviewItem>
      <errorID>5c96f6b7-d03b-48f7-aacb-e299fe5b0810</errorID>
      <errorWord>(</errorWord>
      <group>L1_Format</group>
      <groupName>格式问题</groupName>
      <ability>L2_HalfPunc_CN</ability>
      <abilityName>全半角问题</abilityName>
      <candidateList>
        <item>（</item>
      </candidateList>
      <explain>文本全半角错误。</explain>
      <paraID>681F85B2</paraID>
      <start>23</start>
      <end>24</end>
      <status>unmodified</status>
      <modifiedWord/>
      <trackRevisions>false</trackRevisions>
    </reviewItem>
    <reviewItem>
      <errorID>3b2b8869-573c-4db5-ae56-6147a6d2c01a</errorID>
      <errorWord>)</errorWord>
      <group>L1_Format</group>
      <groupName>格式问题</groupName>
      <ability>L2_HalfPunc_CN</ability>
      <abilityName>全半角问题</abilityName>
      <candidateList>
        <item>）</item>
      </candidateList>
      <explain>文本全半角错误。</explain>
      <paraID>681F85B2</paraID>
      <start>35</start>
      <end>36</end>
      <status>unmodified</status>
      <modifiedWord/>
      <trackRevisions>false</trackRevisions>
    </reviewItem>
    <reviewItem>
      <errorID>bdc84beb-e9af-47df-b030-2b1f6f9b01f5</errorID>
      <errorWord>也</errorWord>
      <group>L1_Word</group>
      <groupName>字词问题</groupName>
      <ability>L2_Typo</ability>
      <abilityName>字词错误</abilityName>
      <candidateList>
        <item>也是</item>
      </candidateList>
      <explain/>
      <paraID> AC8780B</paraID>
      <start>108</start>
      <end>109</end>
      <status>unmodified</status>
      <modifiedWord/>
      <trackRevisions>false</trackRevisions>
    </reviewItem>
    <reviewItem>
      <errorID>e2e18777-2206-43a1-8820-7bd5b7829961</errorID>
      <errorWord>食欲不振</errorWord>
      <group>L1_Knowledge</group>
      <groupName>知识性问题</groupName>
      <ability>L2_Term</ability>
      <abilityName>专业术语</abilityName>
      <candidateList>
        <item>食欲缺乏</item>
      </candidateList>
      <explain>医学名词[食欲不振]为不规范表述或旧称，其规范书面表述为[食欲缺乏]。</explain>
      <paraID>3ABDCC28</paraID>
      <start>32</start>
      <end>36</end>
      <status>unmodified</status>
      <modifiedWord/>
      <trackRevisions>false</trackRevisions>
    </reviewItem>
    <reviewItem>
      <errorID>4f9d68ab-e9f8-470a-bd6b-cd6938875730</errorID>
      <errorWord>％</errorWord>
      <group>L1_Format</group>
      <groupName>格式问题</groupName>
      <ability>L2_HalfPunc_CN</ability>
      <abilityName>全半角问题</abilityName>
      <candidateList>
        <item>%</item>
      </candidateList>
      <explain>文本全半角错误。</explain>
      <paraID> 83CB725</paraID>
      <start>2</start>
      <end>3</end>
      <status>unmodified</status>
      <modifiedWord/>
      <trackRevisions>false</trackRevisions>
    </reviewItem>
    <reviewItem>
      <errorID>4bd0fba7-0620-42f7-a241-6ac1e5d953cb</errorID>
      <errorWord>-</errorWord>
      <group>L1_Format</group>
      <groupName>格式问题</groupName>
      <ability>L2_HalfPunc_CN</ability>
      <abilityName>全半角问题</abilityName>
      <candidateList>
        <item>－</item>
      </candidateList>
      <explain>文本全半角错误。</explain>
      <paraID> 74D2F96</paraID>
      <start>33</start>
      <end>34</end>
      <status>unmodified</status>
      <modifiedWord/>
      <trackRevisions>false</trackRevisions>
    </reviewItem>
    <reviewItem>
      <errorID>71d1e63e-1b1b-4002-9d8e-5ef223092097</errorID>
      <errorWord>(</errorWord>
      <group>L1_Format</group>
      <groupName>格式问题</groupName>
      <ability>L2_HalfPunc_CN</ability>
      <abilityName>全半角问题</abilityName>
      <candidateList>
        <item>（</item>
      </candidateList>
      <explain>文本全半角错误。</explain>
      <paraID> 74D2F96</paraID>
      <start>37</start>
      <end>38</end>
      <status>unmodified</status>
      <modifiedWord/>
      <trackRevisions>false</trackRevisions>
    </reviewItem>
    <reviewItem>
      <errorID>dea490d7-eb2a-43ad-a0a0-fcf4ab84a6fa</errorID>
      <errorWord>)</errorWord>
      <group>L1_Format</group>
      <groupName>格式问题</groupName>
      <ability>L2_HalfPunc_CN</ability>
      <abilityName>全半角问题</abilityName>
      <candidateList>
        <item>）</item>
      </candidateList>
      <explain>文本全半角错误。</explain>
      <paraID> 74D2F96</paraID>
      <start>48</start>
      <end>49</end>
      <status>unmodified</status>
      <modifiedWord/>
      <trackRevisions>false</trackRevisions>
    </reviewItem>
    <reviewItem>
      <errorID>28a711f2-bbc9-4734-9dcd-ef21d49ef9f6</errorID>
      <errorWord>(</errorWord>
      <group>L1_Format</group>
      <groupName>格式问题</groupName>
      <ability>L2_HalfPunc_CN</ability>
      <abilityName>全半角问题</abilityName>
      <candidateList>
        <item>（</item>
      </candidateList>
      <explain>文本全半角错误。</explain>
      <paraID> 74D2F96</paraID>
      <start>71</start>
      <end>72</end>
      <status>unmodified</status>
      <modifiedWord/>
      <trackRevisions>false</trackRevisions>
    </reviewItem>
    <reviewItem>
      <errorID>ff6000d6-91d8-4140-8001-0d3e472c7b6f</errorID>
      <errorWord>)</errorWord>
      <group>L1_Format</group>
      <groupName>格式问题</groupName>
      <ability>L2_HalfPunc_CN</ability>
      <abilityName>全半角问题</abilityName>
      <candidateList>
        <item>）</item>
      </candidateList>
      <explain>文本全半角错误。</explain>
      <paraID> 74D2F96</paraID>
      <start>83</start>
      <end>84</end>
      <status>unmodified</status>
      <modifiedWord/>
      <trackRevisions>false</trackRevisions>
    </reviewItem>
    <reviewItem>
      <errorID>94908d82-9f39-4608-adc6-5f13373cc0ac</errorID>
      <errorWord>(</errorWord>
      <group>L1_Format</group>
      <groupName>格式问题</groupName>
      <ability>L2_HalfPunc_CN</ability>
      <abilityName>全半角问题</abilityName>
      <candidateList>
        <item>（</item>
      </candidateList>
      <explain>文本全半角错误。</explain>
      <paraID> 233E604</paraID>
      <start>125</start>
      <end>126</end>
      <status>unmodified</status>
      <modifiedWord/>
      <trackRevisions>false</trackRevisions>
    </reviewItem>
    <reviewItem>
      <errorID>eaffb173-cb42-4aff-9e43-4cea61d50d2b</errorID>
      <errorWord>)</errorWord>
      <group>L1_Format</group>
      <groupName>格式问题</groupName>
      <ability>L2_HalfPunc_CN</ability>
      <abilityName>全半角问题</abilityName>
      <candidateList>
        <item>）</item>
      </candidateList>
      <explain>文本全半角错误。</explain>
      <paraID> 233E604</paraID>
      <start>138</start>
      <end>139</end>
      <status>unmodified</status>
      <modifiedWord/>
      <trackRevisions>false</trackRevisions>
    </reviewItem>
    <reviewItem>
      <errorID>3aa03a56-2dc2-4591-8b3f-332c52001735</errorID>
      <errorWord>(</errorWord>
      <group>L1_Format</group>
      <groupName>格式问题</groupName>
      <ability>L2_HalfPunc_CN</ability>
      <abilityName>全半角问题</abilityName>
      <candidateList>
        <item>（</item>
      </candidateList>
      <explain>文本全半角错误。</explain>
      <paraID> 233E604</paraID>
      <start>224</start>
      <end>225</end>
      <status>unmodified</status>
      <modifiedWord/>
      <trackRevisions>false</trackRevisions>
    </reviewItem>
    <reviewItem>
      <errorID>8e201a77-f022-445e-b1ec-dd52f1a1fa8a</errorID>
      <errorWord>)</errorWord>
      <group>L1_Format</group>
      <groupName>格式问题</groupName>
      <ability>L2_HalfPunc_CN</ability>
      <abilityName>全半角问题</abilityName>
      <candidateList>
        <item>）</item>
      </candidateList>
      <explain>文本全半角错误。</explain>
      <paraID> 233E604</paraID>
      <start>235</start>
      <end>236</end>
      <status>unmodified</status>
      <modifiedWord/>
      <trackRevisions>false</trackRevisions>
    </reviewItem>
    <reviewItem>
      <errorID>056286dc-d2d8-4a39-bdd0-b87c820f09be</errorID>
      <errorWord>(</errorWord>
      <group>L1_Format</group>
      <groupName>格式问题</groupName>
      <ability>L2_HalfPunc_CN</ability>
      <abilityName>全半角问题</abilityName>
      <candidateList>
        <item>（</item>
      </candidateList>
      <explain>文本全半角错误。</explain>
      <paraID> 233E604</paraID>
      <start>302</start>
      <end>303</end>
      <status>unmodified</status>
      <modifiedWord/>
      <trackRevisions>false</trackRevisions>
    </reviewItem>
    <reviewItem>
      <errorID>4ca5a8de-f293-4b10-ac64-aabf9972141e</errorID>
      <errorWord>)</errorWord>
      <group>L1_Format</group>
      <groupName>格式问题</groupName>
      <ability>L2_HalfPunc_CN</ability>
      <abilityName>全半角问题</abilityName>
      <candidateList>
        <item>）</item>
      </candidateList>
      <explain>文本全半角错误。</explain>
      <paraID> 233E604</paraID>
      <start>313</start>
      <end>314</end>
      <status>unmodified</status>
      <modifiedWord/>
      <trackRevisions>false</trackRevisions>
    </reviewItem>
    <reviewItem>
      <errorID>21c8b2dc-f6fc-4140-bd59-dfe9e1c8abc5</errorID>
      <errorWord>(</errorWord>
      <group>L1_Format</group>
      <groupName>格式问题</groupName>
      <ability>L2_HalfPunc_CN</ability>
      <abilityName>全半角问题</abilityName>
      <candidateList>
        <item>（</item>
      </candidateList>
      <explain>文本全半角错误。</explain>
      <paraID> 233E604</paraID>
      <start>353</start>
      <end>354</end>
      <status>unmodified</status>
      <modifiedWord/>
      <trackRevisions>false</trackRevisions>
    </reviewItem>
    <reviewItem>
      <errorID>8edd98ae-466e-40be-959a-8aa701c1ffea</errorID>
      <errorWord>)</errorWord>
      <group>L1_Format</group>
      <groupName>格式问题</groupName>
      <ability>L2_HalfPunc_CN</ability>
      <abilityName>全半角问题</abilityName>
      <candidateList>
        <item>）</item>
      </candidateList>
      <explain>文本全半角错误。</explain>
      <paraID> 233E604</paraID>
      <start>364</start>
      <end>365</end>
      <status>unmodified</status>
      <modifiedWord/>
      <trackRevisions>false</trackRevisions>
    </reviewItem>
    <reviewItem>
      <errorID>270a662f-7c4d-4502-a3cb-aedd6132e8ee</errorID>
      <errorWord>位</errorWord>
      <group>L1_Word</group>
      <groupName>字词问题</groupName>
      <ability>L2_Typo</ability>
      <abilityName>字词错误</abilityName>
      <candidateList>
        <item>位在</item>
      </candidateList>
      <explain/>
      <paraID>1C0BE951</paraID>
      <start>3</start>
      <end>4</end>
      <status>unmodified</status>
      <modifiedWord/>
      <trackRevisions>false</trackRevisions>
    </reviewItem>
    <reviewItem>
      <errorID>c4258b60-0c1e-4615-8e26-7a89d34601db</errorID>
      <errorWord>(</errorWord>
      <group>L1_Format</group>
      <groupName>格式问题</groupName>
      <ability>L2_HalfPunc_CN</ability>
      <abilityName>全半角问题</abilityName>
      <candidateList>
        <item>（</item>
      </candidateList>
      <explain>文本全半角错误。</explain>
      <paraID>11395309</paraID>
      <start>16</start>
      <end>17</end>
      <status>unmodified</status>
      <modifiedWord/>
      <trackRevisions>false</trackRevisions>
    </reviewItem>
    <reviewItem>
      <errorID>90e66414-71e1-4d22-9e0a-93b3ddcd6388</errorID>
      <errorWord>)</errorWord>
      <group>L1_Format</group>
      <groupName>格式问题</groupName>
      <ability>L2_HalfPunc_CN</ability>
      <abilityName>全半角问题</abilityName>
      <candidateList>
        <item>）</item>
      </candidateList>
      <explain>文本全半角错误。</explain>
      <paraID>11395309</paraID>
      <start>28</start>
      <end>29</end>
      <status>unmodified</status>
      <modifiedWord/>
      <trackRevisions>false</trackRevisions>
    </reviewItem>
    <reviewItem>
      <errorID>4c2925eb-89b5-4e0e-9e8b-006d39adec91</errorID>
      <errorWord>(</errorWord>
      <group>L1_Format</group>
      <groupName>格式问题</groupName>
      <ability>L2_HalfPunc_CN</ability>
      <abilityName>全半角问题</abilityName>
      <candidateList>
        <item>（</item>
      </candidateList>
      <explain>文本全半角错误。</explain>
      <paraID>11395309</paraID>
      <start>134</start>
      <end>135</end>
      <status>unmodified</status>
      <modifiedWord/>
      <trackRevisions>false</trackRevisions>
    </reviewItem>
    <reviewItem>
      <errorID>b983de49-78d8-4b62-92b1-003787379435</errorID>
      <errorWord>)</errorWord>
      <group>L1_Format</group>
      <groupName>格式问题</groupName>
      <ability>L2_HalfPunc_CN</ability>
      <abilityName>全半角问题</abilityName>
      <candidateList>
        <item>）</item>
      </candidateList>
      <explain>文本全半角错误。</explain>
      <paraID>11395309</paraID>
      <start>146</start>
      <end>147</end>
      <status>unmodified</status>
      <modifiedWord/>
      <trackRevisions>false</trackRevisions>
    </reviewItem>
    <reviewItem>
      <errorID>013272e9-f00a-47ea-91e7-d69dc67a4de4</errorID>
      <errorWord>~</errorWord>
      <group>L1_Format</group>
      <groupName>格式问题</groupName>
      <ability>L2_HalfPunc_CN</ability>
      <abilityName>全半角问题</abilityName>
      <candidateList>
        <item>～</item>
      </candidateList>
      <explain>文本全半角错误。</explain>
      <paraID>34F8CFF9</paraID>
      <start>47</start>
      <end>48</end>
      <status>unmodified</status>
      <modifiedWord/>
      <trackRevisions>false</trackRevisions>
    </reviewItem>
    <reviewItem>
      <errorID>da3a25ad-36e5-4231-b9a3-d66e591fddfe</errorID>
      <errorWord>)</errorWord>
      <group>L1_Format</group>
      <groupName>格式问题</groupName>
      <ability>L2_HalfPunc_CN</ability>
      <abilityName>全半角问题</abilityName>
      <candidateList>
        <item>）</item>
      </candidateList>
      <explain>文本全半角错误。</explain>
      <paraID>34F8CFF9</paraID>
      <start>159</start>
      <end>160</end>
      <status>unmodified</status>
      <modifiedWord/>
      <trackRevisions>false</trackRevisions>
    </reviewItem>
    <reviewItem>
      <errorID>98983905-5026-411e-baff-ba340d3d0d58</errorID>
      <errorWord>(</errorWord>
      <group>L1_Format</group>
      <groupName>格式问题</groupName>
      <ability>L2_HalfPunc_CN</ability>
      <abilityName>全半角问题</abilityName>
      <candidateList>
        <item>（</item>
      </candidateList>
      <explain>文本全半角错误。</explain>
      <paraID>344456BC</paraID>
      <start>16</start>
      <end>17</end>
      <status>unmodified</status>
      <modifiedWord/>
      <trackRevisions>false</trackRevisions>
    </reviewItem>
    <reviewItem>
      <errorID>790230c1-ba09-4f2d-bc53-88faaa3565f9</errorID>
      <errorWord>)</errorWord>
      <group>L1_Format</group>
      <groupName>格式问题</groupName>
      <ability>L2_HalfPunc_CN</ability>
      <abilityName>全半角问题</abilityName>
      <candidateList>
        <item>）</item>
      </candidateList>
      <explain>文本全半角错误。</explain>
      <paraID>344456BC</paraID>
      <start>28</start>
      <end>29</end>
      <status>unmodified</status>
      <modifiedWord/>
      <trackRevisions>false</trackRevisions>
    </reviewItem>
    <reviewItem>
      <errorID>dd93fd9b-759f-441d-a8dd-50120c48f975</errorID>
      <errorWord>(</errorWord>
      <group>L1_Format</group>
      <groupName>格式问题</groupName>
      <ability>L2_HalfPunc_CN</ability>
      <abilityName>全半角问题</abilityName>
      <candidateList>
        <item>（</item>
      </candidateList>
      <explain>文本全半角错误。</explain>
      <paraID>344456BC</paraID>
      <start>140</start>
      <end>141</end>
      <status>unmodified</status>
      <modifiedWord/>
      <trackRevisions>false</trackRevisions>
    </reviewItem>
    <reviewItem>
      <errorID>c430e0f6-a08b-402d-9dc4-e53fb2a74e45</errorID>
      <errorWord>)</errorWord>
      <group>L1_Format</group>
      <groupName>格式问题</groupName>
      <ability>L2_HalfPunc_CN</ability>
      <abilityName>全半角问题</abilityName>
      <candidateList>
        <item>）</item>
      </candidateList>
      <explain>文本全半角错误。</explain>
      <paraID>344456BC</paraID>
      <start>152</start>
      <end>153</end>
      <status>unmodified</status>
      <modifiedWord/>
      <trackRevisions>false</trackRevisions>
    </reviewItem>
    <reviewItem>
      <errorID>059818e6-f83c-4afa-9472-223cd14adc10</errorID>
      <errorWord>(</errorWord>
      <group>L1_Format</group>
      <groupName>格式问题</groupName>
      <ability>L2_HalfPunc_CN</ability>
      <abilityName>全半角问题</abilityName>
      <candidateList>
        <item>（</item>
      </candidateList>
      <explain>文本全半角错误。</explain>
      <paraID>75CB7B0B</paraID>
      <start>123</start>
      <end>124</end>
      <status>unmodified</status>
      <modifiedWord/>
      <trackRevisions>false</trackRevisions>
    </reviewItem>
    <reviewItem>
      <errorID>8d9ff9bc-357c-474a-b045-bed22209b8eb</errorID>
      <errorWord>)</errorWord>
      <group>L1_Format</group>
      <groupName>格式问题</groupName>
      <ability>L2_HalfPunc_CN</ability>
      <abilityName>全半角问题</abilityName>
      <candidateList>
        <item>）</item>
      </candidateList>
      <explain>文本全半角错误。</explain>
      <paraID>75CB7B0B</paraID>
      <start>136</start>
      <end>137</end>
      <status>unmodified</status>
      <modifiedWord/>
      <trackRevisions>false</trackRevisions>
    </reviewItem>
    <reviewItem>
      <errorID>1b1725ec-b7ba-4f9e-841e-6e3fb71bd735</errorID>
      <errorWord>)</errorWord>
      <group>L1_Format</group>
      <groupName>格式问题</groupName>
      <ability>L2_HalfPunc_CN</ability>
      <abilityName>全半角问题</abilityName>
      <candidateList>
        <item>）</item>
      </candidateList>
      <explain>文本全半角错误。</explain>
      <paraID>75CB7B0B</paraID>
      <start>235</start>
      <end>236</end>
      <status>unmodified</status>
      <modifiedWord/>
      <trackRevisions>false</trackRevisions>
    </reviewItem>
    <reviewItem>
      <errorID>01281597-f7f1-4008-b0a6-2e2c02c2accb</errorID>
      <errorWord>)</errorWord>
      <group>L1_Format</group>
      <groupName>格式问题</groupName>
      <ability>L2_HalfPunc_CN</ability>
      <abilityName>全半角问题</abilityName>
      <candidateList>
        <item>）</item>
      </candidateList>
      <explain>文本全半角错误。</explain>
      <paraID>75CB7B0B</paraID>
      <start>271</start>
      <end>272</end>
      <status>unmodified</status>
      <modifiedWord/>
      <trackRevisions>false</trackRevisions>
    </reviewItem>
    <reviewItem>
      <errorID>b4bd54d8-642e-4cd6-8854-160101f84fdf</errorID>
      <errorWord>(</errorWord>
      <group>L1_Format</group>
      <groupName>格式问题</groupName>
      <ability>L2_HalfPunc_CN</ability>
      <abilityName>全半角问题</abilityName>
      <candidateList>
        <item>（</item>
      </candidateList>
      <explain>文本全半角错误。</explain>
      <paraID>73424C6D</paraID>
      <start>132</start>
      <end>133</end>
      <status>unmodified</status>
      <modifiedWord/>
      <trackRevisions>false</trackRevisions>
    </reviewItem>
    <reviewItem>
      <errorID>2ade85fe-fcf8-47db-91dd-bdaf958d33da</errorID>
      <errorWord>)</errorWord>
      <group>L1_Format</group>
      <groupName>格式问题</groupName>
      <ability>L2_HalfPunc_CN</ability>
      <abilityName>全半角问题</abilityName>
      <candidateList>
        <item>）</item>
      </candidateList>
      <explain>文本全半角错误。</explain>
      <paraID>73424C6D</paraID>
      <start>144</start>
      <end>145</end>
      <status>unmodified</status>
      <modifiedWord/>
      <trackRevisions>false</trackRevisions>
    </reviewItem>
    <reviewItem>
      <errorID>1ebe9d62-b798-4ad6-b32f-5584a8634e62</errorID>
      <errorWord>(</errorWord>
      <group>L1_Format</group>
      <groupName>格式问题</groupName>
      <ability>L2_HalfPunc_CN</ability>
      <abilityName>全半角问题</abilityName>
      <candidateList>
        <item>（</item>
      </candidateList>
      <explain>文本全半角错误。</explain>
      <paraID>73424C6D</paraID>
      <start>256</start>
      <end>257</end>
      <status>unmodified</status>
      <modifiedWord/>
      <trackRevisions>false</trackRevisions>
    </reviewItem>
    <reviewItem>
      <errorID>e4d82598-bfea-46d0-8292-b7cf418512d2</errorID>
      <errorWord>)</errorWord>
      <group>L1_Format</group>
      <groupName>格式问题</groupName>
      <ability>L2_HalfPunc_CN</ability>
      <abilityName>全半角问题</abilityName>
      <candidateList>
        <item>）</item>
      </candidateList>
      <explain>文本全半角错误。</explain>
      <paraID>73424C6D</paraID>
      <start>268</start>
      <end>269</end>
      <status>unmodified</status>
      <modifiedWord/>
      <trackRevisions>false</trackRevisions>
    </reviewItem>
    <reviewItem>
      <errorID>9ceb213f-efce-4646-844e-7691792001dc</errorID>
      <errorWord>~</errorWord>
      <group>L1_Format</group>
      <groupName>格式问题</groupName>
      <ability>L2_HalfPunc_CN</ability>
      <abilityName>全半角问题</abilityName>
      <candidateList>
        <item>～</item>
      </candidateList>
      <explain>文本全半角错误。</explain>
      <paraID>6C076BCE</paraID>
      <start>52</start>
      <end>53</end>
      <status>unmodified</status>
      <modifiedWord/>
      <trackRevisions>false</trackRevisions>
    </reviewItem>
    <reviewItem>
      <errorID>9c0dcc06-618f-404f-9791-dcdd2fa0edcc</errorID>
      <errorWord>为共</errorWord>
      <group>L1_Word</group>
      <groupName>字词问题</groupName>
      <ability>L2_Typo</ability>
      <abilityName>字词错误</abilityName>
      <candidateList>
        <item>为</item>
      </candidateList>
      <explain/>
      <paraID>3E68B1D2</paraID>
      <start>48</start>
      <end>50</end>
      <status>unmodified</status>
      <modifiedWord/>
      <trackRevisions>false</trackRevisions>
    </reviewItem>
    <reviewItem>
      <errorID>507768c9-db20-4d79-ba8b-f32122fcb101</errorID>
      <errorWord>~</errorWord>
      <group>L1_Format</group>
      <groupName>格式问题</groupName>
      <ability>L2_HalfPunc_CN</ability>
      <abilityName>全半角问题</abilityName>
      <candidateList>
        <item>～</item>
      </candidateList>
      <explain>文本全半角错误。</explain>
      <paraID>3E68B1D2</paraID>
      <start>127</start>
      <end>128</end>
      <status>unmodified</status>
      <modifiedWord/>
      <trackRevisions>false</trackRevisions>
    </reviewItem>
    <reviewItem>
      <errorID>8d8f9ba0-a209-4b3c-833a-d5d0b3f07880</errorID>
      <errorWord>-</errorWord>
      <group>L1_Format</group>
      <groupName>格式问题</groupName>
      <ability>L2_HalfPunc_CN</ability>
      <abilityName>全半角问题</abilityName>
      <candidateList>
        <item>－</item>
      </candidateList>
      <explain>文本全半角错误。</explain>
      <paraID>4D6A7B3B</paraID>
      <start>77</start>
      <end>78</end>
      <status>unmodified</status>
      <modifiedWord/>
      <trackRevisions>false</trackRevisions>
    </reviewItem>
    <reviewItem>
      <errorID>c3c5f112-efb9-490d-b9e0-4efb15ec2628</errorID>
      <errorWord>(</errorWord>
      <group>L1_Format</group>
      <groupName>格式问题</groupName>
      <ability>L2_HalfPunc_CN</ability>
      <abilityName>全半角问题</abilityName>
      <candidateList>
        <item>（</item>
      </candidateList>
      <explain>文本全半角错误。</explain>
      <paraID>68A3ACDB</paraID>
      <start>82</start>
      <end>83</end>
      <status>unmodified</status>
      <modifiedWord/>
      <trackRevisions>false</trackRevisions>
    </reviewItem>
    <reviewItem>
      <errorID>18ceb47c-6fe8-4aa2-a6be-26008c913a90</errorID>
      <errorWord>)</errorWord>
      <group>L1_Format</group>
      <groupName>格式问题</groupName>
      <ability>L2_HalfPunc_CN</ability>
      <abilityName>全半角问题</abilityName>
      <candidateList>
        <item>）</item>
      </candidateList>
      <explain>文本全半角错误。</explain>
      <paraID>68A3ACDB</paraID>
      <start>95</start>
      <end>96</end>
      <status>unmodified</status>
      <modifiedWord/>
      <trackRevisions>false</trackRevisions>
    </reviewItem>
    <reviewItem>
      <errorID>e5eee4a7-a189-49fb-832f-3fd15b1dbe4e</errorID>
      <errorWord>(</errorWord>
      <group>L1_Format</group>
      <groupName>格式问题</groupName>
      <ability>L2_HalfPunc_CN</ability>
      <abilityName>全半角问题</abilityName>
      <candidateList>
        <item>（</item>
      </candidateList>
      <explain>文本全半角错误。</explain>
      <paraID>68A3ACDB</paraID>
      <start>287</start>
      <end>288</end>
      <status>unmodified</status>
      <modifiedWord/>
      <trackRevisions>false</trackRevisions>
    </reviewItem>
    <reviewItem>
      <errorID>763853ef-8e6a-46c3-9a52-5eae15ee55ee</errorID>
      <errorWord>)</errorWord>
      <group>L1_Format</group>
      <groupName>格式问题</groupName>
      <ability>L2_HalfPunc_CN</ability>
      <abilityName>全半角问题</abilityName>
      <candidateList>
        <item>）</item>
      </candidateList>
      <explain>文本全半角错误。</explain>
      <paraID>68A3ACDB</paraID>
      <start>316</start>
      <end>317</end>
      <status>unmodified</status>
      <modifiedWord/>
      <trackRevisions>false</trackRevisions>
    </reviewItem>
    <reviewItem>
      <errorID>0027fa6f-ff43-4919-9b46-118d63e6b4fe</errorID>
      <errorWord>(</errorWord>
      <group>L1_Format</group>
      <groupName>格式问题</groupName>
      <ability>L2_HalfPunc_CN</ability>
      <abilityName>全半角问题</abilityName>
      <candidateList>
        <item>（</item>
      </candidateList>
      <explain>文本全半角错误。</explain>
      <paraID>47DC7773</paraID>
      <start>107</start>
      <end>108</end>
      <status>unmodified</status>
      <modifiedWord/>
      <trackRevisions>false</trackRevisions>
    </reviewItem>
    <reviewItem>
      <errorID>75918f9d-b44c-4958-b98c-6a1c6e5bf1d0</errorID>
      <errorWord>)</errorWord>
      <group>L1_Format</group>
      <groupName>格式问题</groupName>
      <ability>L2_HalfPunc_CN</ability>
      <abilityName>全半角问题</abilityName>
      <candidateList>
        <item>）</item>
      </candidateList>
      <explain>文本全半角错误。</explain>
      <paraID>47DC7773</paraID>
      <start>136</start>
      <end>137</end>
      <status>unmodified</status>
      <modifiedWord/>
      <trackRevisions>false</trackRevisions>
    </reviewItem>
    <reviewItem>
      <errorID>ea5b06b6-8925-49bb-87a6-699129dab59e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4175088D</paraID>
      <start>12</start>
      <end>13</end>
      <status>unmodified</status>
      <modifiedWord/>
      <trackRevisions>false</trackRevisions>
    </reviewItem>
    <reviewItem>
      <errorID>f4c0cf80-9399-4e6a-ba86-d79ef27292f2</errorID>
      <errorWord>(</errorWord>
      <group>L1_Format</group>
      <groupName>格式问题</groupName>
      <ability>L2_HalfPunc_CN</ability>
      <abilityName>全半角问题</abilityName>
      <candidateList>
        <item>（</item>
      </candidateList>
      <explain>文本全半角错误。</explain>
      <paraID>4175088D</paraID>
      <start>13</start>
      <end>14</end>
      <status>unmodified</status>
      <modifiedWord/>
      <trackRevisions>false</trackRevisions>
    </reviewItem>
    <reviewItem>
      <errorID>3b78afff-daa7-4d8b-87e2-cb129eacfa12</errorID>
      <errorWord>)</errorWord>
      <group>L1_Format</group>
      <groupName>格式问题</groupName>
      <ability>L2_HalfPunc_CN</ability>
      <abilityName>全半角问题</abilityName>
      <candidateList>
        <item>）</item>
      </candidateList>
      <explain>文本全半角错误。</explain>
      <paraID>4175088D</paraID>
      <start>26</start>
      <end>27</end>
      <status>unmodified</status>
      <modifiedWord/>
      <trackRevisions>false</trackRevisions>
    </reviewItem>
    <reviewItem>
      <errorID>53649e77-44b7-4b9c-8821-3ed24945babb</errorID>
      <errorWord>(</errorWord>
      <group>L1_Format</group>
      <groupName>格式问题</groupName>
      <ability>L2_HalfPunc_CN</ability>
      <abilityName>全半角问题</abilityName>
      <candidateList>
        <item>（</item>
      </candidateList>
      <explain>文本全半角错误。</explain>
      <paraID>2E6F5451</paraID>
      <start>141</start>
      <end>142</end>
      <status>unmodified</status>
      <modifiedWord/>
      <trackRevisions>false</trackRevisions>
    </reviewItem>
    <reviewItem>
      <errorID>4997f03d-99cd-4152-9f64-b20ba9e9476e</errorID>
      <errorWord>)</errorWord>
      <group>L1_Format</group>
      <groupName>格式问题</groupName>
      <ability>L2_HalfPunc_CN</ability>
      <abilityName>全半角问题</abilityName>
      <candidateList>
        <item>）</item>
      </candidateList>
      <explain>文本全半角错误。</explain>
      <paraID>2E6F5451</paraID>
      <start>153</start>
      <end>154</end>
      <status>unmodified</status>
      <modifiedWord/>
      <trackRevisions>false</trackRevisions>
    </reviewItem>
    <reviewItem>
      <errorID>b55ff5c5-33e0-4db5-85c7-892dcb0d3220</errorID>
      <errorWord>(</errorWord>
      <group>L1_Format</group>
      <groupName>格式问题</groupName>
      <ability>L2_HalfPunc_CN</ability>
      <abilityName>全半角问题</abilityName>
      <candidateList>
        <item>（</item>
      </candidateList>
      <explain>文本全半角错误。</explain>
      <paraID>58168CF3</paraID>
      <start>22</start>
      <end>23</end>
      <status>unmodified</status>
      <modifiedWord/>
      <trackRevisions>false</trackRevisions>
    </reviewItem>
    <reviewItem>
      <errorID>2ef3321c-1320-446b-a83b-7d2eff577c30</errorID>
      <errorWord>)</errorWord>
      <group>L1_Format</group>
      <groupName>格式问题</groupName>
      <ability>L2_HalfPunc_CN</ability>
      <abilityName>全半角问题</abilityName>
      <candidateList>
        <item>）</item>
      </candidateList>
      <explain>文本全半角错误。</explain>
      <paraID>58168CF3</paraID>
      <start>34</start>
      <end>35</end>
      <status>unmodified</status>
      <modifiedWord/>
      <trackRevisions>false</trackRevisions>
    </reviewItem>
    <reviewItem>
      <errorID>09699d58-1528-4438-9296-9c4176390aae</errorID>
      <errorWord>羟基自由基</errorWord>
      <group>L1_Word</group>
      <groupName>字词问题</groupName>
      <ability>L2_Typo</ability>
      <abilityName>字词错误</abilityName>
      <candidateList>
        <item>羟自由基</item>
      </candidateList>
      <explain/>
      <paraID>622551D6</paraID>
      <start>44</start>
      <end>49</end>
      <status>unmodified</status>
      <modifiedWord/>
      <trackRevisions>false</trackRevisions>
    </reviewItem>
    <reviewItem>
      <errorID>b121c8d0-75a6-4ff2-9097-cd7dee37bff1</errorID>
      <errorWord>(</errorWord>
      <group>L1_Format</group>
      <groupName>格式问题</groupName>
      <ability>L2_HalfPunc_CN</ability>
      <abilityName>全半角问题</abilityName>
      <candidateList>
        <item>（</item>
      </candidateList>
      <explain>文本全半角错误。</explain>
      <paraID>266E8233</paraID>
      <start>43</start>
      <end>44</end>
      <status>unmodified</status>
      <modifiedWord/>
      <trackRevisions>false</trackRevisions>
    </reviewItem>
    <reviewItem>
      <errorID>39a687ee-3538-4efa-8e48-c5a05c0603e5</errorID>
      <errorWord>)</errorWord>
      <group>L1_Format</group>
      <groupName>格式问题</groupName>
      <ability>L2_HalfPunc_CN</ability>
      <abilityName>全半角问题</abilityName>
      <candidateList>
        <item>）</item>
      </candidateList>
      <explain>文本全半角错误。</explain>
      <paraID>266E8233</paraID>
      <start>55</start>
      <end>56</end>
      <status>unmodified</status>
      <modifiedWord/>
      <trackRevisions>false</trackRevisions>
    </reviewItem>
    <reviewItem>
      <errorID>974eed9c-48e7-4944-8253-478d52aeaed8</errorID>
      <errorWord>~</errorWord>
      <group>L1_Format</group>
      <groupName>格式问题</groupName>
      <ability>L2_HalfPunc_CN</ability>
      <abilityName>全半角问题</abilityName>
      <candidateList>
        <item>～</item>
      </candidateList>
      <explain>文本全半角错误。</explain>
      <paraID>266E8233</paraID>
      <start>131</start>
      <end>132</end>
      <status>unmodified</status>
      <modifiedWord/>
      <trackRevisions>false</trackRevisions>
    </reviewItem>
    <reviewItem>
      <errorID>1fae6ceb-166d-4703-ae03-87accc4f89ac</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266E8233</paraID>
      <start>165</start>
      <end>171</end>
      <status>unmodified</status>
      <modifiedWord/>
      <trackRevisions>false</trackRevisions>
    </reviewItem>
    <reviewItem>
      <errorID>a238adcd-bcab-4ff7-b03d-c849dc09d60b</errorID>
      <errorWord>(</errorWord>
      <group>L1_Format</group>
      <groupName>格式问题</groupName>
      <ability>L2_HalfPunc_CN</ability>
      <abilityName>全半角问题</abilityName>
      <candidateList>
        <item>（</item>
      </candidateList>
      <explain>文本全半角错误。</explain>
      <paraID>49990255</paraID>
      <start>22</start>
      <end>23</end>
      <status>unmodified</status>
      <modifiedWord/>
      <trackRevisions>false</trackRevisions>
    </reviewItem>
    <reviewItem>
      <errorID>5b82366d-153b-4b26-a427-a73f14a463e7</errorID>
      <errorWord>)</errorWord>
      <group>L1_Format</group>
      <groupName>格式问题</groupName>
      <ability>L2_HalfPunc_CN</ability>
      <abilityName>全半角问题</abilityName>
      <candidateList>
        <item>）</item>
      </candidateList>
      <explain>文本全半角错误。</explain>
      <paraID>49990255</paraID>
      <start>34</start>
      <end>35</end>
      <status>unmodified</status>
      <modifiedWord/>
      <trackRevisions>false</trackRevisions>
    </reviewItem>
    <reviewItem>
      <errorID>9f01ba7c-8f02-4195-8d02-991d88a4524d</errorID>
      <errorWord>能</errorWord>
      <group>L1_Word</group>
      <groupName>字词问题</groupName>
      <ability>L2_Typo</ability>
      <abilityName>字词错误</abilityName>
      <candidateList>
        <item>能够</item>
      </candidateList>
      <explain/>
      <paraID>208CF2C0</paraID>
      <start>53</start>
      <end>54</end>
      <status>unmodified</status>
      <modifiedWord/>
      <trackRevisions>false</trackRevisions>
    </reviewItem>
    <reviewItem>
      <errorID>3f62d485-1cdb-4a1b-a415-709d8e60c16b</errorID>
      <errorWord>：</errorWord>
      <group>L1_Format</group>
      <groupName>格式问题</groupName>
      <ability>L2_HalfPunc_CN</ability>
      <abilityName>全半角问题</abilityName>
      <candidateList>
        <item>:</item>
      </candidateList>
      <explain>文本全半角错误。</explain>
      <paraID>3BC7347D</paraID>
      <start>1</start>
      <end>2</end>
      <status>unmodified</status>
      <modifiedWord/>
      <trackRevisions>false</trackRevisions>
    </reviewItem>
    <reviewItem>
      <errorID>da1c9784-66c4-4642-b08e-855a89098f0d</errorID>
      <errorWord>：</errorWord>
      <group>L1_Format</group>
      <groupName>格式问题</groupName>
      <ability>L2_HalfPunc_CN</ability>
      <abilityName>全半角问题</abilityName>
      <candidateList>
        <item>:</item>
      </candidateList>
      <explain>文本全半角错误。</explain>
      <paraID>3BC7347D</paraID>
      <start>7</start>
      <end>8</end>
      <status>unmodified</status>
      <modifiedWord/>
      <trackRevisions>false</trackRevisions>
    </reviewItem>
    <reviewItem>
      <errorID>b947fb72-b4f5-47b8-930f-6fb876905a39</errorID>
      <errorWord>：</errorWord>
      <group>L1_Format</group>
      <groupName>格式问题</groupName>
      <ability>L2_HalfPunc_CN</ability>
      <abilityName>全半角问题</abilityName>
      <candidateList>
        <item>:</item>
      </candidateList>
      <explain>文本全半角错误。</explain>
      <paraID>25BAF2C0</paraID>
      <start>1</start>
      <end>2</end>
      <status>unmodified</status>
      <modifiedWord/>
      <trackRevisions>false</trackRevisions>
    </reviewItem>
    <reviewItem>
      <errorID>441eacfb-3186-470f-92c6-706f5c699a23</errorID>
      <errorWord>：</errorWord>
      <group>L1_Format</group>
      <groupName>格式问题</groupName>
      <ability>L2_HalfPunc_CN</ability>
      <abilityName>全半角问题</abilityName>
      <candidateList>
        <item>:</item>
      </candidateList>
      <explain>文本全半角错误。</explain>
      <paraID>25BAF2C0</paraID>
      <start>7</start>
      <end>8</end>
      <status>unmodified</status>
      <modifiedWord/>
      <trackRevisions>false</trackRevisions>
    </reviewItem>
    <reviewItem>
      <errorID>fc3ad846-b25c-4b7e-90b3-691af94d709e</errorID>
      <errorWord>)</errorWord>
      <group>L1_Format</group>
      <groupName>格式问题</groupName>
      <ability>L2_HalfPunc_CN</ability>
      <abilityName>全半角问题</abilityName>
      <candidateList>
        <item>）</item>
      </candidateList>
      <explain>文本全半角错误。</explain>
      <paraID>4F915F2A</paraID>
      <start>26</start>
      <end>27</end>
      <status>unmodified</status>
      <modifiedWord/>
      <trackRevisions>false</trackRevisions>
    </reviewItem>
    <reviewItem>
      <errorID>51f83994-390d-413a-b7ee-1b0700d74f77</errorID>
      <errorWord>目</errorWord>
      <group>L1_Word</group>
      <groupName>字词问题</groupName>
      <ability>L2_Typo</ability>
      <abilityName>字词错误</abilityName>
      <candidateList>
        <item>目在</item>
      </candidateList>
      <explain/>
      <paraID>4F915F2A</paraID>
      <start>92</start>
      <end>93</end>
      <status>unmodified</status>
      <modifiedWord/>
      <trackRevisions>false</trackRevisions>
    </reviewItem>
    <reviewItem>
      <errorID>8c03bde4-3a3c-494b-81a7-d276521e3c45</errorID>
      <errorWord>《</errorWord>
      <group>L1_Punc</group>
      <groupName>标点问题</groupName>
      <ability>L2_Punc_CN</ability>
      <abilityName>标点符号问题</abilityName>
      <candidateList/>
      <explain>同一形式括号套用。</explain>
      <paraID>4F0D081E</paraID>
      <start>7</start>
      <end>8</end>
      <status>unmodified</status>
      <modifiedWord/>
      <trackRevisions>false</trackRevisions>
    </reviewItem>
    <reviewItem>
      <errorID>1d83d9f1-c416-4614-9341-68a87324711c</errorID>
      <errorWord>》</errorWord>
      <group>L1_Punc</group>
      <groupName>标点问题</groupName>
      <ability>L2_Punc_CN</ability>
      <abilityName>标点符号问题</abilityName>
      <candidateList/>
      <explain>同一形式括号套用。</explain>
      <paraID>4F0D081E</paraID>
      <start>16</start>
      <end>17</end>
      <status>unmodified</status>
      <modifiedWord/>
      <trackRevisions>false</trackRevisions>
    </reviewItem>
    <reviewItem>
      <errorID>7174c56a-0da2-4d53-ab4d-e8777e775d24</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4F0D081E</paraID>
      <start>38</start>
      <end>41</end>
      <status>unmodified</status>
      <modifiedWord/>
      <trackRevisions>false</trackRevisions>
    </reviewItem>
    <reviewItem>
      <errorID>cd34bf74-e771-4246-93e3-826532dd5ac8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76DBBE85</paraID>
      <start>0</start>
      <end>2</end>
      <status>unmodified</status>
      <modifiedWord/>
      <trackRevisions>false</trackRevisions>
    </reviewItem>
    <reviewItem>
      <errorID>63f52963-f6a2-421a-aa0f-b34e13a3a669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33CF4159</paraID>
      <start>0</start>
      <end>2</end>
      <status>unmodified</status>
      <modifiedWord/>
      <trackRevisions>false</trackRevisions>
    </reviewItem>
    <reviewItem>
      <errorID>e7f4706a-eda7-48d1-af86-bc7542d7965f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2599145E</paraID>
      <start>0</start>
      <end>2</end>
      <status>unmodified</status>
      <modifiedWord/>
      <trackRevisions>false</trackRevisions>
    </reviewItem>
    <reviewItem>
      <errorID>b8b004e7-b890-4eae-b278-04ab74f572aa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316AD0B5</paraID>
      <start>0</start>
      <end>2</end>
      <status>unmodified</status>
      <modifiedWord/>
      <trackRevisions>false</trackRevisions>
    </reviewItem>
    <reviewItem>
      <errorID>6cd23952-9f83-48b6-9644-565f645c4b3f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42E9601</paraID>
      <start>0</start>
      <end>2</end>
      <status>unmodified</status>
      <modifiedWord/>
      <trackRevisions>false</trackRevisions>
    </reviewItem>
    <reviewItem>
      <errorID>0a79a212-7b03-4581-9f42-76eea4401490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A3DB5FA</paraID>
      <start>0</start>
      <end>2</end>
      <status>unmodified</status>
      <modifiedWord/>
      <trackRevisions>false</trackRevisions>
    </reviewItem>
    <reviewItem>
      <errorID>d5a96dd8-cb4a-454a-b1d9-ffb98aae5ee2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2C85B8B2</paraID>
      <start>0</start>
      <end>2</end>
      <status>unmodified</status>
      <modifiedWord/>
      <trackRevisions>false</trackRevisions>
    </reviewItem>
    <reviewItem>
      <errorID>7aef210f-84f8-46a5-ba9c-34c0d34b89e4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7E1062F0</paraID>
      <start>0</start>
      <end>2</end>
      <status>unmodified</status>
      <modifiedWord/>
      <trackRevisions>false</trackRevisions>
    </reviewItem>
    <reviewItem>
      <errorID>52665d57-8379-4834-bd04-fa374118991b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39DC605B</paraID>
      <start>0</start>
      <end>2</end>
      <status>unmodified</status>
      <modifiedWord/>
      <trackRevisions>false</trackRevisions>
    </reviewItem>
    <reviewItem>
      <errorID>5524d004-d332-4f0b-ba31-7f9e1d8ec5fd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45448823</paraID>
      <start>0</start>
      <end>2</end>
      <status>unmodified</status>
      <modifiedWord/>
      <trackRevisions>false</trackRevisions>
    </reviewItem>
    <reviewItem>
      <errorID>24079fa9-11b0-49c6-8fbe-d74df144ae18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63F7A9C3</paraID>
      <start>0</start>
      <end>2</end>
      <status>unmodified</status>
      <modifiedWord/>
      <trackRevisions>false</trackRevisions>
    </reviewItem>
    <reviewItem>
      <errorID>d9068945-615c-40b6-af8d-04011d69c090</errorID>
      <errorWord>楼设</errorWord>
      <group>L1_Word</group>
      <groupName>字词问题</groupName>
      <ability>L2_Typo</ability>
      <abilityName>字词错误</abilityName>
      <candidateList>
        <item>楼</item>
      </candidateList>
      <explain/>
      <paraID>52DB9B87</paraID>
      <start>2</start>
      <end>4</end>
      <status>unmodified</status>
      <modifiedWord/>
      <trackRevisions>false</trackRevisions>
    </reviewItem>
    <reviewItem>
      <errorID>67079d4b-4e2d-4454-9964-d8df47f89681</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6354A2D8</paraID>
      <start>50</start>
      <end>53</end>
      <status>unmodified</status>
      <modifiedWord/>
      <trackRevisions>false</trackRevisions>
    </reviewItem>
    <reviewItem>
      <errorID>81c53f64-9728-4a26-b9c7-0a6830b30a03</errorID>
      <errorWord>：：</errorWord>
      <group>L1_Punc</group>
      <groupName>标点问题</groupName>
      <ability>L2_Punc_CN</ability>
      <abilityName>标点符号问题</abilityName>
      <candidateList>
        <item>：</item>
      </candidateList>
      <explain/>
      <paraID>7FCAB10A</paraID>
      <start>37</start>
      <end>39</end>
      <status>unmodified</status>
      <modifiedWord/>
      <trackRevisions>false</trackRevisions>
    </reviewItem>
    <reviewItem>
      <errorID>c16a8199-9137-4329-88af-31b63cb699e0</errorID>
      <errorWord>临时的</errorWord>
      <group>L1_Word</group>
      <groupName>字词问题</groupName>
      <ability>L2_Typo</ability>
      <abilityName>字词错误</abilityName>
      <candidateList>
        <item>临时</item>
      </candidateList>
      <explain/>
      <paraID>7FE46FAA</paraID>
      <start>53</start>
      <end>56</end>
      <status>unmodified</status>
      <modifiedWord/>
      <trackRevisions>false</trackRevisions>
    </reviewItem>
    <reviewItem>
      <errorID>2adc3bd8-7638-4860-a743-cf7d2b4864d9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131AEE53</paraID>
      <start>56</start>
      <end>57</end>
      <status>unmodified</status>
      <modifiedWord/>
      <trackRevisions>false</trackRevisions>
    </reviewItem>
    <reviewItem>
      <errorID>9810df4f-6724-441a-a86a-8d5ab4108821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131AEE53</paraID>
      <start>105</start>
      <end>106</end>
      <status>unmodified</status>
      <modifiedWord/>
      <trackRevisions>false</trackRevisions>
    </reviewItem>
    <reviewItem>
      <errorID>29e59788-396c-4d6d-9bf8-7fc46cc60e36</errorID>
      <errorWord>贮存设施都必须</errorWord>
      <group>L1_Word</group>
      <groupName>字词问题</groupName>
      <ability>L2_Typo</ability>
      <abilityName>字词错误</abilityName>
      <candidateList>
        <item>贮存设施必须</item>
      </candidateList>
      <explain/>
      <paraID>3B729562</paraID>
      <start>5</start>
      <end>12</end>
      <status>unmodified</status>
      <modifiedWord/>
      <trackRevisions>false</trackRevisions>
    </reviewItem>
    <reviewItem>
      <errorID>7385d816-6bfa-4c3f-9f7f-9b198ac8a3dc</errorID>
      <errorWord>(</errorWord>
      <group>L1_Format</group>
      <groupName>格式问题</groupName>
      <ability>L2_HalfPunc_CN</ability>
      <abilityName>全半角问题</abilityName>
      <candidateList>
        <item>（</item>
      </candidateList>
      <explain>文本全半角错误。</explain>
      <paraID>269B927E</paraID>
      <start>62</start>
      <end>63</end>
      <status>unmodified</status>
      <modifiedWord/>
      <trackRevisions>false</trackRevisions>
    </reviewItem>
    <reviewItem>
      <errorID>8be3bca6-ab5c-41db-9010-8fb13e5cccd2</errorID>
      <errorWord>)</errorWord>
      <group>L1_Format</group>
      <groupName>格式问题</groupName>
      <ability>L2_HalfPunc_CN</ability>
      <abilityName>全半角问题</abilityName>
      <candidateList>
        <item>）</item>
      </candidateList>
      <explain>文本全半角错误。</explain>
      <paraID>269B927E</paraID>
      <start>75</start>
      <end>76</end>
      <status>unmodified</status>
      <modifiedWord/>
      <trackRevisions>false</trackRevisions>
    </reviewItem>
    <reviewItem>
      <errorID>2d2d0af5-8e8e-4047-b7b9-7eaa2368df2a</errorID>
      <errorWord>其它缺陷</errorWord>
      <group>L1_Word</group>
      <groupName>字词问题</groupName>
      <ability>L2_Alias</ability>
      <abilityName>也作/曾用词</abilityName>
      <candidateList>
        <item>其他缺陷</item>
      </candidateList>
      <explain>词汇[其它缺陷]为不规范表述或旧称，其规范书面表述为[其他缺陷]。</explain>
      <paraID>269B927E</paraID>
      <start>116</start>
      <end>120</end>
      <status>unmodified</status>
      <modifiedWord/>
      <trackRevisions>false</trackRevisions>
    </reviewItem>
    <reviewItem>
      <errorID>a4e4be52-7d8e-4194-96a6-f9b152ce8a5c</errorID>
      <errorWord>病患者</errorWord>
      <group>L1_Word</group>
      <groupName>字词问题</groupName>
      <ability>L2_Typo</ability>
      <abilityName>字词错误</abilityName>
      <candidateList>
        <item>患者</item>
      </candidateList>
      <explain/>
      <paraID>5550110D</paraID>
      <start>33</start>
      <end>36</end>
      <status>unmodified</status>
      <modifiedWord/>
      <trackRevisions>false</trackRevisions>
    </reviewItem>
    <reviewItem>
      <errorID>e38136c0-1b9f-4d6d-859a-5cb971cd1a1f</errorID>
      <errorWord>(</errorWord>
      <group>L1_Format</group>
      <groupName>格式问题</groupName>
      <ability>L2_HalfPunc_CN</ability>
      <abilityName>全半角问题</abilityName>
      <candidateList>
        <item>（</item>
      </candidateList>
      <explain>文本全半角错误。</explain>
      <paraID>638978E1</paraID>
      <start>94</start>
      <end>95</end>
      <status>unmodified</status>
      <modifiedWord/>
      <trackRevisions>false</trackRevisions>
    </reviewItem>
    <reviewItem>
      <errorID>55749300-7b39-4619-b27f-d1024fedddd3</errorID>
      <errorWord>)</errorWord>
      <group>L1_Format</group>
      <groupName>格式问题</groupName>
      <ability>L2_HalfPunc_CN</ability>
      <abilityName>全半角问题</abilityName>
      <candidateList>
        <item>）</item>
      </candidateList>
      <explain>文本全半角错误。</explain>
      <paraID>638978E1</paraID>
      <start>101</start>
      <end>102</end>
      <status>unmodified</status>
      <modifiedWord/>
      <trackRevisions>false</trackRevisions>
    </reviewItem>
    <reviewItem>
      <errorID>da62638b-5724-4fe9-b97b-4a7740d38855</errorID>
      <errorWord>(</errorWord>
      <group>L1_Format</group>
      <groupName>格式问题</groupName>
      <ability>L2_HalfPunc_CN</ability>
      <abilityName>全半角问题</abilityName>
      <candidateList>
        <item>（</item>
      </candidateList>
      <explain>文本全半角错误。</explain>
      <paraID>638978E1</paraID>
      <start>151</start>
      <end>152</end>
      <status>unmodified</status>
      <modifiedWord/>
      <trackRevisions>false</trackRevisions>
    </reviewItem>
    <reviewItem>
      <errorID>e5b25db4-1d78-4ada-ade2-558b0265fefd</errorID>
      <errorWord>)</errorWord>
      <group>L1_Format</group>
      <groupName>格式问题</groupName>
      <ability>L2_HalfPunc_CN</ability>
      <abilityName>全半角问题</abilityName>
      <candidateList>
        <item>）</item>
      </candidateList>
      <explain>文本全半角错误。</explain>
      <paraID>638978E1</paraID>
      <start>158</start>
      <end>159</end>
      <status>unmodified</status>
      <modifiedWord/>
      <trackRevisions>false</trackRevisions>
    </reviewItem>
    <reviewItem>
      <errorID>adde3a94-ee25-4726-8769-9163bc2969ed</errorID>
      <errorWord>(</errorWord>
      <group>L1_Format</group>
      <groupName>格式问题</groupName>
      <ability>L2_HalfPunc_CN</ability>
      <abilityName>全半角问题</abilityName>
      <candidateList>
        <item>（</item>
      </candidateList>
      <explain>文本全半角错误。</explain>
      <paraID>527B6F5C</paraID>
      <start>25</start>
      <end>26</end>
      <status>unmodified</status>
      <modifiedWord/>
      <trackRevisions>false</trackRevisions>
    </reviewItem>
    <reviewItem>
      <errorID>d3a91db2-d0be-424f-9211-aaf1fa9991fd</errorID>
      <errorWord>)</errorWord>
      <group>L1_Format</group>
      <groupName>格式问题</groupName>
      <ability>L2_HalfPunc_CN</ability>
      <abilityName>全半角问题</abilityName>
      <candidateList>
        <item>）</item>
      </candidateList>
      <explain>文本全半角错误。</explain>
      <paraID>527B6F5C</paraID>
      <start>33</start>
      <end>34</end>
      <status>unmodified</status>
      <modifiedWord/>
      <trackRevisions>false</trackRevisions>
    </reviewItem>
    <reviewItem>
      <errorID>0061cd84-fd4d-4bda-a627-d5c18e5b81b8</errorID>
      <errorWord>(</errorWord>
      <group>L1_Format</group>
      <groupName>格式问题</groupName>
      <ability>L2_HalfPunc_CN</ability>
      <abilityName>全半角问题</abilityName>
      <candidateList>
        <item>（</item>
      </candidateList>
      <explain>文本全半角错误。</explain>
      <paraID>646BF848</paraID>
      <start>66</start>
      <end>67</end>
      <status>unmodified</status>
      <modifiedWord/>
      <trackRevisions>false</trackRevisions>
    </reviewItem>
    <reviewItem>
      <errorID>e6d58f50-52f3-45d9-b90f-ff9027356909</errorID>
      <errorWord>)</errorWord>
      <group>L1_Format</group>
      <groupName>格式问题</groupName>
      <ability>L2_HalfPunc_CN</ability>
      <abilityName>全半角问题</abilityName>
      <candidateList>
        <item>）</item>
      </candidateList>
      <explain>文本全半角错误。</explain>
      <paraID>646BF848</paraID>
      <start>70</start>
      <end>71</end>
      <status>unmodified</status>
      <modifiedWord/>
      <trackRevisions>false</trackRevisions>
    </reviewItem>
    <reviewItem>
      <errorID>40160f07-8518-4ff2-90dc-79ac87560bc4</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1D20D686</paraID>
      <start>88</start>
      <end>92</end>
      <status>unmodified</status>
      <modifiedWord/>
      <trackRevisions>false</trackRevisions>
    </reviewItem>
    <reviewItem>
      <errorID>c205c9b3-cdd5-452e-a970-1a73e21bf941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1D20D686</paraID>
      <start>102</start>
      <end>103</end>
      <status>unmodified</status>
      <modifiedWord/>
      <trackRevisions>false</trackRevisions>
    </reviewItem>
    <reviewItem>
      <errorID>5f7a3099-47d0-4cb9-aa24-e7efafdff644</errorID>
      <errorWord>(</errorWord>
      <group>L1_Format</group>
      <groupName>格式问题</groupName>
      <ability>L2_HalfPunc_CN</ability>
      <abilityName>全半角问题</abilityName>
      <candidateList>
        <item>（</item>
      </candidateList>
      <explain>文本全半角错误。</explain>
      <paraID>6816D2FE</paraID>
      <start>18</start>
      <end>19</end>
      <status>unmodified</status>
      <modifiedWord/>
      <trackRevisions>false</trackRevisions>
    </reviewItem>
    <reviewItem>
      <errorID>6fb4b439-5481-4828-9da4-fcacb7a9c763</errorID>
      <errorWord>)</errorWord>
      <group>L1_Format</group>
      <groupName>格式问题</groupName>
      <ability>L2_HalfPunc_CN</ability>
      <abilityName>全半角问题</abilityName>
      <candidateList>
        <item>）</item>
      </candidateList>
      <explain>文本全半角错误。</explain>
      <paraID>6816D2FE</paraID>
      <start>29</start>
      <end>30</end>
      <status>unmodified</status>
      <modifiedWord/>
      <trackRevisions>false</trackRevisions>
    </reviewItem>
    <reviewItem>
      <errorID>8244b6d0-0f15-40db-b2ff-2628e18ff0b4</errorID>
      <errorWord>(</errorWord>
      <group>L1_Format</group>
      <groupName>格式问题</groupName>
      <ability>L2_HalfPunc_CN</ability>
      <abilityName>全半角问题</abilityName>
      <candidateList>
        <item>（</item>
      </candidateList>
      <explain>文本全半角错误。</explain>
      <paraID>50F29826</paraID>
      <start>28</start>
      <end>29</end>
      <status>unmodified</status>
      <modifiedWord/>
      <trackRevisions>false</trackRevisions>
    </reviewItem>
    <reviewItem>
      <errorID>c0998f79-210f-4627-b40e-6cc817818c80</errorID>
      <errorWord>)</errorWord>
      <group>L1_Format</group>
      <groupName>格式问题</groupName>
      <ability>L2_HalfPunc_CN</ability>
      <abilityName>全半角问题</abilityName>
      <candidateList>
        <item>）</item>
      </candidateList>
      <explain>文本全半角错误。</explain>
      <paraID>50F29826</paraID>
      <start>30</start>
      <end>31</end>
      <status>unmodified</status>
      <modifiedWord/>
      <trackRevisions>false</trackRevisions>
    </reviewItem>
    <reviewItem>
      <errorID>1260d12c-7171-4611-8a75-532749c98468</errorID>
      <errorWord>，…，</errorWord>
      <group>L1_Punc</group>
      <groupName>标点问题</groupName>
      <ability>L2_Punc_CN</ability>
      <abilityName>标点符号问题</abilityName>
      <candidateList>
        <item>，</item>
      </candidateList>
      <explain/>
      <paraID>42B3DCEC</paraID>
      <start>8</start>
      <end>11</end>
      <status>unmodified</status>
      <modifiedWord/>
      <trackRevisions>false</trackRevisions>
    </reviewItem>
    <reviewItem>
      <errorID>9667e6e0-a21e-4310-9d8e-24d1bba81c0c</errorID>
      <errorWord>，…，</errorWord>
      <group>L1_Punc</group>
      <groupName>标点问题</groupName>
      <ability>L2_Punc_CN</ability>
      <abilityName>标点符号问题</abilityName>
      <candidateList>
        <item>，</item>
      </candidateList>
      <explain/>
      <paraID> 92F2D9E</paraID>
      <start>5</start>
      <end>8</end>
      <status>unmodified</status>
      <modifiedWord/>
      <trackRevisions>false</trackRevisions>
    </reviewItem>
    <reviewItem>
      <errorID>c2fa9d9a-b461-4782-855d-7cb6bc13934a</errorID>
      <errorWord>(</errorWord>
      <group>L1_Format</group>
      <groupName>格式问题</groupName>
      <ability>L2_HalfPunc_CN</ability>
      <abilityName>全半角问题</abilityName>
      <candidateList>
        <item>（</item>
      </candidateList>
      <explain>文本全半角错误。</explain>
      <paraID>7BA36FA3</paraID>
      <start>36</start>
      <end>37</end>
      <status>unmodified</status>
      <modifiedWord/>
      <trackRevisions>false</trackRevisions>
    </reviewItem>
    <reviewItem>
      <errorID>e4ba24e0-d65c-43ad-8096-57ad2029c67d</errorID>
      <errorWord>)</errorWord>
      <group>L1_Format</group>
      <groupName>格式问题</groupName>
      <ability>L2_HalfPunc_CN</ability>
      <abilityName>全半角问题</abilityName>
      <candidateList>
        <item>）</item>
      </candidateList>
      <explain>文本全半角错误。</explain>
      <paraID>7BA36FA3</paraID>
      <start>38</start>
      <end>39</end>
      <status>unmodified</status>
      <modifiedWord/>
      <trackRevisions>false</trackRevisions>
    </reviewItem>
    <reviewItem>
      <errorID>cf0d9dd2-7d1a-44c4-b8fb-f63d8ce46c5b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4893E6</paraID>
      <start>22</start>
      <end>23</end>
      <status>unmodified</status>
      <modifiedWord/>
      <trackRevisions>false</trackRevisions>
    </reviewItem>
    <reviewItem>
      <errorID>d32c56b0-eb3a-4a9f-b415-aa68fd0572d5</errorID>
      <errorWord>几率</errorWord>
      <group>L1_Word</group>
      <groupName>字词问题</groupName>
      <ability>L2_Typo</ability>
      <abilityName>字词错误</abilityName>
      <candidateList>
        <item>概率</item>
      </candidateList>
      <explain/>
      <paraID>622C614A</paraID>
      <start>83</start>
      <end>85</end>
      <status>unmodified</status>
      <modifiedWord/>
      <trackRevisions>false</trackRevisions>
    </reviewItem>
    <reviewItem>
      <errorID>64c7ff27-0c0b-4189-84ea-b925f1a1df2a</errorID>
      <errorWord>，在</errorWord>
      <group>L1_Word</group>
      <groupName>字词问题</groupName>
      <ability>L2_Typo</ability>
      <abilityName>字词错误</abilityName>
      <candidateList>
        <item>，</item>
      </candidateList>
      <explain/>
      <paraID>622C614A</paraID>
      <start>94</start>
      <end>96</end>
      <status>unmodified</status>
      <modifiedWord/>
      <trackRevisions>false</trackRevisions>
    </reviewItem>
    <reviewItem>
      <errorID>38881a5e-58e2-44c4-b756-9e5ff4fa107f</errorID>
      <errorWord>通讯畅通</errorWord>
      <group>L1_Word</group>
      <groupName>字词问题</groupName>
      <ability>L2_Typo</ability>
      <abilityName>字词错误</abilityName>
      <candidateList>
        <item>通信畅通</item>
      </candidateList>
      <explain/>
      <paraID>4280D372</paraID>
      <start>185</start>
      <end>189</end>
      <status>unmodified</status>
      <modifiedWord/>
      <trackRevisions>false</trackRevisions>
    </reviewItem>
    <reviewItem>
      <errorID>6feaa213-ce74-42a3-9ed0-191c0d0494cc</errorID>
      <errorWord>(</errorWord>
      <group>L1_Format</group>
      <groupName>格式问题</groupName>
      <ability>L2_HalfPunc_CN</ability>
      <abilityName>全半角问题</abilityName>
      <candidateList>
        <item>（</item>
      </candidateList>
      <explain>文本全半角错误。</explain>
      <paraID>79ED7E5F</paraID>
      <start>3</start>
      <end>4</end>
      <status>unmodified</status>
      <modifiedWord/>
      <trackRevisions>false</trackRevisions>
    </reviewItem>
    <reviewItem>
      <errorID>4add8fcd-5386-448d-bb5a-4a3e26bfaee4</errorID>
      <errorWord>)</errorWord>
      <group>L1_Format</group>
      <groupName>格式问题</groupName>
      <ability>L2_HalfPunc_CN</ability>
      <abilityName>全半角问题</abilityName>
      <candidateList>
        <item>）</item>
      </candidateList>
      <explain>文本全半角错误。</explain>
      <paraID>79ED7E5F</paraID>
      <start>9</start>
      <end>10</end>
      <status>unmodified</status>
      <modifiedWord/>
      <trackRevisions>false</trackRevisions>
    </reviewItem>
    <reviewItem>
      <errorID>37248353-f1f0-432a-b0c7-869367ea5b1b</errorID>
      <errorWord>(</errorWord>
      <group>L1_Format</group>
      <groupName>格式问题</groupName>
      <ability>L2_HalfPunc_CN</ability>
      <abilityName>全半角问题</abilityName>
      <candidateList>
        <item>（</item>
      </candidateList>
      <explain>文本全半角错误。</explain>
      <paraID>7794766E</paraID>
      <start>14</start>
      <end>15</end>
      <status>unmodified</status>
      <modifiedWord/>
      <trackRevisions>false</trackRevisions>
    </reviewItem>
    <reviewItem>
      <errorID>0598cbbb-4f3f-4c44-a79f-ec4cd6bc64d2</errorID>
      <errorWord>)</errorWord>
      <group>L1_Format</group>
      <groupName>格式问题</groupName>
      <ability>L2_HalfPunc_CN</ability>
      <abilityName>全半角问题</abilityName>
      <candidateList>
        <item>）</item>
      </candidateList>
      <explain>文本全半角错误。</explain>
      <paraID>7794766E</paraID>
      <start>27</start>
      <end>28</end>
      <status>unmodified</status>
      <modifiedWord/>
      <trackRevisions>false</trackRevisions>
    </reviewItem>
    <reviewItem>
      <errorID>c04abaf2-b4d4-47ef-9321-16ea1a067545</errorID>
      <errorWord>(</errorWord>
      <group>L1_Format</group>
      <groupName>格式问题</groupName>
      <ability>L2_HalfPunc_CN</ability>
      <abilityName>全半角问题</abilityName>
      <candidateList>
        <item>（</item>
      </candidateList>
      <explain>文本全半角错误。</explain>
      <paraID>75EB7215</paraID>
      <start>11</start>
      <end>12</end>
      <status>unmodified</status>
      <modifiedWord/>
      <trackRevisions>false</trackRevisions>
    </reviewItem>
    <reviewItem>
      <errorID>00e7d089-6c2e-4660-ad7b-5993e1f9b28b</errorID>
      <errorWord>)</errorWord>
      <group>L1_Format</group>
      <groupName>格式问题</groupName>
      <ability>L2_HalfPunc_CN</ability>
      <abilityName>全半角问题</abilityName>
      <candidateList>
        <item>）</item>
      </candidateList>
      <explain>文本全半角错误。</explain>
      <paraID>75EB7215</paraID>
      <start>22</start>
      <end>23</end>
      <status>unmodified</status>
      <modifiedWord/>
      <trackRevisions>false</trackRevisions>
    </reviewItem>
    <reviewItem>
      <errorID>bd918019-fa95-432b-9ff8-ebc051c77ba7</errorID>
      <errorWord>(</errorWord>
      <group>L1_Format</group>
      <groupName>格式问题</groupName>
      <ability>L2_HalfPunc_CN</ability>
      <abilityName>全半角问题</abilityName>
      <candidateList>
        <item>（</item>
      </candidateList>
      <explain>文本全半角错误。</explain>
      <paraID>729F0FA6</paraID>
      <start>14</start>
      <end>15</end>
      <status>unmodified</status>
      <modifiedWord/>
      <trackRevisions>false</trackRevisions>
    </reviewItem>
    <reviewItem>
      <errorID>f8056eae-14d0-4e4f-a740-9b0fdba610fa</errorID>
      <errorWord>)</errorWord>
      <group>L1_Format</group>
      <groupName>格式问题</groupName>
      <ability>L2_HalfPunc_CN</ability>
      <abilityName>全半角问题</abilityName>
      <candidateList>
        <item>）</item>
      </candidateList>
      <explain>文本全半角错误。</explain>
      <paraID>729F0FA6</paraID>
      <start>27</start>
      <end>28</end>
      <status>unmodified</status>
      <modifiedWord/>
      <trackRevisions>false</trackRevisions>
    </reviewItem>
    <reviewItem>
      <errorID>a1541373-5cc6-472c-83a3-db7979260a0f</errorID>
      <errorWord>；。</errorWord>
      <group>L1_Punc</group>
      <groupName>标点问题</groupName>
      <ability>L2_Punc_CN</ability>
      <abilityName>标点符号问题</abilityName>
      <candidateList>
        <item>；</item>
      </candidateList>
      <explain/>
      <paraID>729F0FA6</paraID>
      <start>62</start>
      <end>64</end>
      <status>unmodified</status>
      <modifiedWord/>
      <trackRevisions>false</trackRevisions>
    </reviewItem>
    <reviewItem>
      <errorID>fd258b41-d180-4fab-bf41-64815e921221</errorID>
      <errorWord>(</errorWord>
      <group>L1_Format</group>
      <groupName>格式问题</groupName>
      <ability>L2_HalfPunc_CN</ability>
      <abilityName>全半角问题</abilityName>
      <candidateList>
        <item>（</item>
      </candidateList>
      <explain>文本全半角错误。</explain>
      <paraID>3D61CE7F</paraID>
      <start>107</start>
      <end>108</end>
      <status>unmodified</status>
      <modifiedWord/>
      <trackRevisions>false</trackRevisions>
    </reviewItem>
    <reviewItem>
      <errorID>fe772115-cd98-4208-b468-4c0984c87653</errorID>
      <errorWord>)</errorWord>
      <group>L1_Format</group>
      <groupName>格式问题</groupName>
      <ability>L2_HalfPunc_CN</ability>
      <abilityName>全半角问题</abilityName>
      <candidateList>
        <item>）</item>
      </candidateList>
      <explain>文本全半角错误。</explain>
      <paraID>3D61CE7F</paraID>
      <start>136</start>
      <end>137</end>
      <status>unmodified</status>
      <modifiedWord/>
      <trackRevisions>false</trackRevisions>
    </reviewItem>
    <reviewItem>
      <errorID>44db7b38-f615-482d-b8a0-a489fd0bb3b0</errorID>
      <errorWord>(</errorWord>
      <group>L1_Punc</group>
      <groupName>标点问题</groupName>
      <ability>L2_Punc_CN</ability>
      <abilityName>标点符号问题</abilityName>
      <candidateList/>
      <explain>同一形式括号套用。</explain>
      <paraID>54E8D046</paraID>
      <start>6</start>
      <end>7</end>
      <status>unmodified</status>
      <modifiedWord/>
      <trackRevisions>false</trackRevisions>
    </reviewItem>
    <reviewItem>
      <errorID>0fb54f9b-99fb-47d8-8a12-e60abd0792fc</errorID>
      <errorWord>)</errorWord>
      <group>L1_Punc</group>
      <groupName>标点问题</groupName>
      <ability>L2_Punc_CN</ability>
      <abilityName>标点符号问题</abilityName>
      <candidateList/>
      <explain>同一形式括号套用。</explain>
      <paraID>54E8D046</paraID>
      <start>8</start>
      <end>9</end>
      <status>unmodified</status>
      <modifiedWord/>
      <trackRevisions>false</trackRevisions>
    </reviewItem>
    <reviewItem>
      <errorID>7ab5e1e6-5b50-461c-a14a-80023985fde3</errorID>
      <errorWord>-</errorWord>
      <group>L1_Format</group>
      <groupName>格式问题</groupName>
      <ability>L2_HalfPunc_CN</ability>
      <abilityName>全半角问题</abilityName>
      <candidateList>
        <item>－</item>
      </candidateList>
      <explain>文本全半角错误。</explain>
      <paraID>2277B52B</paraID>
      <start>47</start>
      <end>48</end>
      <status>unmodified</status>
      <modifiedWord/>
      <trackRevisions>false</trackRevisions>
    </reviewItem>
  </reviewItems>
  <config/>
</contractReview>
</file>

<file path=customXml/itemProps1.xml><?xml version="1.0" encoding="utf-8"?>
<ds:datastoreItem xmlns:ds="http://schemas.openxmlformats.org/officeDocument/2006/customXml" ds:itemID="{DA6EDC4E-91BA-4CA1-8D20-77CCBCE88A8C}">
  <ds:schemaRefs/>
</ds:datastoreItem>
</file>

<file path=customXml/itemProps2.xml><?xml version="1.0" encoding="utf-8"?>
<ds:datastoreItem xmlns:ds="http://schemas.openxmlformats.org/officeDocument/2006/customXml" ds:itemID="{be10fc24-a89b-4fc1-890f-d41544cee38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89</Pages>
  <Words>16138</Words>
  <Characters>18324</Characters>
  <Lines>3337</Lines>
  <Paragraphs>2932</Paragraphs>
  <TotalTime>5</TotalTime>
  <ScaleCrop>false</ScaleCrop>
  <LinksUpToDate>false</LinksUpToDate>
  <CharactersWithSpaces>18606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2026-04-14T02:19:00Z</dcterms:created>
  <dc:creator>胡鹏</dc:creator>
  <cp:lastModifiedBy>鱼仔</cp:lastModifiedBy>
  <cp:lastPrinted>2026-07-29T02:10:00Z</cp:lastPrinted>
  <dcterms:modified xsi:type="dcterms:W3CDTF">2026-09-03T04:02:23Z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0F584E7887D34620A8A9A6F444C8C162_13</vt:lpwstr>
  </property>
  <property fmtid="{D5CDD505-2E9C-101B-9397-08002B2CF9AE}" pid="4" name="KSOTemplateDocerSaveRecord">
    <vt:lpwstr>eyJoZGlkIjoiMjdkOGNhZmQ3YzZjOWVkZmRlMzMwZGQ3MTc5MDFjMDIiLCJ1c2VySWQiOiIyNjIyMjkwNjIifQ==</vt:lpwstr>
  </property>
</Properties>
</file>