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仿宋"/>
          <w:sz w:val="32"/>
          <w:szCs w:val="32"/>
          <w:lang w:val="en-US" w:eastAsia="zh-CN"/>
        </w:rPr>
      </w:pPr>
      <w:bookmarkStart w:id="0" w:name="_GoBack"/>
      <w:bookmarkEnd w:id="0"/>
      <w:r>
        <w:rPr>
          <w:rFonts w:hint="eastAsia" w:ascii="黑体" w:hAnsi="黑体" w:eastAsia="黑体" w:cs="仿宋"/>
          <w:sz w:val="32"/>
          <w:szCs w:val="32"/>
          <w:lang w:eastAsia="zh-CN"/>
        </w:rPr>
        <w:t>附件</w:t>
      </w:r>
      <w:r>
        <w:rPr>
          <w:rFonts w:hint="eastAsia" w:ascii="黑体" w:hAnsi="黑体" w:eastAsia="黑体" w:cs="仿宋"/>
          <w:sz w:val="32"/>
          <w:szCs w:val="32"/>
          <w:lang w:val="en-US" w:eastAsia="zh-CN"/>
        </w:rPr>
        <w:t>4</w:t>
      </w:r>
    </w:p>
    <w:p>
      <w:pPr>
        <w:rPr>
          <w:rFonts w:hint="eastAsia" w:ascii="黑体" w:hAnsi="黑体" w:eastAsia="黑体" w:cs="仿宋"/>
          <w:sz w:val="32"/>
          <w:szCs w:val="32"/>
          <w:lang w:val="en-US" w:eastAsia="zh-CN"/>
        </w:rPr>
      </w:pPr>
    </w:p>
    <w:p>
      <w:pPr>
        <w:rPr>
          <w:rFonts w:hint="eastAsia" w:ascii="黑体" w:hAnsi="黑体" w:eastAsia="黑体" w:cs="仿宋"/>
          <w:sz w:val="32"/>
          <w:szCs w:val="32"/>
          <w:lang w:val="en-US" w:eastAsia="zh-CN"/>
        </w:rPr>
      </w:pPr>
    </w:p>
    <w:p>
      <w:pPr>
        <w:rPr>
          <w:rFonts w:hint="eastAsia" w:ascii="黑体" w:hAnsi="黑体" w:eastAsia="黑体" w:cs="仿宋"/>
          <w:sz w:val="32"/>
          <w:szCs w:val="32"/>
          <w:lang w:val="en-US" w:eastAsia="zh-CN"/>
        </w:rPr>
      </w:pPr>
    </w:p>
    <w:p>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52"/>
          <w:szCs w:val="52"/>
          <w:lang w:eastAsia="zh-CN"/>
        </w:rPr>
      </w:pPr>
      <w:r>
        <w:rPr>
          <w:rFonts w:hint="eastAsia" w:ascii="微软雅黑" w:hAnsi="微软雅黑" w:eastAsia="微软雅黑" w:cs="微软雅黑"/>
          <w:sz w:val="52"/>
          <w:szCs w:val="52"/>
          <w:lang w:val="en-US" w:eastAsia="zh-CN"/>
        </w:rPr>
        <w:t>2025年度中国人民政治协商会议安化委员会</w:t>
      </w:r>
      <w:r>
        <w:rPr>
          <w:rFonts w:hint="eastAsia" w:ascii="微软雅黑" w:hAnsi="微软雅黑" w:eastAsia="微软雅黑" w:cs="微软雅黑"/>
          <w:sz w:val="52"/>
          <w:szCs w:val="52"/>
        </w:rPr>
        <w:t>整体支出</w:t>
      </w:r>
      <w:r>
        <w:rPr>
          <w:rFonts w:hint="eastAsia" w:ascii="微软雅黑" w:hAnsi="微软雅黑" w:eastAsia="微软雅黑" w:cs="微软雅黑"/>
          <w:sz w:val="52"/>
          <w:szCs w:val="52"/>
          <w:lang w:eastAsia="zh-CN"/>
        </w:rPr>
        <w:t>绩效自评报告</w:t>
      </w:r>
    </w:p>
    <w:p>
      <w:pPr>
        <w:widowControl/>
        <w:ind w:firstLine="361" w:firstLineChars="100"/>
        <w:rPr>
          <w:rFonts w:ascii="楷体" w:hAnsi="楷体" w:eastAsia="楷体" w:cs="楷体"/>
          <w:b/>
          <w:bCs/>
          <w:kern w:val="0"/>
          <w:sz w:val="36"/>
          <w:szCs w:val="36"/>
        </w:rPr>
      </w:pPr>
    </w:p>
    <w:p/>
    <w:p>
      <w:pPr>
        <w:rPr>
          <w:rFonts w:ascii="楷体" w:hAnsi="楷体" w:eastAsia="楷体" w:cs="楷体"/>
          <w:b/>
          <w:bCs/>
          <w:kern w:val="0"/>
          <w:sz w:val="36"/>
          <w:szCs w:val="36"/>
        </w:rPr>
      </w:pPr>
    </w:p>
    <w:p>
      <w:pPr>
        <w:rPr>
          <w:rFonts w:ascii="楷体" w:hAnsi="楷体" w:eastAsia="楷体" w:cs="楷体"/>
          <w:b/>
          <w:bCs/>
          <w:kern w:val="0"/>
          <w:sz w:val="36"/>
          <w:szCs w:val="36"/>
        </w:rPr>
      </w:pPr>
    </w:p>
    <w:p>
      <w:pPr>
        <w:rPr>
          <w:rFonts w:ascii="楷体" w:hAnsi="楷体" w:eastAsia="楷体" w:cs="楷体"/>
          <w:b/>
          <w:bCs/>
          <w:kern w:val="0"/>
          <w:sz w:val="36"/>
          <w:szCs w:val="36"/>
        </w:rPr>
      </w:pPr>
    </w:p>
    <w:p>
      <w:pPr>
        <w:rPr>
          <w:rFonts w:ascii="楷体" w:hAnsi="楷体" w:eastAsia="楷体" w:cs="楷体"/>
          <w:b/>
          <w:bCs/>
          <w:kern w:val="0"/>
          <w:sz w:val="36"/>
          <w:szCs w:val="36"/>
        </w:rPr>
      </w:pPr>
    </w:p>
    <w:p>
      <w:pPr>
        <w:pStyle w:val="5"/>
      </w:pPr>
    </w:p>
    <w:p>
      <w:pPr>
        <w:widowControl/>
        <w:ind w:firstLine="361" w:firstLineChars="100"/>
        <w:rPr>
          <w:rFonts w:hint="eastAsia" w:ascii="楷体" w:hAnsi="楷体" w:eastAsia="楷体" w:cs="楷体"/>
          <w:b/>
          <w:bCs/>
          <w:kern w:val="0"/>
          <w:sz w:val="36"/>
          <w:szCs w:val="36"/>
        </w:rPr>
      </w:pPr>
    </w:p>
    <w:p>
      <w:pPr>
        <w:jc w:val="center"/>
        <w:rPr>
          <w:rFonts w:hint="eastAsia" w:ascii="黑体" w:hAnsi="黑体" w:eastAsia="黑体" w:cs="黑体"/>
          <w:b w:val="0"/>
          <w:bCs w:val="0"/>
          <w:kern w:val="0"/>
          <w:sz w:val="36"/>
          <w:szCs w:val="36"/>
        </w:rPr>
      </w:pPr>
      <w:r>
        <w:rPr>
          <w:rFonts w:hint="eastAsia" w:ascii="黑体" w:hAnsi="黑体" w:eastAsia="黑体" w:cs="黑体"/>
          <w:b w:val="0"/>
          <w:bCs w:val="0"/>
          <w:kern w:val="0"/>
          <w:sz w:val="36"/>
          <w:szCs w:val="36"/>
        </w:rPr>
        <w:t>中国人民政治协商会议安化委员会</w:t>
      </w:r>
    </w:p>
    <w:p>
      <w:pPr>
        <w:jc w:val="center"/>
        <w:rPr>
          <w:rFonts w:hint="eastAsia" w:ascii="黑体" w:hAnsi="黑体" w:eastAsia="黑体" w:cs="黑体"/>
          <w:b w:val="0"/>
          <w:bCs w:val="0"/>
          <w:kern w:val="0"/>
          <w:sz w:val="36"/>
          <w:szCs w:val="36"/>
        </w:rPr>
      </w:pPr>
      <w:r>
        <w:rPr>
          <w:rFonts w:hint="eastAsia" w:ascii="黑体" w:hAnsi="黑体" w:eastAsia="黑体" w:cs="黑体"/>
          <w:b w:val="0"/>
          <w:bCs w:val="0"/>
          <w:kern w:val="0"/>
          <w:sz w:val="36"/>
          <w:szCs w:val="36"/>
          <w:lang w:val="en-US" w:eastAsia="zh-CN"/>
        </w:rPr>
        <w:t>2026</w:t>
      </w:r>
      <w:r>
        <w:rPr>
          <w:rFonts w:hint="eastAsia" w:ascii="黑体" w:hAnsi="黑体" w:eastAsia="黑体" w:cs="黑体"/>
          <w:b w:val="0"/>
          <w:bCs w:val="0"/>
          <w:kern w:val="0"/>
          <w:sz w:val="36"/>
          <w:szCs w:val="36"/>
        </w:rPr>
        <w:t xml:space="preserve">年 </w:t>
      </w:r>
      <w:r>
        <w:rPr>
          <w:rFonts w:hint="eastAsia" w:ascii="黑体" w:hAnsi="黑体" w:eastAsia="黑体" w:cs="黑体"/>
          <w:b w:val="0"/>
          <w:bCs w:val="0"/>
          <w:kern w:val="0"/>
          <w:sz w:val="36"/>
          <w:szCs w:val="36"/>
          <w:lang w:val="en-US" w:eastAsia="zh-CN"/>
        </w:rPr>
        <w:t>05</w:t>
      </w:r>
      <w:r>
        <w:rPr>
          <w:rFonts w:hint="eastAsia" w:ascii="黑体" w:hAnsi="黑体" w:eastAsia="黑体" w:cs="黑体"/>
          <w:b w:val="0"/>
          <w:bCs w:val="0"/>
          <w:kern w:val="0"/>
          <w:sz w:val="36"/>
          <w:szCs w:val="36"/>
        </w:rPr>
        <w:t xml:space="preserve"> 月 </w:t>
      </w:r>
      <w:r>
        <w:rPr>
          <w:rFonts w:hint="eastAsia" w:ascii="黑体" w:hAnsi="黑体" w:eastAsia="黑体" w:cs="黑体"/>
          <w:b w:val="0"/>
          <w:bCs w:val="0"/>
          <w:kern w:val="0"/>
          <w:sz w:val="36"/>
          <w:szCs w:val="36"/>
          <w:lang w:val="en-US" w:eastAsia="zh-CN"/>
        </w:rPr>
        <w:t>19</w:t>
      </w:r>
      <w:r>
        <w:rPr>
          <w:rFonts w:hint="eastAsia" w:ascii="黑体" w:hAnsi="黑体" w:eastAsia="黑体" w:cs="黑体"/>
          <w:b w:val="0"/>
          <w:bCs w:val="0"/>
          <w:kern w:val="0"/>
          <w:sz w:val="36"/>
          <w:szCs w:val="36"/>
        </w:rPr>
        <w:t xml:space="preserve"> 日</w:t>
      </w:r>
    </w:p>
    <w:p>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r>
        <w:rPr>
          <w:rFonts w:hint="eastAsia" w:ascii="黑体" w:hAnsi="黑体" w:eastAsia="黑体" w:cs="仿宋"/>
          <w:kern w:val="0"/>
          <w:sz w:val="32"/>
          <w:szCs w:val="32"/>
        </w:rPr>
        <w:br w:type="page"/>
      </w:r>
    </w:p>
    <w:p>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rPr>
      </w:pPr>
      <w:r>
        <w:rPr>
          <w:rFonts w:hint="eastAsia" w:ascii="微软雅黑" w:hAnsi="仿宋" w:eastAsia="微软雅黑" w:cs="宋体"/>
          <w:b w:val="0"/>
          <w:bCs/>
          <w:kern w:val="0"/>
          <w:sz w:val="44"/>
          <w:szCs w:val="44"/>
          <w:lang w:val="en-US" w:eastAsia="zh-CN"/>
        </w:rPr>
        <w:t>2025</w:t>
      </w:r>
      <w:r>
        <w:rPr>
          <w:rFonts w:hint="eastAsia" w:ascii="微软雅黑" w:hAnsi="仿宋" w:eastAsia="微软雅黑" w:cs="宋体"/>
          <w:b w:val="0"/>
          <w:bCs/>
          <w:kern w:val="0"/>
          <w:sz w:val="44"/>
          <w:szCs w:val="44"/>
        </w:rPr>
        <w:t>年度</w:t>
      </w:r>
      <w:r>
        <w:rPr>
          <w:rFonts w:hint="eastAsia" w:ascii="微软雅黑" w:hAnsi="仿宋" w:eastAsia="微软雅黑" w:cs="宋体"/>
          <w:b w:val="0"/>
          <w:bCs/>
          <w:kern w:val="0"/>
          <w:sz w:val="44"/>
          <w:szCs w:val="44"/>
          <w:lang w:eastAsia="zh-CN"/>
        </w:rPr>
        <w:t>中国人民政治协商会议安化委员会</w:t>
      </w:r>
      <w:r>
        <w:rPr>
          <w:rFonts w:hint="eastAsia" w:ascii="微软雅黑" w:hAnsi="仿宋" w:eastAsia="微软雅黑" w:cs="宋体"/>
          <w:b w:val="0"/>
          <w:bCs/>
          <w:kern w:val="0"/>
          <w:sz w:val="44"/>
          <w:szCs w:val="44"/>
        </w:rPr>
        <w:t>整体支出绩效自评报告</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一、部门(单位)基本情况</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(一)</w:t>
      </w:r>
      <w:r>
        <w:rPr>
          <w:rFonts w:hint="eastAsia" w:ascii="楷体_GB2312" w:hAnsi="楷体_GB2312" w:eastAsia="楷体_GB2312" w:cs="楷体_GB2312"/>
          <w:color w:val="000000"/>
          <w:kern w:val="0"/>
          <w:sz w:val="32"/>
          <w:szCs w:val="32"/>
          <w:lang w:eastAsia="zh-CN"/>
        </w:rPr>
        <w:t>2025</w:t>
      </w:r>
      <w:r>
        <w:rPr>
          <w:rFonts w:hint="eastAsia" w:ascii="楷体_GB2312" w:hAnsi="楷体_GB2312" w:eastAsia="楷体_GB2312" w:cs="楷体_GB2312"/>
          <w:color w:val="000000"/>
          <w:kern w:val="0"/>
          <w:sz w:val="32"/>
          <w:szCs w:val="32"/>
        </w:rPr>
        <w:t>年度重点工作</w:t>
      </w:r>
    </w:p>
    <w:p>
      <w:pPr>
        <w:widowControl/>
        <w:shd w:val="clear" w:color="auto" w:fill="FFFFFF"/>
        <w:wordWrap/>
        <w:adjustRightInd/>
        <w:snapToGrid/>
        <w:spacing w:line="560" w:lineRule="exact"/>
        <w:ind w:left="0" w:leftChars="0" w:right="0" w:firstLine="640"/>
        <w:jc w:val="left"/>
        <w:textAlignment w:val="auto"/>
        <w:outlineLvl w:val="9"/>
        <w:rPr>
          <w:rFonts w:hint="eastAsia" w:ascii="仿宋_GB2312" w:hAnsi="宋体" w:eastAsia="仿宋_GB2312" w:cs="宋体"/>
          <w:b w:val="0"/>
          <w:bCs w:val="0"/>
          <w:color w:val="000000"/>
          <w:szCs w:val="21"/>
        </w:rPr>
      </w:pPr>
      <w:r>
        <w:rPr>
          <w:rFonts w:hint="eastAsia" w:ascii="仿宋_GB2312" w:hAnsi="宋体" w:eastAsia="仿宋_GB2312" w:cs="宋体"/>
          <w:b w:val="0"/>
          <w:bCs w:val="0"/>
          <w:color w:val="000000"/>
          <w:kern w:val="0"/>
          <w:sz w:val="32"/>
          <w:szCs w:val="32"/>
          <w:shd w:val="clear" w:color="auto" w:fill="FFFFFF"/>
        </w:rPr>
        <w:t>1、负责县政协全体会议、常务委员会议、主席会议、主席办公会议、秘书长会议和专门委员会会议的会务工作，负责上述会议所形成的决议、决定、建议案的组织实施。</w:t>
      </w:r>
      <w:r>
        <w:rPr>
          <w:rFonts w:hint="eastAsia" w:ascii="仿宋_GB2312" w:hAnsi="宋体" w:eastAsia="仿宋_GB2312" w:cs="宋体"/>
          <w:b w:val="0"/>
          <w:bCs w:val="0"/>
          <w:color w:val="000000"/>
          <w:kern w:val="0"/>
          <w:sz w:val="32"/>
          <w:szCs w:val="32"/>
          <w:shd w:val="clear" w:color="auto" w:fill="FFFFFF"/>
        </w:rPr>
        <w:br w:type="textWrapping"/>
      </w:r>
      <w:r>
        <w:rPr>
          <w:rFonts w:hint="eastAsia" w:ascii="仿宋_GB2312" w:hAnsi="宋体" w:eastAsia="仿宋_GB2312" w:cs="宋体"/>
          <w:b w:val="0"/>
          <w:bCs w:val="0"/>
          <w:color w:val="000000"/>
          <w:kern w:val="0"/>
          <w:sz w:val="32"/>
          <w:szCs w:val="32"/>
          <w:shd w:val="clear" w:color="auto" w:fill="FFFFFF"/>
        </w:rPr>
        <w:t>　　2、协调县政协各专门委员会的工作，充分发挥县政协委员的作用，履行好政治协商、民主监督、参政议政的基本职责。</w:t>
      </w:r>
      <w:r>
        <w:rPr>
          <w:rFonts w:hint="eastAsia" w:ascii="仿宋_GB2312" w:hAnsi="宋体" w:eastAsia="仿宋_GB2312" w:cs="宋体"/>
          <w:b w:val="0"/>
          <w:bCs w:val="0"/>
          <w:color w:val="000000"/>
          <w:kern w:val="0"/>
          <w:sz w:val="32"/>
          <w:szCs w:val="32"/>
          <w:shd w:val="clear" w:color="auto" w:fill="FFFFFF"/>
        </w:rPr>
        <w:br w:type="textWrapping"/>
      </w:r>
      <w:r>
        <w:rPr>
          <w:rFonts w:hint="eastAsia" w:ascii="仿宋_GB2312" w:hAnsi="宋体" w:eastAsia="仿宋_GB2312" w:cs="宋体"/>
          <w:b w:val="0"/>
          <w:bCs w:val="0"/>
          <w:color w:val="000000"/>
          <w:kern w:val="0"/>
          <w:sz w:val="32"/>
          <w:szCs w:val="32"/>
          <w:shd w:val="clear" w:color="auto" w:fill="FFFFFF"/>
        </w:rPr>
        <w:t>　　3、负责县政协委员进行视察、参观、调查、座谈、学习、研讨等日常活动的服务和具体组织工作；受市政协办公室的委托，组织在安省市政协委员进行视察活动。</w:t>
      </w:r>
      <w:r>
        <w:rPr>
          <w:rFonts w:hint="eastAsia" w:ascii="仿宋_GB2312" w:hAnsi="宋体" w:eastAsia="仿宋_GB2312" w:cs="宋体"/>
          <w:b w:val="0"/>
          <w:bCs w:val="0"/>
          <w:color w:val="000000"/>
          <w:kern w:val="0"/>
          <w:sz w:val="32"/>
          <w:szCs w:val="32"/>
          <w:shd w:val="clear" w:color="auto" w:fill="FFFFFF"/>
        </w:rPr>
        <w:br w:type="textWrapping"/>
      </w:r>
      <w:r>
        <w:rPr>
          <w:rFonts w:hint="eastAsia" w:ascii="仿宋_GB2312" w:hAnsi="宋体" w:eastAsia="仿宋_GB2312" w:cs="宋体"/>
          <w:b w:val="0"/>
          <w:bCs w:val="0"/>
          <w:color w:val="000000"/>
          <w:kern w:val="0"/>
          <w:sz w:val="32"/>
          <w:szCs w:val="32"/>
          <w:shd w:val="clear" w:color="auto" w:fill="FFFFFF"/>
        </w:rPr>
        <w:t>　　4、研究统一战线和人民政协的理论、政策，调查研究地方政协的共同性问题及其解决方法，供领导参考。</w:t>
      </w:r>
      <w:r>
        <w:rPr>
          <w:rFonts w:hint="eastAsia" w:ascii="仿宋_GB2312" w:hAnsi="宋体" w:eastAsia="仿宋_GB2312" w:cs="宋体"/>
          <w:b w:val="0"/>
          <w:bCs w:val="0"/>
          <w:color w:val="000000"/>
          <w:kern w:val="0"/>
          <w:sz w:val="32"/>
          <w:szCs w:val="32"/>
          <w:shd w:val="clear" w:color="auto" w:fill="FFFFFF"/>
        </w:rPr>
        <w:br w:type="textWrapping"/>
      </w:r>
      <w:r>
        <w:rPr>
          <w:rFonts w:hint="eastAsia" w:ascii="仿宋_GB2312" w:hAnsi="宋体" w:eastAsia="仿宋_GB2312" w:cs="宋体"/>
          <w:b w:val="0"/>
          <w:bCs w:val="0"/>
          <w:color w:val="000000"/>
          <w:kern w:val="0"/>
          <w:sz w:val="32"/>
          <w:szCs w:val="32"/>
          <w:shd w:val="clear" w:color="auto" w:fill="FFFFFF"/>
        </w:rPr>
        <w:t>　　5、宣传人民政协的方针政策、工作业绩和经验以及政协委员的先进事迹，收集和反映县政协委员和各界人士的意见与建议，综合、反映社情民意。</w:t>
      </w:r>
      <w:r>
        <w:rPr>
          <w:rFonts w:hint="eastAsia" w:ascii="仿宋_GB2312" w:hAnsi="宋体" w:eastAsia="仿宋_GB2312" w:cs="宋体"/>
          <w:b w:val="0"/>
          <w:bCs w:val="0"/>
          <w:color w:val="000000"/>
          <w:kern w:val="0"/>
          <w:sz w:val="32"/>
          <w:szCs w:val="32"/>
          <w:shd w:val="clear" w:color="auto" w:fill="FFFFFF"/>
        </w:rPr>
        <w:br w:type="textWrapping"/>
      </w:r>
      <w:r>
        <w:rPr>
          <w:rFonts w:hint="eastAsia" w:ascii="仿宋_GB2312" w:hAnsi="宋体" w:eastAsia="仿宋_GB2312" w:cs="宋体"/>
          <w:b w:val="0"/>
          <w:bCs w:val="0"/>
          <w:color w:val="000000"/>
          <w:kern w:val="0"/>
          <w:sz w:val="32"/>
          <w:szCs w:val="32"/>
          <w:shd w:val="clear" w:color="auto" w:fill="FFFFFF"/>
        </w:rPr>
        <w:t>　　6、联系工商联、各人民团体和无党派人士，联系县直有关部门，互通信息，协调工作，加强合作。</w:t>
      </w:r>
      <w:r>
        <w:rPr>
          <w:rFonts w:hint="eastAsia" w:ascii="仿宋_GB2312" w:hAnsi="宋体" w:eastAsia="仿宋_GB2312" w:cs="宋体"/>
          <w:b w:val="0"/>
          <w:bCs w:val="0"/>
          <w:color w:val="000000"/>
          <w:kern w:val="0"/>
          <w:sz w:val="32"/>
          <w:szCs w:val="32"/>
          <w:shd w:val="clear" w:color="auto" w:fill="FFFFFF"/>
        </w:rPr>
        <w:br w:type="textWrapping"/>
      </w:r>
      <w:r>
        <w:rPr>
          <w:rFonts w:hint="eastAsia" w:ascii="仿宋_GB2312" w:hAnsi="宋体" w:eastAsia="仿宋_GB2312" w:cs="宋体"/>
          <w:b w:val="0"/>
          <w:bCs w:val="0"/>
          <w:color w:val="000000"/>
          <w:kern w:val="0"/>
          <w:sz w:val="32"/>
          <w:szCs w:val="32"/>
          <w:shd w:val="clear" w:color="auto" w:fill="FFFFFF"/>
        </w:rPr>
        <w:t>　　7、负责县政协开展各项活动的有关后勤服务管理工作和县政协机关行政事务管理工作。</w:t>
      </w:r>
      <w:r>
        <w:rPr>
          <w:rFonts w:hint="eastAsia" w:ascii="仿宋_GB2312" w:hAnsi="宋体" w:eastAsia="仿宋_GB2312" w:cs="宋体"/>
          <w:b w:val="0"/>
          <w:bCs w:val="0"/>
          <w:color w:val="000000"/>
          <w:kern w:val="0"/>
          <w:sz w:val="32"/>
          <w:szCs w:val="32"/>
          <w:shd w:val="clear" w:color="auto" w:fill="FFFFFF"/>
        </w:rPr>
        <w:br w:type="textWrapping"/>
      </w:r>
      <w:r>
        <w:rPr>
          <w:rFonts w:hint="eastAsia" w:ascii="仿宋_GB2312" w:hAnsi="宋体" w:eastAsia="仿宋_GB2312" w:cs="宋体"/>
          <w:b w:val="0"/>
          <w:bCs w:val="0"/>
          <w:color w:val="000000"/>
          <w:kern w:val="0"/>
          <w:sz w:val="32"/>
          <w:szCs w:val="32"/>
          <w:shd w:val="clear" w:color="auto" w:fill="FFFFFF"/>
        </w:rPr>
        <w:t>　　8、负责权限范围内的人事任免。</w:t>
      </w:r>
      <w:r>
        <w:rPr>
          <w:rFonts w:hint="eastAsia" w:ascii="仿宋_GB2312" w:hAnsi="宋体" w:eastAsia="仿宋_GB2312" w:cs="宋体"/>
          <w:b w:val="0"/>
          <w:bCs w:val="0"/>
          <w:color w:val="000000"/>
          <w:kern w:val="0"/>
          <w:sz w:val="32"/>
          <w:szCs w:val="32"/>
          <w:shd w:val="clear" w:color="auto" w:fill="FFFFFF"/>
        </w:rPr>
        <w:br w:type="textWrapping"/>
      </w:r>
      <w:r>
        <w:rPr>
          <w:rFonts w:hint="eastAsia" w:ascii="仿宋_GB2312" w:hAnsi="宋体" w:eastAsia="仿宋_GB2312" w:cs="宋体"/>
          <w:b w:val="0"/>
          <w:bCs w:val="0"/>
          <w:color w:val="000000"/>
          <w:kern w:val="0"/>
          <w:sz w:val="32"/>
          <w:szCs w:val="32"/>
          <w:shd w:val="clear" w:color="auto" w:fill="FFFFFF"/>
        </w:rPr>
        <w:t>　　9、负责接待来安访问的海内外有关友好人士和对外联谊工作。</w:t>
      </w:r>
    </w:p>
    <w:p>
      <w:pPr>
        <w:widowControl/>
        <w:wordWrap/>
        <w:adjustRightInd/>
        <w:snapToGrid/>
        <w:spacing w:line="560" w:lineRule="exact"/>
        <w:ind w:left="0" w:leftChars="0" w:right="0"/>
        <w:jc w:val="left"/>
        <w:textAlignment w:val="auto"/>
        <w:outlineLvl w:val="9"/>
        <w:rPr>
          <w:rFonts w:hint="eastAsia" w:ascii="仿宋_GB2312" w:hAnsi="宋体" w:eastAsia="仿宋_GB2312" w:cs="宋体"/>
          <w:b w:val="0"/>
          <w:bCs w:val="0"/>
          <w:color w:val="000000"/>
          <w:kern w:val="0"/>
          <w:szCs w:val="21"/>
          <w:shd w:val="clear" w:color="auto" w:fill="FFFFFF"/>
        </w:rPr>
      </w:pPr>
      <w:r>
        <w:rPr>
          <w:rFonts w:hint="eastAsia" w:ascii="宋体" w:hAnsi="宋体" w:eastAsia="仿宋_GB2312" w:cs="宋体"/>
          <w:b w:val="0"/>
          <w:bCs w:val="0"/>
          <w:color w:val="000000"/>
          <w:kern w:val="0"/>
          <w:sz w:val="32"/>
          <w:szCs w:val="32"/>
          <w:shd w:val="clear" w:color="auto" w:fill="FFFFFF"/>
        </w:rPr>
        <w:t>  </w:t>
      </w:r>
      <w:r>
        <w:rPr>
          <w:rFonts w:hint="eastAsia" w:ascii="仿宋_GB2312" w:hAnsi="宋体" w:eastAsia="仿宋_GB2312" w:cs="宋体"/>
          <w:b w:val="0"/>
          <w:bCs w:val="0"/>
          <w:color w:val="000000"/>
          <w:kern w:val="0"/>
          <w:sz w:val="32"/>
          <w:szCs w:val="32"/>
          <w:shd w:val="clear" w:color="auto" w:fill="FFFFFF"/>
        </w:rPr>
        <w:t>10、参与中心工作。</w:t>
      </w:r>
      <w:r>
        <w:rPr>
          <w:rFonts w:hint="eastAsia" w:ascii="仿宋_GB2312" w:hAnsi="宋体" w:eastAsia="仿宋_GB2312" w:cs="宋体"/>
          <w:b w:val="0"/>
          <w:bCs w:val="0"/>
          <w:color w:val="000000"/>
          <w:kern w:val="0"/>
          <w:szCs w:val="21"/>
          <w:shd w:val="clear" w:color="auto" w:fill="FFFFFF"/>
        </w:rPr>
        <w:t xml:space="preserve"> </w:t>
      </w:r>
    </w:p>
    <w:p>
      <w:pPr>
        <w:widowControl/>
        <w:wordWrap/>
        <w:adjustRightInd/>
        <w:snapToGrid/>
        <w:spacing w:line="560" w:lineRule="exact"/>
        <w:ind w:left="0" w:leftChars="0" w:right="0" w:firstLine="640" w:firstLineChars="200"/>
        <w:jc w:val="left"/>
        <w:textAlignment w:val="auto"/>
        <w:outlineLvl w:val="9"/>
        <w:rPr>
          <w:rFonts w:hint="eastAsia" w:ascii="仿宋_GB2312" w:hAnsi="宋体" w:eastAsia="仿宋_GB2312" w:cs="宋体"/>
          <w:b w:val="0"/>
          <w:bCs w:val="0"/>
          <w:color w:val="000000"/>
          <w:kern w:val="0"/>
          <w:sz w:val="32"/>
          <w:szCs w:val="32"/>
          <w:shd w:val="clear" w:color="auto" w:fill="FFFFFF"/>
          <w:lang w:val="en-US" w:eastAsia="zh-CN"/>
        </w:rPr>
      </w:pPr>
      <w:r>
        <w:rPr>
          <w:rFonts w:hint="eastAsia" w:ascii="仿宋_GB2312" w:hAnsi="宋体" w:eastAsia="仿宋_GB2312" w:cs="宋体"/>
          <w:b w:val="0"/>
          <w:bCs w:val="0"/>
          <w:color w:val="000000"/>
          <w:kern w:val="0"/>
          <w:sz w:val="32"/>
          <w:szCs w:val="32"/>
          <w:shd w:val="clear" w:color="auto" w:fill="FFFFFF"/>
          <w:lang w:val="en-US" w:eastAsia="zh-CN"/>
        </w:rPr>
        <w:t>中国人民政治协商会议安化委员会2025年度机构以及人员划分：</w:t>
      </w:r>
    </w:p>
    <w:p>
      <w:pPr>
        <w:widowControl/>
        <w:wordWrap/>
        <w:adjustRightInd/>
        <w:snapToGrid/>
        <w:spacing w:line="560" w:lineRule="exact"/>
        <w:ind w:left="0" w:leftChars="0" w:right="0" w:firstLine="640" w:firstLineChars="200"/>
        <w:jc w:val="left"/>
        <w:textAlignment w:val="auto"/>
        <w:outlineLvl w:val="9"/>
        <w:rPr>
          <w:rFonts w:hint="default" w:ascii="仿宋_GB2312" w:hAnsi="宋体" w:eastAsia="仿宋_GB2312" w:cs="宋体"/>
          <w:b w:val="0"/>
          <w:bCs w:val="0"/>
          <w:color w:val="000000"/>
          <w:kern w:val="0"/>
          <w:sz w:val="32"/>
          <w:szCs w:val="32"/>
          <w:shd w:val="clear" w:color="auto" w:fill="FFFFFF"/>
          <w:lang w:val="en-US" w:eastAsia="zh-CN"/>
        </w:rPr>
      </w:pPr>
      <w:r>
        <w:rPr>
          <w:rFonts w:hint="eastAsia" w:ascii="仿宋_GB2312" w:hAnsi="宋体" w:eastAsia="仿宋_GB2312" w:cs="宋体"/>
          <w:b w:val="0"/>
          <w:bCs w:val="0"/>
          <w:color w:val="000000"/>
          <w:kern w:val="0"/>
          <w:sz w:val="32"/>
          <w:szCs w:val="32"/>
          <w:shd w:val="clear" w:color="auto" w:fill="FFFFFF"/>
          <w:lang w:val="en-US" w:eastAsia="zh-CN"/>
        </w:rPr>
        <w:t>机关行政编制31名，机关后勤服务全额拨款事业编制6名，年末实有机关行政人员31名，机关后勤事业人员6名。2025年，县政协机关全体干部按照县委部署要求，下沉一线参与县域重点项目建设、乡村振兴、招商引资、基层治理等县域中心工作，牵头或协助完成了重点工作事项，落实包村联户、企业帮扶等工作责任，全力配合推动县委县政府各项中心任务落地见效。</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(二)部门整体支出规模、使用方向、主要内容和涉及范围</w:t>
      </w:r>
    </w:p>
    <w:p>
      <w:pPr>
        <w:pStyle w:val="6"/>
        <w:shd w:val="clear" w:color="auto" w:fill="FFFFFF"/>
        <w:spacing w:before="0" w:beforeAutospacing="0" w:after="0" w:afterAutospacing="0" w:line="594" w:lineRule="exact"/>
        <w:ind w:firstLine="640" w:firstLineChars="200"/>
        <w:jc w:val="both"/>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2025年度整体支出总额1136.4万元，其中财政拨款收入1136.4万元，占总收入的100%。主要内容和涉及范围：人员经费包括基本工资、津贴补贴、奖金、其他社会保障缴费、退休费生活补助、住房公积金等；日常公用经费包括办公费、差旅费、培训费、公务接待费、劳务费、工会经费、福利费、公务用车运行维护费、其他交通费用、其他商品和服务支出等；项目支出主要包括其他对个人和家庭的补助支出、办公费、印刷费、邮电费、差旅费、维修（护）费、会议费、培训费、公务接待费、劳务费、委托业务费、公务用车运行维护费、其他交通费、其他商品和服务支出、办公设备购置。涉及人员经费、保障基本运转、开展各项专项业务工作、精准扶贫、党建所发生的全部支出。</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二、一般公共预算支出情况</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(一)基本支出情况</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eastAsia" w:ascii="仿宋" w:hAnsi="仿宋" w:eastAsia="仿宋" w:cs="Times New Roman"/>
          <w:kern w:val="2"/>
          <w:sz w:val="32"/>
          <w:szCs w:val="24"/>
          <w:u w:val="none"/>
          <w:shd w:val="clear" w:color="auto" w:fill="auto"/>
          <w:lang w:val="en-US" w:eastAsia="zh-CN" w:bidi="ar-SA"/>
        </w:rPr>
      </w:pPr>
      <w:r>
        <w:rPr>
          <w:rFonts w:hint="eastAsia" w:ascii="仿宋" w:hAnsi="仿宋" w:eastAsia="仿宋" w:cs="Times New Roman"/>
          <w:kern w:val="2"/>
          <w:sz w:val="32"/>
          <w:szCs w:val="24"/>
          <w:u w:val="none"/>
          <w:shd w:val="clear" w:color="auto" w:fill="auto"/>
          <w:lang w:val="en-US" w:eastAsia="zh-CN" w:bidi="ar-SA"/>
        </w:rPr>
        <w:t>基本支出734.75万元，是为保障各部门正常运转、完成日常工作任务而发生的各项支出，主要包括工资福利支出646.41万元，商品和服务支出70.54万元，对个人和家庭支出17.8万元，资本性支出0万元。其中，工资福利支出具体用于机关在职人员的基本工资、津贴补贴、奖金、各类社会保障缴费以及住房公积金等人员薪酬福利发放，保障机关工作人员的合法权益，维持队伍稳定；商品和服务支出主要用于保障机关日常办公运转，涵盖办公耗材购置、日常出差差旅报销、干部教育培训、公务接待保障、公务车辆日常运行维护、工会活动开展等各项日常办公开支；对个人和家庭的补助支出主要用于发放符合政策规定的相关人员补助，落实相关民生保障政策。本单位2025年度一般公共预算基本支出严格按照批准的预算执行，各项开支均符合国家和地方相关财经制度要求。</w:t>
      </w:r>
    </w:p>
    <w:p>
      <w:pPr>
        <w:widowControl/>
        <w:spacing w:line="600" w:lineRule="exact"/>
        <w:ind w:firstLine="660"/>
        <w:rPr>
          <w:rFonts w:hint="eastAsia"/>
        </w:rPr>
      </w:pPr>
      <w:r>
        <w:rPr>
          <w:rFonts w:hint="eastAsia" w:ascii="仿宋" w:hAnsi="仿宋" w:eastAsia="仿宋" w:cs="Times New Roman"/>
          <w:kern w:val="2"/>
          <w:sz w:val="32"/>
          <w:szCs w:val="24"/>
          <w:u w:val="none"/>
          <w:shd w:val="clear" w:color="auto" w:fill="auto"/>
          <w:lang w:val="en-US" w:eastAsia="zh-CN" w:bidi="ar-SA"/>
        </w:rPr>
        <w:t>“三公”经费支出情况：</w:t>
      </w:r>
      <w:r>
        <w:rPr>
          <w:rFonts w:hint="eastAsia" w:eastAsia="仿宋_GB2312"/>
          <w:sz w:val="32"/>
          <w:szCs w:val="32"/>
          <w:u w:val="none"/>
          <w:lang w:eastAsia="zh-CN"/>
        </w:rPr>
        <w:t>2025年</w:t>
      </w:r>
      <w:r>
        <w:rPr>
          <w:rFonts w:eastAsia="仿宋_GB2312"/>
          <w:sz w:val="32"/>
          <w:szCs w:val="32"/>
          <w:u w:val="none"/>
        </w:rPr>
        <w:t>本部门机关本级“三公”经费预算数为</w:t>
      </w:r>
      <w:r>
        <w:rPr>
          <w:rFonts w:hint="eastAsia" w:eastAsia="仿宋_GB2312"/>
          <w:sz w:val="32"/>
          <w:szCs w:val="32"/>
          <w:u w:val="none"/>
          <w:lang w:val="en-US" w:eastAsia="zh-CN"/>
        </w:rPr>
        <w:t>0</w:t>
      </w:r>
      <w:r>
        <w:rPr>
          <w:rFonts w:eastAsia="仿宋_GB2312"/>
          <w:sz w:val="32"/>
          <w:szCs w:val="32"/>
          <w:u w:val="none"/>
        </w:rPr>
        <w:t>万元，其中，公务接待费</w:t>
      </w:r>
      <w:r>
        <w:rPr>
          <w:rFonts w:hint="eastAsia" w:eastAsia="仿宋_GB2312"/>
          <w:sz w:val="32"/>
          <w:szCs w:val="32"/>
          <w:u w:val="none"/>
          <w:lang w:val="en-US" w:eastAsia="zh-CN"/>
        </w:rPr>
        <w:t>0</w:t>
      </w:r>
      <w:r>
        <w:rPr>
          <w:rFonts w:eastAsia="仿宋_GB2312"/>
          <w:sz w:val="32"/>
          <w:szCs w:val="32"/>
          <w:u w:val="none"/>
        </w:rPr>
        <w:t>万元。</w:t>
      </w:r>
      <w:r>
        <w:rPr>
          <w:rFonts w:hint="eastAsia" w:eastAsia="仿宋_GB2312"/>
          <w:sz w:val="32"/>
          <w:szCs w:val="32"/>
          <w:u w:val="none"/>
          <w:lang w:eastAsia="zh-CN"/>
        </w:rPr>
        <w:t>2025年</w:t>
      </w:r>
      <w:r>
        <w:rPr>
          <w:rFonts w:eastAsia="仿宋_GB2312"/>
          <w:sz w:val="32"/>
          <w:szCs w:val="32"/>
          <w:u w:val="none"/>
        </w:rPr>
        <w:t>“三公”经费预算</w:t>
      </w:r>
      <w:r>
        <w:rPr>
          <w:rFonts w:eastAsia="仿宋_GB2312" w:cs="Times New Roman"/>
          <w:sz w:val="32"/>
          <w:szCs w:val="32"/>
          <w:u w:val="none"/>
        </w:rPr>
        <w:t>较202</w:t>
      </w:r>
      <w:r>
        <w:rPr>
          <w:rFonts w:hint="eastAsia" w:eastAsia="仿宋_GB2312" w:cs="Times New Roman"/>
          <w:sz w:val="32"/>
          <w:szCs w:val="32"/>
          <w:u w:val="none"/>
          <w:lang w:val="en-US" w:eastAsia="zh-CN"/>
        </w:rPr>
        <w:t>4</w:t>
      </w:r>
      <w:r>
        <w:rPr>
          <w:rFonts w:eastAsia="仿宋_GB2312" w:cs="Times New Roman"/>
          <w:sz w:val="32"/>
          <w:szCs w:val="32"/>
          <w:u w:val="none"/>
        </w:rPr>
        <w:t>年减</w:t>
      </w:r>
      <w:r>
        <w:rPr>
          <w:rFonts w:eastAsia="仿宋_GB2312"/>
          <w:sz w:val="32"/>
          <w:szCs w:val="32"/>
          <w:u w:val="none"/>
        </w:rPr>
        <w:t>少</w:t>
      </w:r>
      <w:r>
        <w:rPr>
          <w:rFonts w:hint="eastAsia" w:eastAsia="仿宋_GB2312"/>
          <w:sz w:val="32"/>
          <w:szCs w:val="32"/>
          <w:u w:val="none"/>
          <w:lang w:val="en-US" w:eastAsia="zh-CN"/>
        </w:rPr>
        <w:t>8.38</w:t>
      </w:r>
      <w:r>
        <w:rPr>
          <w:rFonts w:eastAsia="仿宋_GB2312"/>
          <w:sz w:val="32"/>
          <w:szCs w:val="32"/>
          <w:u w:val="none"/>
        </w:rPr>
        <w:t>万元，主</w:t>
      </w:r>
      <w:r>
        <w:rPr>
          <w:rFonts w:eastAsia="仿宋_GB2312" w:cs="Times New Roman"/>
          <w:sz w:val="32"/>
          <w:szCs w:val="32"/>
          <w:u w:val="none"/>
        </w:rPr>
        <w:t>要是</w:t>
      </w:r>
      <w:r>
        <w:rPr>
          <w:rFonts w:hint="eastAsia" w:eastAsia="仿宋_GB2312" w:cs="Times New Roman"/>
          <w:sz w:val="32"/>
          <w:szCs w:val="32"/>
          <w:u w:val="none"/>
        </w:rPr>
        <w:t>厉行节约，规范管理，严格落实“零接待”</w:t>
      </w:r>
      <w:r>
        <w:rPr>
          <w:rFonts w:hint="eastAsia" w:eastAsia="仿宋_GB2312" w:cs="Times New Roman"/>
          <w:sz w:val="32"/>
          <w:szCs w:val="32"/>
          <w:u w:val="none"/>
          <w:lang w:val="en-US" w:eastAsia="zh-CN"/>
        </w:rPr>
        <w:t>政策</w:t>
      </w:r>
      <w:r>
        <w:rPr>
          <w:rFonts w:eastAsia="仿宋_GB2312" w:cs="Times New Roman"/>
          <w:sz w:val="32"/>
          <w:szCs w:val="32"/>
          <w:u w:val="none"/>
        </w:rPr>
        <w:t>。</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(二)项目支出情况</w:t>
      </w:r>
    </w:p>
    <w:p>
      <w:pPr>
        <w:widowControl/>
        <w:spacing w:line="600" w:lineRule="exact"/>
        <w:ind w:firstLine="660"/>
        <w:jc w:val="left"/>
        <w:rPr>
          <w:rFonts w:eastAsia="仿宋_GB2312"/>
          <w:sz w:val="32"/>
          <w:szCs w:val="32"/>
        </w:rPr>
      </w:pPr>
      <w:r>
        <w:rPr>
          <w:rFonts w:hint="eastAsia" w:eastAsia="仿宋_GB2312"/>
          <w:sz w:val="32"/>
          <w:szCs w:val="32"/>
          <w:u w:val="none"/>
          <w:lang w:eastAsia="zh-CN"/>
        </w:rPr>
        <w:t>2025年本部门项目支出预算 133.60 万元，主要是部门为完成特定行政工作任务或事业发展目标而发生的支出，包括有关事业发展专项、专项业务费、基本建设支出等，其中：省市人大代表活动经费 10.00 万元，主要用于省市人大代表活动场地、食宿、办公等费用；县人大常委会会议、主任会议及县委交办专题调研及执法检查等工作 30.00 万元，主要用于县委交办的专题调研活动费用；财政绩效评价（人大与财政同步监督）10.00 万元，主要用于人大与财政绩效评价及同步监督活动支出；计划预算审查监督经费 60.00 万元，主要用于用于预算联网监督审查维护费、升级费用及日常办公费用；配合省人大活动专项经费（农民健康行、环保世纪行、农产品质量安全行、民族团结进步行、司法公正安化行、法治护航高质量发展三年行动）13.60 万元，主要用于配合省市人大来安的专项调研费用；乡镇人大工作经费按每乡镇 10.00 万元，主要用于乡镇人大主席团日常办公及代表活动学习费用。</w:t>
      </w:r>
    </w:p>
    <w:p>
      <w:pPr>
        <w:keepNext w:val="0"/>
        <w:keepLines w:val="0"/>
        <w:pageBreakBefore w:val="0"/>
        <w:widowControl/>
        <w:numPr>
          <w:ilvl w:val="0"/>
          <w:numId w:val="1"/>
        </w:numPr>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政府性基金预算支出情况</w:t>
      </w:r>
    </w:p>
    <w:p>
      <w:pPr>
        <w:ind w:firstLine="640" w:firstLineChars="200"/>
        <w:rPr>
          <w:rFonts w:hint="default" w:eastAsia="仿宋_GB2312"/>
          <w:lang w:val="en-US" w:eastAsia="zh-CN"/>
        </w:rPr>
      </w:pPr>
      <w:r>
        <w:rPr>
          <w:rFonts w:hint="eastAsia" w:eastAsia="仿宋_GB2312"/>
          <w:color w:val="232323"/>
          <w:sz w:val="32"/>
          <w:szCs w:val="32"/>
          <w:shd w:val="clear" w:color="auto" w:fill="FFFFFF"/>
          <w:lang w:eastAsia="zh-CN"/>
        </w:rPr>
        <w:t>2025</w:t>
      </w:r>
      <w:r>
        <w:rPr>
          <w:rFonts w:hint="eastAsia" w:ascii="仿宋_GB2312" w:eastAsia="仿宋_GB2312" w:cs="仿宋_GB2312"/>
          <w:color w:val="232323"/>
          <w:sz w:val="32"/>
          <w:szCs w:val="32"/>
          <w:shd w:val="clear" w:color="auto" w:fill="FFFFFF"/>
        </w:rPr>
        <w:t>年本部门政府性基金支出预算</w:t>
      </w:r>
      <w:r>
        <w:rPr>
          <w:rFonts w:hint="eastAsia" w:eastAsia="仿宋_GB2312"/>
          <w:color w:val="232323"/>
          <w:sz w:val="32"/>
          <w:szCs w:val="32"/>
          <w:shd w:val="clear" w:color="auto" w:fill="FFFFFF"/>
          <w:lang w:val="en-US" w:eastAsia="zh-CN"/>
        </w:rPr>
        <w:t>0</w:t>
      </w:r>
      <w:r>
        <w:rPr>
          <w:rFonts w:hint="eastAsia" w:ascii="仿宋_GB2312" w:eastAsia="仿宋_GB2312" w:cs="仿宋_GB2312"/>
          <w:color w:val="232323"/>
          <w:sz w:val="32"/>
          <w:szCs w:val="32"/>
          <w:shd w:val="clear" w:color="auto" w:fill="FFFFFF"/>
        </w:rPr>
        <w:t>万元</w:t>
      </w:r>
      <w:r>
        <w:rPr>
          <w:rFonts w:hint="eastAsia" w:ascii="仿宋_GB2312" w:hAnsi="宋体" w:eastAsia="仿宋_GB2312" w:cs="仿宋_GB2312"/>
          <w:color w:val="232323"/>
          <w:sz w:val="32"/>
          <w:szCs w:val="32"/>
          <w:shd w:val="clear" w:color="auto" w:fill="FFFFFF"/>
        </w:rPr>
        <w:t>。</w:t>
      </w:r>
    </w:p>
    <w:p>
      <w:pPr>
        <w:keepNext w:val="0"/>
        <w:keepLines w:val="0"/>
        <w:pageBreakBefore w:val="0"/>
        <w:widowControl/>
        <w:numPr>
          <w:ilvl w:val="0"/>
          <w:numId w:val="1"/>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国有资本经营预算支出情况</w:t>
      </w:r>
    </w:p>
    <w:p>
      <w:pPr>
        <w:pStyle w:val="7"/>
        <w:ind w:left="420" w:leftChars="200" w:firstLine="0" w:firstLineChars="0"/>
        <w:rPr>
          <w:rFonts w:hint="eastAsia" w:ascii="黑体" w:hAnsi="黑体" w:eastAsia="黑体" w:cs="宋体"/>
          <w:color w:val="000000"/>
          <w:kern w:val="0"/>
          <w:sz w:val="32"/>
          <w:szCs w:val="32"/>
        </w:rPr>
      </w:pPr>
      <w:r>
        <w:rPr>
          <w:rFonts w:hint="eastAsia" w:eastAsia="仿宋_GB2312"/>
          <w:color w:val="232323"/>
          <w:shd w:val="clear" w:color="auto" w:fill="FFFFFF"/>
          <w:lang w:eastAsia="zh-CN"/>
        </w:rPr>
        <w:t>2025</w:t>
      </w:r>
      <w:r>
        <w:rPr>
          <w:rFonts w:hint="eastAsia" w:ascii="仿宋_GB2312" w:eastAsia="仿宋_GB2312" w:cs="仿宋_GB2312"/>
          <w:color w:val="232323"/>
          <w:shd w:val="clear" w:color="auto" w:fill="FFFFFF"/>
        </w:rPr>
        <w:t>年</w:t>
      </w:r>
      <w:r>
        <w:rPr>
          <w:rFonts w:hint="eastAsia" w:ascii="仿宋_GB2312" w:hAnsi="宋体" w:eastAsia="仿宋_GB2312" w:cs="仿宋_GB2312"/>
          <w:color w:val="232323"/>
          <w:shd w:val="clear" w:color="auto" w:fill="FFFFFF"/>
        </w:rPr>
        <w:t>本部门无国有资本经营预算的支出。</w:t>
      </w:r>
    </w:p>
    <w:p>
      <w:pPr>
        <w:keepNext w:val="0"/>
        <w:keepLines w:val="0"/>
        <w:pageBreakBefore w:val="0"/>
        <w:widowControl/>
        <w:numPr>
          <w:ilvl w:val="0"/>
          <w:numId w:val="1"/>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社会保险基金预算支出情况</w:t>
      </w:r>
    </w:p>
    <w:p>
      <w:pPr>
        <w:pStyle w:val="7"/>
        <w:ind w:left="420" w:leftChars="200" w:firstLine="0" w:firstLineChars="0"/>
        <w:rPr>
          <w:rFonts w:hint="eastAsia" w:ascii="黑体" w:hAnsi="黑体" w:eastAsia="黑体" w:cs="宋体"/>
          <w:color w:val="000000"/>
          <w:kern w:val="0"/>
          <w:sz w:val="32"/>
          <w:szCs w:val="32"/>
        </w:rPr>
      </w:pPr>
      <w:r>
        <w:rPr>
          <w:rFonts w:hint="eastAsia" w:eastAsia="仿宋_GB2312"/>
          <w:color w:val="232323"/>
          <w:shd w:val="clear" w:color="auto" w:fill="FFFFFF"/>
          <w:lang w:eastAsia="zh-CN"/>
        </w:rPr>
        <w:t>2025</w:t>
      </w:r>
      <w:r>
        <w:rPr>
          <w:rFonts w:hint="eastAsia" w:ascii="仿宋_GB2312" w:eastAsia="仿宋_GB2312" w:cs="仿宋_GB2312"/>
          <w:color w:val="232323"/>
          <w:shd w:val="clear" w:color="auto" w:fill="FFFFFF"/>
        </w:rPr>
        <w:t>年</w:t>
      </w:r>
      <w:r>
        <w:rPr>
          <w:rFonts w:hint="eastAsia" w:ascii="仿宋_GB2312" w:hAnsi="宋体" w:eastAsia="仿宋_GB2312" w:cs="仿宋_GB2312"/>
          <w:color w:val="232323"/>
          <w:shd w:val="clear" w:color="auto" w:fill="FFFFFF"/>
        </w:rPr>
        <w:t>本部门无社会保险基金预算的支出。</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六、部门整体支出绩效情况</w:t>
      </w:r>
    </w:p>
    <w:p>
      <w:pPr>
        <w:widowControl/>
        <w:spacing w:line="600" w:lineRule="exact"/>
        <w:ind w:firstLine="660"/>
        <w:jc w:val="left"/>
        <w:rPr>
          <w:rFonts w:hint="eastAsia" w:ascii="Times New Roman" w:hAnsi="Times New Roman" w:eastAsia="仿宋_GB2312" w:cs="Times New Roman"/>
          <w:bCs/>
          <w:color w:val="auto"/>
          <w:kern w:val="2"/>
          <w:sz w:val="32"/>
          <w:szCs w:val="32"/>
          <w:highlight w:val="none"/>
          <w:lang w:val="en-US" w:eastAsia="zh-CN" w:bidi="ar-SA"/>
        </w:rPr>
      </w:pPr>
      <w:r>
        <w:rPr>
          <w:rFonts w:hint="eastAsia" w:eastAsia="仿宋_GB2312" w:cs="Times New Roman"/>
          <w:bCs/>
          <w:color w:val="auto"/>
          <w:kern w:val="2"/>
          <w:sz w:val="32"/>
          <w:szCs w:val="32"/>
          <w:highlight w:val="none"/>
          <w:lang w:val="en-US" w:eastAsia="zh-CN" w:bidi="ar-SA"/>
        </w:rPr>
        <w:t>2025</w:t>
      </w:r>
      <w:r>
        <w:rPr>
          <w:rFonts w:hint="eastAsia" w:ascii="Times New Roman" w:hAnsi="Times New Roman" w:eastAsia="仿宋_GB2312" w:cs="Times New Roman"/>
          <w:bCs/>
          <w:color w:val="auto"/>
          <w:kern w:val="2"/>
          <w:sz w:val="32"/>
          <w:szCs w:val="32"/>
          <w:highlight w:val="none"/>
          <w:lang w:val="en-US" w:eastAsia="zh-CN" w:bidi="ar-SA"/>
        </w:rPr>
        <w:t>年度支出总额</w:t>
      </w:r>
      <w:r>
        <w:rPr>
          <w:rFonts w:hint="eastAsia" w:ascii="仿宋" w:hAnsi="仿宋" w:eastAsia="仿宋" w:cs="仿宋"/>
          <w:b w:val="0"/>
          <w:bCs w:val="0"/>
          <w:i w:val="0"/>
          <w:iCs w:val="0"/>
          <w:caps w:val="0"/>
          <w:color w:val="3D3D3D"/>
          <w:spacing w:val="0"/>
          <w:sz w:val="32"/>
          <w:szCs w:val="32"/>
          <w:shd w:val="clear" w:color="auto" w:fill="FFFFFF"/>
          <w:lang w:val="en-US" w:eastAsia="zh-CN"/>
        </w:rPr>
        <w:t>1136.4</w:t>
      </w:r>
      <w:r>
        <w:rPr>
          <w:rFonts w:hint="eastAsia" w:ascii="Times New Roman" w:hAnsi="Times New Roman" w:eastAsia="仿宋_GB2312" w:cs="Times New Roman"/>
          <w:bCs/>
          <w:color w:val="auto"/>
          <w:kern w:val="2"/>
          <w:sz w:val="32"/>
          <w:szCs w:val="32"/>
          <w:highlight w:val="none"/>
          <w:lang w:val="en-US" w:eastAsia="zh-CN" w:bidi="ar-SA"/>
        </w:rPr>
        <w:t>万元，其中基本支出</w:t>
      </w:r>
      <w:r>
        <w:rPr>
          <w:rFonts w:hint="eastAsia" w:ascii="仿宋" w:hAnsi="仿宋" w:eastAsia="仿宋" w:cs="Times New Roman"/>
          <w:kern w:val="2"/>
          <w:sz w:val="32"/>
          <w:szCs w:val="24"/>
          <w:u w:val="none"/>
          <w:shd w:val="clear" w:color="auto" w:fill="auto"/>
          <w:lang w:val="en-US" w:eastAsia="zh-CN" w:bidi="ar-SA"/>
        </w:rPr>
        <w:t>734.75</w:t>
      </w:r>
      <w:r>
        <w:rPr>
          <w:rFonts w:hint="eastAsia" w:ascii="Times New Roman" w:hAnsi="Times New Roman" w:eastAsia="仿宋_GB2312" w:cs="Times New Roman"/>
          <w:bCs/>
          <w:color w:val="auto"/>
          <w:kern w:val="2"/>
          <w:sz w:val="32"/>
          <w:szCs w:val="32"/>
          <w:highlight w:val="none"/>
          <w:lang w:val="en-US" w:eastAsia="zh-CN" w:bidi="ar-SA"/>
        </w:rPr>
        <w:t>万元，基本支出保障了单位正常运转的日常支出，包括基本工资、津贴补贴等人员经费以及办公费、水电费、差旅费等日常公用经费；项目支出金额</w:t>
      </w:r>
      <w:r>
        <w:rPr>
          <w:rFonts w:hint="eastAsia" w:ascii="仿宋" w:hAnsi="仿宋" w:eastAsia="仿宋" w:cs="Times New Roman"/>
          <w:kern w:val="2"/>
          <w:sz w:val="32"/>
          <w:szCs w:val="24"/>
          <w:u w:val="none"/>
          <w:shd w:val="clear" w:color="auto" w:fill="auto"/>
          <w:lang w:val="en-US" w:eastAsia="zh-CN" w:bidi="ar-SA"/>
        </w:rPr>
        <w:t>401.65</w:t>
      </w:r>
      <w:r>
        <w:rPr>
          <w:rFonts w:hint="eastAsia" w:ascii="Times New Roman" w:hAnsi="Times New Roman" w:eastAsia="仿宋_GB2312" w:cs="Times New Roman"/>
          <w:bCs/>
          <w:color w:val="auto"/>
          <w:kern w:val="2"/>
          <w:sz w:val="32"/>
          <w:szCs w:val="32"/>
          <w:highlight w:val="none"/>
          <w:lang w:val="en-US" w:eastAsia="zh-CN" w:bidi="ar-SA"/>
        </w:rPr>
        <w:t>万元，</w:t>
      </w:r>
      <w:r>
        <w:rPr>
          <w:rFonts w:eastAsia="仿宋_GB2312"/>
          <w:sz w:val="32"/>
          <w:szCs w:val="32"/>
          <w:u w:val="none"/>
        </w:rPr>
        <w:t>包括有关事业发展专项、专项业务费、基本建设支出等，其中：</w:t>
      </w:r>
      <w:r>
        <w:rPr>
          <w:rFonts w:hint="eastAsia" w:eastAsia="仿宋_GB2312"/>
          <w:sz w:val="32"/>
          <w:szCs w:val="32"/>
          <w:u w:val="none"/>
          <w:lang w:eastAsia="zh-CN"/>
        </w:rPr>
        <w:t>专项商品</w:t>
      </w:r>
      <w:r>
        <w:rPr>
          <w:rFonts w:eastAsia="仿宋_GB2312"/>
          <w:sz w:val="32"/>
          <w:szCs w:val="32"/>
          <w:u w:val="none"/>
        </w:rPr>
        <w:t>支出</w:t>
      </w:r>
      <w:r>
        <w:rPr>
          <w:rFonts w:hint="eastAsia" w:eastAsia="仿宋_GB2312"/>
          <w:sz w:val="32"/>
          <w:szCs w:val="32"/>
          <w:u w:val="none"/>
          <w:lang w:val="en-US" w:eastAsia="zh-CN"/>
        </w:rPr>
        <w:t>113.60</w:t>
      </w:r>
      <w:r>
        <w:rPr>
          <w:rFonts w:eastAsia="仿宋_GB2312"/>
          <w:sz w:val="32"/>
          <w:szCs w:val="32"/>
          <w:u w:val="none"/>
        </w:rPr>
        <w:t>万元，主要用于</w:t>
      </w:r>
      <w:r>
        <w:rPr>
          <w:rFonts w:hint="eastAsia" w:ascii="仿宋_GB2312" w:hAnsi="仿宋_GB2312" w:eastAsia="仿宋_GB2312" w:cs="仿宋_GB2312"/>
          <w:color w:val="333333"/>
          <w:sz w:val="32"/>
          <w:szCs w:val="32"/>
          <w:u w:val="none"/>
          <w:lang w:eastAsia="zh-CN"/>
        </w:rPr>
        <w:t>政协调研、协商、委员委组履职活动、委员培训、委员工作室、经促会活动、品读安化编辑、“改善生态环境”专项民主监督行动</w:t>
      </w:r>
      <w:r>
        <w:rPr>
          <w:rFonts w:eastAsia="仿宋_GB2312"/>
          <w:sz w:val="32"/>
          <w:szCs w:val="32"/>
          <w:u w:val="none"/>
        </w:rPr>
        <w:t>等方面。</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七、存在的问题及原因分析</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firstLine="640" w:firstLineChars="200"/>
        <w:jc w:val="left"/>
        <w:textAlignment w:val="center"/>
        <w:rPr>
          <w:rFonts w:hint="eastAsia" w:ascii="Times New Roman" w:hAnsi="Times New Roman" w:eastAsia="仿宋_GB2312" w:cs="Times New Roman"/>
          <w:bCs/>
          <w:color w:val="auto"/>
          <w:kern w:val="2"/>
          <w:sz w:val="32"/>
          <w:szCs w:val="32"/>
          <w:highlight w:val="none"/>
          <w:lang w:val="en-US" w:eastAsia="zh-CN" w:bidi="ar-SA"/>
        </w:rPr>
      </w:pPr>
      <w:r>
        <w:rPr>
          <w:rFonts w:hint="eastAsia" w:ascii="Times New Roman" w:hAnsi="Times New Roman" w:eastAsia="仿宋_GB2312" w:cs="Times New Roman"/>
          <w:bCs/>
          <w:color w:val="auto"/>
          <w:kern w:val="2"/>
          <w:sz w:val="32"/>
          <w:szCs w:val="32"/>
          <w:highlight w:val="none"/>
          <w:lang w:val="en-US" w:eastAsia="zh-CN" w:bidi="ar-SA"/>
        </w:rPr>
        <w:t>（1）预算绩效观念不深入。我单位在日常财务工作中存在着一定程度的“重分配、轻管理、重支出、轻绩效”的情况，造成该问题的主要原因是自身绩效理念较薄弱，单位绩效目标编制仍有缺失，需要进一步加强对资金绩效管理的重视程度</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firstLine="640" w:firstLineChars="200"/>
        <w:jc w:val="left"/>
        <w:textAlignment w:val="center"/>
        <w:rPr>
          <w:rFonts w:hint="eastAsia" w:ascii="Times New Roman" w:hAnsi="Times New Roman" w:eastAsia="仿宋_GB2312" w:cs="Times New Roman"/>
          <w:bCs/>
          <w:color w:val="auto"/>
          <w:kern w:val="2"/>
          <w:sz w:val="32"/>
          <w:szCs w:val="32"/>
          <w:highlight w:val="none"/>
          <w:lang w:val="en-US" w:eastAsia="zh-CN" w:bidi="ar-SA"/>
        </w:rPr>
      </w:pPr>
      <w:r>
        <w:rPr>
          <w:rFonts w:hint="eastAsia" w:ascii="Times New Roman" w:hAnsi="Times New Roman" w:eastAsia="仿宋_GB2312" w:cs="Times New Roman"/>
          <w:bCs/>
          <w:color w:val="auto"/>
          <w:kern w:val="2"/>
          <w:sz w:val="32"/>
          <w:szCs w:val="32"/>
          <w:highlight w:val="none"/>
          <w:lang w:val="en-US" w:eastAsia="zh-CN" w:bidi="ar-SA"/>
        </w:rPr>
        <w:t>（2）预算绩效规范管理有盲点。在市财政逐步加强绩效管理的情况下，我单位财务人员面对当前绩效管理工作既没有现成的经验可供借鉴，又缺乏专业性很强的技能储备，只能是边工作、边学习、边积累，短期内部分工作只能停留在表面，难以做到程序规范、管理科学，难以满足当前绩效管理要求。</w:t>
      </w:r>
    </w:p>
    <w:p>
      <w:pPr>
        <w:keepNext w:val="0"/>
        <w:keepLines w:val="0"/>
        <w:pageBreakBefore w:val="0"/>
        <w:widowControl/>
        <w:numPr>
          <w:ilvl w:val="0"/>
          <w:numId w:val="2"/>
        </w:numPr>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下一步改进措施</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firstLine="640" w:firstLineChars="200"/>
        <w:jc w:val="left"/>
        <w:textAlignment w:val="center"/>
        <w:rPr>
          <w:rFonts w:hint="eastAsia" w:ascii="Times New Roman" w:hAnsi="Times New Roman" w:eastAsia="仿宋_GB2312" w:cs="Times New Roman"/>
          <w:bCs/>
          <w:color w:val="auto"/>
          <w:kern w:val="2"/>
          <w:sz w:val="32"/>
          <w:szCs w:val="32"/>
          <w:highlight w:val="none"/>
          <w:lang w:val="en-US" w:eastAsia="zh-CN" w:bidi="ar-SA"/>
        </w:rPr>
      </w:pPr>
      <w:r>
        <w:rPr>
          <w:rFonts w:hint="eastAsia" w:ascii="Times New Roman" w:hAnsi="Times New Roman" w:eastAsia="仿宋_GB2312" w:cs="Times New Roman"/>
          <w:bCs/>
          <w:color w:val="auto"/>
          <w:kern w:val="2"/>
          <w:sz w:val="32"/>
          <w:szCs w:val="32"/>
          <w:highlight w:val="none"/>
          <w:lang w:val="en-US" w:eastAsia="zh-CN" w:bidi="ar-SA"/>
        </w:rPr>
        <w:t>（1）进一步增强绩效管理理念。在管理和使用预算资金的过程中，我单位将更加突出资金使用绩效，做到“花钱必问效”。加强与财务人员的沟通协调，按照绩效评价原则，开展资金安全性、规范性的监督，确保专项资金的使用符合绩效管理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firstLine="640" w:firstLineChars="200"/>
        <w:jc w:val="left"/>
        <w:textAlignment w:val="center"/>
        <w:rPr>
          <w:rFonts w:hint="eastAsia" w:ascii="Times New Roman" w:hAnsi="Times New Roman" w:eastAsia="仿宋_GB2312" w:cs="Times New Roman"/>
          <w:bCs/>
          <w:color w:val="auto"/>
          <w:kern w:val="2"/>
          <w:sz w:val="32"/>
          <w:szCs w:val="32"/>
          <w:highlight w:val="none"/>
          <w:lang w:val="en-US" w:eastAsia="zh-CN" w:bidi="ar-SA"/>
        </w:rPr>
      </w:pPr>
      <w:r>
        <w:rPr>
          <w:rFonts w:hint="eastAsia" w:ascii="Times New Roman" w:hAnsi="Times New Roman" w:eastAsia="仿宋_GB2312" w:cs="Times New Roman"/>
          <w:bCs/>
          <w:color w:val="auto"/>
          <w:kern w:val="2"/>
          <w:sz w:val="32"/>
          <w:szCs w:val="32"/>
          <w:highlight w:val="none"/>
          <w:lang w:val="en-US" w:eastAsia="zh-CN" w:bidi="ar-SA"/>
        </w:rPr>
        <w:t>（2）进一步加强财务素养和专业技能培训。我单位希望县财政局相关科室，针对预算资金绩效管理和相关法律法规，对全县财务人员开展培训，学习预算绩效管理的法律法规、规范要求，让绩效理念深入人心、让绩效管理人员熟知政策、知行合一。</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firstLine="640" w:firstLineChars="200"/>
        <w:jc w:val="left"/>
        <w:textAlignment w:val="center"/>
        <w:rPr>
          <w:rFonts w:hint="eastAsia" w:ascii="Times New Roman" w:hAnsi="Times New Roman" w:eastAsia="仿宋_GB2312" w:cs="Times New Roman"/>
          <w:bCs/>
          <w:color w:val="auto"/>
          <w:kern w:val="2"/>
          <w:sz w:val="32"/>
          <w:szCs w:val="32"/>
          <w:highlight w:val="none"/>
          <w:lang w:val="en-US" w:eastAsia="zh-CN" w:bidi="ar-SA"/>
        </w:rPr>
      </w:pPr>
      <w:r>
        <w:rPr>
          <w:rFonts w:hint="eastAsia" w:ascii="Times New Roman" w:hAnsi="Times New Roman" w:eastAsia="仿宋_GB2312" w:cs="Times New Roman"/>
          <w:bCs/>
          <w:color w:val="auto"/>
          <w:kern w:val="2"/>
          <w:sz w:val="32"/>
          <w:szCs w:val="32"/>
          <w:highlight w:val="none"/>
          <w:lang w:val="en-US" w:eastAsia="zh-CN" w:bidi="ar-SA"/>
        </w:rPr>
        <w:t>今后工作中，按照预算规定的项目和用途严格财务审计，经费支出严格按预算规定项目的财务支出内容进行财务预算，在预算金额内严控费用支出。推动建立过紧日子的长效机制。推进预算一体化系统建设，使预算管理水平更上台阶。</w:t>
      </w:r>
    </w:p>
    <w:p>
      <w:pPr>
        <w:keepNext w:val="0"/>
        <w:keepLines w:val="0"/>
        <w:pageBreakBefore w:val="0"/>
        <w:widowControl/>
        <w:numPr>
          <w:ilvl w:val="0"/>
          <w:numId w:val="2"/>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绩效自评结果拟应用和公开情况</w:t>
      </w:r>
    </w:p>
    <w:p>
      <w:pPr>
        <w:pStyle w:val="2"/>
        <w:numPr>
          <w:ilvl w:val="0"/>
          <w:numId w:val="0"/>
        </w:numPr>
        <w:ind w:leftChars="200"/>
        <w:rPr>
          <w:rFonts w:hint="eastAsia" w:eastAsia="宋体"/>
          <w:lang w:eastAsia="zh-CN"/>
        </w:rPr>
      </w:pPr>
      <w:r>
        <w:rPr>
          <w:rFonts w:hint="eastAsia" w:eastAsia="仿宋_GB2312" w:cs="Times New Roman"/>
          <w:kern w:val="0"/>
          <w:sz w:val="32"/>
          <w:szCs w:val="32"/>
          <w:lang w:val="en-US" w:eastAsia="zh-CN" w:bidi="ar-SA"/>
        </w:rPr>
        <w:t>暂未公开。</w:t>
      </w:r>
    </w:p>
    <w:p>
      <w:pPr>
        <w:numPr>
          <w:ilvl w:val="0"/>
          <w:numId w:val="2"/>
        </w:numPr>
        <w:ind w:left="0" w:leftChars="0" w:firstLine="640" w:firstLineChars="200"/>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其他需要说明的情况</w:t>
      </w:r>
    </w:p>
    <w:p>
      <w:pPr>
        <w:numPr>
          <w:ilvl w:val="0"/>
          <w:numId w:val="0"/>
        </w:numPr>
        <w:ind w:leftChars="200"/>
      </w:pPr>
      <w:r>
        <w:rPr>
          <w:rFonts w:hint="eastAsia" w:eastAsia="仿宋_GB2312" w:cs="Times New Roman"/>
          <w:kern w:val="0"/>
          <w:sz w:val="32"/>
          <w:szCs w:val="32"/>
          <w:lang w:val="en-US" w:eastAsia="zh-CN" w:bidi="ar-SA"/>
        </w:rPr>
        <w:t>无。</w:t>
      </w:r>
      <w:r>
        <w:rPr>
          <w:rFonts w:eastAsia="Times New Roman"/>
          <w:kern w:val="0"/>
          <w:sz w:val="22"/>
        </w:rPr>
        <w:br w:type="page"/>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F4109C"/>
    <w:multiLevelType w:val="singleLevel"/>
    <w:tmpl w:val="0DF4109C"/>
    <w:lvl w:ilvl="0" w:tentative="0">
      <w:start w:val="8"/>
      <w:numFmt w:val="chineseCounting"/>
      <w:suff w:val="nothing"/>
      <w:lvlText w:val="%1、"/>
      <w:lvlJc w:val="left"/>
      <w:rPr>
        <w:rFonts w:hint="eastAsia"/>
      </w:rPr>
    </w:lvl>
  </w:abstractNum>
  <w:abstractNum w:abstractNumId="1">
    <w:nsid w:val="7F4048D7"/>
    <w:multiLevelType w:val="singleLevel"/>
    <w:tmpl w:val="7F4048D7"/>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4YmQ5Y2MzMGVhMDY4NDkwNTBhM2FiMTI1OTFmZTEifQ=="/>
  </w:docVars>
  <w:rsids>
    <w:rsidRoot w:val="6D445020"/>
    <w:rsid w:val="0D2863BB"/>
    <w:rsid w:val="14FF1319"/>
    <w:rsid w:val="257D691C"/>
    <w:rsid w:val="2CF92AD5"/>
    <w:rsid w:val="33357B76"/>
    <w:rsid w:val="3D064178"/>
    <w:rsid w:val="400652A5"/>
    <w:rsid w:val="53246BC3"/>
    <w:rsid w:val="589C38AB"/>
    <w:rsid w:val="5BE35CFD"/>
    <w:rsid w:val="64B56C4A"/>
    <w:rsid w:val="6D445020"/>
    <w:rsid w:val="720A579D"/>
    <w:rsid w:val="777F7099"/>
    <w:rsid w:val="77F415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rPr>
      <w:rFonts w:ascii="Times New Roman" w:hAnsi="Times New Roman"/>
    </w:rPr>
  </w:style>
  <w:style w:type="paragraph" w:styleId="3">
    <w:name w:val="Body Text Indent"/>
    <w:basedOn w:val="1"/>
    <w:qFormat/>
    <w:uiPriority w:val="99"/>
    <w:pPr>
      <w:ind w:firstLine="640" w:firstLineChars="200"/>
    </w:pPr>
    <w:rPr>
      <w:sz w:val="32"/>
      <w:szCs w:val="32"/>
    </w:rPr>
  </w:style>
  <w:style w:type="paragraph" w:styleId="4">
    <w:name w:val="toc 5"/>
    <w:basedOn w:val="1"/>
    <w:next w:val="1"/>
    <w:unhideWhenUsed/>
    <w:qFormat/>
    <w:uiPriority w:val="39"/>
    <w:pPr>
      <w:ind w:left="1680" w:leftChars="800"/>
    </w:pPr>
    <w:rPr>
      <w:rFonts w:ascii="等线" w:hAnsi="等线" w:eastAsia="等线" w:cs="Times New Roman"/>
      <w:szCs w:val="22"/>
    </w:rPr>
  </w:style>
  <w:style w:type="paragraph" w:styleId="5">
    <w:name w:val="toc 1"/>
    <w:basedOn w:val="1"/>
    <w:next w:val="1"/>
    <w:unhideWhenUsed/>
    <w:qFormat/>
    <w:uiPriority w:val="99"/>
    <w:pPr>
      <w:spacing w:beforeLines="0" w:afterLines="0"/>
    </w:pPr>
    <w:rPr>
      <w:rFonts w:hint="default"/>
      <w:sz w:val="21"/>
      <w:szCs w:val="24"/>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7">
    <w:name w:val="Body Text First Indent 2"/>
    <w:basedOn w:val="3"/>
    <w:qFormat/>
    <w:uiPriority w:val="99"/>
    <w:pPr>
      <w:ind w:firstLine="420"/>
    </w:pPr>
  </w:style>
  <w:style w:type="character" w:styleId="10">
    <w:name w:val="Strong"/>
    <w:basedOn w:val="9"/>
    <w:qFormat/>
    <w:uiPriority w:val="0"/>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2793</Words>
  <Characters>2929</Characters>
  <Lines>0</Lines>
  <Paragraphs>0</Paragraphs>
  <TotalTime>156</TotalTime>
  <ScaleCrop>false</ScaleCrop>
  <LinksUpToDate>false</LinksUpToDate>
  <CharactersWithSpaces>2964</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2024-06-17T10:01:00Z</dcterms:created>
  <dc:creator>啊斌</dc:creator>
  <cp:lastModifiedBy>Administrator</cp:lastModifiedBy>
  <cp:lastPrinted>2026-09-28T14:21:00Z</cp:lastPrinted>
  <dcterms:modified xsi:type="dcterms:W3CDTF">2026-09-29T14:08:45Z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BCCA2132FA0A48BFBF1D7256F505AFCA</vt:lpwstr>
  </property>
  <property fmtid="{D5CDD505-2E9C-101B-9397-08002B2CF9AE}" pid="4" name="KSOTemplateDocerSaveRecord">
    <vt:lpwstr>eyJoZGlkIjoiNThkMzM1Njg0YzczYTQ3Y2UxYjU0YzQ4MDYyNGI2MWIiLCJ1c2VySWQiOiIyMDUwMzE0MDYifQ==</vt:lpwstr>
  </property>
</Properties>
</file>