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6847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4</w:t>
      </w:r>
    </w:p>
    <w:p w14:paraId="1D066B8B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7BB3764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F62AAFF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BB9B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2025年度中共安化县委机构编制委员会办公室</w:t>
      </w: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259CC34B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0A63115"/>
    <w:p w14:paraId="23DC1C5C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FCF5A19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BA370F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3F8E7A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427B930">
      <w:pPr>
        <w:pStyle w:val="5"/>
      </w:pPr>
    </w:p>
    <w:p w14:paraId="311F1E4D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7D7DCF73">
      <w:pPr>
        <w:widowControl/>
        <w:ind w:firstLine="360" w:firstLineChars="100"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申报单位（盖章）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</w:rPr>
        <w:t>：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  <w:t xml:space="preserve">               </w:t>
      </w:r>
    </w:p>
    <w:p w14:paraId="70454183">
      <w:pPr>
        <w:widowControl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</w:p>
    <w:p w14:paraId="364D5A88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04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月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25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日</w:t>
      </w:r>
    </w:p>
    <w:p w14:paraId="718667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25A9E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中共安化县委机构编制委员会办公室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整体支出绩效自评报告</w:t>
      </w:r>
    </w:p>
    <w:p w14:paraId="206A6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一、部门(单位)基本情况</w:t>
      </w:r>
    </w:p>
    <w:p w14:paraId="0329844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（一）机构组成</w:t>
      </w:r>
    </w:p>
    <w:p w14:paraId="3A4E85B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960" w:firstLineChars="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中共安化县委机构编制委员会办公室（县委编办）为县委工作机关（正科级），归口县委组织部管理，对外加挂县事业单位登记管理局牌子。内设5个职能股室：综合股、机构编制管理股、事业单位登记管理股、监督检查股、改革与政策法规股；下设1 个公益一类事业单位：安化县机构编制事务中心，承担机构编制相关技术性、事务性工作。</w:t>
      </w:r>
    </w:p>
    <w:p w14:paraId="6648256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　　（二）机构职能</w:t>
      </w:r>
    </w:p>
    <w:p w14:paraId="01A91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一）贯彻执行上级关于行政管理体制、机构改革和机构编制工作的方针政策与法律法规；研究拟定全县行政管理体制改革、机构改革及机构编制管理的规定办法并组织实施；指导协调全县各级行政管理体制与机构改革工作</w:t>
      </w:r>
      <w:r>
        <w:rPr>
          <w:rFonts w:ascii="仿宋" w:hAnsi="仿宋" w:eastAsia="仿宋" w:cs="仿宋"/>
          <w:spacing w:val="1"/>
          <w:sz w:val="29"/>
          <w:szCs w:val="29"/>
        </w:rPr>
        <w:t>。</w:t>
      </w:r>
    </w:p>
    <w:p w14:paraId="64292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二）统一管理全县党政机关、人大政协机关、民主党派和人民团体机关的机构编制；审核县委、县政府各部门职能配置、内设机构、人员编制及领导职数，审核股级机构设置并按程序呈报副科级以上机构设置；协调县级机关之间、机关与乡镇之间的职责分工。</w:t>
      </w:r>
    </w:p>
    <w:p w14:paraId="41444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（三）拟定全县事业单位管理体制和机构改革方案；审核县直及乡镇事业单位的机构设置、职能配置、人员编制与领导职数；指导全县事业单位改革与机构编制管理，统筹编制总量控制。</w:t>
      </w:r>
    </w:p>
    <w:p w14:paraId="5B0A3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 w:cs="仿宋"/>
          <w:spacing w:val="-2"/>
          <w:sz w:val="29"/>
          <w:szCs w:val="29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（四）</w:t>
      </w:r>
      <w:r>
        <w:rPr>
          <w:rFonts w:hint="eastAsia" w:ascii="仿宋" w:hAnsi="仿宋" w:eastAsia="仿宋" w:cs="仿宋"/>
          <w:spacing w:val="11"/>
          <w:sz w:val="29"/>
          <w:szCs w:val="29"/>
        </w:rPr>
        <w:t>负责全县事业单位法人登记、变更、注销、年度报告公示及监督管理，规范事业单位法人治理与运行；开展事业单位信用体系建设与绩效评估相关工作</w:t>
      </w:r>
      <w:r>
        <w:rPr>
          <w:rFonts w:ascii="仿宋" w:hAnsi="仿宋" w:eastAsia="仿宋" w:cs="仿宋"/>
          <w:spacing w:val="-2"/>
          <w:sz w:val="29"/>
          <w:szCs w:val="29"/>
        </w:rPr>
        <w:t>。</w:t>
      </w:r>
    </w:p>
    <w:p w14:paraId="733FC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（五）监督检查全县各级机关、事业单位执行机构改革方案、机构编制政策及 “三定” 规定情况；受理机构编制违规举报，查处违规行为；负责机构编制实名制管理、机构编制统计与信息平台建设；统筹行政权力清单、责任清单编制与调整。</w:t>
      </w:r>
    </w:p>
    <w:p w14:paraId="09D56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（六）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承担县委编委日常工作，负责文电、会务、机要、保密、档案、人事、财务、后勤等机关综合事务；组织开展机构编制调研、宣传、培训与理论研究；承办县委、县政府和县委编委交办的其他事项。</w:t>
      </w:r>
    </w:p>
    <w:p w14:paraId="3A932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委、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政府交办的其他任务。</w:t>
      </w:r>
    </w:p>
    <w:p w14:paraId="27484B7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（三）人员概况</w:t>
      </w:r>
    </w:p>
    <w:p w14:paraId="74FA899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中共安化县委机构编制委员会办公室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委编办核定的编制是:行政编为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人，事业编制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人。我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实有行政编在编在岗人数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人，事业编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人。</w:t>
      </w:r>
    </w:p>
    <w:p w14:paraId="0AB67C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(二)部门整体支出规模、使用方向、主要内容和涉及范围</w:t>
      </w:r>
    </w:p>
    <w:p w14:paraId="03817F0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2025年度整体支出总额318.8万元，其中财政拨款收入303.8万元，占总收入的95.3%，其他收入15万元，占总收入的4.7%，较之上年增加84.12万元，主要原因是年终追加的经费。主要内容和涉及范围：人员经费包括基本工资、津贴补贴、奖金、其他社会保障缴费、退休费生活补助、住房公积金等；日常公用经费包括办公费、差旅费、培训费、公务接待费、劳务费、工会经费、福利费、公务用车运行维护费、其他交通费用、其他商品和服务支出等；项目支出主要包括其他对个人和家庭的补助支出、办公费、印刷费、邮电费、差旅费、维修（护）费、会议费、培训费、公务接待费、劳务费、委托业务费、公务用车运行维护费、其他交通费、其他商品和服务支出、办公设备购置。涉及人员经费、保障基本运转、开展各项专项业务工作、精准扶贫、党建所发生的全部支出。</w:t>
      </w:r>
    </w:p>
    <w:p w14:paraId="68067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75D3A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33DBFE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基本支出229.27万元，是为保障各部门正常运转、完成日常工作任务而发生的各项支出，主要包括工资福利支出195.69万元，商品和服务支出29.1万元，对个人和家庭支出4.13万元，资本性支出0.35万元。</w:t>
      </w:r>
    </w:p>
    <w:p w14:paraId="7685E5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“三公”经费支出情况：2025年，“三公”经费完成2.13万元，比上年减少2.13万元，主要原因是：厉行节约严控公用经费</w:t>
      </w:r>
      <w:r>
        <w:rPr>
          <w:rFonts w:hint="eastAsia" w:ascii="仿宋" w:hAnsi="仿宋" w:eastAsia="仿宋"/>
          <w:sz w:val="32"/>
          <w:szCs w:val="24"/>
        </w:rPr>
        <w:t>，公务接待费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取消</w:t>
      </w:r>
      <w:r>
        <w:rPr>
          <w:rFonts w:hint="eastAsia" w:ascii="仿宋" w:hAnsi="仿宋" w:eastAsia="仿宋"/>
          <w:sz w:val="32"/>
          <w:szCs w:val="24"/>
        </w:rPr>
        <w:t>，</w:t>
      </w:r>
      <w:r>
        <w:rPr>
          <w:rFonts w:hint="eastAsia" w:ascii="仿宋" w:hAnsi="仿宋" w:eastAsia="仿宋"/>
          <w:sz w:val="32"/>
          <w:szCs w:val="24"/>
          <w:lang w:eastAsia="zh-CN"/>
        </w:rPr>
        <w:t>无公车购置费，</w:t>
      </w:r>
      <w:r>
        <w:rPr>
          <w:rFonts w:hint="eastAsia" w:ascii="仿宋" w:hAnsi="仿宋" w:eastAsia="仿宋"/>
          <w:sz w:val="32"/>
          <w:szCs w:val="24"/>
        </w:rPr>
        <w:t>按照预算指标数列支公务用车运行维护费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。其中，公务接待费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完成0万元，比上年减少2.13万元；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公务用车购置及运行维护费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完成0万元，比上年减少2.13万元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</w:t>
      </w:r>
    </w:p>
    <w:p w14:paraId="2D3F4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49145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项目支出74.53万元，包含：</w:t>
      </w:r>
      <w:r>
        <w:rPr>
          <w:rFonts w:hint="eastAsia" w:ascii="仿宋_GB2312" w:eastAsia="仿宋_GB2312"/>
          <w:sz w:val="32"/>
          <w:szCs w:val="32"/>
          <w:lang w:eastAsia="zh-CN"/>
        </w:rPr>
        <w:t>业务工作</w:t>
      </w:r>
      <w:r>
        <w:rPr>
          <w:rFonts w:hint="eastAsia" w:ascii="仿宋_GB2312" w:eastAsia="仿宋_GB2312"/>
          <w:sz w:val="32"/>
          <w:szCs w:val="32"/>
        </w:rPr>
        <w:t>经费</w:t>
      </w:r>
      <w:r>
        <w:rPr>
          <w:rFonts w:hint="eastAsia" w:ascii="仿宋_GB2312" w:eastAsia="仿宋_GB2312"/>
          <w:sz w:val="32"/>
          <w:szCs w:val="32"/>
          <w:lang w:eastAsia="zh-CN"/>
        </w:rPr>
        <w:t>以及运行维护经费等。</w:t>
      </w:r>
    </w:p>
    <w:p w14:paraId="75EC80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70D39C70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eastAsia="仿宋_GB2312"/>
          <w:color w:val="232323"/>
          <w:sz w:val="32"/>
          <w:szCs w:val="32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年本部门政府性基金支出预算</w:t>
      </w:r>
      <w:r>
        <w:rPr>
          <w:rFonts w:hint="eastAsia" w:eastAsia="仿宋_GB2312"/>
          <w:color w:val="232323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宋体" w:eastAsia="仿宋_GB2312" w:cs="仿宋_GB2312"/>
          <w:color w:val="232323"/>
          <w:sz w:val="32"/>
          <w:szCs w:val="32"/>
          <w:shd w:val="clear" w:color="auto" w:fill="FFFFFF"/>
        </w:rPr>
        <w:t>。</w:t>
      </w:r>
    </w:p>
    <w:p w14:paraId="4146400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2231DFB3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本部门无国有资本经营预算的支出。</w:t>
      </w:r>
    </w:p>
    <w:p w14:paraId="4675B0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4D3BC260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本部门无社会保险基金预算的支出。</w:t>
      </w:r>
    </w:p>
    <w:p w14:paraId="3CE7E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38786B0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2025年度支出总额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318.8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万元，其中基本支出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242.49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万元，基本支出保障了单位正常运转的日常支出，包括基本工资、津贴补贴等人员经费以及办公费、水电费、差旅费等日常公用经费；项目支出金额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76.31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万元，项目支出主要用于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基本工资、津贴补贴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等支出，包括办公费、印刷费、邮电费、差旅费、租赁费、会议费、劳务费及其他对企业补助等。</w:t>
      </w:r>
    </w:p>
    <w:p w14:paraId="562B9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62E653A6">
      <w:pPr>
        <w:keepNext w:val="0"/>
        <w:keepLines w:val="0"/>
        <w:widowControl/>
        <w:suppressLineNumbers w:val="0"/>
        <w:ind w:firstLine="640" w:firstLineChars="200"/>
        <w:jc w:val="left"/>
        <w:rPr>
          <w:kern w:val="0"/>
          <w:szCs w:val="32"/>
        </w:rPr>
      </w:pPr>
      <w:r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  <w:t>部门预算的人员经费和公用经费不足。单位日常运转的刚性支出大，现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有的部门预算资金不能满足日益增长的工作需要。财政资金在内网预算一体化系统中进行支付，刚接触新系统对于操作不太熟悉，预算执行较慢。经过半年的学习交流，我单位财政预算一体化工作已步入正轨。预算执行存在偏差，由于年初预算安排经费不足，本年度许多专项工作需要申请追加预算，导致实际经费支出高于年初预算，预算编制与实际情况存在偏差。</w:t>
      </w:r>
    </w:p>
    <w:p w14:paraId="217F7C8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3362534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  <w:t>对存在的问题提出切实可行的改进措施和有关建议等。</w:t>
      </w:r>
    </w:p>
    <w:p w14:paraId="696474B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1、加强财务管理，严格财务审核。</w:t>
      </w:r>
    </w:p>
    <w:p w14:paraId="047BDF4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2、对相关人员加强培训，切实提高</w:t>
      </w:r>
      <w:r>
        <w:rPr>
          <w:rFonts w:hint="eastAsia" w:ascii="仿宋_GB2312" w:hAnsi="仿宋" w:cs="Times New Roman"/>
          <w:sz w:val="32"/>
          <w:szCs w:val="32"/>
          <w:lang w:val="en-US" w:eastAsia="zh-CN"/>
        </w:rPr>
        <w:t>财务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人员业务水平。</w:t>
      </w:r>
    </w:p>
    <w:p w14:paraId="2E14584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今后将合理安排资金计划，加强预决算管理，加强资金监管，确保资金专款专用。加快各个环节的实施，加快执行进度。</w:t>
      </w:r>
    </w:p>
    <w:p w14:paraId="1D8E193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3E0F4A5D">
      <w:pPr>
        <w:pStyle w:val="2"/>
        <w:numPr>
          <w:ilvl w:val="0"/>
          <w:numId w:val="0"/>
        </w:numPr>
        <w:ind w:leftChars="200"/>
        <w:rPr>
          <w:rFonts w:hint="eastAsia" w:eastAsia="宋体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暂未公开。</w:t>
      </w:r>
    </w:p>
    <w:p w14:paraId="5AFD5637">
      <w:pPr>
        <w:numPr>
          <w:ilvl w:val="0"/>
          <w:numId w:val="2"/>
        </w:numPr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618679C7">
      <w:pPr>
        <w:numPr>
          <w:ilvl w:val="0"/>
          <w:numId w:val="0"/>
        </w:numPr>
        <w:ind w:leftChars="200"/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无。</w:t>
      </w:r>
      <w:r>
        <w:rPr>
          <w:rFonts w:eastAsia="Times New Roman"/>
          <w:kern w:val="0"/>
          <w:sz w:val="2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4109C"/>
    <w:multiLevelType w:val="singleLevel"/>
    <w:tmpl w:val="0DF41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048D7"/>
    <w:multiLevelType w:val="singleLevel"/>
    <w:tmpl w:val="7F4048D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YmQ5Y2MzMGVhMDY4NDkwNTBhM2FiMTI1OTFmZTEifQ=="/>
  </w:docVars>
  <w:rsids>
    <w:rsidRoot w:val="6D445020"/>
    <w:rsid w:val="074B01AA"/>
    <w:rsid w:val="14FF1319"/>
    <w:rsid w:val="257D691C"/>
    <w:rsid w:val="32633085"/>
    <w:rsid w:val="33357B76"/>
    <w:rsid w:val="368A52E7"/>
    <w:rsid w:val="474F026B"/>
    <w:rsid w:val="53246BC3"/>
    <w:rsid w:val="62E13612"/>
    <w:rsid w:val="64B56C4A"/>
    <w:rsid w:val="6D445020"/>
    <w:rsid w:val="720A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Times New Roman" w:hAnsi="Times New Roman"/>
    </w:rPr>
  </w:style>
  <w:style w:type="paragraph" w:styleId="3">
    <w:name w:val="Body Text Indent"/>
    <w:basedOn w:val="1"/>
    <w:qFormat/>
    <w:uiPriority w:val="99"/>
    <w:pPr>
      <w:ind w:firstLine="640" w:firstLineChars="200"/>
    </w:pPr>
    <w:rPr>
      <w:sz w:val="32"/>
      <w:szCs w:val="32"/>
    </w:rPr>
  </w:style>
  <w:style w:type="paragraph" w:styleId="4">
    <w:name w:val="toc 5"/>
    <w:basedOn w:val="1"/>
    <w:next w:val="1"/>
    <w:unhideWhenUsed/>
    <w:qFormat/>
    <w:uiPriority w:val="39"/>
    <w:pPr>
      <w:ind w:left="1680" w:leftChars="800"/>
    </w:pPr>
    <w:rPr>
      <w:rFonts w:ascii="等线" w:hAnsi="等线" w:eastAsia="等线" w:cs="Times New Roman"/>
      <w:szCs w:val="22"/>
    </w:rPr>
  </w:style>
  <w:style w:type="paragraph" w:styleId="5">
    <w:name w:val="toc 1"/>
    <w:basedOn w:val="1"/>
    <w:next w:val="1"/>
    <w:unhideWhenUsed/>
    <w:qFormat/>
    <w:uiPriority w:val="99"/>
    <w:pPr>
      <w:spacing w:beforeLines="0" w:afterLines="0"/>
    </w:pPr>
    <w:rPr>
      <w:rFonts w:hint="default"/>
      <w:sz w:val="21"/>
      <w:szCs w:val="24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3"/>
    <w:qFormat/>
    <w:uiPriority w:val="99"/>
    <w:pPr>
      <w:ind w:firstLine="420"/>
    </w:pPr>
  </w:style>
  <w:style w:type="character" w:styleId="10">
    <w:name w:val="Strong"/>
    <w:basedOn w:val="9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2142</Words>
  <Characters>2239</Characters>
  <Lines>0</Lines>
  <Paragraphs>0</Paragraphs>
  <TotalTime>1</TotalTime>
  <ScaleCrop>false</ScaleCrop>
  <LinksUpToDate>false</LinksUpToDate>
  <CharactersWithSpaces>2267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2024-06-17T10:01:00Z</dcterms:created>
  <dc:creator>啊斌</dc:creator>
  <cp:lastModifiedBy>啦啦啦啦</cp:lastModifiedBy>
  <dcterms:modified xsi:type="dcterms:W3CDTF">2026-04-29T04:00:46Z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F9AAC80F85CA4AC5B7CA669B2FAD48FA_13</vt:lpwstr>
  </property>
  <property fmtid="{D5CDD505-2E9C-101B-9397-08002B2CF9AE}" pid="4" name="KSOTemplateDocerSaveRecord">
    <vt:lpwstr>eyJoZGlkIjoiNThkMzM1Njg0YzczYTQ3Y2UxYjU0YzQ4MDYyNGI2MWIiLCJ1c2VySWQiOiIyMDUwMzE0MDYifQ==</vt:lpwstr>
  </property>
</Properties>
</file>