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EB6F9">
      <w:pPr>
        <w:rPr>
          <w:rFonts w:hint="eastAsia" w:ascii="黑体" w:hAnsi="黑体" w:eastAsia="黑体" w:cs="仿宋"/>
          <w:sz w:val="32"/>
          <w:szCs w:val="32"/>
          <w:lang w:val="en-US" w:eastAsia="zh-CN"/>
        </w:rPr>
      </w:pPr>
    </w:p>
    <w:p w14:paraId="720B7924">
      <w:pPr>
        <w:rPr>
          <w:rFonts w:hint="eastAsia" w:ascii="黑体" w:hAnsi="黑体" w:eastAsia="黑体" w:cs="仿宋"/>
          <w:sz w:val="32"/>
          <w:szCs w:val="32"/>
          <w:lang w:val="en-US" w:eastAsia="zh-CN"/>
        </w:rPr>
      </w:pPr>
    </w:p>
    <w:p w14:paraId="4EF013C3">
      <w:pPr>
        <w:rPr>
          <w:rFonts w:hint="eastAsia" w:ascii="黑体" w:hAnsi="黑体" w:eastAsia="黑体" w:cs="仿宋"/>
          <w:sz w:val="32"/>
          <w:szCs w:val="32"/>
          <w:lang w:val="en-US" w:eastAsia="zh-CN"/>
        </w:rPr>
      </w:pPr>
    </w:p>
    <w:p w14:paraId="0B24CB7C">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微软雅黑" w:hAnsi="微软雅黑" w:eastAsia="微软雅黑" w:cs="微软雅黑"/>
          <w:sz w:val="52"/>
          <w:szCs w:val="52"/>
          <w:lang w:eastAsia="zh-CN"/>
        </w:rPr>
      </w:pPr>
      <w:r>
        <w:rPr>
          <w:rFonts w:hint="eastAsia" w:ascii="微软雅黑" w:hAnsi="微软雅黑" w:eastAsia="微软雅黑" w:cs="微软雅黑"/>
          <w:sz w:val="52"/>
          <w:szCs w:val="52"/>
          <w:lang w:val="en-US" w:eastAsia="zh-CN"/>
        </w:rPr>
        <w:t>2025年度安化县平口镇人民政府部门</w:t>
      </w:r>
      <w:r>
        <w:rPr>
          <w:rFonts w:hint="eastAsia" w:ascii="微软雅黑" w:hAnsi="微软雅黑" w:eastAsia="微软雅黑" w:cs="微软雅黑"/>
          <w:sz w:val="52"/>
          <w:szCs w:val="52"/>
        </w:rPr>
        <w:t>整体支出</w:t>
      </w:r>
      <w:r>
        <w:rPr>
          <w:rFonts w:hint="eastAsia" w:ascii="微软雅黑" w:hAnsi="微软雅黑" w:eastAsia="微软雅黑" w:cs="微软雅黑"/>
          <w:sz w:val="52"/>
          <w:szCs w:val="52"/>
          <w:lang w:eastAsia="zh-CN"/>
        </w:rPr>
        <w:t>绩效自评报告</w:t>
      </w:r>
    </w:p>
    <w:p w14:paraId="115DFC36">
      <w:pPr>
        <w:widowControl/>
        <w:ind w:firstLine="361" w:firstLineChars="100"/>
        <w:rPr>
          <w:rFonts w:ascii="楷体" w:hAnsi="楷体" w:eastAsia="楷体" w:cs="楷体"/>
          <w:b/>
          <w:bCs/>
          <w:kern w:val="0"/>
          <w:sz w:val="36"/>
          <w:szCs w:val="36"/>
        </w:rPr>
      </w:pPr>
    </w:p>
    <w:p w14:paraId="68FBCBE0"/>
    <w:p w14:paraId="7C92A9EE">
      <w:pPr>
        <w:rPr>
          <w:rFonts w:ascii="楷体" w:hAnsi="楷体" w:eastAsia="楷体" w:cs="楷体"/>
          <w:b/>
          <w:bCs/>
          <w:kern w:val="0"/>
          <w:sz w:val="36"/>
          <w:szCs w:val="36"/>
        </w:rPr>
      </w:pPr>
    </w:p>
    <w:p w14:paraId="75525399">
      <w:pPr>
        <w:rPr>
          <w:rFonts w:ascii="楷体" w:hAnsi="楷体" w:eastAsia="楷体" w:cs="楷体"/>
          <w:b/>
          <w:bCs/>
          <w:kern w:val="0"/>
          <w:sz w:val="36"/>
          <w:szCs w:val="36"/>
        </w:rPr>
      </w:pPr>
    </w:p>
    <w:p w14:paraId="03CD02F9">
      <w:pPr>
        <w:rPr>
          <w:rFonts w:ascii="楷体" w:hAnsi="楷体" w:eastAsia="楷体" w:cs="楷体"/>
          <w:b/>
          <w:bCs/>
          <w:kern w:val="0"/>
          <w:sz w:val="36"/>
          <w:szCs w:val="36"/>
        </w:rPr>
      </w:pPr>
    </w:p>
    <w:p w14:paraId="67C4F1EA">
      <w:pPr>
        <w:rPr>
          <w:rFonts w:ascii="楷体" w:hAnsi="楷体" w:eastAsia="楷体" w:cs="楷体"/>
          <w:b/>
          <w:bCs/>
          <w:kern w:val="0"/>
          <w:sz w:val="36"/>
          <w:szCs w:val="36"/>
        </w:rPr>
      </w:pPr>
    </w:p>
    <w:p w14:paraId="13D22A61">
      <w:pPr>
        <w:pStyle w:val="4"/>
      </w:pPr>
    </w:p>
    <w:p w14:paraId="109A376A">
      <w:pPr>
        <w:widowControl/>
        <w:ind w:firstLine="361" w:firstLineChars="100"/>
        <w:rPr>
          <w:rFonts w:hint="eastAsia" w:ascii="楷体" w:hAnsi="楷体" w:eastAsia="楷体" w:cs="楷体"/>
          <w:b/>
          <w:bCs/>
          <w:kern w:val="0"/>
          <w:sz w:val="36"/>
          <w:szCs w:val="36"/>
        </w:rPr>
      </w:pPr>
    </w:p>
    <w:p w14:paraId="16E3233C">
      <w:pPr>
        <w:widowControl/>
        <w:ind w:firstLine="360" w:firstLineChars="100"/>
        <w:rPr>
          <w:rFonts w:hint="eastAsia" w:ascii="黑体" w:hAnsi="黑体" w:eastAsia="黑体" w:cs="黑体"/>
          <w:b w:val="0"/>
          <w:bCs w:val="0"/>
          <w:kern w:val="0"/>
          <w:sz w:val="48"/>
          <w:szCs w:val="48"/>
          <w:u w:val="single"/>
        </w:rPr>
      </w:pPr>
      <w:r>
        <w:rPr>
          <w:rFonts w:hint="eastAsia" w:ascii="黑体" w:hAnsi="黑体" w:eastAsia="黑体" w:cs="黑体"/>
          <w:b w:val="0"/>
          <w:bCs w:val="0"/>
          <w:kern w:val="0"/>
          <w:sz w:val="36"/>
          <w:szCs w:val="36"/>
        </w:rPr>
        <w:t>申报单位（盖章）</w:t>
      </w:r>
      <w:r>
        <w:rPr>
          <w:rFonts w:hint="eastAsia" w:ascii="黑体" w:hAnsi="黑体" w:eastAsia="黑体" w:cs="黑体"/>
          <w:b w:val="0"/>
          <w:bCs w:val="0"/>
          <w:kern w:val="0"/>
          <w:sz w:val="48"/>
          <w:szCs w:val="48"/>
        </w:rPr>
        <w:t>：</w:t>
      </w:r>
      <w:r>
        <w:rPr>
          <w:rFonts w:hint="eastAsia" w:ascii="黑体" w:hAnsi="黑体" w:eastAsia="黑体" w:cs="黑体"/>
          <w:b w:val="0"/>
          <w:bCs w:val="0"/>
          <w:kern w:val="0"/>
          <w:sz w:val="48"/>
          <w:szCs w:val="48"/>
          <w:u w:val="single"/>
        </w:rPr>
        <w:t xml:space="preserve">               </w:t>
      </w:r>
    </w:p>
    <w:p w14:paraId="675DAA44">
      <w:pPr>
        <w:widowControl/>
        <w:rPr>
          <w:rFonts w:hint="eastAsia" w:ascii="黑体" w:hAnsi="黑体" w:eastAsia="黑体" w:cs="黑体"/>
          <w:b w:val="0"/>
          <w:bCs w:val="0"/>
          <w:kern w:val="0"/>
          <w:sz w:val="48"/>
          <w:szCs w:val="48"/>
          <w:u w:val="single"/>
        </w:rPr>
      </w:pPr>
    </w:p>
    <w:p w14:paraId="07376B70">
      <w:pPr>
        <w:jc w:val="center"/>
        <w:rPr>
          <w:rFonts w:hint="eastAsia" w:ascii="黑体" w:hAnsi="黑体" w:eastAsia="黑体" w:cs="黑体"/>
          <w:b w:val="0"/>
          <w:bCs w:val="0"/>
          <w:kern w:val="0"/>
          <w:sz w:val="36"/>
          <w:szCs w:val="36"/>
        </w:rPr>
      </w:pPr>
      <w:r>
        <w:rPr>
          <w:rFonts w:hint="eastAsia" w:ascii="黑体" w:hAnsi="黑体" w:eastAsia="黑体" w:cs="黑体"/>
          <w:b w:val="0"/>
          <w:bCs w:val="0"/>
          <w:kern w:val="0"/>
          <w:sz w:val="36"/>
          <w:szCs w:val="36"/>
          <w:lang w:val="en-US" w:eastAsia="zh-CN"/>
        </w:rPr>
        <w:t>2026</w:t>
      </w:r>
      <w:r>
        <w:rPr>
          <w:rFonts w:hint="eastAsia" w:ascii="黑体" w:hAnsi="黑体" w:eastAsia="黑体" w:cs="黑体"/>
          <w:b w:val="0"/>
          <w:bCs w:val="0"/>
          <w:kern w:val="0"/>
          <w:sz w:val="36"/>
          <w:szCs w:val="36"/>
        </w:rPr>
        <w:t xml:space="preserve">年 </w:t>
      </w:r>
      <w:r>
        <w:rPr>
          <w:rFonts w:hint="eastAsia" w:ascii="黑体" w:hAnsi="黑体" w:eastAsia="黑体" w:cs="黑体"/>
          <w:b w:val="0"/>
          <w:bCs w:val="0"/>
          <w:kern w:val="0"/>
          <w:sz w:val="36"/>
          <w:szCs w:val="36"/>
          <w:lang w:val="en-US" w:eastAsia="zh-CN"/>
        </w:rPr>
        <w:t>5</w:t>
      </w:r>
      <w:r>
        <w:rPr>
          <w:rFonts w:hint="eastAsia" w:ascii="黑体" w:hAnsi="黑体" w:eastAsia="黑体" w:cs="黑体"/>
          <w:b w:val="0"/>
          <w:bCs w:val="0"/>
          <w:kern w:val="0"/>
          <w:sz w:val="36"/>
          <w:szCs w:val="36"/>
        </w:rPr>
        <w:t xml:space="preserve">  月 </w:t>
      </w:r>
      <w:r>
        <w:rPr>
          <w:rFonts w:hint="eastAsia" w:ascii="黑体" w:hAnsi="黑体" w:eastAsia="黑体" w:cs="黑体"/>
          <w:b w:val="0"/>
          <w:bCs w:val="0"/>
          <w:kern w:val="0"/>
          <w:sz w:val="36"/>
          <w:szCs w:val="36"/>
          <w:lang w:val="en-US" w:eastAsia="zh-CN"/>
        </w:rPr>
        <w:t>7</w:t>
      </w:r>
      <w:r>
        <w:rPr>
          <w:rFonts w:hint="eastAsia" w:ascii="黑体" w:hAnsi="黑体" w:eastAsia="黑体" w:cs="黑体"/>
          <w:b w:val="0"/>
          <w:bCs w:val="0"/>
          <w:kern w:val="0"/>
          <w:sz w:val="36"/>
          <w:szCs w:val="36"/>
        </w:rPr>
        <w:t xml:space="preserve">  日</w:t>
      </w:r>
    </w:p>
    <w:p w14:paraId="682840ED">
      <w:pPr>
        <w:jc w:val="center"/>
        <w:rPr>
          <w:rFonts w:hint="eastAsia" w:ascii="黑体" w:hAnsi="黑体" w:eastAsia="黑体" w:cs="宋体"/>
          <w:kern w:val="0"/>
          <w:sz w:val="32"/>
          <w:szCs w:val="32"/>
          <w:lang w:eastAsia="zh-CN"/>
        </w:rPr>
      </w:pPr>
      <w:r>
        <w:rPr>
          <w:rFonts w:hint="eastAsia" w:ascii="黑体" w:hAnsi="黑体" w:eastAsia="黑体" w:cs="仿宋"/>
          <w:kern w:val="0"/>
          <w:sz w:val="32"/>
          <w:szCs w:val="32"/>
        </w:rPr>
        <w:br w:type="page"/>
      </w:r>
    </w:p>
    <w:p w14:paraId="1151844C">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r>
        <w:rPr>
          <w:rFonts w:hint="eastAsia" w:ascii="微软雅黑" w:hAnsi="仿宋" w:eastAsia="微软雅黑" w:cs="宋体"/>
          <w:b w:val="0"/>
          <w:bCs/>
          <w:kern w:val="0"/>
          <w:sz w:val="44"/>
          <w:szCs w:val="44"/>
          <w:lang w:val="en-US" w:eastAsia="zh-CN"/>
        </w:rPr>
        <w:t>2025</w:t>
      </w:r>
      <w:r>
        <w:rPr>
          <w:rFonts w:hint="eastAsia" w:ascii="微软雅黑" w:hAnsi="仿宋" w:eastAsia="微软雅黑" w:cs="宋体"/>
          <w:b w:val="0"/>
          <w:bCs/>
          <w:kern w:val="0"/>
          <w:sz w:val="44"/>
          <w:szCs w:val="44"/>
        </w:rPr>
        <w:t>年度</w:t>
      </w:r>
      <w:r>
        <w:rPr>
          <w:rFonts w:hint="eastAsia" w:ascii="微软雅黑" w:hAnsi="仿宋" w:eastAsia="微软雅黑" w:cs="宋体"/>
          <w:b w:val="0"/>
          <w:bCs/>
          <w:kern w:val="0"/>
          <w:sz w:val="44"/>
          <w:szCs w:val="44"/>
          <w:lang w:val="en-US" w:eastAsia="zh-CN"/>
        </w:rPr>
        <w:t>安化县平口镇人民政府</w:t>
      </w:r>
    </w:p>
    <w:p w14:paraId="211611BC">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rPr>
      </w:pPr>
      <w:r>
        <w:rPr>
          <w:rFonts w:hint="eastAsia" w:ascii="微软雅黑" w:hAnsi="仿宋" w:eastAsia="微软雅黑" w:cs="宋体"/>
          <w:b w:val="0"/>
          <w:bCs/>
          <w:kern w:val="0"/>
          <w:sz w:val="44"/>
          <w:szCs w:val="44"/>
        </w:rPr>
        <w:t>部门整体支出绩效自评报告</w:t>
      </w:r>
    </w:p>
    <w:p w14:paraId="3E42D5AE"/>
    <w:p w14:paraId="0BC0DE86">
      <w:pPr>
        <w:spacing w:line="594" w:lineRule="exact"/>
        <w:jc w:val="left"/>
        <w:rPr>
          <w:rFonts w:eastAsia="黑体"/>
          <w:kern w:val="0"/>
          <w:sz w:val="32"/>
          <w:szCs w:val="32"/>
          <w:highlight w:val="none"/>
        </w:rPr>
      </w:pPr>
      <w:r>
        <w:rPr>
          <w:rFonts w:eastAsia="仿宋_GB2312"/>
          <w:kern w:val="0"/>
          <w:sz w:val="32"/>
          <w:szCs w:val="32"/>
          <w:highlight w:val="none"/>
        </w:rPr>
        <w:t xml:space="preserve"> </w:t>
      </w:r>
      <w:r>
        <w:rPr>
          <w:rFonts w:eastAsia="黑体"/>
          <w:bCs/>
          <w:kern w:val="0"/>
          <w:sz w:val="32"/>
          <w:szCs w:val="32"/>
          <w:highlight w:val="none"/>
        </w:rPr>
        <w:t xml:space="preserve"> 一、部门概况</w:t>
      </w:r>
    </w:p>
    <w:p w14:paraId="06137DE2">
      <w:pPr>
        <w:spacing w:line="520" w:lineRule="exact"/>
        <w:rPr>
          <w:rFonts w:ascii="宋体" w:hAnsi="宋体" w:eastAsia="仿宋_GB2312" w:cs="仿宋"/>
          <w:sz w:val="32"/>
          <w:szCs w:val="32"/>
        </w:rPr>
      </w:pPr>
      <w:r>
        <w:rPr>
          <w:rFonts w:hint="eastAsia" w:ascii="宋体" w:hAnsi="宋体" w:eastAsia="仿宋_GB2312" w:cs="仿宋"/>
          <w:sz w:val="32"/>
          <w:szCs w:val="32"/>
          <w:lang w:val="en-US" w:eastAsia="zh-CN"/>
        </w:rPr>
        <w:t xml:space="preserve">  </w:t>
      </w:r>
      <w:r>
        <w:rPr>
          <w:rFonts w:hint="eastAsia" w:ascii="宋体" w:hAnsi="宋体" w:eastAsia="仿宋_GB2312" w:cs="仿宋"/>
          <w:b/>
          <w:bCs/>
          <w:sz w:val="32"/>
          <w:szCs w:val="32"/>
          <w:lang w:val="en-US" w:eastAsia="zh-CN"/>
        </w:rPr>
        <w:t xml:space="preserve">  （一）</w:t>
      </w:r>
      <w:r>
        <w:rPr>
          <w:rFonts w:hint="eastAsia" w:ascii="宋体" w:hAnsi="宋体" w:eastAsia="仿宋_GB2312" w:cs="仿宋"/>
          <w:b/>
          <w:bCs/>
          <w:sz w:val="32"/>
          <w:szCs w:val="32"/>
        </w:rPr>
        <w:t>基本情况</w:t>
      </w:r>
    </w:p>
    <w:p w14:paraId="7E1A23A7">
      <w:pPr>
        <w:autoSpaceDE w:val="0"/>
        <w:autoSpaceDN w:val="0"/>
        <w:adjustRightInd w:val="0"/>
        <w:spacing w:line="520" w:lineRule="exact"/>
        <w:ind w:firstLine="640"/>
        <w:rPr>
          <w:rFonts w:hint="eastAsia" w:ascii="仿宋" w:hAnsi="Times New Roman" w:eastAsia="仿宋" w:cs="仿宋"/>
          <w:sz w:val="32"/>
          <w:szCs w:val="32"/>
          <w:lang w:val="en-US" w:eastAsia="zh-CN"/>
        </w:rPr>
      </w:pPr>
      <w:r>
        <w:rPr>
          <w:rFonts w:hint="eastAsia" w:ascii="宋体" w:hAnsi="宋体" w:eastAsia="仿宋_GB2312" w:cs="仿宋"/>
          <w:sz w:val="32"/>
          <w:szCs w:val="32"/>
        </w:rPr>
        <w:t>根据编委核定，本级政府内设党政机构</w:t>
      </w:r>
      <w:r>
        <w:rPr>
          <w:rFonts w:ascii="宋体" w:hAnsi="宋体" w:eastAsia="仿宋_GB2312" w:cs="仿宋"/>
          <w:sz w:val="32"/>
          <w:szCs w:val="32"/>
        </w:rPr>
        <w:t>7</w:t>
      </w:r>
      <w:r>
        <w:rPr>
          <w:rFonts w:hint="eastAsia" w:ascii="宋体" w:hAnsi="宋体" w:eastAsia="仿宋_GB2312" w:cs="仿宋"/>
          <w:sz w:val="32"/>
          <w:szCs w:val="32"/>
        </w:rPr>
        <w:t>个，分别是党政办公室、党建办公室、经济发展办公室、社会事务办公室、自然资源和生态环境办公室、社会治安和应急管理办公室、以及财政所，设</w:t>
      </w:r>
      <w:r>
        <w:rPr>
          <w:rFonts w:ascii="宋体" w:hAnsi="宋体" w:eastAsia="仿宋_GB2312" w:cs="仿宋"/>
          <w:sz w:val="32"/>
          <w:szCs w:val="32"/>
        </w:rPr>
        <w:t>4</w:t>
      </w:r>
      <w:r>
        <w:rPr>
          <w:rFonts w:hint="eastAsia" w:ascii="宋体" w:hAnsi="宋体" w:eastAsia="仿宋_GB2312" w:cs="仿宋"/>
          <w:sz w:val="32"/>
          <w:szCs w:val="32"/>
        </w:rPr>
        <w:t>个事业单位，分别是社会事务综合服务中心、农业综合服务中心、党群和政务服务中心、退役军人服务站。另单独设立综合执法大队，均为正股级。</w:t>
      </w:r>
      <w:r>
        <w:rPr>
          <w:rFonts w:hint="eastAsia" w:ascii="宋体" w:hAnsi="宋体" w:eastAsia="仿宋_GB2312" w:cs="仿宋"/>
          <w:sz w:val="32"/>
          <w:szCs w:val="32"/>
          <w:lang w:eastAsia="zh-CN"/>
        </w:rPr>
        <w:t>2025</w:t>
      </w:r>
      <w:r>
        <w:rPr>
          <w:rFonts w:hint="eastAsia" w:ascii="宋体" w:hAnsi="宋体" w:eastAsia="仿宋_GB2312" w:cs="仿宋"/>
          <w:sz w:val="32"/>
          <w:szCs w:val="32"/>
        </w:rPr>
        <w:t>年本单位年</w:t>
      </w:r>
      <w:r>
        <w:rPr>
          <w:rFonts w:hint="eastAsia" w:ascii="宋体" w:hAnsi="宋体" w:eastAsia="仿宋_GB2312" w:cs="仿宋"/>
          <w:sz w:val="32"/>
          <w:szCs w:val="32"/>
          <w:lang w:eastAsia="zh-CN"/>
        </w:rPr>
        <w:t>末</w:t>
      </w:r>
      <w:r>
        <w:rPr>
          <w:rFonts w:hint="eastAsia" w:ascii="宋体" w:hAnsi="宋体" w:eastAsia="仿宋_GB2312" w:cs="仿宋"/>
          <w:sz w:val="32"/>
          <w:szCs w:val="32"/>
        </w:rPr>
        <w:t>实有人数</w:t>
      </w:r>
      <w:r>
        <w:rPr>
          <w:rFonts w:hint="eastAsia" w:ascii="宋体" w:hAnsi="宋体" w:eastAsia="仿宋_GB2312" w:cs="仿宋"/>
          <w:sz w:val="32"/>
          <w:szCs w:val="32"/>
          <w:lang w:val="en-US" w:eastAsia="zh-CN"/>
        </w:rPr>
        <w:t>97</w:t>
      </w:r>
      <w:r>
        <w:rPr>
          <w:rFonts w:hint="eastAsia" w:ascii="宋体" w:hAnsi="宋体" w:eastAsia="仿宋_GB2312" w:cs="仿宋"/>
          <w:sz w:val="32"/>
          <w:szCs w:val="32"/>
        </w:rPr>
        <w:t>人，</w:t>
      </w:r>
      <w:r>
        <w:rPr>
          <w:rFonts w:hint="eastAsia" w:ascii="宋体" w:hAnsi="宋体" w:eastAsia="仿宋_GB2312" w:cs="仿宋"/>
          <w:sz w:val="32"/>
          <w:szCs w:val="32"/>
          <w:lang w:val="en-US" w:eastAsia="zh-CN"/>
        </w:rPr>
        <w:t>与上年相比</w:t>
      </w:r>
      <w:r>
        <w:rPr>
          <w:rFonts w:hint="eastAsia" w:ascii="仿宋" w:eastAsia="仿宋" w:cs="仿宋"/>
          <w:sz w:val="32"/>
          <w:szCs w:val="32"/>
          <w:lang w:val="en-US" w:eastAsia="zh-CN"/>
        </w:rPr>
        <w:t>无变化</w:t>
      </w:r>
      <w:r>
        <w:rPr>
          <w:rFonts w:hint="eastAsia" w:ascii="仿宋" w:hAnsi="Times New Roman" w:eastAsia="仿宋" w:cs="仿宋"/>
          <w:sz w:val="32"/>
          <w:szCs w:val="32"/>
        </w:rPr>
        <w:t>。</w:t>
      </w:r>
    </w:p>
    <w:p w14:paraId="6ABF1114">
      <w:pPr>
        <w:autoSpaceDE w:val="0"/>
        <w:autoSpaceDN w:val="0"/>
        <w:adjustRightInd w:val="0"/>
        <w:spacing w:line="520" w:lineRule="exact"/>
        <w:ind w:firstLine="640"/>
        <w:rPr>
          <w:rFonts w:hint="eastAsia" w:ascii="Times New Roman" w:hAnsi="Times New Roman" w:eastAsia="仿宋"/>
          <w:b/>
          <w:bCs/>
          <w:sz w:val="32"/>
          <w:szCs w:val="32"/>
          <w:lang w:eastAsia="zh-CN"/>
        </w:rPr>
      </w:pPr>
      <w:r>
        <w:rPr>
          <w:rFonts w:hint="eastAsia" w:ascii="仿宋" w:hAnsi="Times New Roman" w:eastAsia="仿宋" w:cs="仿宋"/>
          <w:b/>
          <w:bCs/>
          <w:sz w:val="32"/>
          <w:szCs w:val="32"/>
        </w:rPr>
        <w:t>主要职能</w:t>
      </w:r>
      <w:r>
        <w:rPr>
          <w:rFonts w:hint="eastAsia" w:ascii="仿宋" w:eastAsia="仿宋" w:cs="仿宋"/>
          <w:b/>
          <w:bCs/>
          <w:sz w:val="32"/>
          <w:szCs w:val="32"/>
          <w:lang w:eastAsia="zh-CN"/>
        </w:rPr>
        <w:t>：</w:t>
      </w:r>
    </w:p>
    <w:p w14:paraId="03D7F9F8">
      <w:pPr>
        <w:autoSpaceDE w:val="0"/>
        <w:autoSpaceDN w:val="0"/>
        <w:adjustRightInd w:val="0"/>
        <w:spacing w:line="520" w:lineRule="exact"/>
        <w:ind w:firstLine="640"/>
        <w:rPr>
          <w:rFonts w:ascii="仿宋" w:hAnsi="Times New Roman" w:eastAsia="仿宋" w:cs="仿宋"/>
          <w:sz w:val="32"/>
          <w:szCs w:val="32"/>
        </w:rPr>
      </w:pPr>
      <w:r>
        <w:rPr>
          <w:rFonts w:hint="eastAsia" w:ascii="仿宋" w:hAnsi="Times New Roman" w:eastAsia="仿宋" w:cs="仿宋"/>
          <w:sz w:val="32"/>
          <w:szCs w:val="32"/>
        </w:rPr>
        <w:t>（</w:t>
      </w:r>
      <w:r>
        <w:rPr>
          <w:rFonts w:ascii="仿宋" w:hAnsi="Times New Roman" w:eastAsia="仿宋" w:cs="仿宋"/>
          <w:sz w:val="32"/>
          <w:szCs w:val="32"/>
        </w:rPr>
        <w:t>1</w:t>
      </w:r>
      <w:r>
        <w:rPr>
          <w:rFonts w:hint="eastAsia" w:ascii="仿宋" w:hAnsi="Times New Roman" w:eastAsia="仿宋" w:cs="仿宋"/>
          <w:sz w:val="32"/>
          <w:szCs w:val="32"/>
        </w:rPr>
        <w:t>）制定和组织实施经济、科技和社会发展计划，制定资源开发技术改造和产业结构调整方案，组织指导好各业生产。搞好商品流通，协调好本镇与外地区的经济交流与合作，抓好招商引资、人才引进项目开发，不断培育市场体系，组织经济运行，促进经济发展。</w:t>
      </w:r>
    </w:p>
    <w:p w14:paraId="1637F0AC">
      <w:pPr>
        <w:autoSpaceDE w:val="0"/>
        <w:autoSpaceDN w:val="0"/>
        <w:adjustRightInd w:val="0"/>
        <w:spacing w:line="520" w:lineRule="exact"/>
        <w:ind w:firstLine="640"/>
        <w:rPr>
          <w:rFonts w:ascii="仿宋" w:hAnsi="Times New Roman" w:eastAsia="仿宋" w:cs="仿宋"/>
          <w:sz w:val="32"/>
          <w:szCs w:val="32"/>
        </w:rPr>
      </w:pPr>
      <w:r>
        <w:rPr>
          <w:rFonts w:hint="eastAsia" w:ascii="仿宋" w:hAnsi="Times New Roman" w:eastAsia="仿宋" w:cs="仿宋"/>
          <w:sz w:val="32"/>
          <w:szCs w:val="32"/>
        </w:rPr>
        <w:t>（</w:t>
      </w:r>
      <w:r>
        <w:rPr>
          <w:rFonts w:ascii="仿宋" w:hAnsi="Times New Roman" w:eastAsia="仿宋" w:cs="仿宋"/>
          <w:sz w:val="32"/>
          <w:szCs w:val="32"/>
        </w:rPr>
        <w:t>2</w:t>
      </w:r>
      <w:r>
        <w:rPr>
          <w:rFonts w:hint="eastAsia" w:ascii="仿宋" w:hAnsi="Times New Roman" w:eastAsia="仿宋" w:cs="仿宋"/>
          <w:sz w:val="32"/>
          <w:szCs w:val="32"/>
        </w:rPr>
        <w:t>）制定并执行实施村镇建设规划，部署重点工程建设、地方道路建设及公共设施、水利设施的管理，负责土地、林木、水等自然资源和生态环境的保护，做好护林防火工作。</w:t>
      </w:r>
    </w:p>
    <w:p w14:paraId="40D0AB3B">
      <w:pPr>
        <w:autoSpaceDE w:val="0"/>
        <w:autoSpaceDN w:val="0"/>
        <w:adjustRightInd w:val="0"/>
        <w:spacing w:line="520" w:lineRule="exact"/>
        <w:ind w:firstLine="640"/>
        <w:rPr>
          <w:rFonts w:ascii="仿宋" w:hAnsi="Times New Roman" w:eastAsia="仿宋" w:cs="仿宋"/>
          <w:sz w:val="32"/>
          <w:szCs w:val="32"/>
        </w:rPr>
      </w:pPr>
      <w:r>
        <w:rPr>
          <w:rFonts w:hint="eastAsia" w:ascii="仿宋" w:hAnsi="Times New Roman" w:eastAsia="仿宋" w:cs="仿宋"/>
          <w:sz w:val="32"/>
          <w:szCs w:val="32"/>
        </w:rPr>
        <w:t>（</w:t>
      </w:r>
      <w:r>
        <w:rPr>
          <w:rFonts w:ascii="仿宋" w:hAnsi="Times New Roman" w:eastAsia="仿宋" w:cs="仿宋"/>
          <w:sz w:val="32"/>
          <w:szCs w:val="32"/>
        </w:rPr>
        <w:t>3</w:t>
      </w:r>
      <w:r>
        <w:rPr>
          <w:rFonts w:hint="eastAsia" w:ascii="仿宋" w:hAnsi="Times New Roman" w:eastAsia="仿宋" w:cs="仿宋"/>
          <w:sz w:val="32"/>
          <w:szCs w:val="32"/>
        </w:rPr>
        <w:t>）负责本行政区域内的民政、计划生育、文化教育、卫生、体育等社会公益事业综合性工作，维护一切经济单位和个人的正当经济权益，取缔非法经济活动，调节和处理民事纠纷，打击刑事犯罪维护社会稳定。</w:t>
      </w:r>
    </w:p>
    <w:p w14:paraId="1A2B53FF">
      <w:pPr>
        <w:autoSpaceDE w:val="0"/>
        <w:autoSpaceDN w:val="0"/>
        <w:adjustRightInd w:val="0"/>
        <w:spacing w:line="520" w:lineRule="exact"/>
        <w:ind w:firstLine="640"/>
        <w:rPr>
          <w:rFonts w:ascii="仿宋" w:hAnsi="Times New Roman" w:eastAsia="仿宋" w:cs="仿宋"/>
          <w:sz w:val="32"/>
          <w:szCs w:val="32"/>
        </w:rPr>
      </w:pPr>
      <w:r>
        <w:rPr>
          <w:rFonts w:hint="eastAsia" w:ascii="仿宋" w:hAnsi="Times New Roman" w:eastAsia="仿宋" w:cs="仿宋"/>
          <w:sz w:val="32"/>
          <w:szCs w:val="32"/>
        </w:rPr>
        <w:t>（</w:t>
      </w:r>
      <w:r>
        <w:rPr>
          <w:rFonts w:ascii="仿宋" w:hAnsi="Times New Roman" w:eastAsia="仿宋" w:cs="仿宋"/>
          <w:sz w:val="32"/>
          <w:szCs w:val="32"/>
        </w:rPr>
        <w:t>4</w:t>
      </w:r>
      <w:r>
        <w:rPr>
          <w:rFonts w:hint="eastAsia" w:ascii="仿宋" w:hAnsi="Times New Roman" w:eastAsia="仿宋" w:cs="仿宋"/>
          <w:sz w:val="32"/>
          <w:szCs w:val="32"/>
        </w:rPr>
        <w:t>）按计划组织本级财政收入和地方税收的征收，完成国家财政计划，不断培育税源，管好财政资金，增强财政实力。</w:t>
      </w:r>
    </w:p>
    <w:p w14:paraId="7C904A2D">
      <w:pPr>
        <w:autoSpaceDE w:val="0"/>
        <w:autoSpaceDN w:val="0"/>
        <w:adjustRightInd w:val="0"/>
        <w:spacing w:line="520" w:lineRule="exact"/>
        <w:ind w:firstLine="640"/>
        <w:rPr>
          <w:rFonts w:ascii="仿宋" w:hAnsi="Times New Roman" w:eastAsia="仿宋" w:cs="仿宋"/>
          <w:sz w:val="32"/>
          <w:szCs w:val="32"/>
        </w:rPr>
      </w:pPr>
      <w:r>
        <w:rPr>
          <w:rFonts w:hint="eastAsia" w:ascii="仿宋" w:hAnsi="Times New Roman" w:eastAsia="仿宋" w:cs="仿宋"/>
          <w:sz w:val="32"/>
          <w:szCs w:val="32"/>
        </w:rPr>
        <w:t>（</w:t>
      </w:r>
      <w:r>
        <w:rPr>
          <w:rFonts w:ascii="仿宋" w:hAnsi="Times New Roman" w:eastAsia="仿宋" w:cs="仿宋"/>
          <w:sz w:val="32"/>
          <w:szCs w:val="32"/>
        </w:rPr>
        <w:t>5</w:t>
      </w:r>
      <w:r>
        <w:rPr>
          <w:rFonts w:hint="eastAsia" w:ascii="仿宋" w:hAnsi="Times New Roman" w:eastAsia="仿宋" w:cs="仿宋"/>
          <w:sz w:val="32"/>
          <w:szCs w:val="32"/>
        </w:rPr>
        <w:t>）抓好精神文明建设，丰富群众文化生活，提倡移风易俗反对封建迷信，破除陈规陋习，树立社会主义新风尚。</w:t>
      </w:r>
    </w:p>
    <w:p w14:paraId="79948BE5">
      <w:pPr>
        <w:autoSpaceDE w:val="0"/>
        <w:autoSpaceDN w:val="0"/>
        <w:adjustRightInd w:val="0"/>
        <w:spacing w:line="520" w:lineRule="exact"/>
        <w:ind w:firstLine="640"/>
        <w:rPr>
          <w:rFonts w:hint="eastAsia" w:ascii="仿宋" w:hAnsi="Times New Roman" w:eastAsia="仿宋" w:cs="仿宋"/>
          <w:sz w:val="32"/>
          <w:szCs w:val="32"/>
        </w:rPr>
      </w:pPr>
      <w:r>
        <w:rPr>
          <w:rFonts w:hint="eastAsia" w:ascii="仿宋" w:hAnsi="Times New Roman" w:eastAsia="仿宋" w:cs="仿宋"/>
          <w:sz w:val="32"/>
          <w:szCs w:val="32"/>
        </w:rPr>
        <w:t>（</w:t>
      </w:r>
      <w:r>
        <w:rPr>
          <w:rFonts w:ascii="仿宋" w:hAnsi="Times New Roman" w:eastAsia="仿宋" w:cs="仿宋"/>
          <w:sz w:val="32"/>
          <w:szCs w:val="32"/>
        </w:rPr>
        <w:t>6</w:t>
      </w:r>
      <w:r>
        <w:rPr>
          <w:rFonts w:hint="eastAsia" w:ascii="仿宋" w:hAnsi="Times New Roman" w:eastAsia="仿宋" w:cs="仿宋"/>
          <w:sz w:val="32"/>
          <w:szCs w:val="32"/>
        </w:rPr>
        <w:t>）完成上级政府交办的其他事项。</w:t>
      </w:r>
    </w:p>
    <w:p w14:paraId="2E61C502">
      <w:pPr>
        <w:autoSpaceDE w:val="0"/>
        <w:autoSpaceDN w:val="0"/>
        <w:adjustRightInd w:val="0"/>
        <w:spacing w:line="520" w:lineRule="exact"/>
        <w:ind w:firstLine="640"/>
        <w:rPr>
          <w:rFonts w:ascii="宋体" w:hAnsi="宋体" w:eastAsia="仿宋_GB2312" w:cs="仿宋"/>
          <w:sz w:val="32"/>
          <w:szCs w:val="32"/>
        </w:rPr>
      </w:pPr>
      <w:r>
        <w:rPr>
          <w:rFonts w:hint="eastAsia" w:eastAsia="仿宋_GB2312" w:cs="仿宋"/>
          <w:kern w:val="2"/>
          <w:sz w:val="32"/>
          <w:szCs w:val="32"/>
          <w:lang w:eastAsia="zh-CN"/>
        </w:rPr>
        <w:t>2025</w:t>
      </w:r>
      <w:r>
        <w:rPr>
          <w:rFonts w:eastAsia="仿宋_GB2312" w:cs="仿宋"/>
          <w:kern w:val="2"/>
          <w:sz w:val="32"/>
          <w:szCs w:val="32"/>
        </w:rPr>
        <w:t>年，我镇根据年初工作规划及财政预算计划，积极履职、强化管理，较好的完成了年度工作目标。通过加强预算收支管理、不断建立健全内部管理制度、梳理内部管理流程，部门整体支出管理情况得到提升。</w:t>
      </w:r>
    </w:p>
    <w:p w14:paraId="21DEC39B">
      <w:pPr>
        <w:ind w:firstLine="643" w:firstLineChars="200"/>
        <w:rPr>
          <w:rFonts w:hint="eastAsia" w:ascii="宋体" w:hAnsi="宋体" w:eastAsia="仿宋_GB2312" w:cs="仿宋"/>
          <w:b/>
          <w:bCs/>
          <w:sz w:val="32"/>
          <w:szCs w:val="32"/>
          <w:lang w:val="en-US" w:eastAsia="zh-CN"/>
        </w:rPr>
      </w:pPr>
      <w:r>
        <w:rPr>
          <w:rFonts w:hint="eastAsia" w:ascii="宋体" w:hAnsi="宋体" w:eastAsia="仿宋_GB2312" w:cs="仿宋"/>
          <w:b/>
          <w:bCs/>
          <w:sz w:val="32"/>
          <w:szCs w:val="32"/>
          <w:lang w:val="en-US" w:eastAsia="zh-CN"/>
        </w:rPr>
        <w:t>2025年度重点工作：</w:t>
      </w:r>
    </w:p>
    <w:p w14:paraId="309A9E58">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一、聚焦项目攻坚，提速城镇建设品质</w:t>
      </w:r>
    </w:p>
    <w:p w14:paraId="11D33CC5">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一是抓实重点工程项目建设</w:t>
      </w:r>
      <w:r>
        <w:rPr>
          <w:rFonts w:hint="eastAsia" w:ascii="仿宋" w:hAnsi="仿宋" w:eastAsia="仿宋" w:cs="仿宋"/>
          <w:sz w:val="32"/>
          <w:szCs w:val="32"/>
          <w:lang w:val="en-US" w:eastAsia="zh-CN"/>
        </w:rPr>
        <w:t>。全力推进资水安化县河段治理工程（平口镇三期），完成岸坡整治、河道清淤、堤防加固等工程，筑牢资江流域防洪防汛屏障。持续推进平口中学整体搬迁项目，压实工作专班责任，加快征地拆迁、手续办理、施工建设进度，完善配套基础设施，优化全镇教育办学条件。</w:t>
      </w:r>
    </w:p>
    <w:p w14:paraId="434F177E">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二是推进镇区提质改造</w:t>
      </w:r>
      <w:r>
        <w:rPr>
          <w:rFonts w:hint="eastAsia" w:ascii="仿宋" w:hAnsi="仿宋" w:eastAsia="仿宋" w:cs="仿宋"/>
          <w:sz w:val="32"/>
          <w:szCs w:val="32"/>
          <w:lang w:val="en-US" w:eastAsia="zh-CN"/>
        </w:rPr>
        <w:t>。严格落实全县城镇规划建设管理三年行动，完善镇区控制性详细规划，推进镇区道路升级、管网改造、绿化亮化、停车位增设等基础设施提质，规范镇区沿街商铺、占道经营、乱搭乱建，持续优化镇容镇貌。</w:t>
      </w:r>
    </w:p>
    <w:p w14:paraId="673F608B">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三是强化项目要素保障</w:t>
      </w:r>
      <w:r>
        <w:rPr>
          <w:rFonts w:hint="eastAsia" w:ascii="仿宋" w:hAnsi="仿宋" w:eastAsia="仿宋" w:cs="仿宋"/>
          <w:sz w:val="32"/>
          <w:szCs w:val="32"/>
          <w:lang w:val="en-US" w:eastAsia="zh-CN"/>
        </w:rPr>
        <w:t>。规范项目征地拆迁、矛盾调处、施工监管流程，严格把控工程质量、施工安全、建设进度，强化项目资金监管，确保各类在建项目规范有序推进。</w:t>
      </w:r>
    </w:p>
    <w:p w14:paraId="2384F558">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二、聚焦产业培育，激活镇域经济动能</w:t>
      </w:r>
    </w:p>
    <w:p w14:paraId="32C09D53">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一是做强特色农业产业</w:t>
      </w:r>
      <w:r>
        <w:rPr>
          <w:rFonts w:hint="eastAsia" w:ascii="仿宋" w:hAnsi="仿宋" w:eastAsia="仿宋" w:cs="仿宋"/>
          <w:sz w:val="32"/>
          <w:szCs w:val="32"/>
          <w:lang w:val="en-US" w:eastAsia="zh-CN"/>
        </w:rPr>
        <w:t>。立足库区资源优势，持续发展优质粮油、辣椒、红薯、特色果蔬等产业，完善种植、加工、销售全产业链条，扶持本土农产品加工企业，做强粮油加工产业，打造平口特色农产品品牌。大力发展种养结合现代农业，培育家庭农场、专业合作社等新型经营主体，扩大特色农产品规模化种植面积，不断提升农业产业化水平。</w:t>
      </w:r>
    </w:p>
    <w:p w14:paraId="6D1BC9A0">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二是壮大商贸物流产业</w:t>
      </w:r>
      <w:r>
        <w:rPr>
          <w:rFonts w:hint="eastAsia" w:ascii="仿宋" w:hAnsi="仿宋" w:eastAsia="仿宋" w:cs="仿宋"/>
          <w:sz w:val="32"/>
          <w:szCs w:val="32"/>
          <w:lang w:val="en-US" w:eastAsia="zh-CN"/>
        </w:rPr>
        <w:t>。依托资江水运、陆路交通区位优势，优化商贸市场布局，完善仓储、物流配套设施，畅通农产品流通渠道，巩固安化西部商贸集散中心地位。</w:t>
      </w:r>
    </w:p>
    <w:p w14:paraId="67F436B7">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三是盘活文旅资源</w:t>
      </w:r>
      <w:r>
        <w:rPr>
          <w:rFonts w:hint="eastAsia" w:ascii="仿宋" w:hAnsi="仿宋" w:eastAsia="仿宋" w:cs="仿宋"/>
          <w:sz w:val="32"/>
          <w:szCs w:val="32"/>
          <w:lang w:val="en-US" w:eastAsia="zh-CN"/>
        </w:rPr>
        <w:t>。深度挖掘楹联文化、库区山水文化，做强楹联文化特色品牌，完善诗联文化长廊配套建设，推动楹联文化进校园、进乡村，打造文化文旅融合示范点，探索库区生态休闲旅游发展路径。</w:t>
      </w:r>
    </w:p>
    <w:p w14:paraId="2804D110">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四是优化营商服务环境</w:t>
      </w:r>
      <w:r>
        <w:rPr>
          <w:rFonts w:hint="eastAsia" w:ascii="仿宋" w:hAnsi="仿宋" w:eastAsia="仿宋" w:cs="仿宋"/>
          <w:sz w:val="32"/>
          <w:szCs w:val="32"/>
          <w:lang w:val="en-US" w:eastAsia="zh-CN"/>
        </w:rPr>
        <w:t>。常态化开展企业走访帮扶，落实惠企政策，简化办事流程，强化招商引资，积极引进优质产业项目，持续激发市场主体活力。</w:t>
      </w:r>
    </w:p>
    <w:p w14:paraId="440E3833">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三、聚焦三农工作，扎实推进乡村振兴</w:t>
      </w:r>
    </w:p>
    <w:p w14:paraId="5DCAAD45">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一是巩固拓展脱贫攻坚成果</w:t>
      </w:r>
      <w:r>
        <w:rPr>
          <w:rFonts w:hint="eastAsia" w:ascii="仿宋" w:hAnsi="仿宋" w:eastAsia="仿宋" w:cs="仿宋"/>
          <w:sz w:val="32"/>
          <w:szCs w:val="32"/>
          <w:lang w:val="en-US" w:eastAsia="zh-CN"/>
        </w:rPr>
        <w:t>。严格落实防止返贫动态监测和帮扶机制，紧盯脱贫户、监测户，精准落实产业帮扶、就业帮扶、兜底保障政策，常态化排查整改问题，坚决守住不发生规模性返贫底线。</w:t>
      </w:r>
    </w:p>
    <w:p w14:paraId="2A51460F">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二是提升农村人居环境</w:t>
      </w:r>
      <w:r>
        <w:rPr>
          <w:rFonts w:hint="eastAsia" w:ascii="仿宋" w:hAnsi="仿宋" w:eastAsia="仿宋" w:cs="仿宋"/>
          <w:sz w:val="32"/>
          <w:szCs w:val="32"/>
          <w:lang w:val="en-US" w:eastAsia="zh-CN"/>
        </w:rPr>
        <w:t>。持续开展农村人居环境整治提升行动，依托“平口红”志愿服务队伍，常态化开展河道清理、垃圾清运、庭院整治，严控农业面源污染，完善村级垃圾收运处置体系，全面改善村容村貌。</w:t>
      </w:r>
    </w:p>
    <w:p w14:paraId="1FDCA434">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三是完善农村基础设施</w:t>
      </w:r>
      <w:r>
        <w:rPr>
          <w:rFonts w:hint="eastAsia" w:ascii="仿宋" w:hAnsi="仿宋" w:eastAsia="仿宋" w:cs="仿宋"/>
          <w:sz w:val="32"/>
          <w:szCs w:val="32"/>
          <w:lang w:val="en-US" w:eastAsia="zh-CN"/>
        </w:rPr>
        <w:t>。推进村组道路硬化、安防设施改造、灌溉水渠修缮，加快农村供水、电网、通信基础设施升级，补齐农村基础设施短板。</w:t>
      </w:r>
    </w:p>
    <w:p w14:paraId="45053A4E">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四是深化乡村治理建设</w:t>
      </w:r>
      <w:r>
        <w:rPr>
          <w:rFonts w:hint="eastAsia" w:ascii="仿宋" w:hAnsi="仿宋" w:eastAsia="仿宋" w:cs="仿宋"/>
          <w:sz w:val="32"/>
          <w:szCs w:val="32"/>
          <w:lang w:val="en-US" w:eastAsia="zh-CN"/>
        </w:rPr>
        <w:t>。因地制宜打造美丽宜居村庄、示范庭院，统筹推进乡风文明建设，完善村规民约，整治大操大办、人情攀比等不良风气，营造文明淳朴乡村风气。</w:t>
      </w:r>
    </w:p>
    <w:p w14:paraId="3AB74418">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四、聚焦生态保护，筑牢绿色发展底线</w:t>
      </w:r>
    </w:p>
    <w:p w14:paraId="7B243974">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一是抓实资江流域生态治理</w:t>
      </w:r>
      <w:r>
        <w:rPr>
          <w:rFonts w:hint="eastAsia" w:ascii="仿宋" w:hAnsi="仿宋" w:eastAsia="仿宋" w:cs="仿宋"/>
          <w:sz w:val="32"/>
          <w:szCs w:val="32"/>
          <w:lang w:val="en-US" w:eastAsia="zh-CN"/>
        </w:rPr>
        <w:t>。严格落实河长制，常态化开展河道巡查、河面保洁、岸线管护，严厉打击非法采砂、乱排乱放、侵占河道等违法行为，持续巩固资江流域治理成效。加快推进资江水体保障及截污工程建设，完善镇区污水收集、处理设施，提升污水治理能力。</w:t>
      </w:r>
    </w:p>
    <w:p w14:paraId="77483F7A">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二是强化生态资源管护</w:t>
      </w:r>
      <w:r>
        <w:rPr>
          <w:rFonts w:hint="eastAsia" w:ascii="仿宋" w:hAnsi="仿宋" w:eastAsia="仿宋" w:cs="仿宋"/>
          <w:sz w:val="32"/>
          <w:szCs w:val="32"/>
          <w:lang w:val="en-US" w:eastAsia="zh-CN"/>
        </w:rPr>
        <w:t>。严格落实林长制，加强森林管护、森林防火、病虫害防治，规范林地使用管理，持续做好退耕还林、生态公益林保护工作。加强库区水资源保护，严控养殖污染、生活污染，守护库区生态环境。</w:t>
      </w:r>
    </w:p>
    <w:p w14:paraId="5D419213">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三是推进绿色低碳发展</w:t>
      </w:r>
      <w:r>
        <w:rPr>
          <w:rFonts w:hint="eastAsia" w:ascii="仿宋" w:hAnsi="仿宋" w:eastAsia="仿宋" w:cs="仿宋"/>
          <w:sz w:val="32"/>
          <w:szCs w:val="32"/>
          <w:lang w:val="en-US" w:eastAsia="zh-CN"/>
        </w:rPr>
        <w:t>。持续开展生态环保宣传，推进农业废弃物资源化利用，推广绿色种植模式，全面提升全镇生态环境质量。</w:t>
      </w:r>
    </w:p>
    <w:p w14:paraId="0B653E54">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五、聚焦基层治理，创新社会治理模式</w:t>
      </w:r>
    </w:p>
    <w:p w14:paraId="67607FD4">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一是深化“平口红+三长制”治理体系</w:t>
      </w:r>
      <w:r>
        <w:rPr>
          <w:rFonts w:hint="eastAsia" w:ascii="仿宋" w:hAnsi="仿宋" w:eastAsia="仿宋" w:cs="仿宋"/>
          <w:sz w:val="32"/>
          <w:szCs w:val="32"/>
          <w:lang w:val="en-US" w:eastAsia="zh-CN"/>
        </w:rPr>
        <w:t>。优化片长、组长、邻长联动机制，健全全覆盖联系服务群众体系，常态化开展民情走访、矛盾调解、政策宣传、便民服务，实现群众诉求闭环处置。壮大“平口红”志愿服务队伍，常态化开展人居环境整治、文明劝导、应急帮扶等志愿活动。</w:t>
      </w:r>
    </w:p>
    <w:p w14:paraId="03C66FEF">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二是抓实平安建设工作</w:t>
      </w:r>
      <w:r>
        <w:rPr>
          <w:rFonts w:hint="eastAsia" w:ascii="仿宋" w:hAnsi="仿宋" w:eastAsia="仿宋" w:cs="仿宋"/>
          <w:sz w:val="32"/>
          <w:szCs w:val="32"/>
          <w:lang w:val="en-US" w:eastAsia="zh-CN"/>
        </w:rPr>
        <w:t>。常态化开展治安巡逻、夜间护学行动，加强镇区、学校、集市等重点区域治安管控，压降各类警情。扎实开展禁毒、反诈、普法宣传，提升群众安全防范意识。</w:t>
      </w:r>
    </w:p>
    <w:p w14:paraId="0E4A3886">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三是做好矛盾纠纷化解</w:t>
      </w:r>
      <w:r>
        <w:rPr>
          <w:rFonts w:hint="eastAsia" w:ascii="仿宋" w:hAnsi="仿宋" w:eastAsia="仿宋" w:cs="仿宋"/>
          <w:sz w:val="32"/>
          <w:szCs w:val="32"/>
          <w:lang w:val="en-US" w:eastAsia="zh-CN"/>
        </w:rPr>
        <w:t>。坚持矛盾纠纷排查常态化，落实信访维稳工作责任制，实行台账化、销号式管理，就地化解邻里纠纷、土地纠纷、劳资纠纷，确保社会大局和谐稳定。</w:t>
      </w:r>
    </w:p>
    <w:p w14:paraId="3F9DB56D">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六、聚焦民生实事，增进群众民生福祉</w:t>
      </w:r>
    </w:p>
    <w:p w14:paraId="1284CF6F">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一是优化民生保障服务</w:t>
      </w:r>
      <w:r>
        <w:rPr>
          <w:rFonts w:hint="eastAsia" w:ascii="仿宋" w:hAnsi="仿宋" w:eastAsia="仿宋" w:cs="仿宋"/>
          <w:sz w:val="32"/>
          <w:szCs w:val="32"/>
          <w:lang w:val="en-US" w:eastAsia="zh-CN"/>
        </w:rPr>
        <w:t>。严格落实低保、特困供养、残疾人补贴、养老救助等惠民政策，健全特殊群体关爱帮扶机制，做好留守儿童、孤寡老人、困难群众兜底保障。</w:t>
      </w:r>
    </w:p>
    <w:p w14:paraId="0ABE0C73">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二是提升公共服务水平</w:t>
      </w:r>
      <w:r>
        <w:rPr>
          <w:rFonts w:hint="eastAsia" w:ascii="仿宋" w:hAnsi="仿宋" w:eastAsia="仿宋" w:cs="仿宋"/>
          <w:sz w:val="32"/>
          <w:szCs w:val="32"/>
          <w:lang w:val="en-US" w:eastAsia="zh-CN"/>
        </w:rPr>
        <w:t>。持续优化医疗、教育、养老公共服务资源，完善镇村便民服务中心功能，简化办事流程，推进政务服务下沉，实现群众办事就近办、便捷办。</w:t>
      </w:r>
    </w:p>
    <w:p w14:paraId="038F928B">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三是抓实基础设施惠民</w:t>
      </w:r>
      <w:r>
        <w:rPr>
          <w:rFonts w:hint="eastAsia" w:ascii="仿宋" w:hAnsi="仿宋" w:eastAsia="仿宋" w:cs="仿宋"/>
          <w:sz w:val="32"/>
          <w:szCs w:val="32"/>
          <w:lang w:val="en-US" w:eastAsia="zh-CN"/>
        </w:rPr>
        <w:t>。完善镇区休闲、健身、停车配套设施，优化农村饮水安全保障，持续改善群众生产生活条件。</w:t>
      </w:r>
    </w:p>
    <w:p w14:paraId="6A652396">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四是做好重点时段民生保障</w:t>
      </w:r>
      <w:r>
        <w:rPr>
          <w:rFonts w:hint="eastAsia" w:ascii="仿宋" w:hAnsi="仿宋" w:eastAsia="仿宋" w:cs="仿宋"/>
          <w:sz w:val="32"/>
          <w:szCs w:val="32"/>
          <w:lang w:val="en-US" w:eastAsia="zh-CN"/>
        </w:rPr>
        <w:t>。统筹做好防汛抗旱、森林防火、极端天气应急保障，完善应急预案、储备应急物资，强化应急队伍建设，保障群众生命财产安全。</w:t>
      </w:r>
    </w:p>
    <w:p w14:paraId="555B7540">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七、聚焦安全生产，守住安全发展红线</w:t>
      </w:r>
    </w:p>
    <w:p w14:paraId="2B58142E">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一是压实安全生产责任</w:t>
      </w:r>
      <w:r>
        <w:rPr>
          <w:rFonts w:hint="eastAsia" w:ascii="仿宋" w:hAnsi="仿宋" w:eastAsia="仿宋" w:cs="仿宋"/>
          <w:sz w:val="32"/>
          <w:szCs w:val="32"/>
          <w:lang w:val="en-US" w:eastAsia="zh-CN"/>
        </w:rPr>
        <w:t>。严格落实安全生产“党政同责、一岗双责”，健全镇村两级安全生产监管体系，压实企业、经营主体安全生产主体责任。</w:t>
      </w:r>
    </w:p>
    <w:p w14:paraId="7118791A">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二是开展重点领域排查整治</w:t>
      </w:r>
      <w:r>
        <w:rPr>
          <w:rFonts w:hint="eastAsia" w:ascii="仿宋" w:hAnsi="仿宋" w:eastAsia="仿宋" w:cs="仿宋"/>
          <w:sz w:val="32"/>
          <w:szCs w:val="32"/>
          <w:lang w:val="en-US" w:eastAsia="zh-CN"/>
        </w:rPr>
        <w:t>。聚焦道路交通、水上船舶、建筑施工、燃气消防、食品药品、工贸企业、烟花爆竹、自建房等重点行业领域，常态化开展隐患排查整治，建立隐患台账，实行闭环管理，坚决防范各类安全事故发生。</w:t>
      </w:r>
    </w:p>
    <w:p w14:paraId="424CAE40">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三是强化防汛抗旱应急管理</w:t>
      </w:r>
      <w:r>
        <w:rPr>
          <w:rFonts w:hint="eastAsia" w:ascii="仿宋" w:hAnsi="仿宋" w:eastAsia="仿宋" w:cs="仿宋"/>
          <w:sz w:val="32"/>
          <w:szCs w:val="32"/>
          <w:lang w:val="en-US" w:eastAsia="zh-CN"/>
        </w:rPr>
        <w:t>。紧盯库区、河道、地质灾害隐患点，加强汛期巡查监测，完善转移避险方案，提升应急处置、防灾减灾能力，确保汛期安全稳定。</w:t>
      </w:r>
    </w:p>
    <w:p w14:paraId="2CA03514">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八、聚焦党建引领，全面夯实政府建设</w:t>
      </w:r>
    </w:p>
    <w:p w14:paraId="36323958">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一是强化基层党建建设</w:t>
      </w:r>
      <w:r>
        <w:rPr>
          <w:rFonts w:hint="eastAsia" w:ascii="仿宋" w:hAnsi="仿宋" w:eastAsia="仿宋" w:cs="仿宋"/>
          <w:sz w:val="32"/>
          <w:szCs w:val="32"/>
          <w:lang w:val="en-US" w:eastAsia="zh-CN"/>
        </w:rPr>
        <w:t>。严格落实“三会一课”、主题党日、组织生活会等制度，加强村级党组织标准化规范化建设，抓实党员教育管理，充分发挥基层党组织战斗堡垒作用。</w:t>
      </w:r>
    </w:p>
    <w:p w14:paraId="20E383C8">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二是从严抓好党风廉政建设</w:t>
      </w:r>
      <w:r>
        <w:rPr>
          <w:rFonts w:hint="eastAsia" w:ascii="仿宋" w:hAnsi="仿宋" w:eastAsia="仿宋" w:cs="仿宋"/>
          <w:sz w:val="32"/>
          <w:szCs w:val="32"/>
          <w:lang w:val="en-US" w:eastAsia="zh-CN"/>
        </w:rPr>
        <w:t>。严守纪律规矩，强化重点岗位、重点环节廉政风险防控，规范资金使用、项目管理、村务公开，坚决整治群众身边微腐败。</w:t>
      </w:r>
    </w:p>
    <w:p w14:paraId="3FE223BD">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三是深化干部作风建设</w:t>
      </w:r>
      <w:r>
        <w:rPr>
          <w:rFonts w:hint="eastAsia" w:ascii="仿宋" w:hAnsi="仿宋" w:eastAsia="仿宋" w:cs="仿宋"/>
          <w:sz w:val="32"/>
          <w:szCs w:val="32"/>
          <w:lang w:val="en-US" w:eastAsia="zh-CN"/>
        </w:rPr>
        <w:t>。持续改进工作作风，坚持务实为民、真抓实干，优化干部队伍管理，加强业务培训，提升干部履职能力。</w:t>
      </w:r>
    </w:p>
    <w:p w14:paraId="7B2EE102">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四是推进移风易俗建设</w:t>
      </w:r>
      <w:r>
        <w:rPr>
          <w:rFonts w:hint="eastAsia" w:ascii="仿宋" w:hAnsi="仿宋" w:eastAsia="仿宋" w:cs="仿宋"/>
          <w:sz w:val="32"/>
          <w:szCs w:val="32"/>
          <w:lang w:val="en-US" w:eastAsia="zh-CN"/>
        </w:rPr>
        <w:t>。持续弘扬楹联文化、传统文化，丰富群众精神文化生活，培育文明乡风、良好家风、淳朴民风，全面提升群众文明素养。</w:t>
      </w:r>
    </w:p>
    <w:p w14:paraId="09FA565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sz w:val="32"/>
          <w:szCs w:val="32"/>
          <w:lang w:val="en-US" w:eastAsia="zh-CN"/>
        </w:rPr>
        <w:t>2025年，平口镇人民政府将紧紧围绕县委、县政府工作部署，锚定发展目标、压实工作责任、细化工作举措、强化实干担当，全力以赴抓项目、兴产业、优环境、惠民生、保安全，持续推动全镇经济社会平稳健康高质量发展，为建设富饶、美丽、平安、幸福的新平口而不懈奋斗。</w:t>
      </w:r>
    </w:p>
    <w:p w14:paraId="501FF526">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b/>
          <w:bCs/>
          <w:color w:val="auto"/>
          <w:kern w:val="0"/>
          <w:sz w:val="32"/>
          <w:szCs w:val="32"/>
          <w:lang w:val="en-US" w:eastAsia="zh-CN"/>
        </w:rPr>
      </w:pPr>
      <w:r>
        <w:rPr>
          <w:rFonts w:hint="eastAsia" w:ascii="仿宋" w:hAnsi="仿宋" w:eastAsia="仿宋" w:cs="仿宋"/>
          <w:b/>
          <w:bCs/>
          <w:color w:val="auto"/>
          <w:kern w:val="0"/>
          <w:sz w:val="32"/>
          <w:szCs w:val="32"/>
          <w:lang w:val="en-US" w:eastAsia="zh-CN"/>
        </w:rPr>
        <w:t>(二)部门整体支出规模、使用方向、主要内容和涉及范围</w:t>
      </w:r>
    </w:p>
    <w:p w14:paraId="6F901F73">
      <w:pPr>
        <w:pStyle w:val="4"/>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2025年财政拨款支出2261.97万元，其中基本支出1392.88万元，项目支出869.09万元。</w:t>
      </w:r>
    </w:p>
    <w:p w14:paraId="5B5B5A1C">
      <w:pPr>
        <w:pStyle w:val="4"/>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基本支出中：人员经费1002.1万元，</w:t>
      </w:r>
      <w:r>
        <w:rPr>
          <w:rFonts w:hint="eastAsia" w:ascii="仿宋" w:hAnsi="仿宋" w:eastAsia="仿宋" w:cs="仿宋"/>
          <w:sz w:val="32"/>
          <w:szCs w:val="32"/>
        </w:rPr>
        <w:t>比上年减少</w:t>
      </w:r>
      <w:r>
        <w:rPr>
          <w:rFonts w:hint="eastAsia" w:ascii="仿宋" w:hAnsi="仿宋" w:eastAsia="仿宋" w:cs="仿宋"/>
          <w:sz w:val="32"/>
          <w:szCs w:val="32"/>
          <w:lang w:val="en-US" w:eastAsia="zh-CN"/>
        </w:rPr>
        <w:t>137.78</w:t>
      </w:r>
      <w:r>
        <w:rPr>
          <w:rFonts w:hint="eastAsia" w:ascii="仿宋" w:hAnsi="仿宋" w:eastAsia="仿宋" w:cs="仿宋"/>
          <w:sz w:val="32"/>
          <w:szCs w:val="32"/>
        </w:rPr>
        <w:t>万元，</w:t>
      </w:r>
      <w:r>
        <w:rPr>
          <w:rFonts w:hint="eastAsia" w:ascii="仿宋" w:hAnsi="仿宋" w:eastAsia="仿宋" w:cs="仿宋"/>
          <w:sz w:val="32"/>
          <w:szCs w:val="32"/>
          <w:lang w:val="en-US" w:eastAsia="zh-CN"/>
        </w:rPr>
        <w:t>减少12.08</w:t>
      </w:r>
      <w:r>
        <w:rPr>
          <w:rFonts w:hint="eastAsia" w:ascii="仿宋" w:hAnsi="仿宋" w:eastAsia="仿宋" w:cs="仿宋"/>
          <w:sz w:val="32"/>
          <w:szCs w:val="32"/>
        </w:rPr>
        <w:t>%</w:t>
      </w:r>
      <w:r>
        <w:rPr>
          <w:rFonts w:hint="eastAsia" w:ascii="仿宋" w:hAnsi="仿宋" w:eastAsia="仿宋" w:cs="仿宋"/>
          <w:color w:val="auto"/>
          <w:kern w:val="0"/>
          <w:sz w:val="32"/>
          <w:szCs w:val="32"/>
          <w:lang w:val="en-US" w:eastAsia="zh-CN" w:bidi="ar-SA"/>
        </w:rPr>
        <w:t>,主要包括基本工资、津贴补贴、奖金、伙食补助费、绩效工资、机关事业单位基本养老保险缴费、职工基本医疗保险缴费、其他社会保障缴费、住房公积金、其他工资福利支出、抚恤金、生活补助、其他对个人和家庭的补助；公用经费</w:t>
      </w:r>
      <w:r>
        <w:rPr>
          <w:rFonts w:hint="eastAsia" w:ascii="仿宋" w:hAnsi="Times New Roman" w:eastAsia="仿宋" w:cs="仿宋"/>
          <w:sz w:val="32"/>
          <w:szCs w:val="32"/>
          <w:lang w:val="en-US" w:eastAsia="zh-CN"/>
        </w:rPr>
        <w:t>390.78</w:t>
      </w:r>
      <w:r>
        <w:rPr>
          <w:rFonts w:hint="eastAsia" w:ascii="仿宋" w:hAnsi="Times New Roman" w:eastAsia="仿宋" w:cs="仿宋"/>
          <w:sz w:val="32"/>
          <w:szCs w:val="32"/>
        </w:rPr>
        <w:t>万元，比上年</w:t>
      </w:r>
      <w:r>
        <w:rPr>
          <w:rFonts w:hint="eastAsia" w:ascii="仿宋" w:hAnsi="Times New Roman" w:eastAsia="仿宋" w:cs="仿宋"/>
          <w:sz w:val="32"/>
          <w:szCs w:val="32"/>
          <w:lang w:val="en-US" w:eastAsia="zh-CN"/>
        </w:rPr>
        <w:t>减少129.03</w:t>
      </w:r>
      <w:r>
        <w:rPr>
          <w:rFonts w:hint="eastAsia" w:ascii="仿宋" w:hAnsi="Times New Roman" w:eastAsia="仿宋" w:cs="仿宋"/>
          <w:sz w:val="32"/>
          <w:szCs w:val="32"/>
        </w:rPr>
        <w:t>万元，</w:t>
      </w:r>
      <w:r>
        <w:rPr>
          <w:rFonts w:hint="eastAsia" w:ascii="仿宋" w:hAnsi="Times New Roman" w:eastAsia="仿宋" w:cs="仿宋"/>
          <w:sz w:val="32"/>
          <w:szCs w:val="32"/>
          <w:lang w:val="en-US" w:eastAsia="zh-CN"/>
        </w:rPr>
        <w:t>减少24.82</w:t>
      </w:r>
      <w:r>
        <w:rPr>
          <w:rFonts w:ascii="仿宋" w:hAnsi="Times New Roman" w:eastAsia="仿宋" w:cs="仿宋"/>
          <w:sz w:val="32"/>
          <w:szCs w:val="32"/>
        </w:rPr>
        <w:t>%</w:t>
      </w:r>
      <w:r>
        <w:rPr>
          <w:rFonts w:hint="eastAsia" w:ascii="仿宋" w:hAnsi="仿宋" w:eastAsia="仿宋" w:cs="仿宋"/>
          <w:color w:val="auto"/>
          <w:kern w:val="0"/>
          <w:sz w:val="32"/>
          <w:szCs w:val="32"/>
          <w:lang w:val="en-US" w:eastAsia="zh-CN" w:bidi="ar-SA"/>
        </w:rPr>
        <w:t>，主要包括办公费、印刷费、水费、电费、邮电费、差旅费、会议费、公务接待费、公务用车运行维护费、其他交通费用、其他商品和服务支出。</w:t>
      </w:r>
    </w:p>
    <w:p w14:paraId="6180F5B9">
      <w:pPr>
        <w:pStyle w:val="4"/>
        <w:ind w:firstLine="640" w:firstLineChars="200"/>
        <w:rPr>
          <w:rFonts w:hint="eastAsia" w:ascii="仿宋" w:eastAsia="仿宋" w:cs="仿宋"/>
          <w:sz w:val="32"/>
          <w:szCs w:val="32"/>
          <w:lang w:val="en-US" w:eastAsia="zh-CN"/>
        </w:rPr>
      </w:pPr>
      <w:r>
        <w:rPr>
          <w:rFonts w:hint="eastAsia" w:ascii="仿宋" w:hAnsi="仿宋" w:eastAsia="仿宋" w:cs="仿宋"/>
          <w:color w:val="auto"/>
          <w:kern w:val="0"/>
          <w:sz w:val="32"/>
          <w:szCs w:val="32"/>
          <w:lang w:val="en-US" w:eastAsia="zh-CN" w:bidi="ar-SA"/>
        </w:rPr>
        <w:t>项目支出中：</w:t>
      </w:r>
      <w:r>
        <w:rPr>
          <w:rFonts w:hint="eastAsia" w:ascii="仿宋" w:eastAsia="仿宋" w:cs="仿宋"/>
          <w:sz w:val="32"/>
          <w:szCs w:val="32"/>
          <w:lang w:eastAsia="zh-CN"/>
        </w:rPr>
        <w:t>2025</w:t>
      </w:r>
      <w:r>
        <w:rPr>
          <w:rFonts w:hint="eastAsia" w:ascii="仿宋" w:eastAsia="仿宋" w:cs="仿宋"/>
          <w:sz w:val="32"/>
          <w:szCs w:val="32"/>
        </w:rPr>
        <w:t>年本单位财政拨款项目支出</w:t>
      </w:r>
      <w:r>
        <w:rPr>
          <w:rFonts w:hint="eastAsia" w:ascii="仿宋" w:eastAsia="仿宋" w:cs="仿宋"/>
          <w:sz w:val="32"/>
          <w:szCs w:val="32"/>
          <w:lang w:val="en-US" w:eastAsia="zh-CN"/>
        </w:rPr>
        <w:t>869.09</w:t>
      </w:r>
      <w:r>
        <w:rPr>
          <w:rFonts w:hint="eastAsia" w:ascii="仿宋" w:eastAsia="仿宋" w:cs="仿宋"/>
          <w:sz w:val="32"/>
          <w:szCs w:val="32"/>
        </w:rPr>
        <w:t>万元，其中</w:t>
      </w:r>
      <w:r>
        <w:rPr>
          <w:rFonts w:hint="eastAsia" w:ascii="仿宋" w:eastAsia="仿宋" w:cs="仿宋"/>
          <w:sz w:val="32"/>
          <w:szCs w:val="32"/>
          <w:lang w:val="en-US" w:eastAsia="zh-CN"/>
        </w:rPr>
        <w:t>平口镇创建中国楹联文化镇项目资金30万元以及业务工作经费和运行维护经费等项目支出。</w:t>
      </w:r>
    </w:p>
    <w:p w14:paraId="2B8929D9">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二、一般公共预算支出情况</w:t>
      </w:r>
    </w:p>
    <w:p w14:paraId="78EBA391">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(一)基本支出情况</w:t>
      </w:r>
    </w:p>
    <w:p w14:paraId="160F0FF6">
      <w:pPr>
        <w:autoSpaceDE w:val="0"/>
        <w:autoSpaceDN w:val="0"/>
        <w:adjustRightInd w:val="0"/>
        <w:spacing w:line="520" w:lineRule="exact"/>
        <w:ind w:firstLine="640"/>
        <w:rPr>
          <w:rFonts w:hint="eastAsia" w:ascii="仿宋" w:hAnsi="Times New Roman" w:eastAsia="仿宋" w:cs="仿宋"/>
          <w:sz w:val="32"/>
          <w:szCs w:val="32"/>
          <w:lang w:val="en-US" w:eastAsia="zh-CN"/>
        </w:rPr>
      </w:pPr>
      <w:r>
        <w:rPr>
          <w:rFonts w:hint="eastAsia" w:ascii="仿宋" w:eastAsia="仿宋" w:cs="仿宋"/>
          <w:sz w:val="32"/>
          <w:szCs w:val="32"/>
          <w:lang w:val="en-US" w:eastAsia="zh-CN"/>
        </w:rPr>
        <w:t>2025</w:t>
      </w:r>
      <w:r>
        <w:rPr>
          <w:rFonts w:hint="eastAsia" w:ascii="仿宋" w:hAnsi="Times New Roman" w:eastAsia="仿宋" w:cs="仿宋"/>
          <w:sz w:val="32"/>
          <w:szCs w:val="32"/>
          <w:lang w:val="en-US" w:eastAsia="zh-CN"/>
        </w:rPr>
        <w:t>年一般公共预算支出基本支出</w:t>
      </w:r>
      <w:r>
        <w:rPr>
          <w:rFonts w:hint="eastAsia" w:ascii="仿宋" w:hAnsi="仿宋" w:eastAsia="仿宋" w:cs="仿宋"/>
          <w:color w:val="auto"/>
          <w:kern w:val="0"/>
          <w:sz w:val="32"/>
          <w:szCs w:val="32"/>
          <w:lang w:val="en-US" w:eastAsia="zh-CN" w:bidi="ar-SA"/>
        </w:rPr>
        <w:t>1392.88</w:t>
      </w:r>
      <w:r>
        <w:rPr>
          <w:rFonts w:hint="eastAsia" w:ascii="仿宋" w:hAnsi="Times New Roman" w:eastAsia="仿宋" w:cs="仿宋"/>
          <w:sz w:val="32"/>
          <w:szCs w:val="32"/>
          <w:lang w:val="en-US" w:eastAsia="zh-CN"/>
        </w:rPr>
        <w:t>万元，资金主要用于我镇日常运行支出，包含工资福利支出</w:t>
      </w:r>
      <w:r>
        <w:rPr>
          <w:rFonts w:hint="eastAsia" w:ascii="仿宋" w:eastAsia="仿宋" w:cs="仿宋"/>
          <w:sz w:val="32"/>
          <w:szCs w:val="32"/>
          <w:lang w:val="en-US" w:eastAsia="zh-CN"/>
        </w:rPr>
        <w:t>944.14</w:t>
      </w:r>
      <w:r>
        <w:rPr>
          <w:rFonts w:hint="eastAsia" w:ascii="仿宋" w:hAnsi="Times New Roman" w:eastAsia="仿宋" w:cs="仿宋"/>
          <w:sz w:val="32"/>
          <w:szCs w:val="32"/>
          <w:lang w:val="en-US" w:eastAsia="zh-CN"/>
        </w:rPr>
        <w:t>万元，商品和服务支出</w:t>
      </w:r>
      <w:r>
        <w:rPr>
          <w:rFonts w:hint="eastAsia" w:ascii="仿宋" w:eastAsia="仿宋" w:cs="仿宋"/>
          <w:sz w:val="32"/>
          <w:szCs w:val="32"/>
          <w:lang w:val="en-US" w:eastAsia="zh-CN"/>
        </w:rPr>
        <w:t>359.53</w:t>
      </w:r>
      <w:r>
        <w:rPr>
          <w:rFonts w:hint="eastAsia" w:ascii="仿宋" w:hAnsi="Times New Roman" w:eastAsia="仿宋" w:cs="仿宋"/>
          <w:sz w:val="32"/>
          <w:szCs w:val="32"/>
          <w:lang w:val="en-US" w:eastAsia="zh-CN"/>
        </w:rPr>
        <w:t>万元，对个人和家庭的补助收入支出</w:t>
      </w:r>
      <w:r>
        <w:rPr>
          <w:rFonts w:hint="eastAsia" w:ascii="仿宋" w:eastAsia="仿宋" w:cs="仿宋"/>
          <w:sz w:val="32"/>
          <w:szCs w:val="32"/>
          <w:lang w:val="en-US" w:eastAsia="zh-CN"/>
        </w:rPr>
        <w:t>57.95</w:t>
      </w:r>
      <w:r>
        <w:rPr>
          <w:rFonts w:hint="eastAsia" w:ascii="仿宋" w:hAnsi="Times New Roman" w:eastAsia="仿宋" w:cs="仿宋"/>
          <w:sz w:val="32"/>
          <w:szCs w:val="32"/>
          <w:lang w:val="en-US" w:eastAsia="zh-CN"/>
        </w:rPr>
        <w:t>万元</w:t>
      </w:r>
      <w:r>
        <w:rPr>
          <w:rFonts w:hint="eastAsia" w:ascii="仿宋" w:eastAsia="仿宋" w:cs="仿宋"/>
          <w:sz w:val="32"/>
          <w:szCs w:val="32"/>
          <w:lang w:val="en-US" w:eastAsia="zh-CN"/>
        </w:rPr>
        <w:t>，资本性支出31.25万元</w:t>
      </w:r>
      <w:r>
        <w:rPr>
          <w:rFonts w:hint="eastAsia" w:ascii="仿宋" w:hAnsi="Times New Roman" w:eastAsia="仿宋" w:cs="仿宋"/>
          <w:sz w:val="32"/>
          <w:szCs w:val="32"/>
          <w:lang w:val="en-US" w:eastAsia="zh-CN"/>
        </w:rPr>
        <w:t>。</w:t>
      </w:r>
    </w:p>
    <w:p w14:paraId="4A8D10CA">
      <w:pPr>
        <w:autoSpaceDE w:val="0"/>
        <w:autoSpaceDN w:val="0"/>
        <w:adjustRightInd w:val="0"/>
        <w:spacing w:line="520" w:lineRule="exact"/>
        <w:ind w:firstLine="640"/>
        <w:rPr>
          <w:rFonts w:ascii="Times New Roman" w:hAnsi="Times New Roman" w:eastAsia="仿宋"/>
          <w:sz w:val="32"/>
          <w:szCs w:val="32"/>
          <w:lang w:val="zh-CN"/>
        </w:rPr>
      </w:pPr>
      <w:r>
        <w:rPr>
          <w:rFonts w:ascii="Times New Roman" w:hAnsi="Times New Roman" w:eastAsia="仿宋"/>
          <w:b/>
          <w:bCs/>
          <w:sz w:val="32"/>
          <w:szCs w:val="32"/>
        </w:rPr>
        <w:t>“</w:t>
      </w:r>
      <w:r>
        <w:rPr>
          <w:rFonts w:hint="eastAsia" w:ascii="仿宋" w:hAnsi="Times New Roman" w:eastAsia="仿宋" w:cs="仿宋"/>
          <w:sz w:val="32"/>
          <w:szCs w:val="32"/>
        </w:rPr>
        <w:t>三公</w:t>
      </w:r>
      <w:r>
        <w:rPr>
          <w:rFonts w:ascii="Times New Roman" w:hAnsi="Times New Roman" w:eastAsia="仿宋"/>
          <w:b/>
          <w:bCs/>
          <w:sz w:val="32"/>
          <w:szCs w:val="32"/>
        </w:rPr>
        <w:t>”</w:t>
      </w:r>
      <w:r>
        <w:rPr>
          <w:rFonts w:hint="eastAsia" w:ascii="仿宋" w:hAnsi="Times New Roman" w:eastAsia="仿宋" w:cs="仿宋"/>
          <w:sz w:val="32"/>
          <w:szCs w:val="32"/>
        </w:rPr>
        <w:t>经费支出情况：</w:t>
      </w:r>
      <w:r>
        <w:rPr>
          <w:rFonts w:hint="eastAsia" w:ascii="仿宋" w:eastAsia="仿宋" w:cs="仿宋"/>
          <w:sz w:val="32"/>
          <w:szCs w:val="32"/>
          <w:lang w:eastAsia="zh-CN"/>
        </w:rPr>
        <w:t>2025</w:t>
      </w:r>
      <w:r>
        <w:rPr>
          <w:rFonts w:hint="eastAsia" w:ascii="仿宋" w:hAnsi="Times New Roman" w:eastAsia="仿宋" w:cs="仿宋"/>
          <w:sz w:val="32"/>
          <w:szCs w:val="32"/>
        </w:rPr>
        <w:t>年，</w:t>
      </w:r>
      <w:r>
        <w:rPr>
          <w:rFonts w:ascii="Times New Roman" w:hAnsi="Times New Roman" w:eastAsia="仿宋"/>
          <w:sz w:val="32"/>
          <w:szCs w:val="32"/>
        </w:rPr>
        <w:t>“</w:t>
      </w:r>
      <w:r>
        <w:rPr>
          <w:rFonts w:hint="eastAsia" w:ascii="仿宋" w:hAnsi="Times New Roman" w:eastAsia="仿宋" w:cs="仿宋"/>
          <w:sz w:val="32"/>
          <w:szCs w:val="32"/>
        </w:rPr>
        <w:t>三公</w:t>
      </w:r>
      <w:r>
        <w:rPr>
          <w:rFonts w:ascii="Times New Roman" w:hAnsi="Times New Roman" w:eastAsia="仿宋"/>
          <w:sz w:val="32"/>
          <w:szCs w:val="32"/>
        </w:rPr>
        <w:t>”</w:t>
      </w:r>
      <w:r>
        <w:rPr>
          <w:rFonts w:hint="eastAsia" w:ascii="仿宋" w:hAnsi="Times New Roman" w:eastAsia="仿宋" w:cs="仿宋"/>
          <w:sz w:val="32"/>
          <w:szCs w:val="32"/>
        </w:rPr>
        <w:t>经费完成</w:t>
      </w:r>
      <w:r>
        <w:rPr>
          <w:rFonts w:hint="eastAsia" w:ascii="仿宋" w:eastAsia="仿宋" w:cs="仿宋"/>
          <w:sz w:val="32"/>
          <w:szCs w:val="32"/>
          <w:lang w:val="en-US" w:eastAsia="zh-CN"/>
        </w:rPr>
        <w:t>28.94</w:t>
      </w:r>
      <w:r>
        <w:rPr>
          <w:rFonts w:hint="eastAsia" w:ascii="仿宋" w:hAnsi="Times New Roman" w:eastAsia="仿宋" w:cs="仿宋"/>
          <w:sz w:val="32"/>
          <w:szCs w:val="32"/>
        </w:rPr>
        <w:t>元，比上年</w:t>
      </w:r>
      <w:r>
        <w:rPr>
          <w:rFonts w:hint="eastAsia" w:ascii="仿宋" w:eastAsia="仿宋" w:cs="仿宋"/>
          <w:sz w:val="32"/>
          <w:szCs w:val="32"/>
          <w:lang w:val="en-US" w:eastAsia="zh-CN"/>
        </w:rPr>
        <w:t>减少0.71</w:t>
      </w:r>
      <w:r>
        <w:rPr>
          <w:rFonts w:hint="eastAsia" w:ascii="仿宋" w:hAnsi="Times New Roman" w:eastAsia="仿宋" w:cs="仿宋"/>
          <w:sz w:val="32"/>
          <w:szCs w:val="32"/>
        </w:rPr>
        <w:t>万元，</w:t>
      </w:r>
      <w:r>
        <w:rPr>
          <w:rFonts w:hint="eastAsia" w:ascii="仿宋" w:eastAsia="仿宋" w:cs="仿宋"/>
          <w:sz w:val="32"/>
          <w:szCs w:val="32"/>
          <w:lang w:val="en-US" w:eastAsia="zh-CN"/>
        </w:rPr>
        <w:t>下降2.39</w:t>
      </w:r>
      <w:r>
        <w:rPr>
          <w:rFonts w:ascii="仿宋" w:hAnsi="Times New Roman" w:eastAsia="仿宋" w:cs="仿宋"/>
          <w:sz w:val="32"/>
          <w:szCs w:val="32"/>
        </w:rPr>
        <w:t>%</w:t>
      </w:r>
      <w:r>
        <w:rPr>
          <w:rFonts w:hint="eastAsia" w:ascii="仿宋" w:hAnsi="Times New Roman" w:eastAsia="仿宋" w:cs="仿宋"/>
          <w:sz w:val="32"/>
          <w:szCs w:val="32"/>
        </w:rPr>
        <w:t>，增减变化的主要原因是：</w:t>
      </w:r>
      <w:r>
        <w:rPr>
          <w:rFonts w:hint="eastAsia" w:ascii="仿宋" w:eastAsia="仿宋" w:cs="仿宋"/>
          <w:sz w:val="32"/>
          <w:szCs w:val="32"/>
          <w:lang w:eastAsia="zh-CN"/>
        </w:rPr>
        <w:t>我单位</w:t>
      </w:r>
      <w:r>
        <w:rPr>
          <w:rFonts w:hint="eastAsia" w:ascii="仿宋" w:eastAsia="仿宋" w:cs="仿宋"/>
          <w:sz w:val="32"/>
          <w:szCs w:val="32"/>
          <w:lang w:val="en-US" w:eastAsia="zh-CN"/>
        </w:rPr>
        <w:t>2025年严控三公经费，严格践行节约理念</w:t>
      </w:r>
      <w:r>
        <w:rPr>
          <w:rFonts w:hint="eastAsia" w:ascii="仿宋" w:hAnsi="Times New Roman" w:eastAsia="仿宋" w:cs="仿宋"/>
          <w:sz w:val="32"/>
          <w:szCs w:val="32"/>
          <w:lang w:val="zh-CN"/>
        </w:rPr>
        <w:t>。其中：</w:t>
      </w:r>
      <w:r>
        <w:rPr>
          <w:rFonts w:hint="eastAsia" w:ascii="仿宋" w:hAnsi="Times New Roman" w:eastAsia="仿宋" w:cs="仿宋"/>
          <w:b/>
          <w:bCs/>
          <w:sz w:val="32"/>
          <w:szCs w:val="32"/>
          <w:lang w:val="zh-CN"/>
        </w:rPr>
        <w:t>因公出国（境）费</w:t>
      </w:r>
      <w:r>
        <w:rPr>
          <w:rFonts w:hint="eastAsia" w:ascii="仿宋" w:hAnsi="Times New Roman" w:eastAsia="仿宋" w:cs="仿宋"/>
          <w:sz w:val="32"/>
          <w:szCs w:val="32"/>
        </w:rPr>
        <w:t>完成</w:t>
      </w:r>
      <w:r>
        <w:rPr>
          <w:rFonts w:ascii="仿宋" w:hAnsi="Times New Roman" w:eastAsia="仿宋" w:cs="仿宋"/>
          <w:sz w:val="32"/>
          <w:szCs w:val="32"/>
        </w:rPr>
        <w:t>0</w:t>
      </w:r>
      <w:r>
        <w:rPr>
          <w:rFonts w:hint="eastAsia" w:ascii="仿宋" w:hAnsi="Times New Roman" w:eastAsia="仿宋" w:cs="仿宋"/>
          <w:sz w:val="32"/>
          <w:szCs w:val="32"/>
        </w:rPr>
        <w:t>万元，比上年增加</w:t>
      </w:r>
      <w:r>
        <w:rPr>
          <w:rFonts w:ascii="仿宋" w:hAnsi="Times New Roman" w:eastAsia="仿宋" w:cs="仿宋"/>
          <w:sz w:val="32"/>
          <w:szCs w:val="32"/>
        </w:rPr>
        <w:t>0</w:t>
      </w:r>
      <w:r>
        <w:rPr>
          <w:rFonts w:hint="eastAsia" w:ascii="仿宋" w:hAnsi="Times New Roman" w:eastAsia="仿宋" w:cs="仿宋"/>
          <w:sz w:val="32"/>
          <w:szCs w:val="32"/>
        </w:rPr>
        <w:t>万元，增加</w:t>
      </w:r>
      <w:r>
        <w:rPr>
          <w:rFonts w:ascii="仿宋" w:hAnsi="Times New Roman" w:eastAsia="仿宋" w:cs="仿宋"/>
          <w:sz w:val="32"/>
          <w:szCs w:val="32"/>
        </w:rPr>
        <w:t>0%</w:t>
      </w:r>
      <w:r>
        <w:rPr>
          <w:rFonts w:hint="eastAsia" w:ascii="仿宋" w:hAnsi="Times New Roman" w:eastAsia="仿宋" w:cs="仿宋"/>
          <w:sz w:val="32"/>
          <w:szCs w:val="32"/>
        </w:rPr>
        <w:t>，无增减变化</w:t>
      </w:r>
      <w:r>
        <w:rPr>
          <w:rFonts w:hint="eastAsia" w:ascii="仿宋" w:hAnsi="Times New Roman" w:eastAsia="仿宋" w:cs="仿宋"/>
          <w:sz w:val="32"/>
          <w:szCs w:val="32"/>
          <w:lang w:val="zh-CN"/>
        </w:rPr>
        <w:t>；</w:t>
      </w:r>
      <w:r>
        <w:rPr>
          <w:rFonts w:hint="eastAsia" w:ascii="仿宋" w:hAnsi="Times New Roman" w:eastAsia="仿宋" w:cs="仿宋"/>
          <w:b/>
          <w:bCs/>
          <w:sz w:val="32"/>
          <w:szCs w:val="32"/>
          <w:lang w:val="zh-CN"/>
        </w:rPr>
        <w:t>公务接待费</w:t>
      </w:r>
      <w:r>
        <w:rPr>
          <w:rFonts w:hint="eastAsia" w:ascii="仿宋" w:hAnsi="Times New Roman" w:eastAsia="仿宋" w:cs="仿宋"/>
          <w:sz w:val="32"/>
          <w:szCs w:val="32"/>
        </w:rPr>
        <w:t>完成</w:t>
      </w:r>
      <w:r>
        <w:rPr>
          <w:rFonts w:hint="eastAsia" w:ascii="仿宋" w:eastAsia="仿宋" w:cs="仿宋"/>
          <w:sz w:val="32"/>
          <w:szCs w:val="32"/>
          <w:lang w:val="en-US" w:eastAsia="zh-CN"/>
        </w:rPr>
        <w:t>25.2</w:t>
      </w:r>
      <w:r>
        <w:rPr>
          <w:rFonts w:hint="eastAsia" w:ascii="仿宋" w:hAnsi="Times New Roman" w:eastAsia="仿宋" w:cs="仿宋"/>
          <w:sz w:val="32"/>
          <w:szCs w:val="32"/>
        </w:rPr>
        <w:t>万元，比上年</w:t>
      </w:r>
      <w:r>
        <w:rPr>
          <w:rFonts w:hint="eastAsia" w:ascii="仿宋" w:eastAsia="仿宋" w:cs="仿宋"/>
          <w:sz w:val="32"/>
          <w:szCs w:val="32"/>
          <w:lang w:eastAsia="zh-CN"/>
        </w:rPr>
        <w:t>减少</w:t>
      </w:r>
      <w:r>
        <w:rPr>
          <w:rFonts w:hint="eastAsia" w:ascii="仿宋" w:eastAsia="仿宋" w:cs="仿宋"/>
          <w:sz w:val="32"/>
          <w:szCs w:val="32"/>
          <w:lang w:val="en-US" w:eastAsia="zh-CN"/>
        </w:rPr>
        <w:t>0.45</w:t>
      </w:r>
      <w:r>
        <w:rPr>
          <w:rFonts w:hint="eastAsia" w:ascii="仿宋" w:hAnsi="Times New Roman" w:eastAsia="仿宋" w:cs="仿宋"/>
          <w:sz w:val="32"/>
          <w:szCs w:val="32"/>
        </w:rPr>
        <w:t>万元，下降</w:t>
      </w:r>
      <w:r>
        <w:rPr>
          <w:rFonts w:hint="eastAsia" w:ascii="仿宋" w:eastAsia="仿宋" w:cs="仿宋"/>
          <w:sz w:val="32"/>
          <w:szCs w:val="32"/>
          <w:lang w:val="en-US" w:eastAsia="zh-CN"/>
        </w:rPr>
        <w:t>1.8</w:t>
      </w:r>
      <w:r>
        <w:rPr>
          <w:rFonts w:ascii="仿宋" w:hAnsi="Times New Roman" w:eastAsia="仿宋" w:cs="仿宋"/>
          <w:sz w:val="32"/>
          <w:szCs w:val="32"/>
        </w:rPr>
        <w:t>%</w:t>
      </w:r>
      <w:r>
        <w:rPr>
          <w:rFonts w:hint="eastAsia" w:ascii="仿宋" w:hAnsi="Times New Roman" w:eastAsia="仿宋" w:cs="仿宋"/>
          <w:sz w:val="32"/>
          <w:szCs w:val="32"/>
        </w:rPr>
        <w:t>，增减变化的主要原因是：严格落实上级政策，厉行节约</w:t>
      </w:r>
      <w:r>
        <w:rPr>
          <w:rFonts w:hint="eastAsia" w:ascii="仿宋" w:hAnsi="Times New Roman" w:eastAsia="仿宋" w:cs="仿宋"/>
          <w:sz w:val="32"/>
          <w:szCs w:val="32"/>
          <w:lang w:val="zh-CN"/>
        </w:rPr>
        <w:t>；</w:t>
      </w:r>
      <w:r>
        <w:rPr>
          <w:rFonts w:hint="eastAsia" w:ascii="仿宋" w:hAnsi="Times New Roman" w:eastAsia="仿宋" w:cs="仿宋"/>
          <w:b/>
          <w:bCs/>
          <w:sz w:val="32"/>
          <w:szCs w:val="32"/>
          <w:lang w:val="zh-CN"/>
        </w:rPr>
        <w:t>公务用车购置及运行维护费</w:t>
      </w:r>
      <w:r>
        <w:rPr>
          <w:rFonts w:hint="eastAsia" w:ascii="仿宋" w:hAnsi="Times New Roman" w:eastAsia="仿宋" w:cs="仿宋"/>
          <w:sz w:val="32"/>
          <w:szCs w:val="32"/>
        </w:rPr>
        <w:t>完成</w:t>
      </w:r>
      <w:r>
        <w:rPr>
          <w:rFonts w:hint="eastAsia" w:ascii="仿宋" w:eastAsia="仿宋" w:cs="仿宋"/>
          <w:sz w:val="32"/>
          <w:szCs w:val="32"/>
          <w:lang w:val="en-US" w:eastAsia="zh-CN"/>
        </w:rPr>
        <w:t>3.74</w:t>
      </w:r>
      <w:r>
        <w:rPr>
          <w:rFonts w:hint="eastAsia" w:ascii="仿宋" w:hAnsi="Times New Roman" w:eastAsia="仿宋" w:cs="仿宋"/>
          <w:sz w:val="32"/>
          <w:szCs w:val="32"/>
        </w:rPr>
        <w:t>万元，比上年</w:t>
      </w:r>
      <w:r>
        <w:rPr>
          <w:rFonts w:hint="eastAsia" w:ascii="仿宋" w:eastAsia="仿宋" w:cs="仿宋"/>
          <w:sz w:val="32"/>
          <w:szCs w:val="32"/>
          <w:lang w:val="en-US" w:eastAsia="zh-CN"/>
        </w:rPr>
        <w:t>减少0.26</w:t>
      </w:r>
      <w:r>
        <w:rPr>
          <w:rFonts w:hint="eastAsia" w:ascii="仿宋" w:hAnsi="Times New Roman" w:eastAsia="仿宋" w:cs="仿宋"/>
          <w:sz w:val="32"/>
          <w:szCs w:val="32"/>
        </w:rPr>
        <w:t>万元，</w:t>
      </w:r>
      <w:r>
        <w:rPr>
          <w:rFonts w:hint="eastAsia" w:ascii="仿宋" w:eastAsia="仿宋" w:cs="仿宋"/>
          <w:sz w:val="32"/>
          <w:szCs w:val="32"/>
          <w:lang w:val="en-US" w:eastAsia="zh-CN"/>
        </w:rPr>
        <w:t>下降6.5</w:t>
      </w:r>
      <w:r>
        <w:rPr>
          <w:rFonts w:ascii="仿宋" w:hAnsi="Times New Roman" w:eastAsia="仿宋" w:cs="仿宋"/>
          <w:sz w:val="32"/>
          <w:szCs w:val="32"/>
        </w:rPr>
        <w:t>%</w:t>
      </w:r>
      <w:r>
        <w:rPr>
          <w:rFonts w:hint="eastAsia" w:ascii="仿宋" w:hAnsi="Times New Roman" w:eastAsia="仿宋" w:cs="仿宋"/>
          <w:sz w:val="32"/>
          <w:szCs w:val="32"/>
        </w:rPr>
        <w:t>，增减变化的主要原因是：</w:t>
      </w:r>
      <w:r>
        <w:rPr>
          <w:rFonts w:hint="eastAsia" w:ascii="仿宋" w:eastAsia="仿宋" w:cs="仿宋"/>
          <w:sz w:val="32"/>
          <w:szCs w:val="32"/>
          <w:lang w:eastAsia="zh-CN"/>
        </w:rPr>
        <w:t>我单位</w:t>
      </w:r>
      <w:r>
        <w:rPr>
          <w:rFonts w:hint="eastAsia" w:ascii="仿宋" w:eastAsia="仿宋" w:cs="仿宋"/>
          <w:sz w:val="32"/>
          <w:szCs w:val="32"/>
          <w:lang w:val="en-US" w:eastAsia="zh-CN"/>
        </w:rPr>
        <w:t>2025年严控三公经费，严格践行节约理念</w:t>
      </w:r>
      <w:r>
        <w:rPr>
          <w:rFonts w:hint="eastAsia" w:ascii="仿宋" w:hAnsi="Times New Roman" w:eastAsia="仿宋" w:cs="仿宋"/>
          <w:sz w:val="32"/>
          <w:szCs w:val="32"/>
          <w:lang w:val="zh-CN"/>
        </w:rPr>
        <w:t>。</w:t>
      </w:r>
    </w:p>
    <w:p w14:paraId="6E80E2AE">
      <w:pPr>
        <w:autoSpaceDE w:val="0"/>
        <w:autoSpaceDN w:val="0"/>
        <w:adjustRightInd w:val="0"/>
        <w:spacing w:line="520" w:lineRule="exact"/>
        <w:ind w:firstLine="640"/>
        <w:rPr>
          <w:rFonts w:ascii="Times New Roman" w:hAnsi="Times New Roman" w:eastAsia="仿宋"/>
          <w:sz w:val="32"/>
          <w:szCs w:val="32"/>
        </w:rPr>
      </w:pPr>
      <w:r>
        <w:rPr>
          <w:rFonts w:hint="eastAsia" w:ascii="仿宋" w:hAnsi="Times New Roman" w:eastAsia="仿宋" w:cs="仿宋"/>
          <w:sz w:val="32"/>
          <w:szCs w:val="32"/>
        </w:rPr>
        <w:t>（</w:t>
      </w:r>
      <w:r>
        <w:rPr>
          <w:rFonts w:ascii="仿宋" w:hAnsi="Times New Roman" w:eastAsia="仿宋" w:cs="仿宋"/>
          <w:sz w:val="32"/>
          <w:szCs w:val="32"/>
        </w:rPr>
        <w:t>2</w:t>
      </w:r>
      <w:r>
        <w:rPr>
          <w:rFonts w:hint="eastAsia" w:ascii="仿宋" w:hAnsi="Times New Roman" w:eastAsia="仿宋" w:cs="仿宋"/>
          <w:sz w:val="32"/>
          <w:szCs w:val="32"/>
        </w:rPr>
        <w:t>）会议费支出情况：</w:t>
      </w:r>
      <w:r>
        <w:rPr>
          <w:rFonts w:hint="eastAsia" w:ascii="仿宋" w:eastAsia="仿宋" w:cs="仿宋"/>
          <w:sz w:val="32"/>
          <w:szCs w:val="32"/>
          <w:lang w:eastAsia="zh-CN"/>
        </w:rPr>
        <w:t>2025</w:t>
      </w:r>
      <w:r>
        <w:rPr>
          <w:rFonts w:hint="eastAsia" w:ascii="仿宋" w:hAnsi="Times New Roman" w:eastAsia="仿宋" w:cs="仿宋"/>
          <w:sz w:val="32"/>
          <w:szCs w:val="32"/>
        </w:rPr>
        <w:t>年会议费完成</w:t>
      </w:r>
      <w:r>
        <w:rPr>
          <w:rFonts w:hint="eastAsia" w:ascii="仿宋" w:eastAsia="仿宋" w:cs="仿宋"/>
          <w:sz w:val="32"/>
          <w:szCs w:val="32"/>
          <w:lang w:val="en-US" w:eastAsia="zh-CN"/>
        </w:rPr>
        <w:t>会议、培训费7</w:t>
      </w:r>
      <w:r>
        <w:rPr>
          <w:rFonts w:hint="eastAsia" w:ascii="仿宋" w:hAnsi="Times New Roman" w:eastAsia="仿宋" w:cs="仿宋"/>
          <w:sz w:val="32"/>
          <w:szCs w:val="32"/>
        </w:rPr>
        <w:t>万元，比上年</w:t>
      </w:r>
      <w:r>
        <w:rPr>
          <w:rFonts w:hint="eastAsia" w:ascii="仿宋" w:eastAsia="仿宋" w:cs="仿宋"/>
          <w:sz w:val="32"/>
          <w:szCs w:val="32"/>
          <w:lang w:val="en-US" w:eastAsia="zh-CN"/>
        </w:rPr>
        <w:t>减少0.9</w:t>
      </w:r>
      <w:r>
        <w:rPr>
          <w:rFonts w:hint="eastAsia" w:ascii="仿宋" w:hAnsi="Times New Roman" w:eastAsia="仿宋" w:cs="仿宋"/>
          <w:sz w:val="32"/>
          <w:szCs w:val="32"/>
        </w:rPr>
        <w:t>万元，</w:t>
      </w:r>
      <w:r>
        <w:rPr>
          <w:rFonts w:hint="eastAsia" w:ascii="仿宋" w:hAnsi="Times New Roman" w:eastAsia="仿宋" w:cs="仿宋"/>
          <w:sz w:val="32"/>
          <w:szCs w:val="32"/>
          <w:lang w:val="en-US" w:eastAsia="zh-CN"/>
        </w:rPr>
        <w:t>减少</w:t>
      </w:r>
      <w:r>
        <w:rPr>
          <w:rFonts w:hint="eastAsia" w:ascii="仿宋" w:eastAsia="仿宋" w:cs="仿宋"/>
          <w:sz w:val="32"/>
          <w:szCs w:val="32"/>
          <w:lang w:val="en-US" w:eastAsia="zh-CN"/>
        </w:rPr>
        <w:t>11.39</w:t>
      </w:r>
      <w:r>
        <w:rPr>
          <w:rFonts w:ascii="仿宋" w:hAnsi="Times New Roman" w:eastAsia="仿宋" w:cs="仿宋"/>
          <w:sz w:val="32"/>
          <w:szCs w:val="32"/>
        </w:rPr>
        <w:t>%</w:t>
      </w:r>
      <w:r>
        <w:rPr>
          <w:rFonts w:hint="eastAsia" w:ascii="仿宋" w:hAnsi="Times New Roman" w:eastAsia="仿宋" w:cs="仿宋"/>
          <w:sz w:val="32"/>
          <w:szCs w:val="32"/>
        </w:rPr>
        <w:t>，增减变化的主要原因是：严格落实上级政策</w:t>
      </w:r>
      <w:r>
        <w:rPr>
          <w:rFonts w:hint="eastAsia" w:ascii="仿宋" w:hAnsi="Times New Roman" w:eastAsia="仿宋" w:cs="仿宋"/>
          <w:sz w:val="32"/>
          <w:szCs w:val="32"/>
          <w:lang w:eastAsia="zh-CN"/>
        </w:rPr>
        <w:t>，</w:t>
      </w:r>
      <w:r>
        <w:rPr>
          <w:rFonts w:hint="eastAsia" w:ascii="仿宋" w:hAnsi="Times New Roman" w:eastAsia="仿宋" w:cs="仿宋"/>
          <w:sz w:val="32"/>
          <w:szCs w:val="32"/>
          <w:lang w:val="en-US" w:eastAsia="zh-CN"/>
        </w:rPr>
        <w:t>减少各项工作</w:t>
      </w:r>
      <w:r>
        <w:rPr>
          <w:rFonts w:hint="eastAsia" w:ascii="仿宋" w:hAnsi="Times New Roman" w:eastAsia="仿宋" w:cs="仿宋"/>
          <w:sz w:val="32"/>
          <w:szCs w:val="32"/>
        </w:rPr>
        <w:t>领域会议</w:t>
      </w:r>
      <w:r>
        <w:rPr>
          <w:rFonts w:hint="eastAsia" w:ascii="仿宋" w:hAnsi="Times New Roman" w:eastAsia="仿宋" w:cs="仿宋"/>
          <w:sz w:val="32"/>
          <w:szCs w:val="32"/>
          <w:lang w:val="en-US" w:eastAsia="zh-CN"/>
        </w:rPr>
        <w:t>召开</w:t>
      </w:r>
      <w:r>
        <w:rPr>
          <w:rFonts w:hint="eastAsia" w:ascii="仿宋" w:hAnsi="Times New Roman" w:eastAsia="仿宋" w:cs="仿宋"/>
          <w:sz w:val="32"/>
          <w:szCs w:val="32"/>
          <w:lang w:val="zh-CN"/>
        </w:rPr>
        <w:t>。</w:t>
      </w:r>
    </w:p>
    <w:p w14:paraId="33B163B7">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(二)项目支出情况</w:t>
      </w:r>
    </w:p>
    <w:p w14:paraId="4EB514F9">
      <w:pPr>
        <w:pStyle w:val="4"/>
        <w:ind w:firstLine="640" w:firstLineChars="200"/>
        <w:rPr>
          <w:rFonts w:hint="eastAsia" w:ascii="仿宋" w:eastAsia="仿宋" w:cs="仿宋"/>
          <w:sz w:val="32"/>
          <w:szCs w:val="32"/>
          <w:lang w:val="en-US" w:eastAsia="zh-CN"/>
        </w:rPr>
      </w:pPr>
      <w:r>
        <w:rPr>
          <w:rFonts w:hint="eastAsia" w:ascii="仿宋" w:hAnsi="Times New Roman" w:eastAsia="仿宋" w:cs="仿宋"/>
          <w:kern w:val="2"/>
          <w:sz w:val="32"/>
          <w:szCs w:val="32"/>
          <w:lang w:val="en-US" w:eastAsia="zh-CN" w:bidi="ar-SA"/>
        </w:rPr>
        <w:t>2025年一般公共预算支出项目支出</w:t>
      </w:r>
      <w:r>
        <w:rPr>
          <w:rFonts w:hint="eastAsia" w:ascii="仿宋" w:eastAsia="仿宋" w:cs="仿宋"/>
          <w:sz w:val="32"/>
          <w:szCs w:val="32"/>
          <w:lang w:val="en-US" w:eastAsia="zh-CN"/>
        </w:rPr>
        <w:t>869.09</w:t>
      </w:r>
      <w:r>
        <w:rPr>
          <w:rFonts w:hint="eastAsia" w:ascii="仿宋" w:eastAsia="仿宋" w:cs="仿宋"/>
          <w:sz w:val="32"/>
          <w:szCs w:val="32"/>
        </w:rPr>
        <w:t>万元，其中</w:t>
      </w:r>
      <w:r>
        <w:rPr>
          <w:rFonts w:hint="eastAsia" w:ascii="仿宋" w:eastAsia="仿宋" w:cs="仿宋"/>
          <w:sz w:val="32"/>
          <w:szCs w:val="32"/>
          <w:lang w:val="en-US" w:eastAsia="zh-CN"/>
        </w:rPr>
        <w:t>平口镇创建中国楹联文化镇项目资金30万元以及业务工作经费和运行维护经费等项目支出。</w:t>
      </w:r>
    </w:p>
    <w:p w14:paraId="736AC99C">
      <w:pPr>
        <w:ind w:firstLine="640" w:firstLineChars="200"/>
        <w:rPr>
          <w:rFonts w:hint="eastAsia"/>
          <w:lang w:val="en-US" w:eastAsia="zh-CN"/>
        </w:rPr>
      </w:pPr>
      <w:r>
        <w:rPr>
          <w:rFonts w:hint="eastAsia" w:ascii="仿宋" w:hAnsi="Times New Roman" w:eastAsia="仿宋" w:cs="仿宋"/>
          <w:sz w:val="32"/>
          <w:szCs w:val="32"/>
        </w:rPr>
        <w:t>紧紧围绕年度</w:t>
      </w:r>
      <w:r>
        <w:rPr>
          <w:rFonts w:hint="eastAsia" w:ascii="仿宋" w:hAnsi="Times New Roman" w:eastAsia="仿宋" w:cs="仿宋"/>
          <w:sz w:val="32"/>
          <w:szCs w:val="32"/>
          <w:lang w:val="en-US" w:eastAsia="zh-CN"/>
        </w:rPr>
        <w:t>乡村振兴、党建整建提质</w:t>
      </w:r>
      <w:r>
        <w:rPr>
          <w:rFonts w:hint="eastAsia" w:ascii="仿宋" w:hAnsi="Times New Roman" w:eastAsia="仿宋" w:cs="仿宋"/>
          <w:sz w:val="32"/>
          <w:szCs w:val="32"/>
        </w:rPr>
        <w:t>，全力做好财政涉农资金统筹整合使用工作，通过加大对基础设施建设投入力度，大力发展</w:t>
      </w:r>
      <w:r>
        <w:rPr>
          <w:rFonts w:hint="eastAsia" w:ascii="仿宋" w:hAnsi="Times New Roman" w:eastAsia="仿宋" w:cs="仿宋"/>
          <w:sz w:val="32"/>
          <w:szCs w:val="32"/>
          <w:lang w:val="en-US" w:eastAsia="zh-CN"/>
        </w:rPr>
        <w:t>脱贫</w:t>
      </w:r>
      <w:r>
        <w:rPr>
          <w:rFonts w:hint="eastAsia" w:ascii="仿宋" w:hAnsi="Times New Roman" w:eastAsia="仿宋" w:cs="仿宋"/>
          <w:sz w:val="32"/>
          <w:szCs w:val="32"/>
        </w:rPr>
        <w:t>地区产业项目，加强农村人居环境整治等，大部分村基础设施建设得到完善，生产生活条件得到改善，农村人居环境面貌得到提升，为实现真正脱贫奠定坚实基础。</w:t>
      </w:r>
    </w:p>
    <w:p w14:paraId="1D9D04F2">
      <w:pPr>
        <w:pStyle w:val="2"/>
        <w:rPr>
          <w:rFonts w:hint="eastAsia" w:ascii="黑体" w:hAnsi="黑体" w:eastAsia="黑体" w:cs="宋体"/>
          <w:color w:val="000000"/>
          <w:kern w:val="0"/>
          <w:sz w:val="32"/>
          <w:szCs w:val="32"/>
          <w:lang w:val="en-US" w:eastAsia="zh-CN" w:bidi="ar-SA"/>
        </w:rPr>
      </w:pPr>
      <w:r>
        <w:rPr>
          <w:rFonts w:hint="eastAsia" w:ascii="黑体" w:hAnsi="黑体" w:eastAsia="黑体" w:cs="宋体"/>
          <w:color w:val="000000"/>
          <w:kern w:val="0"/>
          <w:sz w:val="32"/>
          <w:szCs w:val="32"/>
          <w:lang w:val="en-US" w:eastAsia="zh-CN" w:bidi="ar-SA"/>
        </w:rPr>
        <w:t>三、政府性基金预算支出情况分析</w:t>
      </w:r>
    </w:p>
    <w:p w14:paraId="7F97B498">
      <w:pPr>
        <w:pStyle w:val="2"/>
        <w:ind w:firstLine="640" w:firstLineChars="200"/>
        <w:rPr>
          <w:rFonts w:hint="eastAsia" w:ascii="仿宋" w:hAnsi="Times New Roman" w:eastAsia="仿宋" w:cs="仿宋"/>
          <w:kern w:val="2"/>
          <w:sz w:val="32"/>
          <w:szCs w:val="32"/>
          <w:lang w:val="en-US" w:eastAsia="zh-CN" w:bidi="ar-SA"/>
        </w:rPr>
      </w:pPr>
      <w:r>
        <w:rPr>
          <w:rFonts w:hint="eastAsia" w:ascii="仿宋" w:eastAsia="仿宋" w:cs="仿宋"/>
          <w:kern w:val="2"/>
          <w:sz w:val="32"/>
          <w:szCs w:val="32"/>
          <w:lang w:val="en-US" w:eastAsia="zh-CN" w:bidi="ar-SA"/>
        </w:rPr>
        <w:t>2025</w:t>
      </w:r>
      <w:r>
        <w:rPr>
          <w:rFonts w:hint="eastAsia" w:ascii="仿宋" w:hAnsi="Times New Roman" w:eastAsia="仿宋" w:cs="仿宋"/>
          <w:kern w:val="2"/>
          <w:sz w:val="32"/>
          <w:szCs w:val="32"/>
          <w:lang w:val="en-US" w:eastAsia="zh-CN" w:bidi="ar-SA"/>
        </w:rPr>
        <w:t>年政府性基金预算支出</w:t>
      </w:r>
      <w:r>
        <w:rPr>
          <w:rFonts w:hint="eastAsia" w:ascii="仿宋" w:eastAsia="仿宋" w:cs="仿宋"/>
          <w:kern w:val="2"/>
          <w:sz w:val="32"/>
          <w:szCs w:val="32"/>
          <w:lang w:val="en-US" w:eastAsia="zh-CN" w:bidi="ar-SA"/>
        </w:rPr>
        <w:t>195.26</w:t>
      </w:r>
      <w:r>
        <w:rPr>
          <w:rFonts w:hint="eastAsia" w:ascii="仿宋" w:hAnsi="Times New Roman" w:eastAsia="仿宋" w:cs="仿宋"/>
          <w:kern w:val="2"/>
          <w:sz w:val="32"/>
          <w:szCs w:val="32"/>
          <w:lang w:val="en-US" w:eastAsia="zh-CN" w:bidi="ar-SA"/>
        </w:rPr>
        <w:t>万元，全部为项目支出。</w:t>
      </w:r>
    </w:p>
    <w:p w14:paraId="0DD96FF7">
      <w:pPr>
        <w:pStyle w:val="2"/>
        <w:rPr>
          <w:rFonts w:hint="eastAsia" w:ascii="仿宋" w:hAnsi="Times New Roman" w:eastAsia="仿宋" w:cs="仿宋"/>
          <w:kern w:val="2"/>
          <w:sz w:val="32"/>
          <w:szCs w:val="32"/>
          <w:lang w:val="en-US" w:eastAsia="zh-CN" w:bidi="ar-SA"/>
        </w:rPr>
      </w:pPr>
      <w:r>
        <w:rPr>
          <w:rFonts w:hint="eastAsia" w:ascii="仿宋" w:hAnsi="Times New Roman" w:eastAsia="仿宋" w:cs="仿宋"/>
          <w:kern w:val="2"/>
          <w:sz w:val="32"/>
          <w:szCs w:val="32"/>
          <w:lang w:val="en-US" w:eastAsia="zh-CN" w:bidi="ar-SA"/>
        </w:rPr>
        <w:t>1、项目资金（包括财政资金、自筹资金等）安排落实、总投入等情况分析。</w:t>
      </w:r>
    </w:p>
    <w:p w14:paraId="549E8A1E">
      <w:pPr>
        <w:pStyle w:val="2"/>
        <w:rPr>
          <w:rFonts w:hint="eastAsia" w:ascii="仿宋" w:hAnsi="Times New Roman" w:eastAsia="仿宋" w:cs="仿宋"/>
          <w:kern w:val="2"/>
          <w:sz w:val="32"/>
          <w:szCs w:val="32"/>
          <w:lang w:val="en-US" w:eastAsia="zh-CN" w:bidi="ar-SA"/>
        </w:rPr>
      </w:pPr>
      <w:r>
        <w:rPr>
          <w:rFonts w:hint="eastAsia" w:ascii="仿宋" w:eastAsia="仿宋" w:cs="仿宋"/>
          <w:kern w:val="2"/>
          <w:sz w:val="32"/>
          <w:szCs w:val="32"/>
          <w:lang w:val="en-US" w:eastAsia="zh-CN" w:bidi="ar-SA"/>
        </w:rPr>
        <w:t>2025</w:t>
      </w:r>
      <w:r>
        <w:rPr>
          <w:rFonts w:hint="eastAsia" w:ascii="仿宋" w:hAnsi="Times New Roman" w:eastAsia="仿宋" w:cs="仿宋"/>
          <w:kern w:val="2"/>
          <w:sz w:val="32"/>
          <w:szCs w:val="32"/>
          <w:lang w:val="en-US" w:eastAsia="zh-CN" w:bidi="ar-SA"/>
        </w:rPr>
        <w:t>年项目支出</w:t>
      </w:r>
      <w:r>
        <w:rPr>
          <w:rFonts w:hint="eastAsia" w:ascii="仿宋" w:eastAsia="仿宋" w:cs="仿宋"/>
          <w:kern w:val="2"/>
          <w:sz w:val="32"/>
          <w:szCs w:val="32"/>
          <w:lang w:val="en-US" w:eastAsia="zh-CN" w:bidi="ar-SA"/>
        </w:rPr>
        <w:t>195.26</w:t>
      </w:r>
      <w:r>
        <w:rPr>
          <w:rFonts w:hint="eastAsia" w:ascii="仿宋" w:hAnsi="Times New Roman" w:eastAsia="仿宋" w:cs="仿宋"/>
          <w:kern w:val="2"/>
          <w:sz w:val="32"/>
          <w:szCs w:val="32"/>
          <w:lang w:val="en-US" w:eastAsia="zh-CN" w:bidi="ar-SA"/>
        </w:rPr>
        <w:t>万元，其中上年结转0万元、本年度财政安排</w:t>
      </w:r>
      <w:r>
        <w:rPr>
          <w:rFonts w:hint="eastAsia" w:ascii="仿宋" w:eastAsia="仿宋" w:cs="仿宋"/>
          <w:kern w:val="2"/>
          <w:sz w:val="32"/>
          <w:szCs w:val="32"/>
          <w:lang w:val="en-US" w:eastAsia="zh-CN" w:bidi="ar-SA"/>
        </w:rPr>
        <w:t>195.26</w:t>
      </w:r>
      <w:r>
        <w:rPr>
          <w:rFonts w:hint="eastAsia" w:ascii="仿宋" w:hAnsi="Times New Roman" w:eastAsia="仿宋" w:cs="仿宋"/>
          <w:kern w:val="2"/>
          <w:sz w:val="32"/>
          <w:szCs w:val="32"/>
          <w:lang w:val="en-US" w:eastAsia="zh-CN" w:bidi="ar-SA"/>
        </w:rPr>
        <w:t>万元；本年度实际支出</w:t>
      </w:r>
      <w:r>
        <w:rPr>
          <w:rFonts w:hint="eastAsia" w:ascii="仿宋" w:eastAsia="仿宋" w:cs="仿宋"/>
          <w:kern w:val="2"/>
          <w:sz w:val="32"/>
          <w:szCs w:val="32"/>
          <w:lang w:val="en-US" w:eastAsia="zh-CN" w:bidi="ar-SA"/>
        </w:rPr>
        <w:t>195.26</w:t>
      </w:r>
      <w:r>
        <w:rPr>
          <w:rFonts w:hint="eastAsia" w:ascii="仿宋" w:hAnsi="Times New Roman" w:eastAsia="仿宋" w:cs="仿宋"/>
          <w:kern w:val="2"/>
          <w:sz w:val="32"/>
          <w:szCs w:val="32"/>
          <w:lang w:val="en-US" w:eastAsia="zh-CN" w:bidi="ar-SA"/>
        </w:rPr>
        <w:t>万元，结转下年0万元。</w:t>
      </w:r>
    </w:p>
    <w:p w14:paraId="5E8DD17A">
      <w:pPr>
        <w:pStyle w:val="2"/>
        <w:rPr>
          <w:rFonts w:hint="eastAsia" w:ascii="仿宋" w:hAnsi="Times New Roman" w:eastAsia="仿宋" w:cs="仿宋"/>
          <w:kern w:val="2"/>
          <w:sz w:val="32"/>
          <w:szCs w:val="32"/>
          <w:lang w:val="en-US" w:eastAsia="zh-CN" w:bidi="ar-SA"/>
        </w:rPr>
      </w:pPr>
      <w:r>
        <w:rPr>
          <w:rFonts w:hint="eastAsia" w:ascii="仿宋" w:hAnsi="Times New Roman" w:eastAsia="仿宋" w:cs="仿宋"/>
          <w:kern w:val="2"/>
          <w:sz w:val="32"/>
          <w:szCs w:val="32"/>
          <w:lang w:val="en-US" w:eastAsia="zh-CN" w:bidi="ar-SA"/>
        </w:rPr>
        <w:t>项目资金（主要指财政资金）实际使用情况分析。</w:t>
      </w:r>
    </w:p>
    <w:p w14:paraId="18E775B3">
      <w:pPr>
        <w:pStyle w:val="2"/>
        <w:rPr>
          <w:rFonts w:hint="default" w:ascii="仿宋" w:hAnsi="Times New Roman" w:eastAsia="仿宋" w:cs="仿宋"/>
          <w:kern w:val="2"/>
          <w:sz w:val="32"/>
          <w:szCs w:val="32"/>
          <w:lang w:val="en-US" w:eastAsia="zh-CN" w:bidi="ar-SA"/>
        </w:rPr>
      </w:pPr>
      <w:r>
        <w:rPr>
          <w:rFonts w:hint="eastAsia" w:ascii="仿宋" w:hAnsi="Times New Roman" w:eastAsia="仿宋" w:cs="仿宋"/>
          <w:kern w:val="2"/>
          <w:sz w:val="32"/>
          <w:szCs w:val="32"/>
          <w:lang w:val="en-US" w:eastAsia="zh-CN" w:bidi="ar-SA"/>
        </w:rPr>
        <w:t>农村基础设施建设支出项目支出</w:t>
      </w:r>
      <w:r>
        <w:rPr>
          <w:rFonts w:hint="eastAsia" w:ascii="仿宋" w:eastAsia="仿宋" w:cs="仿宋"/>
          <w:kern w:val="2"/>
          <w:sz w:val="32"/>
          <w:szCs w:val="32"/>
          <w:lang w:val="en-US" w:eastAsia="zh-CN" w:bidi="ar-SA"/>
        </w:rPr>
        <w:t>193.26</w:t>
      </w:r>
      <w:r>
        <w:rPr>
          <w:rFonts w:hint="eastAsia" w:ascii="仿宋" w:hAnsi="Times New Roman" w:eastAsia="仿宋" w:cs="仿宋"/>
          <w:kern w:val="2"/>
          <w:sz w:val="32"/>
          <w:szCs w:val="32"/>
          <w:lang w:val="en-US" w:eastAsia="zh-CN" w:bidi="ar-SA"/>
        </w:rPr>
        <w:t>万元，占项目支出的</w:t>
      </w:r>
      <w:r>
        <w:rPr>
          <w:rFonts w:hint="eastAsia" w:ascii="仿宋" w:eastAsia="仿宋" w:cs="仿宋"/>
          <w:kern w:val="2"/>
          <w:sz w:val="32"/>
          <w:szCs w:val="32"/>
          <w:lang w:val="en-US" w:eastAsia="zh-CN" w:bidi="ar-SA"/>
        </w:rPr>
        <w:t>98.97</w:t>
      </w:r>
      <w:r>
        <w:rPr>
          <w:rFonts w:hint="eastAsia" w:ascii="仿宋" w:hAnsi="Times New Roman" w:eastAsia="仿宋" w:cs="仿宋"/>
          <w:kern w:val="2"/>
          <w:sz w:val="32"/>
          <w:szCs w:val="32"/>
          <w:lang w:val="en-US" w:eastAsia="zh-CN" w:bidi="ar-SA"/>
        </w:rPr>
        <w:t>%，主要包括村（社区）及镇区企业的基础设施建设、产业发展资金。社会福利的彩票公益金支出</w:t>
      </w:r>
      <w:r>
        <w:rPr>
          <w:rFonts w:hint="eastAsia" w:ascii="仿宋" w:eastAsia="仿宋" w:cs="仿宋"/>
          <w:kern w:val="2"/>
          <w:sz w:val="32"/>
          <w:szCs w:val="32"/>
          <w:lang w:val="en-US" w:eastAsia="zh-CN" w:bidi="ar-SA"/>
        </w:rPr>
        <w:t>2万元，</w:t>
      </w:r>
      <w:r>
        <w:rPr>
          <w:rFonts w:hint="eastAsia" w:ascii="仿宋" w:hAnsi="Times New Roman" w:eastAsia="仿宋" w:cs="仿宋"/>
          <w:kern w:val="2"/>
          <w:sz w:val="32"/>
          <w:szCs w:val="32"/>
          <w:lang w:val="en-US" w:eastAsia="zh-CN" w:bidi="ar-SA"/>
        </w:rPr>
        <w:t>占项目支出的</w:t>
      </w:r>
      <w:r>
        <w:rPr>
          <w:rFonts w:hint="eastAsia" w:ascii="仿宋" w:eastAsia="仿宋" w:cs="仿宋"/>
          <w:kern w:val="2"/>
          <w:sz w:val="32"/>
          <w:szCs w:val="32"/>
          <w:lang w:val="en-US" w:eastAsia="zh-CN" w:bidi="ar-SA"/>
        </w:rPr>
        <w:t>1.03</w:t>
      </w:r>
      <w:bookmarkStart w:id="0" w:name="_GoBack"/>
      <w:bookmarkEnd w:id="0"/>
      <w:r>
        <w:rPr>
          <w:rFonts w:hint="eastAsia" w:ascii="仿宋" w:eastAsia="仿宋" w:cs="仿宋"/>
          <w:kern w:val="2"/>
          <w:sz w:val="32"/>
          <w:szCs w:val="32"/>
          <w:lang w:val="en-US" w:eastAsia="zh-CN" w:bidi="ar-SA"/>
        </w:rPr>
        <w:t>%。</w:t>
      </w:r>
    </w:p>
    <w:p w14:paraId="04F01C65">
      <w:pPr>
        <w:keepNext w:val="0"/>
        <w:keepLines w:val="0"/>
        <w:pageBreakBefore w:val="0"/>
        <w:widowControl/>
        <w:kinsoku/>
        <w:wordWrap/>
        <w:overflowPunct/>
        <w:topLinePunct w:val="0"/>
        <w:autoSpaceDE/>
        <w:autoSpaceDN/>
        <w:bidi w:val="0"/>
        <w:adjustRightInd/>
        <w:snapToGrid/>
        <w:spacing w:line="576" w:lineRule="exact"/>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四、国有资本经营预算支出情况</w:t>
      </w:r>
    </w:p>
    <w:p w14:paraId="1632BF36">
      <w:pPr>
        <w:pStyle w:val="2"/>
        <w:ind w:firstLine="640" w:firstLineChars="200"/>
        <w:rPr>
          <w:rFonts w:hint="eastAsia" w:ascii="仿宋" w:hAnsi="Times New Roman" w:eastAsia="仿宋" w:cs="仿宋"/>
          <w:kern w:val="2"/>
          <w:sz w:val="32"/>
          <w:szCs w:val="32"/>
          <w:lang w:val="en-US" w:eastAsia="zh-CN" w:bidi="ar-SA"/>
        </w:rPr>
      </w:pPr>
      <w:r>
        <w:rPr>
          <w:rFonts w:hint="eastAsia" w:ascii="仿宋" w:eastAsia="仿宋" w:cs="仿宋"/>
          <w:kern w:val="2"/>
          <w:sz w:val="32"/>
          <w:szCs w:val="32"/>
          <w:lang w:val="en-US" w:eastAsia="zh-CN" w:bidi="ar-SA"/>
        </w:rPr>
        <w:t>2025</w:t>
      </w:r>
      <w:r>
        <w:rPr>
          <w:rFonts w:hint="eastAsia" w:ascii="仿宋" w:hAnsi="Times New Roman" w:eastAsia="仿宋" w:cs="仿宋"/>
          <w:kern w:val="2"/>
          <w:sz w:val="32"/>
          <w:szCs w:val="32"/>
          <w:lang w:val="en-US" w:eastAsia="zh-CN" w:bidi="ar-SA"/>
        </w:rPr>
        <w:t>年无国有资产经营预算支出。</w:t>
      </w:r>
    </w:p>
    <w:p w14:paraId="467D882A">
      <w:pPr>
        <w:keepNext w:val="0"/>
        <w:keepLines w:val="0"/>
        <w:pageBreakBefore w:val="0"/>
        <w:widowControl/>
        <w:numPr>
          <w:ilvl w:val="0"/>
          <w:numId w:val="1"/>
        </w:numPr>
        <w:kinsoku/>
        <w:wordWrap/>
        <w:overflowPunct/>
        <w:topLinePunct w:val="0"/>
        <w:autoSpaceDE/>
        <w:autoSpaceDN/>
        <w:bidi w:val="0"/>
        <w:adjustRightInd/>
        <w:snapToGrid/>
        <w:spacing w:line="576" w:lineRule="exact"/>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社会保险基金预算支出情况</w:t>
      </w:r>
    </w:p>
    <w:p w14:paraId="3E0A30A5">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仿宋" w:eastAsia="仿宋" w:cs="仿宋"/>
          <w:kern w:val="2"/>
          <w:sz w:val="32"/>
          <w:szCs w:val="32"/>
          <w:lang w:val="en-US" w:eastAsia="zh-CN" w:bidi="ar-SA"/>
        </w:rPr>
        <w:t>2025</w:t>
      </w:r>
      <w:r>
        <w:rPr>
          <w:rFonts w:hint="eastAsia" w:ascii="仿宋" w:hAnsi="Times New Roman" w:eastAsia="仿宋" w:cs="仿宋"/>
          <w:kern w:val="2"/>
          <w:sz w:val="32"/>
          <w:szCs w:val="32"/>
          <w:lang w:val="en-US" w:eastAsia="zh-CN" w:bidi="ar-SA"/>
        </w:rPr>
        <w:t>年无社会保险基金预算的支出。</w:t>
      </w:r>
    </w:p>
    <w:p w14:paraId="2B98BBF2">
      <w:pPr>
        <w:keepNext w:val="0"/>
        <w:keepLines w:val="0"/>
        <w:pageBreakBefore w:val="0"/>
        <w:widowControl/>
        <w:kinsoku/>
        <w:wordWrap/>
        <w:overflowPunct/>
        <w:topLinePunct w:val="0"/>
        <w:autoSpaceDE/>
        <w:autoSpaceDN/>
        <w:bidi w:val="0"/>
        <w:adjustRightInd/>
        <w:snapToGrid/>
        <w:spacing w:line="576" w:lineRule="exact"/>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六、部门整体支出绩效情况</w:t>
      </w:r>
    </w:p>
    <w:p w14:paraId="54A27E86">
      <w:pPr>
        <w:rPr>
          <w:rFonts w:hint="eastAsia"/>
          <w:lang w:val="en-US" w:eastAsia="zh-CN"/>
        </w:rPr>
      </w:pPr>
    </w:p>
    <w:p w14:paraId="6F19B42F">
      <w:pPr>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反映部门履职及履职效益情况。主要从部门整体支出的经济性、效率性、有效性和可持续性等方面进行量化、具体分析。其中：经济性分析主要是对成本（预算）控制、节约等情况进行分析；效率性分析主要是对各项工作、专项完成的进度及质量等情况进行分析；有效性分析主要是对反映部门整体支出使用效果的个性指标进行分析；可持续性分析主要是对支出完成后，后续政策、资金、人员机构安排和管理措施等影响项目持续发展的因素进行分析。</w:t>
      </w:r>
    </w:p>
    <w:p w14:paraId="6E627AFB">
      <w:pPr>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经济性分析：在支出执行方面，一是严格按预算执行；二是严格按支出政策标准执行；三是从严控制和降低行政运行经费支出，尤其是“三公”经费支出。</w:t>
      </w:r>
    </w:p>
    <w:p w14:paraId="796CC378">
      <w:pPr>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效率性分析：严格按照财经法规、制度和纪律执行相关支出事项。在各项工作费用支付中，尤其是干职工的津补贴、五险一金等人员经费支出能及时按进度保质保量完成。</w:t>
      </w:r>
    </w:p>
    <w:p w14:paraId="0DBEDBED">
      <w:pPr>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有效性分析：夯实基层力量，提高基层干部工作积极性，全面整合职能和资源，提升干部办事效率，优化服务质量；群众收入增加，幸福感提高。</w:t>
      </w:r>
    </w:p>
    <w:p w14:paraId="221A37C4">
      <w:pPr>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可持续性分析：本镇人口多，地域面积较大，乡镇工作综合性强，需加大人力、资金投入。在乡村振兴阶段，结合本镇实际，抓住机遇，大力创新开发乡村振兴产业项目，改善农村人居环境，提高本镇人民生活质量，促进国民经济发展，完善村镇服务体系建设，促进城镇一体化进程。</w:t>
      </w:r>
    </w:p>
    <w:p w14:paraId="329154B1">
      <w:pPr>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自评结果：</w:t>
      </w:r>
    </w:p>
    <w:p w14:paraId="01BBCADB">
      <w:pPr>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根据资金绩效评价指标体系和绩效检查情况，财政资金整体绩效分值100分，从预算编制和执行情况、节能降耗情况、“三公”经费控制情况，项目支出管理规范和绩效情况等方面总体评价，自评得分99.5分。</w:t>
      </w:r>
    </w:p>
    <w:p w14:paraId="346087DD">
      <w:pPr>
        <w:keepNext w:val="0"/>
        <w:keepLines w:val="0"/>
        <w:pageBreakBefore w:val="0"/>
        <w:widowControl/>
        <w:kinsoku/>
        <w:wordWrap/>
        <w:overflowPunct/>
        <w:topLinePunct w:val="0"/>
        <w:autoSpaceDE/>
        <w:autoSpaceDN/>
        <w:bidi w:val="0"/>
        <w:adjustRightInd/>
        <w:snapToGrid/>
        <w:spacing w:line="576" w:lineRule="exact"/>
        <w:jc w:val="left"/>
        <w:textAlignment w:val="auto"/>
        <w:rPr>
          <w:rFonts w:hint="eastAsia" w:ascii="仿宋" w:hAnsi="仿宋" w:eastAsia="仿宋" w:cs="仿宋"/>
          <w:color w:val="auto"/>
          <w:kern w:val="0"/>
          <w:sz w:val="32"/>
          <w:szCs w:val="32"/>
          <w:lang w:val="en-US" w:eastAsia="zh-CN" w:bidi="ar-SA"/>
        </w:rPr>
      </w:pPr>
      <w:r>
        <w:rPr>
          <w:rFonts w:hint="eastAsia" w:ascii="黑体" w:hAnsi="黑体" w:eastAsia="黑体" w:cs="宋体"/>
          <w:color w:val="000000"/>
          <w:kern w:val="0"/>
          <w:sz w:val="32"/>
          <w:szCs w:val="32"/>
        </w:rPr>
        <w:t>七、存在的问题及原因分析</w:t>
      </w:r>
    </w:p>
    <w:p w14:paraId="27E230A8">
      <w:pPr>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预算绩效观念不深入。我镇在日常财务工作中存在着一定程度的“重分配、轻管理、重支出、轻绩效”的情况，造成该问题的主要原因是自身绩效理念较薄弱，单位绩效目标编制仍有缺失，需要进一步加强对资金绩效管理的重视程度。</w:t>
      </w:r>
    </w:p>
    <w:p w14:paraId="687C529A">
      <w:pPr>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2）预算绩效规范管理有盲点。在市财政逐步加强绩效管理的情况下，我镇财务人员面对当前绩效管理工作既没有现成的经验可供借鉴，又缺乏专业性很强的技能储备，只能是边工作、边学习、边积累，短期内部分工作只能停留在表面，难以做到程序规范、管理科学，难以满足当前绩效管理要求。</w:t>
      </w:r>
    </w:p>
    <w:p w14:paraId="510CAC91">
      <w:pPr>
        <w:keepNext w:val="0"/>
        <w:keepLines w:val="0"/>
        <w:pageBreakBefore w:val="0"/>
        <w:widowControl/>
        <w:kinsoku/>
        <w:wordWrap/>
        <w:overflowPunct/>
        <w:topLinePunct w:val="0"/>
        <w:autoSpaceDE/>
        <w:autoSpaceDN/>
        <w:bidi w:val="0"/>
        <w:adjustRightInd/>
        <w:snapToGrid/>
        <w:spacing w:line="576" w:lineRule="exact"/>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八、下一步改进措施</w:t>
      </w:r>
    </w:p>
    <w:p w14:paraId="370C825B">
      <w:pPr>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进一步增强绩效管理理念。在管理和使用预算资金的过程中，我镇将更加突出资金使用绩效，做到“花钱必问效”。加强与财政绩效科的沟通协调，按照绩效评价原则，开展资金安全性、规范性的监督，确保专项资金的使用符合绩效管理要求。</w:t>
      </w:r>
    </w:p>
    <w:p w14:paraId="5524C540">
      <w:pPr>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2）进一步加强财务素养和专业技能培训。我镇希望县财政局相关科室，针对预算资金绩效管理和相关法律法规，对全县乡镇财务人员开展培训，学习预算绩效管理的法律法规、规范要求，让绩效理念深入人心、让绩效管理人员熟知政策、知行合一。</w:t>
      </w:r>
    </w:p>
    <w:p w14:paraId="5AD34CBE">
      <w:pPr>
        <w:ind w:firstLine="640" w:firstLineChars="200"/>
        <w:rPr>
          <w:rFonts w:hint="eastAsia" w:ascii="仿宋" w:hAnsi="仿宋" w:eastAsia="仿宋" w:cs="仿宋"/>
          <w:color w:val="auto"/>
          <w:kern w:val="0"/>
          <w:sz w:val="32"/>
          <w:szCs w:val="32"/>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KSOFF9CBECC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26DBDE"/>
    <w:multiLevelType w:val="singleLevel"/>
    <w:tmpl w:val="D626DBDE"/>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ljNWNkNjRlNDc5NDc2ODY5NGFkZTQyOTE5NmEwNTUifQ=="/>
  </w:docVars>
  <w:rsids>
    <w:rsidRoot w:val="00000000"/>
    <w:rsid w:val="56053296"/>
    <w:rsid w:val="6BCD6DDC"/>
    <w:rsid w:val="76C50FAD"/>
    <w:rsid w:val="7B0300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name="toc 1"/>
    <w:lsdException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3">
    <w:name w:val="toc 5"/>
    <w:basedOn w:val="1"/>
    <w:next w:val="1"/>
    <w:unhideWhenUsed/>
    <w:qFormat/>
    <w:uiPriority w:val="39"/>
    <w:pPr>
      <w:ind w:left="1680" w:leftChars="800"/>
    </w:pPr>
    <w:rPr>
      <w:rFonts w:ascii="等线" w:hAnsi="等线" w:eastAsia="等线" w:cs="Times New Roman"/>
      <w:szCs w:val="22"/>
    </w:rPr>
  </w:style>
  <w:style w:type="paragraph" w:styleId="4">
    <w:name w:val="toc 1"/>
    <w:basedOn w:val="1"/>
    <w:next w:val="1"/>
    <w:semiHidden/>
    <w:qFormat/>
    <w:uiPriority w:val="99"/>
    <w:rPr>
      <w:rFonts w:ascii="黑体" w:hAnsi="黑体" w:eastAsia="黑体" w:cs="黑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6107</Words>
  <Characters>6445</Characters>
  <Lines>0</Lines>
  <Paragraphs>0</Paragraphs>
  <TotalTime>24</TotalTime>
  <ScaleCrop>false</ScaleCrop>
  <LinksUpToDate>false</LinksUpToDate>
  <CharactersWithSpaces>6472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2024-06-19T09:04:00Z</dcterms:created>
  <dc:creator>Administrator</dc:creator>
  <cp:lastModifiedBy>啦啦啦啦</cp:lastModifiedBy>
  <cp:lastPrinted>2024-06-20T01:35:00Z</cp:lastPrinted>
  <dcterms:modified xsi:type="dcterms:W3CDTF">2026-05-07T11:44:16Z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2EB14A5282DC4D93B5D76EE247B258CA_13</vt:lpwstr>
  </property>
  <property fmtid="{D5CDD505-2E9C-101B-9397-08002B2CF9AE}" pid="4" name="KSOTemplateDocerSaveRecord">
    <vt:lpwstr>eyJoZGlkIjoiNzVlOTUwMTUyYWZmYzljZGMxNjNhMmEzMDhjNDUyNjciLCJ1c2VySWQiOiIyMDUwMzE0MDYifQ==</vt:lpwstr>
  </property>
</Properties>
</file>