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EB6F9">
      <w:pPr>
        <w:rPr>
          <w:rFonts w:hint="eastAsia" w:ascii="黑体" w:hAnsi="黑体" w:eastAsia="黑体" w:cs="仿宋"/>
          <w:sz w:val="32"/>
          <w:szCs w:val="32"/>
          <w:lang w:val="en-US" w:eastAsia="zh-CN"/>
        </w:rPr>
      </w:pPr>
    </w:p>
    <w:p w14:paraId="720B7924">
      <w:pPr>
        <w:rPr>
          <w:rFonts w:hint="eastAsia" w:ascii="黑体" w:hAnsi="黑体" w:eastAsia="黑体" w:cs="仿宋"/>
          <w:sz w:val="32"/>
          <w:szCs w:val="32"/>
          <w:lang w:val="en-US" w:eastAsia="zh-CN"/>
        </w:rPr>
      </w:pPr>
    </w:p>
    <w:p w14:paraId="4EF013C3">
      <w:pPr>
        <w:rPr>
          <w:rFonts w:hint="eastAsia" w:ascii="黑体" w:hAnsi="黑体" w:eastAsia="黑体" w:cs="仿宋"/>
          <w:sz w:val="32"/>
          <w:szCs w:val="32"/>
          <w:lang w:val="en-US" w:eastAsia="zh-CN"/>
        </w:rPr>
      </w:pPr>
    </w:p>
    <w:p w14:paraId="1D7DD572">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2025年度安化县妇女联合会</w:t>
      </w:r>
    </w:p>
    <w:p w14:paraId="0B24CB7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lang w:val="en-US" w:eastAsia="zh-CN"/>
        </w:rPr>
        <w:t>部门</w:t>
      </w: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14:paraId="115DFC36">
      <w:pPr>
        <w:widowControl/>
        <w:ind w:firstLine="361" w:firstLineChars="100"/>
        <w:rPr>
          <w:rFonts w:ascii="楷体" w:hAnsi="楷体" w:eastAsia="楷体" w:cs="楷体"/>
          <w:b/>
          <w:bCs/>
          <w:kern w:val="0"/>
          <w:sz w:val="36"/>
          <w:szCs w:val="36"/>
        </w:rPr>
      </w:pPr>
    </w:p>
    <w:p w14:paraId="68FBCBE0"/>
    <w:p w14:paraId="7C92A9EE">
      <w:pPr>
        <w:rPr>
          <w:rFonts w:ascii="楷体" w:hAnsi="楷体" w:eastAsia="楷体" w:cs="楷体"/>
          <w:b/>
          <w:bCs/>
          <w:kern w:val="0"/>
          <w:sz w:val="36"/>
          <w:szCs w:val="36"/>
        </w:rPr>
      </w:pPr>
    </w:p>
    <w:p w14:paraId="75525399">
      <w:pPr>
        <w:rPr>
          <w:rFonts w:ascii="楷体" w:hAnsi="楷体" w:eastAsia="楷体" w:cs="楷体"/>
          <w:b/>
          <w:bCs/>
          <w:kern w:val="0"/>
          <w:sz w:val="36"/>
          <w:szCs w:val="36"/>
        </w:rPr>
      </w:pPr>
    </w:p>
    <w:p w14:paraId="03CD02F9">
      <w:pPr>
        <w:rPr>
          <w:rFonts w:ascii="楷体" w:hAnsi="楷体" w:eastAsia="楷体" w:cs="楷体"/>
          <w:b/>
          <w:bCs/>
          <w:kern w:val="0"/>
          <w:sz w:val="36"/>
          <w:szCs w:val="36"/>
        </w:rPr>
      </w:pPr>
    </w:p>
    <w:p w14:paraId="67C4F1EA">
      <w:pPr>
        <w:rPr>
          <w:rFonts w:ascii="楷体" w:hAnsi="楷体" w:eastAsia="楷体" w:cs="楷体"/>
          <w:b/>
          <w:bCs/>
          <w:kern w:val="0"/>
          <w:sz w:val="36"/>
          <w:szCs w:val="36"/>
        </w:rPr>
      </w:pPr>
    </w:p>
    <w:p w14:paraId="21F5CBAF">
      <w:pPr>
        <w:rPr>
          <w:rFonts w:ascii="楷体" w:hAnsi="楷体" w:eastAsia="楷体" w:cs="楷体"/>
          <w:b/>
          <w:bCs/>
          <w:kern w:val="0"/>
          <w:sz w:val="36"/>
          <w:szCs w:val="36"/>
        </w:rPr>
      </w:pPr>
    </w:p>
    <w:p w14:paraId="7282EC3D">
      <w:pPr>
        <w:rPr>
          <w:rFonts w:ascii="楷体" w:hAnsi="楷体" w:eastAsia="楷体" w:cs="楷体"/>
          <w:b/>
          <w:bCs/>
          <w:kern w:val="0"/>
          <w:sz w:val="36"/>
          <w:szCs w:val="36"/>
        </w:rPr>
      </w:pPr>
    </w:p>
    <w:p w14:paraId="13D22A61">
      <w:pPr>
        <w:pStyle w:val="4"/>
      </w:pPr>
    </w:p>
    <w:p w14:paraId="109A376A">
      <w:pPr>
        <w:widowControl/>
        <w:ind w:firstLine="361" w:firstLineChars="100"/>
        <w:rPr>
          <w:rFonts w:hint="eastAsia" w:ascii="楷体" w:hAnsi="楷体" w:eastAsia="楷体" w:cs="楷体"/>
          <w:b/>
          <w:bCs/>
          <w:kern w:val="0"/>
          <w:sz w:val="36"/>
          <w:szCs w:val="36"/>
        </w:rPr>
      </w:pPr>
    </w:p>
    <w:p w14:paraId="16E3233C">
      <w:pPr>
        <w:widowControl/>
        <w:ind w:firstLine="360" w:firstLineChars="100"/>
        <w:rPr>
          <w:rFonts w:hint="eastAsia" w:ascii="黑体" w:hAnsi="黑体" w:eastAsia="黑体" w:cs="黑体"/>
          <w:b w:val="0"/>
          <w:bCs w:val="0"/>
          <w:kern w:val="0"/>
          <w:sz w:val="48"/>
          <w:szCs w:val="48"/>
          <w:u w:val="single"/>
        </w:rPr>
      </w:pPr>
      <w:r>
        <w:rPr>
          <w:rFonts w:hint="eastAsia" w:ascii="黑体" w:hAnsi="黑体" w:eastAsia="黑体" w:cs="黑体"/>
          <w:b w:val="0"/>
          <w:bCs w:val="0"/>
          <w:kern w:val="0"/>
          <w:sz w:val="36"/>
          <w:szCs w:val="36"/>
        </w:rPr>
        <w:t>申报单位（盖章）</w:t>
      </w:r>
      <w:r>
        <w:rPr>
          <w:rFonts w:hint="eastAsia" w:ascii="黑体" w:hAnsi="黑体" w:eastAsia="黑体" w:cs="黑体"/>
          <w:b w:val="0"/>
          <w:bCs w:val="0"/>
          <w:kern w:val="0"/>
          <w:sz w:val="48"/>
          <w:szCs w:val="48"/>
        </w:rPr>
        <w:t>：</w:t>
      </w:r>
      <w:r>
        <w:rPr>
          <w:rFonts w:hint="eastAsia" w:ascii="黑体" w:hAnsi="黑体" w:eastAsia="黑体" w:cs="黑体"/>
          <w:b w:val="0"/>
          <w:bCs w:val="0"/>
          <w:kern w:val="0"/>
          <w:sz w:val="48"/>
          <w:szCs w:val="48"/>
          <w:u w:val="single"/>
        </w:rPr>
        <w:t xml:space="preserve">               </w:t>
      </w:r>
    </w:p>
    <w:p w14:paraId="675DAA44">
      <w:pPr>
        <w:widowControl/>
        <w:rPr>
          <w:rFonts w:hint="eastAsia" w:ascii="黑体" w:hAnsi="黑体" w:eastAsia="黑体" w:cs="黑体"/>
          <w:b w:val="0"/>
          <w:bCs w:val="0"/>
          <w:kern w:val="0"/>
          <w:sz w:val="48"/>
          <w:szCs w:val="48"/>
          <w:u w:val="single"/>
        </w:rPr>
      </w:pPr>
    </w:p>
    <w:p w14:paraId="07376B70">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2026</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5</w:t>
      </w:r>
      <w:r>
        <w:rPr>
          <w:rFonts w:hint="eastAsia" w:ascii="黑体" w:hAnsi="黑体" w:eastAsia="黑体" w:cs="黑体"/>
          <w:b w:val="0"/>
          <w:bCs w:val="0"/>
          <w:kern w:val="0"/>
          <w:sz w:val="36"/>
          <w:szCs w:val="36"/>
        </w:rPr>
        <w:t xml:space="preserve">  月 </w:t>
      </w:r>
      <w:r>
        <w:rPr>
          <w:rFonts w:hint="eastAsia" w:ascii="黑体" w:hAnsi="黑体" w:eastAsia="黑体" w:cs="黑体"/>
          <w:b w:val="0"/>
          <w:bCs w:val="0"/>
          <w:kern w:val="0"/>
          <w:sz w:val="36"/>
          <w:szCs w:val="36"/>
          <w:lang w:val="en-US" w:eastAsia="zh-CN"/>
        </w:rPr>
        <w:t>7</w:t>
      </w:r>
      <w:r>
        <w:rPr>
          <w:rFonts w:hint="eastAsia" w:ascii="黑体" w:hAnsi="黑体" w:eastAsia="黑体" w:cs="黑体"/>
          <w:b w:val="0"/>
          <w:bCs w:val="0"/>
          <w:kern w:val="0"/>
          <w:sz w:val="36"/>
          <w:szCs w:val="36"/>
        </w:rPr>
        <w:t xml:space="preserve">  日</w:t>
      </w:r>
    </w:p>
    <w:p w14:paraId="682840ED">
      <w:pPr>
        <w:jc w:val="center"/>
        <w:rPr>
          <w:rFonts w:hint="eastAsia" w:ascii="黑体" w:hAnsi="黑体" w:eastAsia="黑体" w:cs="宋体"/>
          <w:kern w:val="0"/>
          <w:sz w:val="32"/>
          <w:szCs w:val="32"/>
          <w:lang w:eastAsia="zh-CN"/>
        </w:rPr>
      </w:pPr>
      <w:r>
        <w:rPr>
          <w:rFonts w:hint="eastAsia" w:ascii="黑体" w:hAnsi="黑体" w:eastAsia="黑体" w:cs="仿宋"/>
          <w:kern w:val="0"/>
          <w:sz w:val="32"/>
          <w:szCs w:val="32"/>
        </w:rPr>
        <w:br w:type="page"/>
      </w:r>
    </w:p>
    <w:p w14:paraId="1151844C">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r>
        <w:rPr>
          <w:rFonts w:hint="eastAsia" w:ascii="微软雅黑" w:hAnsi="仿宋" w:eastAsia="微软雅黑" w:cs="宋体"/>
          <w:b w:val="0"/>
          <w:bCs/>
          <w:kern w:val="0"/>
          <w:sz w:val="44"/>
          <w:szCs w:val="44"/>
          <w:lang w:val="en-US" w:eastAsia="zh-CN"/>
        </w:rPr>
        <w:t>2025</w:t>
      </w:r>
      <w:r>
        <w:rPr>
          <w:rFonts w:hint="eastAsia" w:ascii="微软雅黑" w:hAnsi="仿宋" w:eastAsia="微软雅黑" w:cs="宋体"/>
          <w:b w:val="0"/>
          <w:bCs/>
          <w:kern w:val="0"/>
          <w:sz w:val="44"/>
          <w:szCs w:val="44"/>
        </w:rPr>
        <w:t>年度</w:t>
      </w:r>
      <w:r>
        <w:rPr>
          <w:rFonts w:hint="eastAsia" w:ascii="微软雅黑" w:hAnsi="仿宋" w:eastAsia="微软雅黑" w:cs="宋体"/>
          <w:b w:val="0"/>
          <w:bCs/>
          <w:kern w:val="0"/>
          <w:sz w:val="44"/>
          <w:szCs w:val="44"/>
          <w:lang w:val="en-US" w:eastAsia="zh-CN"/>
        </w:rPr>
        <w:t>安化县妇女联合会</w:t>
      </w:r>
    </w:p>
    <w:p w14:paraId="211611BC">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rPr>
        <w:t>部门整体支出绩效自评报告</w:t>
      </w:r>
    </w:p>
    <w:p w14:paraId="3E42D5AE"/>
    <w:p w14:paraId="0BC0DE86">
      <w:pPr>
        <w:spacing w:line="594" w:lineRule="exact"/>
        <w:jc w:val="left"/>
        <w:rPr>
          <w:rFonts w:eastAsia="黑体"/>
          <w:kern w:val="0"/>
          <w:sz w:val="32"/>
          <w:szCs w:val="32"/>
          <w:highlight w:val="none"/>
        </w:rPr>
      </w:pPr>
      <w:r>
        <w:rPr>
          <w:rFonts w:eastAsia="仿宋_GB2312"/>
          <w:kern w:val="0"/>
          <w:sz w:val="32"/>
          <w:szCs w:val="32"/>
          <w:highlight w:val="none"/>
        </w:rPr>
        <w:t xml:space="preserve"> </w:t>
      </w:r>
      <w:r>
        <w:rPr>
          <w:rFonts w:eastAsia="黑体"/>
          <w:bCs/>
          <w:kern w:val="0"/>
          <w:sz w:val="32"/>
          <w:szCs w:val="32"/>
          <w:highlight w:val="none"/>
        </w:rPr>
        <w:t xml:space="preserve"> 一、部门概况</w:t>
      </w:r>
    </w:p>
    <w:p w14:paraId="06137DE2">
      <w:pPr>
        <w:spacing w:line="520" w:lineRule="exact"/>
        <w:rPr>
          <w:rFonts w:ascii="宋体" w:hAnsi="宋体" w:eastAsia="仿宋_GB2312" w:cs="仿宋"/>
          <w:sz w:val="32"/>
          <w:szCs w:val="32"/>
        </w:rPr>
      </w:pPr>
      <w:r>
        <w:rPr>
          <w:rFonts w:hint="eastAsia" w:ascii="宋体" w:hAnsi="宋体" w:eastAsia="仿宋_GB2312" w:cs="仿宋"/>
          <w:sz w:val="32"/>
          <w:szCs w:val="32"/>
          <w:lang w:val="en-US" w:eastAsia="zh-CN"/>
        </w:rPr>
        <w:t xml:space="preserve">  </w:t>
      </w:r>
      <w:r>
        <w:rPr>
          <w:rFonts w:hint="eastAsia" w:ascii="宋体" w:hAnsi="宋体" w:eastAsia="仿宋_GB2312" w:cs="仿宋"/>
          <w:b/>
          <w:bCs/>
          <w:sz w:val="32"/>
          <w:szCs w:val="32"/>
          <w:lang w:val="en-US" w:eastAsia="zh-CN"/>
        </w:rPr>
        <w:t xml:space="preserve">  （一）</w:t>
      </w:r>
      <w:r>
        <w:rPr>
          <w:rFonts w:hint="eastAsia" w:ascii="宋体" w:hAnsi="宋体" w:eastAsia="仿宋_GB2312" w:cs="仿宋"/>
          <w:b/>
          <w:bCs/>
          <w:sz w:val="32"/>
          <w:szCs w:val="32"/>
        </w:rPr>
        <w:t>基本情况</w:t>
      </w:r>
    </w:p>
    <w:p w14:paraId="377ABEF1">
      <w:pPr>
        <w:autoSpaceDE w:val="0"/>
        <w:autoSpaceDN w:val="0"/>
        <w:adjustRightInd w:val="0"/>
        <w:spacing w:line="520" w:lineRule="exact"/>
        <w:ind w:firstLine="640"/>
        <w:rPr>
          <w:rFonts w:hint="eastAsia" w:ascii="宋体" w:hAnsi="宋体" w:eastAsia="仿宋_GB2312" w:cs="仿宋"/>
          <w:sz w:val="32"/>
          <w:szCs w:val="32"/>
        </w:rPr>
      </w:pPr>
      <w:r>
        <w:rPr>
          <w:rFonts w:hint="eastAsia" w:ascii="宋体" w:hAnsi="宋体" w:eastAsia="仿宋_GB2312" w:cs="仿宋"/>
          <w:sz w:val="32"/>
          <w:szCs w:val="32"/>
        </w:rPr>
        <w:t>安化县妇女联合会为县委领导下的群众团体机关，统一社会信用代码：13430923006494814J。主要承担引领、服务、联系妇女群众职责，维护妇女儿童合法权益，统筹推进妇女发展、家庭建设、儿童关爱、维权服务、妇女儿童活动开展等工作。</w:t>
      </w:r>
    </w:p>
    <w:p w14:paraId="355170BE">
      <w:pPr>
        <w:autoSpaceDE w:val="0"/>
        <w:autoSpaceDN w:val="0"/>
        <w:adjustRightInd w:val="0"/>
        <w:spacing w:line="520" w:lineRule="exact"/>
        <w:ind w:firstLine="640"/>
        <w:rPr>
          <w:rFonts w:hint="eastAsia" w:ascii="宋体" w:hAnsi="宋体" w:eastAsia="仿宋_GB2312" w:cs="仿宋"/>
          <w:sz w:val="32"/>
          <w:szCs w:val="32"/>
        </w:rPr>
      </w:pPr>
      <w:r>
        <w:rPr>
          <w:rFonts w:hint="eastAsia" w:ascii="宋体" w:hAnsi="宋体" w:eastAsia="仿宋_GB2312" w:cs="仿宋"/>
          <w:sz w:val="32"/>
          <w:szCs w:val="32"/>
        </w:rPr>
        <w:t>根据编委核定，安化县妇女联合会机关内设2个职能股室，无下属独立事业单位，整体机构精简、职能集中。内设股室如下：办公室：负责机关日常运转、综合协调、文稿起草、会务组织、机要保密、财务资产管理、人事政工、政务公开、后勤保障、党建、党风廉政建设、意识形态、对外联络、信息报送等综合性工作。妇女儿童工作和权益部：负责妇女思想引领、妇女创业就业、巾帼文明创建、妇女技能培训、基层妇联组织建设；依法维护妇女儿童合法权益，开展普法宣传、矛盾调解、信访接待、反家暴关爱帮扶；统筹家庭教育、家风建设、关爱留守儿童、困境妇女儿童帮扶；承担县妇女儿童工作委员会日常工作。</w:t>
      </w:r>
    </w:p>
    <w:p w14:paraId="761E1A61">
      <w:pPr>
        <w:autoSpaceDE w:val="0"/>
        <w:autoSpaceDN w:val="0"/>
        <w:adjustRightInd w:val="0"/>
        <w:spacing w:line="520" w:lineRule="exact"/>
        <w:ind w:firstLine="640"/>
        <w:rPr>
          <w:rFonts w:hint="eastAsia" w:ascii="宋体" w:hAnsi="宋体" w:eastAsia="仿宋_GB2312" w:cs="仿宋"/>
          <w:sz w:val="32"/>
          <w:szCs w:val="32"/>
        </w:rPr>
      </w:pPr>
      <w:r>
        <w:rPr>
          <w:rFonts w:hint="eastAsia" w:ascii="宋体" w:hAnsi="宋体" w:eastAsia="仿宋_GB2312" w:cs="仿宋"/>
          <w:sz w:val="32"/>
          <w:szCs w:val="32"/>
        </w:rPr>
        <w:t>下设平台及群团组织</w:t>
      </w:r>
      <w:r>
        <w:rPr>
          <w:rFonts w:hint="eastAsia" w:ascii="宋体" w:hAnsi="宋体" w:eastAsia="仿宋_GB2312" w:cs="仿宋"/>
          <w:sz w:val="32"/>
          <w:szCs w:val="32"/>
          <w:lang w:val="en-US" w:eastAsia="zh-CN"/>
        </w:rPr>
        <w:t>如下</w:t>
      </w:r>
      <w:r>
        <w:rPr>
          <w:rFonts w:hint="eastAsia" w:ascii="宋体" w:hAnsi="宋体" w:eastAsia="仿宋_GB2312" w:cs="仿宋"/>
          <w:sz w:val="32"/>
          <w:szCs w:val="32"/>
          <w:lang w:eastAsia="zh-CN"/>
        </w:rPr>
        <w:t>：</w:t>
      </w:r>
      <w:r>
        <w:rPr>
          <w:rFonts w:hint="eastAsia" w:ascii="宋体" w:hAnsi="宋体" w:eastAsia="仿宋_GB2312" w:cs="仿宋"/>
          <w:sz w:val="32"/>
          <w:szCs w:val="32"/>
        </w:rPr>
        <w:t>安化县妇女儿童活动中心：2025年正式建成投用，为妇联公益服务平台，承担妇女技能培训、家庭教育指导、儿童素质教育、文体活动开展、家风宣传展示等公益服务职能。群团组织：统筹管理全县各乡</w:t>
      </w:r>
      <w:r>
        <w:rPr>
          <w:rFonts w:hint="eastAsia" w:ascii="宋体" w:hAnsi="宋体" w:eastAsia="仿宋_GB2312" w:cs="仿宋"/>
          <w:sz w:val="32"/>
          <w:szCs w:val="32"/>
          <w:lang w:eastAsia="zh-CN"/>
        </w:rPr>
        <w:t>单位</w:t>
      </w:r>
      <w:r>
        <w:rPr>
          <w:rFonts w:hint="eastAsia" w:ascii="宋体" w:hAnsi="宋体" w:eastAsia="仿宋_GB2312" w:cs="仿宋"/>
          <w:sz w:val="32"/>
          <w:szCs w:val="32"/>
        </w:rPr>
        <w:t>（街道）妇联、村（社区）妇联组织，管辖巾帼志愿者队伍、女企业家协会、家庭教育指导服务站等附属群团服务机构。</w:t>
      </w:r>
    </w:p>
    <w:p w14:paraId="2E61C502">
      <w:pPr>
        <w:autoSpaceDE w:val="0"/>
        <w:autoSpaceDN w:val="0"/>
        <w:adjustRightInd w:val="0"/>
        <w:spacing w:line="520" w:lineRule="exact"/>
        <w:ind w:firstLine="640"/>
        <w:rPr>
          <w:rFonts w:ascii="宋体" w:hAnsi="宋体" w:eastAsia="仿宋_GB2312" w:cs="仿宋"/>
          <w:sz w:val="32"/>
          <w:szCs w:val="32"/>
        </w:rPr>
      </w:pPr>
      <w:r>
        <w:rPr>
          <w:rFonts w:hint="eastAsia" w:ascii="宋体" w:hAnsi="宋体" w:eastAsia="仿宋_GB2312" w:cs="仿宋"/>
          <w:sz w:val="32"/>
          <w:szCs w:val="32"/>
        </w:rPr>
        <w:t>人员编制情况机关编制人员精干，实行集中办公、统一管理，内部分工明确、一岗多责，形成办公室综合统筹、业务部主抓业务、活动中心提供服务、基层妇联联动落实的工作格局。</w:t>
      </w:r>
      <w:r>
        <w:rPr>
          <w:rFonts w:hint="eastAsia" w:ascii="宋体" w:hAnsi="宋体" w:eastAsia="仿宋_GB2312" w:cs="仿宋"/>
          <w:sz w:val="32"/>
          <w:szCs w:val="32"/>
          <w:lang w:eastAsia="zh-CN"/>
        </w:rPr>
        <w:t>2025</w:t>
      </w:r>
      <w:r>
        <w:rPr>
          <w:rFonts w:hint="eastAsia" w:ascii="宋体" w:hAnsi="宋体" w:eastAsia="仿宋_GB2312" w:cs="仿宋"/>
          <w:sz w:val="32"/>
          <w:szCs w:val="32"/>
        </w:rPr>
        <w:t>年本单位年</w:t>
      </w:r>
      <w:r>
        <w:rPr>
          <w:rFonts w:hint="eastAsia" w:ascii="宋体" w:hAnsi="宋体" w:eastAsia="仿宋_GB2312" w:cs="仿宋"/>
          <w:sz w:val="32"/>
          <w:szCs w:val="32"/>
          <w:lang w:eastAsia="zh-CN"/>
        </w:rPr>
        <w:t>末</w:t>
      </w:r>
      <w:r>
        <w:rPr>
          <w:rFonts w:hint="eastAsia" w:ascii="宋体" w:hAnsi="宋体" w:eastAsia="仿宋_GB2312" w:cs="仿宋"/>
          <w:sz w:val="32"/>
          <w:szCs w:val="32"/>
        </w:rPr>
        <w:t>实有人数</w:t>
      </w:r>
      <w:r>
        <w:rPr>
          <w:rFonts w:hint="eastAsia" w:ascii="宋体" w:hAnsi="宋体" w:eastAsia="仿宋_GB2312" w:cs="仿宋"/>
          <w:sz w:val="32"/>
          <w:szCs w:val="32"/>
          <w:lang w:val="en-US" w:eastAsia="zh-CN"/>
        </w:rPr>
        <w:t>5</w:t>
      </w:r>
      <w:r>
        <w:rPr>
          <w:rFonts w:hint="eastAsia" w:ascii="宋体" w:hAnsi="宋体" w:eastAsia="仿宋_GB2312" w:cs="仿宋"/>
          <w:sz w:val="32"/>
          <w:szCs w:val="32"/>
        </w:rPr>
        <w:t>人，</w:t>
      </w:r>
      <w:r>
        <w:rPr>
          <w:rFonts w:hint="eastAsia" w:ascii="宋体" w:hAnsi="宋体" w:eastAsia="仿宋_GB2312" w:cs="仿宋"/>
          <w:sz w:val="32"/>
          <w:szCs w:val="32"/>
          <w:lang w:val="en-US" w:eastAsia="zh-CN"/>
        </w:rPr>
        <w:t>与上年相比</w:t>
      </w:r>
      <w:r>
        <w:rPr>
          <w:rFonts w:hint="eastAsia" w:ascii="仿宋" w:eastAsia="仿宋" w:cs="仿宋"/>
          <w:sz w:val="32"/>
          <w:szCs w:val="32"/>
          <w:lang w:val="en-US" w:eastAsia="zh-CN"/>
        </w:rPr>
        <w:t>无变化</w:t>
      </w:r>
      <w:r>
        <w:rPr>
          <w:rFonts w:hint="eastAsia" w:ascii="仿宋" w:hAnsi="Times New Roman" w:eastAsia="仿宋" w:cs="仿宋"/>
          <w:sz w:val="32"/>
          <w:szCs w:val="32"/>
        </w:rPr>
        <w:t>。</w:t>
      </w:r>
    </w:p>
    <w:p w14:paraId="21DEC39B">
      <w:pPr>
        <w:ind w:firstLine="643" w:firstLineChars="200"/>
        <w:rPr>
          <w:rFonts w:hint="eastAsia" w:ascii="宋体" w:hAnsi="宋体" w:eastAsia="仿宋_GB2312" w:cs="仿宋"/>
          <w:b/>
          <w:bCs/>
          <w:sz w:val="32"/>
          <w:szCs w:val="32"/>
          <w:lang w:val="en-US" w:eastAsia="zh-CN"/>
        </w:rPr>
      </w:pPr>
      <w:r>
        <w:rPr>
          <w:rFonts w:hint="eastAsia" w:ascii="宋体" w:hAnsi="宋体" w:eastAsia="仿宋_GB2312" w:cs="仿宋"/>
          <w:b/>
          <w:bCs/>
          <w:sz w:val="32"/>
          <w:szCs w:val="32"/>
          <w:lang w:val="en-US" w:eastAsia="zh-CN"/>
        </w:rPr>
        <w:t>2025年度重点工作：</w:t>
      </w:r>
    </w:p>
    <w:p w14:paraId="440BF5C6">
      <w:pPr>
        <w:pStyle w:val="4"/>
        <w:ind w:firstLine="643" w:firstLineChars="200"/>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一、强化思想引领，筑牢巾帼政治根基</w:t>
      </w:r>
    </w:p>
    <w:p w14:paraId="6AF65424">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持续深化妇女思想政治引领工作，紧扣“巾帼心向党、奋进新征程”主线，常态化开展妇女理论宣讲、政策宣讲、巾帼典型宣传。依托新时代文明实践中心、妇女之家、家庭教育指导站等阵地，开展下沉式宣讲活动，推动党的创新理论走进乡村、社区、企业、家庭。加强妇女意识形态管理，加大巾帼先进典型选树和宣传力度，讲好安化巾帼故事，凝聚全县妇女奋进共识。</w:t>
      </w:r>
    </w:p>
    <w:p w14:paraId="3AF72905">
      <w:pPr>
        <w:pStyle w:val="4"/>
        <w:ind w:firstLine="643" w:firstLineChars="200"/>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二、聚焦赋能发展，激活巾帼创业动能</w:t>
      </w:r>
    </w:p>
    <w:p w14:paraId="0DDCA04F">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深入实施巾帼建功行动，助推妇女就业创业。常态化开展家政服务、手工制作、电商直播等技能培训，提升妇女就业创业能力。加强女企业家协会管理服务，搭建企业交流、资源共享平台，助力女性经营主体发展壮大。积极开展庆三八、促消费、助增收系列活动，拓宽本地农产品销售渠道。持续巩固脱贫攻坚成果，重点关注农村留守妇女、低收入妇女，落实帮扶举措，助力乡村产业振兴。</w:t>
      </w:r>
    </w:p>
    <w:p w14:paraId="352F6325">
      <w:pPr>
        <w:pStyle w:val="4"/>
        <w:ind w:firstLine="643" w:firstLineChars="200"/>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三、抓实维权服务，守护妇女合法权益</w:t>
      </w:r>
    </w:p>
    <w:p w14:paraId="4BB6D999">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健全妇女儿童维权服务体系，完善信访接待、纠纷调解、法律援助联动机制。常态化开展反家暴、反诈、禁毒、防艾、未成年人保护等法治宣传进家庭活动，提升妇女群众法治意识和自我保护能力。优化婚姻家庭矛盾纠纷排查化解机制，做到早发现、早介入、早调处。扎实推进农村妇女“两癌”免费筛查、患病妇女救助工作，严格落实救助申报、审核、发放流程，切实关爱困难患病妇女，筑牢女性健康防护屏障。</w:t>
      </w:r>
    </w:p>
    <w:p w14:paraId="243C4553">
      <w:pPr>
        <w:pStyle w:val="4"/>
        <w:ind w:firstLine="643" w:firstLineChars="200"/>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四、深耕家庭建设，涵养文明优良家风</w:t>
      </w:r>
    </w:p>
    <w:p w14:paraId="0F6C31AF">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持续深化家庭家教家风建设，常态化开展最美家庭、文明家庭、平安家庭等评选创建活动，挖掘宣传孝老爱亲、勤俭向善、绿色低碳先进家庭典型。完善单位村家庭教育指导服务体系，开展家庭教育公益讲座、亲子互动、家风宣讲等活动，普及科学育儿知识。持续推进移风易俗，抵制大操大办、人情攀比等不良风气，培育文明淳朴、和谐向善的家庭新风。</w:t>
      </w:r>
    </w:p>
    <w:p w14:paraId="4B51B71C">
      <w:pPr>
        <w:pStyle w:val="4"/>
        <w:ind w:firstLine="643" w:firstLineChars="200"/>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五、抓实关爱帮扶，护航妇儿健康成长</w:t>
      </w:r>
    </w:p>
    <w:p w14:paraId="1C515D87">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聚焦特殊群体，健全留守儿童、困境儿童、孤寡老人、残疾妇女、单亲困难家庭常态化关爱帮扶机制。持续实施“爱心妈妈”“知心姐姐”等关爱项目，开展节日慰问、心理疏导、物资帮扶、结对关爱服务。高标准运营管理县妇女儿童活动中心，开设公益课堂、文体培训、研学实践等活动，完善活动中心配套功能，打造公益性、综合性妇女儿童服务阵地。加强未成年人关爱保护，压实监护责任，完善帮扶台账，筑牢未成年人健康成长防线。</w:t>
      </w:r>
    </w:p>
    <w:p w14:paraId="0851AE18">
      <w:pPr>
        <w:pStyle w:val="4"/>
        <w:ind w:firstLine="643" w:firstLineChars="200"/>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六、夯实基层基础，完善妇联组织体系</w:t>
      </w:r>
    </w:p>
    <w:p w14:paraId="3C2AF0B7">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持续推进妇联组织规范化建设，巩固乡单位（街道）、村（社区）妇联组织建设成果，优化妇联干部、巾帼志愿者队伍管理。加强基层妇联干部教育培训，提升基层履职服务能力。规范妇女之家、维权服务站建设，完善基层妇联工作台账，健全联系服务群众机制。不断壮大巾帼志愿者队伍，常态化开展志愿服务、人居环境整治、文明劝导、公益帮扶等活动。</w:t>
      </w:r>
    </w:p>
    <w:p w14:paraId="388E416F">
      <w:pPr>
        <w:pStyle w:val="4"/>
        <w:ind w:firstLine="643" w:firstLineChars="200"/>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七、深化巡察整改，从严抓好自身建设</w:t>
      </w:r>
    </w:p>
    <w:p w14:paraId="5ED2BF7A">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持续巩固县委巡察整改成果，严格落实巡察整改长效机制，补齐制度短板、规范内部管理。健全机关管理制度，规范财务资产、公务接待、公文会务、档案管理等工作。严格落实全面从严治党主体责任，加强党风廉政建设、意识形态建设，常态化开展廉政警示教育。持续改进工作作风，优化便民服务举措，提升妇联机关规范化、精细化管理水平，打造忠诚干净担当的妇联干部队伍。</w:t>
      </w:r>
    </w:p>
    <w:p w14:paraId="1A38936A">
      <w:pPr>
        <w:pStyle w:val="4"/>
        <w:ind w:firstLine="643" w:firstLineChars="200"/>
        <w:rPr>
          <w:rFonts w:hint="eastAsia" w:ascii="仿宋" w:hAnsi="仿宋" w:eastAsia="仿宋" w:cs="仿宋"/>
          <w:b/>
          <w:bCs/>
          <w:color w:val="auto"/>
          <w:kern w:val="0"/>
          <w:sz w:val="32"/>
          <w:szCs w:val="32"/>
          <w:lang w:val="en-US" w:eastAsia="zh-CN" w:bidi="ar-SA"/>
        </w:rPr>
      </w:pPr>
      <w:r>
        <w:rPr>
          <w:rFonts w:hint="eastAsia" w:ascii="仿宋" w:hAnsi="仿宋" w:eastAsia="仿宋" w:cs="仿宋"/>
          <w:b/>
          <w:bCs/>
          <w:color w:val="auto"/>
          <w:kern w:val="0"/>
          <w:sz w:val="32"/>
          <w:szCs w:val="32"/>
          <w:lang w:val="en-US" w:eastAsia="zh-CN" w:bidi="ar-SA"/>
        </w:rPr>
        <w:t>八、统筹重点工作，服务全县发展大局</w:t>
      </w:r>
    </w:p>
    <w:p w14:paraId="69D9F2FD">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紧扣全县中心工作，主动融入乡村振兴、平安建设、文明创建、民生保障等重点工作。常态化开展平安家庭创建、禁毒防艾、矛盾排查、信访维稳等工作，维护社会和谐稳定。积极配合完成县委、县政府交办的各项临时性中心工作，不断提升妇联服务大局、服务基层、服务群众能力，为全县经济社会高质量发展贡献巾帼力量。</w:t>
      </w:r>
    </w:p>
    <w:p w14:paraId="501FF526">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eastAsia" w:ascii="仿宋" w:hAnsi="仿宋" w:eastAsia="仿宋" w:cs="仿宋"/>
          <w:b/>
          <w:bCs/>
          <w:color w:val="auto"/>
          <w:kern w:val="0"/>
          <w:sz w:val="32"/>
          <w:szCs w:val="32"/>
          <w:lang w:val="en-US" w:eastAsia="zh-CN"/>
        </w:rPr>
      </w:pPr>
      <w:r>
        <w:rPr>
          <w:rFonts w:hint="eastAsia" w:ascii="仿宋" w:hAnsi="仿宋" w:eastAsia="仿宋" w:cs="仿宋"/>
          <w:b/>
          <w:bCs/>
          <w:color w:val="auto"/>
          <w:kern w:val="0"/>
          <w:sz w:val="32"/>
          <w:szCs w:val="32"/>
          <w:lang w:val="en-US" w:eastAsia="zh-CN"/>
        </w:rPr>
        <w:t>(二)部门整体支出规模、使用方向、主要内容和涉及范围</w:t>
      </w:r>
    </w:p>
    <w:p w14:paraId="6F901F73">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2025年财政拨款支出134.05万元，其中基本支出75.75万元，项目支出58.3万元。</w:t>
      </w:r>
    </w:p>
    <w:p w14:paraId="5B5B5A1C">
      <w:pPr>
        <w:pStyle w:val="4"/>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基本支出中：人员经费71.24万元，</w:t>
      </w:r>
      <w:r>
        <w:rPr>
          <w:rFonts w:hint="eastAsia" w:ascii="仿宋" w:hAnsi="仿宋" w:eastAsia="仿宋" w:cs="仿宋"/>
          <w:sz w:val="32"/>
          <w:szCs w:val="32"/>
        </w:rPr>
        <w:t>比上年减少</w:t>
      </w:r>
      <w:r>
        <w:rPr>
          <w:rFonts w:hint="eastAsia" w:ascii="仿宋" w:hAnsi="仿宋" w:eastAsia="仿宋" w:cs="仿宋"/>
          <w:sz w:val="32"/>
          <w:szCs w:val="32"/>
          <w:lang w:val="en-US" w:eastAsia="zh-CN"/>
        </w:rPr>
        <w:t>8.29</w:t>
      </w:r>
      <w:r>
        <w:rPr>
          <w:rFonts w:hint="eastAsia" w:ascii="仿宋" w:hAnsi="仿宋" w:eastAsia="仿宋" w:cs="仿宋"/>
          <w:sz w:val="32"/>
          <w:szCs w:val="32"/>
        </w:rPr>
        <w:t>万元，</w:t>
      </w:r>
      <w:r>
        <w:rPr>
          <w:rFonts w:hint="eastAsia" w:ascii="仿宋" w:hAnsi="仿宋" w:eastAsia="仿宋" w:cs="仿宋"/>
          <w:sz w:val="32"/>
          <w:szCs w:val="32"/>
          <w:lang w:val="en-US" w:eastAsia="zh-CN"/>
        </w:rPr>
        <w:t>减少10.42</w:t>
      </w:r>
      <w:r>
        <w:rPr>
          <w:rFonts w:hint="eastAsia" w:ascii="仿宋" w:hAnsi="仿宋" w:eastAsia="仿宋" w:cs="仿宋"/>
          <w:sz w:val="32"/>
          <w:szCs w:val="32"/>
        </w:rPr>
        <w:t>%</w:t>
      </w:r>
      <w:r>
        <w:rPr>
          <w:rFonts w:hint="eastAsia" w:ascii="仿宋" w:hAnsi="仿宋" w:eastAsia="仿宋" w:cs="仿宋"/>
          <w:color w:val="auto"/>
          <w:kern w:val="0"/>
          <w:sz w:val="32"/>
          <w:szCs w:val="32"/>
          <w:lang w:val="en-US" w:eastAsia="zh-CN" w:bidi="ar-SA"/>
        </w:rPr>
        <w:t>,主要包括基本工资、津贴补贴、奖金、伙食补助费、绩效工资、机关事业单位基本养老保险缴费、职工基本医疗保险缴费、其他社会保障缴费、住房公积金、其他工资福利支出、抚恤金、生活补助、其他对个人和家庭的补助；公用经费</w:t>
      </w:r>
      <w:r>
        <w:rPr>
          <w:rFonts w:hint="eastAsia" w:ascii="仿宋" w:hAnsi="Times New Roman" w:eastAsia="仿宋" w:cs="仿宋"/>
          <w:sz w:val="32"/>
          <w:szCs w:val="32"/>
          <w:lang w:val="en-US" w:eastAsia="zh-CN"/>
        </w:rPr>
        <w:t>4.5</w:t>
      </w:r>
      <w:r>
        <w:rPr>
          <w:rFonts w:hint="eastAsia" w:ascii="仿宋" w:hAnsi="Times New Roman" w:eastAsia="仿宋" w:cs="仿宋"/>
          <w:sz w:val="32"/>
          <w:szCs w:val="32"/>
        </w:rPr>
        <w:t>万元，比上年</w:t>
      </w:r>
      <w:r>
        <w:rPr>
          <w:rFonts w:hint="eastAsia" w:ascii="仿宋" w:hAnsi="Times New Roman" w:eastAsia="仿宋" w:cs="仿宋"/>
          <w:sz w:val="32"/>
          <w:szCs w:val="32"/>
          <w:lang w:val="en-US" w:eastAsia="zh-CN"/>
        </w:rPr>
        <w:t>减少3.5</w:t>
      </w:r>
      <w:r>
        <w:rPr>
          <w:rFonts w:hint="eastAsia" w:ascii="仿宋" w:hAnsi="Times New Roman" w:eastAsia="仿宋" w:cs="仿宋"/>
          <w:sz w:val="32"/>
          <w:szCs w:val="32"/>
        </w:rPr>
        <w:t>万元，</w:t>
      </w:r>
      <w:r>
        <w:rPr>
          <w:rFonts w:hint="eastAsia" w:ascii="仿宋" w:hAnsi="Times New Roman" w:eastAsia="仿宋" w:cs="仿宋"/>
          <w:sz w:val="32"/>
          <w:szCs w:val="32"/>
          <w:lang w:val="en-US" w:eastAsia="zh-CN"/>
        </w:rPr>
        <w:t>减少43.75</w:t>
      </w:r>
      <w:r>
        <w:rPr>
          <w:rFonts w:ascii="仿宋" w:hAnsi="Times New Roman" w:eastAsia="仿宋" w:cs="仿宋"/>
          <w:sz w:val="32"/>
          <w:szCs w:val="32"/>
        </w:rPr>
        <w:t>%</w:t>
      </w:r>
      <w:r>
        <w:rPr>
          <w:rFonts w:hint="eastAsia" w:ascii="仿宋" w:hAnsi="仿宋" w:eastAsia="仿宋" w:cs="仿宋"/>
          <w:color w:val="auto"/>
          <w:kern w:val="0"/>
          <w:sz w:val="32"/>
          <w:szCs w:val="32"/>
          <w:lang w:val="en-US" w:eastAsia="zh-CN" w:bidi="ar-SA"/>
        </w:rPr>
        <w:t>，主要包括办公费、印刷费、水费、电费、邮电费、差旅费、会议费、公务接待费、公务用车运行维护费、其他交通费用、其他商品和服务支出。</w:t>
      </w:r>
    </w:p>
    <w:p w14:paraId="6180F5B9">
      <w:pPr>
        <w:pStyle w:val="4"/>
        <w:ind w:firstLine="640" w:firstLineChars="200"/>
        <w:rPr>
          <w:rFonts w:hint="eastAsia" w:ascii="仿宋" w:eastAsia="仿宋" w:cs="仿宋"/>
          <w:sz w:val="32"/>
          <w:szCs w:val="32"/>
          <w:lang w:val="en-US" w:eastAsia="zh-CN"/>
        </w:rPr>
      </w:pPr>
      <w:r>
        <w:rPr>
          <w:rFonts w:hint="eastAsia" w:ascii="仿宋" w:hAnsi="仿宋" w:eastAsia="仿宋" w:cs="仿宋"/>
          <w:color w:val="auto"/>
          <w:kern w:val="0"/>
          <w:sz w:val="32"/>
          <w:szCs w:val="32"/>
          <w:lang w:val="en-US" w:eastAsia="zh-CN" w:bidi="ar-SA"/>
        </w:rPr>
        <w:t>项目支出中：</w:t>
      </w:r>
      <w:r>
        <w:rPr>
          <w:rFonts w:hint="eastAsia" w:ascii="仿宋" w:eastAsia="仿宋" w:cs="仿宋"/>
          <w:sz w:val="32"/>
          <w:szCs w:val="32"/>
          <w:lang w:eastAsia="zh-CN"/>
        </w:rPr>
        <w:t>2025</w:t>
      </w:r>
      <w:r>
        <w:rPr>
          <w:rFonts w:hint="eastAsia" w:ascii="仿宋" w:eastAsia="仿宋" w:cs="仿宋"/>
          <w:sz w:val="32"/>
          <w:szCs w:val="32"/>
        </w:rPr>
        <w:t>年本单位财政拨款项目支出</w:t>
      </w:r>
      <w:r>
        <w:rPr>
          <w:rFonts w:hint="eastAsia" w:ascii="仿宋" w:eastAsia="仿宋" w:cs="仿宋"/>
          <w:sz w:val="32"/>
          <w:szCs w:val="32"/>
          <w:lang w:val="en-US" w:eastAsia="zh-CN"/>
        </w:rPr>
        <w:t>58.3</w:t>
      </w:r>
      <w:r>
        <w:rPr>
          <w:rFonts w:hint="eastAsia" w:ascii="仿宋" w:eastAsia="仿宋" w:cs="仿宋"/>
          <w:sz w:val="32"/>
          <w:szCs w:val="32"/>
        </w:rPr>
        <w:t>万元，其中</w:t>
      </w:r>
      <w:r>
        <w:rPr>
          <w:rFonts w:hint="eastAsia" w:ascii="仿宋" w:eastAsia="仿宋" w:cs="仿宋"/>
          <w:sz w:val="32"/>
          <w:szCs w:val="32"/>
          <w:lang w:val="en-US" w:eastAsia="zh-CN"/>
        </w:rPr>
        <w:t>婚调工作经费19.8万元、妇女事业发展专项经费10万元以及业务工作经费和运行维护经费等项目支出。</w:t>
      </w:r>
    </w:p>
    <w:p w14:paraId="2B8929D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14:paraId="78EBA391">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14:paraId="160F0FF6">
      <w:pPr>
        <w:autoSpaceDE w:val="0"/>
        <w:autoSpaceDN w:val="0"/>
        <w:adjustRightInd w:val="0"/>
        <w:spacing w:line="520" w:lineRule="exact"/>
        <w:ind w:firstLine="640"/>
        <w:rPr>
          <w:rFonts w:hint="eastAsia" w:ascii="仿宋" w:hAnsi="Times New Roman" w:eastAsia="仿宋" w:cs="仿宋"/>
          <w:sz w:val="32"/>
          <w:szCs w:val="32"/>
          <w:lang w:val="en-US" w:eastAsia="zh-CN"/>
        </w:rPr>
      </w:pPr>
      <w:r>
        <w:rPr>
          <w:rFonts w:hint="eastAsia" w:ascii="仿宋" w:eastAsia="仿宋" w:cs="仿宋"/>
          <w:sz w:val="32"/>
          <w:szCs w:val="32"/>
          <w:lang w:val="en-US" w:eastAsia="zh-CN"/>
        </w:rPr>
        <w:t>2025</w:t>
      </w:r>
      <w:r>
        <w:rPr>
          <w:rFonts w:hint="eastAsia" w:ascii="仿宋" w:hAnsi="Times New Roman" w:eastAsia="仿宋" w:cs="仿宋"/>
          <w:sz w:val="32"/>
          <w:szCs w:val="32"/>
          <w:lang w:val="en-US" w:eastAsia="zh-CN"/>
        </w:rPr>
        <w:t>年一般公共预算支出基本支出</w:t>
      </w:r>
      <w:r>
        <w:rPr>
          <w:rFonts w:hint="eastAsia" w:ascii="仿宋" w:hAnsi="仿宋" w:eastAsia="仿宋" w:cs="仿宋"/>
          <w:color w:val="auto"/>
          <w:kern w:val="0"/>
          <w:sz w:val="32"/>
          <w:szCs w:val="32"/>
          <w:lang w:val="en-US" w:eastAsia="zh-CN" w:bidi="ar-SA"/>
        </w:rPr>
        <w:t>75.75</w:t>
      </w:r>
      <w:r>
        <w:rPr>
          <w:rFonts w:hint="eastAsia" w:ascii="仿宋" w:hAnsi="Times New Roman" w:eastAsia="仿宋" w:cs="仿宋"/>
          <w:sz w:val="32"/>
          <w:szCs w:val="32"/>
          <w:lang w:val="en-US" w:eastAsia="zh-CN"/>
        </w:rPr>
        <w:t>万元，资金主要用于我</w:t>
      </w:r>
      <w:r>
        <w:rPr>
          <w:rFonts w:hint="eastAsia" w:ascii="仿宋" w:eastAsia="仿宋" w:cs="仿宋"/>
          <w:sz w:val="32"/>
          <w:szCs w:val="32"/>
          <w:lang w:val="en-US" w:eastAsia="zh-CN"/>
        </w:rPr>
        <w:t>单位</w:t>
      </w:r>
      <w:r>
        <w:rPr>
          <w:rFonts w:hint="eastAsia" w:ascii="仿宋" w:hAnsi="Times New Roman" w:eastAsia="仿宋" w:cs="仿宋"/>
          <w:sz w:val="32"/>
          <w:szCs w:val="32"/>
          <w:lang w:val="en-US" w:eastAsia="zh-CN"/>
        </w:rPr>
        <w:t>日常运行支出，包含工资福利支出</w:t>
      </w:r>
      <w:r>
        <w:rPr>
          <w:rFonts w:hint="eastAsia" w:ascii="仿宋" w:eastAsia="仿宋" w:cs="仿宋"/>
          <w:sz w:val="32"/>
          <w:szCs w:val="32"/>
          <w:lang w:val="en-US" w:eastAsia="zh-CN"/>
        </w:rPr>
        <w:t>71.24</w:t>
      </w:r>
      <w:r>
        <w:rPr>
          <w:rFonts w:hint="eastAsia" w:ascii="仿宋" w:hAnsi="Times New Roman" w:eastAsia="仿宋" w:cs="仿宋"/>
          <w:sz w:val="32"/>
          <w:szCs w:val="32"/>
          <w:lang w:val="en-US" w:eastAsia="zh-CN"/>
        </w:rPr>
        <w:t>万元，商品和服务支出</w:t>
      </w:r>
      <w:r>
        <w:rPr>
          <w:rFonts w:hint="eastAsia" w:ascii="仿宋" w:eastAsia="仿宋" w:cs="仿宋"/>
          <w:sz w:val="32"/>
          <w:szCs w:val="32"/>
          <w:lang w:val="en-US" w:eastAsia="zh-CN"/>
        </w:rPr>
        <w:t>4.5</w:t>
      </w:r>
      <w:r>
        <w:rPr>
          <w:rFonts w:hint="eastAsia" w:ascii="仿宋" w:hAnsi="Times New Roman" w:eastAsia="仿宋" w:cs="仿宋"/>
          <w:sz w:val="32"/>
          <w:szCs w:val="32"/>
          <w:lang w:val="en-US" w:eastAsia="zh-CN"/>
        </w:rPr>
        <w:t>万元，对个人和家庭的补助收入支出</w:t>
      </w:r>
      <w:r>
        <w:rPr>
          <w:rFonts w:hint="eastAsia" w:ascii="仿宋" w:eastAsia="仿宋" w:cs="仿宋"/>
          <w:sz w:val="32"/>
          <w:szCs w:val="32"/>
          <w:lang w:val="en-US" w:eastAsia="zh-CN"/>
        </w:rPr>
        <w:t>0</w:t>
      </w:r>
      <w:r>
        <w:rPr>
          <w:rFonts w:hint="eastAsia" w:ascii="仿宋" w:hAnsi="Times New Roman" w:eastAsia="仿宋" w:cs="仿宋"/>
          <w:sz w:val="32"/>
          <w:szCs w:val="32"/>
          <w:lang w:val="en-US" w:eastAsia="zh-CN"/>
        </w:rPr>
        <w:t>万元</w:t>
      </w:r>
      <w:r>
        <w:rPr>
          <w:rFonts w:hint="eastAsia" w:ascii="仿宋" w:eastAsia="仿宋" w:cs="仿宋"/>
          <w:sz w:val="32"/>
          <w:szCs w:val="32"/>
          <w:lang w:val="en-US" w:eastAsia="zh-CN"/>
        </w:rPr>
        <w:t>，资本性支出0万元</w:t>
      </w:r>
      <w:r>
        <w:rPr>
          <w:rFonts w:hint="eastAsia" w:ascii="仿宋" w:hAnsi="Times New Roman" w:eastAsia="仿宋" w:cs="仿宋"/>
          <w:sz w:val="32"/>
          <w:szCs w:val="32"/>
          <w:lang w:val="en-US" w:eastAsia="zh-CN"/>
        </w:rPr>
        <w:t>。</w:t>
      </w:r>
    </w:p>
    <w:p w14:paraId="4A8D10CA">
      <w:pPr>
        <w:autoSpaceDE w:val="0"/>
        <w:autoSpaceDN w:val="0"/>
        <w:adjustRightInd w:val="0"/>
        <w:spacing w:line="520" w:lineRule="exact"/>
        <w:ind w:firstLine="640"/>
        <w:rPr>
          <w:rFonts w:ascii="Times New Roman" w:hAnsi="Times New Roman" w:eastAsia="仿宋"/>
          <w:sz w:val="32"/>
          <w:szCs w:val="32"/>
          <w:lang w:val="zh-CN"/>
        </w:rPr>
      </w:pPr>
      <w:r>
        <w:rPr>
          <w:rFonts w:ascii="Times New Roman" w:hAnsi="Times New Roman" w:eastAsia="仿宋"/>
          <w:b/>
          <w:bCs/>
          <w:sz w:val="32"/>
          <w:szCs w:val="32"/>
        </w:rPr>
        <w:t>“</w:t>
      </w:r>
      <w:r>
        <w:rPr>
          <w:rFonts w:hint="eastAsia" w:ascii="仿宋" w:hAnsi="Times New Roman" w:eastAsia="仿宋" w:cs="仿宋"/>
          <w:sz w:val="32"/>
          <w:szCs w:val="32"/>
        </w:rPr>
        <w:t>三公</w:t>
      </w:r>
      <w:r>
        <w:rPr>
          <w:rFonts w:ascii="Times New Roman" w:hAnsi="Times New Roman" w:eastAsia="仿宋"/>
          <w:b/>
          <w:bCs/>
          <w:sz w:val="32"/>
          <w:szCs w:val="32"/>
        </w:rPr>
        <w:t>”</w:t>
      </w:r>
      <w:r>
        <w:rPr>
          <w:rFonts w:hint="eastAsia" w:ascii="仿宋" w:hAnsi="Times New Roman" w:eastAsia="仿宋" w:cs="仿宋"/>
          <w:sz w:val="32"/>
          <w:szCs w:val="32"/>
        </w:rPr>
        <w:t>经费支出情况：</w:t>
      </w:r>
      <w:r>
        <w:rPr>
          <w:rFonts w:hint="eastAsia" w:ascii="仿宋" w:eastAsia="仿宋" w:cs="仿宋"/>
          <w:sz w:val="32"/>
          <w:szCs w:val="32"/>
          <w:lang w:eastAsia="zh-CN"/>
        </w:rPr>
        <w:t>2025</w:t>
      </w:r>
      <w:r>
        <w:rPr>
          <w:rFonts w:hint="eastAsia" w:ascii="仿宋" w:hAnsi="Times New Roman" w:eastAsia="仿宋" w:cs="仿宋"/>
          <w:sz w:val="32"/>
          <w:szCs w:val="32"/>
        </w:rPr>
        <w:t>年，</w:t>
      </w:r>
      <w:r>
        <w:rPr>
          <w:rFonts w:ascii="Times New Roman" w:hAnsi="Times New Roman" w:eastAsia="仿宋"/>
          <w:sz w:val="32"/>
          <w:szCs w:val="32"/>
        </w:rPr>
        <w:t>“</w:t>
      </w:r>
      <w:r>
        <w:rPr>
          <w:rFonts w:hint="eastAsia" w:ascii="仿宋" w:hAnsi="Times New Roman" w:eastAsia="仿宋" w:cs="仿宋"/>
          <w:sz w:val="32"/>
          <w:szCs w:val="32"/>
        </w:rPr>
        <w:t>三公</w:t>
      </w:r>
      <w:r>
        <w:rPr>
          <w:rFonts w:ascii="Times New Roman" w:hAnsi="Times New Roman" w:eastAsia="仿宋"/>
          <w:sz w:val="32"/>
          <w:szCs w:val="32"/>
        </w:rPr>
        <w:t>”</w:t>
      </w:r>
      <w:r>
        <w:rPr>
          <w:rFonts w:hint="eastAsia" w:ascii="仿宋" w:hAnsi="Times New Roman" w:eastAsia="仿宋" w:cs="仿宋"/>
          <w:sz w:val="32"/>
          <w:szCs w:val="32"/>
        </w:rPr>
        <w:t>经费完成</w:t>
      </w:r>
      <w:r>
        <w:rPr>
          <w:rFonts w:hint="eastAsia" w:ascii="仿宋" w:eastAsia="仿宋" w:cs="仿宋"/>
          <w:sz w:val="32"/>
          <w:szCs w:val="32"/>
          <w:lang w:val="en-US" w:eastAsia="zh-CN"/>
        </w:rPr>
        <w:t>0</w:t>
      </w:r>
      <w:r>
        <w:rPr>
          <w:rFonts w:hint="eastAsia" w:ascii="仿宋" w:hAnsi="Times New Roman" w:eastAsia="仿宋" w:cs="仿宋"/>
          <w:sz w:val="32"/>
          <w:szCs w:val="32"/>
        </w:rPr>
        <w:t>元，比上年</w:t>
      </w:r>
      <w:r>
        <w:rPr>
          <w:rFonts w:hint="eastAsia" w:ascii="仿宋" w:eastAsia="仿宋" w:cs="仿宋"/>
          <w:sz w:val="32"/>
          <w:szCs w:val="32"/>
          <w:lang w:val="en-US" w:eastAsia="zh-CN"/>
        </w:rPr>
        <w:t>减少1.33</w:t>
      </w:r>
      <w:r>
        <w:rPr>
          <w:rFonts w:hint="eastAsia" w:ascii="仿宋" w:hAnsi="Times New Roman" w:eastAsia="仿宋" w:cs="仿宋"/>
          <w:sz w:val="32"/>
          <w:szCs w:val="32"/>
        </w:rPr>
        <w:t>万元，</w:t>
      </w:r>
      <w:r>
        <w:rPr>
          <w:rFonts w:hint="eastAsia" w:ascii="仿宋" w:eastAsia="仿宋" w:cs="仿宋"/>
          <w:sz w:val="32"/>
          <w:szCs w:val="32"/>
          <w:lang w:val="en-US" w:eastAsia="zh-CN"/>
        </w:rPr>
        <w:t>下降100</w:t>
      </w:r>
      <w:r>
        <w:rPr>
          <w:rFonts w:ascii="仿宋" w:hAnsi="Times New Roman" w:eastAsia="仿宋" w:cs="仿宋"/>
          <w:sz w:val="32"/>
          <w:szCs w:val="32"/>
        </w:rPr>
        <w:t>%</w:t>
      </w:r>
      <w:r>
        <w:rPr>
          <w:rFonts w:hint="eastAsia" w:ascii="仿宋" w:hAnsi="Times New Roman" w:eastAsia="仿宋" w:cs="仿宋"/>
          <w:sz w:val="32"/>
          <w:szCs w:val="32"/>
        </w:rPr>
        <w:t>，增减变化的主要原因是：</w:t>
      </w:r>
      <w:r>
        <w:rPr>
          <w:rFonts w:hint="eastAsia" w:ascii="仿宋" w:eastAsia="仿宋" w:cs="仿宋"/>
          <w:sz w:val="32"/>
          <w:szCs w:val="32"/>
          <w:lang w:eastAsia="zh-CN"/>
        </w:rPr>
        <w:t>我单位</w:t>
      </w:r>
      <w:r>
        <w:rPr>
          <w:rFonts w:hint="eastAsia" w:ascii="仿宋" w:eastAsia="仿宋" w:cs="仿宋"/>
          <w:sz w:val="32"/>
          <w:szCs w:val="32"/>
          <w:lang w:val="en-US" w:eastAsia="zh-CN"/>
        </w:rPr>
        <w:t>2025年严控三公经费，严格践行节约理念</w:t>
      </w:r>
      <w:r>
        <w:rPr>
          <w:rFonts w:hint="eastAsia" w:ascii="仿宋" w:hAnsi="Times New Roman" w:eastAsia="仿宋" w:cs="仿宋"/>
          <w:sz w:val="32"/>
          <w:szCs w:val="32"/>
          <w:lang w:val="zh-CN"/>
        </w:rPr>
        <w:t>。其中：</w:t>
      </w:r>
      <w:r>
        <w:rPr>
          <w:rFonts w:hint="eastAsia" w:ascii="仿宋" w:hAnsi="Times New Roman" w:eastAsia="仿宋" w:cs="仿宋"/>
          <w:b/>
          <w:bCs/>
          <w:sz w:val="32"/>
          <w:szCs w:val="32"/>
          <w:lang w:val="zh-CN"/>
        </w:rPr>
        <w:t>因公出国（境）费</w:t>
      </w:r>
      <w:r>
        <w:rPr>
          <w:rFonts w:hint="eastAsia" w:ascii="仿宋" w:hAnsi="Times New Roman" w:eastAsia="仿宋" w:cs="仿宋"/>
          <w:sz w:val="32"/>
          <w:szCs w:val="32"/>
        </w:rPr>
        <w:t>完成</w:t>
      </w:r>
      <w:r>
        <w:rPr>
          <w:rFonts w:ascii="仿宋" w:hAnsi="Times New Roman" w:eastAsia="仿宋" w:cs="仿宋"/>
          <w:sz w:val="32"/>
          <w:szCs w:val="32"/>
        </w:rPr>
        <w:t>0</w:t>
      </w:r>
      <w:r>
        <w:rPr>
          <w:rFonts w:hint="eastAsia" w:ascii="仿宋" w:hAnsi="Times New Roman" w:eastAsia="仿宋" w:cs="仿宋"/>
          <w:sz w:val="32"/>
          <w:szCs w:val="32"/>
        </w:rPr>
        <w:t>万元，比上年增加</w:t>
      </w:r>
      <w:r>
        <w:rPr>
          <w:rFonts w:ascii="仿宋" w:hAnsi="Times New Roman" w:eastAsia="仿宋" w:cs="仿宋"/>
          <w:sz w:val="32"/>
          <w:szCs w:val="32"/>
        </w:rPr>
        <w:t>0</w:t>
      </w:r>
      <w:r>
        <w:rPr>
          <w:rFonts w:hint="eastAsia" w:ascii="仿宋" w:hAnsi="Times New Roman" w:eastAsia="仿宋" w:cs="仿宋"/>
          <w:sz w:val="32"/>
          <w:szCs w:val="32"/>
        </w:rPr>
        <w:t>万元，增加</w:t>
      </w:r>
      <w:r>
        <w:rPr>
          <w:rFonts w:ascii="仿宋" w:hAnsi="Times New Roman" w:eastAsia="仿宋" w:cs="仿宋"/>
          <w:sz w:val="32"/>
          <w:szCs w:val="32"/>
        </w:rPr>
        <w:t>0%</w:t>
      </w:r>
      <w:r>
        <w:rPr>
          <w:rFonts w:hint="eastAsia" w:ascii="仿宋" w:hAnsi="Times New Roman" w:eastAsia="仿宋" w:cs="仿宋"/>
          <w:sz w:val="32"/>
          <w:szCs w:val="32"/>
        </w:rPr>
        <w:t>，无增减变化</w:t>
      </w:r>
      <w:r>
        <w:rPr>
          <w:rFonts w:hint="eastAsia" w:ascii="仿宋" w:hAnsi="Times New Roman" w:eastAsia="仿宋" w:cs="仿宋"/>
          <w:sz w:val="32"/>
          <w:szCs w:val="32"/>
          <w:lang w:val="zh-CN"/>
        </w:rPr>
        <w:t>；</w:t>
      </w:r>
      <w:r>
        <w:rPr>
          <w:rFonts w:hint="eastAsia" w:ascii="仿宋" w:hAnsi="Times New Roman" w:eastAsia="仿宋" w:cs="仿宋"/>
          <w:b/>
          <w:bCs/>
          <w:sz w:val="32"/>
          <w:szCs w:val="32"/>
          <w:lang w:val="zh-CN"/>
        </w:rPr>
        <w:t>公务接待费</w:t>
      </w:r>
      <w:r>
        <w:rPr>
          <w:rFonts w:hint="eastAsia" w:ascii="仿宋" w:hAnsi="Times New Roman" w:eastAsia="仿宋" w:cs="仿宋"/>
          <w:sz w:val="32"/>
          <w:szCs w:val="32"/>
        </w:rPr>
        <w:t>完成</w:t>
      </w:r>
      <w:r>
        <w:rPr>
          <w:rFonts w:hint="eastAsia" w:ascii="仿宋" w:eastAsia="仿宋" w:cs="仿宋"/>
          <w:sz w:val="32"/>
          <w:szCs w:val="32"/>
          <w:lang w:val="en-US" w:eastAsia="zh-CN"/>
        </w:rPr>
        <w:t>0</w:t>
      </w:r>
      <w:r>
        <w:rPr>
          <w:rFonts w:hint="eastAsia" w:ascii="仿宋" w:hAnsi="Times New Roman" w:eastAsia="仿宋" w:cs="仿宋"/>
          <w:sz w:val="32"/>
          <w:szCs w:val="32"/>
        </w:rPr>
        <w:t>万元，比上年</w:t>
      </w:r>
      <w:r>
        <w:rPr>
          <w:rFonts w:hint="eastAsia" w:ascii="仿宋" w:eastAsia="仿宋" w:cs="仿宋"/>
          <w:sz w:val="32"/>
          <w:szCs w:val="32"/>
          <w:lang w:eastAsia="zh-CN"/>
        </w:rPr>
        <w:t>减少</w:t>
      </w:r>
      <w:r>
        <w:rPr>
          <w:rFonts w:hint="eastAsia" w:ascii="仿宋" w:eastAsia="仿宋" w:cs="仿宋"/>
          <w:sz w:val="32"/>
          <w:szCs w:val="32"/>
          <w:lang w:val="en-US" w:eastAsia="zh-CN"/>
        </w:rPr>
        <w:t>1.33</w:t>
      </w:r>
      <w:r>
        <w:rPr>
          <w:rFonts w:hint="eastAsia" w:ascii="仿宋" w:hAnsi="Times New Roman" w:eastAsia="仿宋" w:cs="仿宋"/>
          <w:sz w:val="32"/>
          <w:szCs w:val="32"/>
        </w:rPr>
        <w:t>万元，下降</w:t>
      </w:r>
      <w:r>
        <w:rPr>
          <w:rFonts w:hint="eastAsia" w:ascii="仿宋" w:eastAsia="仿宋" w:cs="仿宋"/>
          <w:sz w:val="32"/>
          <w:szCs w:val="32"/>
          <w:lang w:val="en-US" w:eastAsia="zh-CN"/>
        </w:rPr>
        <w:t>100</w:t>
      </w:r>
      <w:r>
        <w:rPr>
          <w:rFonts w:ascii="仿宋" w:hAnsi="Times New Roman" w:eastAsia="仿宋" w:cs="仿宋"/>
          <w:sz w:val="32"/>
          <w:szCs w:val="32"/>
        </w:rPr>
        <w:t>%</w:t>
      </w:r>
      <w:r>
        <w:rPr>
          <w:rFonts w:hint="eastAsia" w:ascii="仿宋" w:hAnsi="Times New Roman" w:eastAsia="仿宋" w:cs="仿宋"/>
          <w:sz w:val="32"/>
          <w:szCs w:val="32"/>
        </w:rPr>
        <w:t>，增减变化的主要原因是：严格落实上级政策，厉行节约</w:t>
      </w:r>
      <w:r>
        <w:rPr>
          <w:rFonts w:hint="eastAsia" w:ascii="仿宋" w:eastAsia="仿宋" w:cs="仿宋"/>
          <w:sz w:val="32"/>
          <w:szCs w:val="32"/>
          <w:lang w:eastAsia="zh-CN"/>
        </w:rPr>
        <w:t>，</w:t>
      </w:r>
      <w:r>
        <w:rPr>
          <w:rFonts w:hint="eastAsia" w:ascii="仿宋" w:eastAsia="仿宋" w:cs="仿宋"/>
          <w:sz w:val="32"/>
          <w:szCs w:val="32"/>
          <w:lang w:val="en-US" w:eastAsia="zh-CN"/>
        </w:rPr>
        <w:t>落实“零”接待管理政策</w:t>
      </w:r>
      <w:r>
        <w:rPr>
          <w:rFonts w:hint="eastAsia" w:ascii="仿宋" w:hAnsi="Times New Roman" w:eastAsia="仿宋" w:cs="仿宋"/>
          <w:sz w:val="32"/>
          <w:szCs w:val="32"/>
          <w:lang w:val="zh-CN"/>
        </w:rPr>
        <w:t>；</w:t>
      </w:r>
      <w:r>
        <w:rPr>
          <w:rFonts w:hint="eastAsia" w:ascii="仿宋" w:hAnsi="Times New Roman" w:eastAsia="仿宋" w:cs="仿宋"/>
          <w:b/>
          <w:bCs/>
          <w:sz w:val="32"/>
          <w:szCs w:val="32"/>
          <w:lang w:val="zh-CN"/>
        </w:rPr>
        <w:t>公务用车购置及运行维护费</w:t>
      </w:r>
      <w:r>
        <w:rPr>
          <w:rFonts w:hint="eastAsia" w:ascii="仿宋" w:hAnsi="Times New Roman" w:eastAsia="仿宋" w:cs="仿宋"/>
          <w:sz w:val="32"/>
          <w:szCs w:val="32"/>
        </w:rPr>
        <w:t>完成</w:t>
      </w:r>
      <w:r>
        <w:rPr>
          <w:rFonts w:hint="eastAsia" w:ascii="仿宋" w:eastAsia="仿宋" w:cs="仿宋"/>
          <w:sz w:val="32"/>
          <w:szCs w:val="32"/>
          <w:lang w:val="en-US" w:eastAsia="zh-CN"/>
        </w:rPr>
        <w:t>0</w:t>
      </w:r>
      <w:r>
        <w:rPr>
          <w:rFonts w:hint="eastAsia" w:ascii="仿宋" w:hAnsi="Times New Roman" w:eastAsia="仿宋" w:cs="仿宋"/>
          <w:sz w:val="32"/>
          <w:szCs w:val="32"/>
        </w:rPr>
        <w:t>万元，比上年</w:t>
      </w:r>
      <w:r>
        <w:rPr>
          <w:rFonts w:hint="eastAsia" w:ascii="仿宋" w:eastAsia="仿宋" w:cs="仿宋"/>
          <w:sz w:val="32"/>
          <w:szCs w:val="32"/>
          <w:lang w:val="en-US" w:eastAsia="zh-CN"/>
        </w:rPr>
        <w:t>减少0</w:t>
      </w:r>
      <w:r>
        <w:rPr>
          <w:rFonts w:hint="eastAsia" w:ascii="仿宋" w:hAnsi="Times New Roman" w:eastAsia="仿宋" w:cs="仿宋"/>
          <w:sz w:val="32"/>
          <w:szCs w:val="32"/>
        </w:rPr>
        <w:t>万元，</w:t>
      </w:r>
      <w:r>
        <w:rPr>
          <w:rFonts w:hint="eastAsia" w:ascii="仿宋" w:eastAsia="仿宋" w:cs="仿宋"/>
          <w:sz w:val="32"/>
          <w:szCs w:val="32"/>
          <w:lang w:val="en-US" w:eastAsia="zh-CN"/>
        </w:rPr>
        <w:t>下降0</w:t>
      </w:r>
      <w:r>
        <w:rPr>
          <w:rFonts w:ascii="仿宋" w:hAnsi="Times New Roman" w:eastAsia="仿宋" w:cs="仿宋"/>
          <w:sz w:val="32"/>
          <w:szCs w:val="32"/>
        </w:rPr>
        <w:t>%</w:t>
      </w:r>
      <w:r>
        <w:rPr>
          <w:rFonts w:hint="eastAsia" w:ascii="仿宋" w:hAnsi="Times New Roman" w:eastAsia="仿宋" w:cs="仿宋"/>
          <w:sz w:val="32"/>
          <w:szCs w:val="32"/>
        </w:rPr>
        <w:t>，</w:t>
      </w:r>
      <w:r>
        <w:rPr>
          <w:rFonts w:hint="eastAsia" w:ascii="仿宋" w:eastAsia="仿宋" w:cs="仿宋"/>
          <w:sz w:val="32"/>
          <w:szCs w:val="32"/>
          <w:lang w:val="en-US" w:eastAsia="zh-CN"/>
        </w:rPr>
        <w:t>无变化</w:t>
      </w:r>
      <w:r>
        <w:rPr>
          <w:rFonts w:hint="eastAsia" w:ascii="仿宋" w:hAnsi="Times New Roman" w:eastAsia="仿宋" w:cs="仿宋"/>
          <w:sz w:val="32"/>
          <w:szCs w:val="32"/>
          <w:lang w:val="zh-CN"/>
        </w:rPr>
        <w:t>。</w:t>
      </w:r>
    </w:p>
    <w:p w14:paraId="6E80E2AE">
      <w:pPr>
        <w:autoSpaceDE w:val="0"/>
        <w:autoSpaceDN w:val="0"/>
        <w:adjustRightInd w:val="0"/>
        <w:spacing w:line="520" w:lineRule="exact"/>
        <w:ind w:firstLine="640"/>
        <w:rPr>
          <w:rFonts w:ascii="Times New Roman" w:hAnsi="Times New Roman" w:eastAsia="仿宋"/>
          <w:sz w:val="32"/>
          <w:szCs w:val="32"/>
        </w:rPr>
      </w:pPr>
      <w:r>
        <w:rPr>
          <w:rFonts w:hint="eastAsia" w:ascii="仿宋" w:hAnsi="Times New Roman" w:eastAsia="仿宋" w:cs="仿宋"/>
          <w:sz w:val="32"/>
          <w:szCs w:val="32"/>
        </w:rPr>
        <w:t>（</w:t>
      </w:r>
      <w:r>
        <w:rPr>
          <w:rFonts w:ascii="仿宋" w:hAnsi="Times New Roman" w:eastAsia="仿宋" w:cs="仿宋"/>
          <w:sz w:val="32"/>
          <w:szCs w:val="32"/>
        </w:rPr>
        <w:t>2</w:t>
      </w:r>
      <w:r>
        <w:rPr>
          <w:rFonts w:hint="eastAsia" w:ascii="仿宋" w:hAnsi="Times New Roman" w:eastAsia="仿宋" w:cs="仿宋"/>
          <w:sz w:val="32"/>
          <w:szCs w:val="32"/>
        </w:rPr>
        <w:t>）会议</w:t>
      </w:r>
      <w:r>
        <w:rPr>
          <w:rFonts w:hint="eastAsia" w:ascii="仿宋" w:eastAsia="仿宋" w:cs="仿宋"/>
          <w:sz w:val="32"/>
          <w:szCs w:val="32"/>
          <w:lang w:eastAsia="zh-CN"/>
        </w:rPr>
        <w:t>、</w:t>
      </w:r>
      <w:r>
        <w:rPr>
          <w:rFonts w:hint="eastAsia" w:ascii="仿宋" w:eastAsia="仿宋" w:cs="仿宋"/>
          <w:sz w:val="32"/>
          <w:szCs w:val="32"/>
          <w:lang w:val="en-US" w:eastAsia="zh-CN"/>
        </w:rPr>
        <w:t>培训</w:t>
      </w:r>
      <w:r>
        <w:rPr>
          <w:rFonts w:hint="eastAsia" w:ascii="仿宋" w:hAnsi="Times New Roman" w:eastAsia="仿宋" w:cs="仿宋"/>
          <w:sz w:val="32"/>
          <w:szCs w:val="32"/>
        </w:rPr>
        <w:t>费支出情况：</w:t>
      </w:r>
      <w:r>
        <w:rPr>
          <w:rFonts w:hint="eastAsia" w:ascii="仿宋" w:eastAsia="仿宋" w:cs="仿宋"/>
          <w:sz w:val="32"/>
          <w:szCs w:val="32"/>
          <w:lang w:eastAsia="zh-CN"/>
        </w:rPr>
        <w:t>2025</w:t>
      </w:r>
      <w:r>
        <w:rPr>
          <w:rFonts w:hint="eastAsia" w:ascii="仿宋" w:hAnsi="Times New Roman" w:eastAsia="仿宋" w:cs="仿宋"/>
          <w:sz w:val="32"/>
          <w:szCs w:val="32"/>
        </w:rPr>
        <w:t>年完成</w:t>
      </w:r>
      <w:r>
        <w:rPr>
          <w:rFonts w:hint="eastAsia" w:ascii="仿宋" w:eastAsia="仿宋" w:cs="仿宋"/>
          <w:sz w:val="32"/>
          <w:szCs w:val="32"/>
          <w:lang w:val="en-US" w:eastAsia="zh-CN"/>
        </w:rPr>
        <w:t>会议、培训费0</w:t>
      </w:r>
      <w:r>
        <w:rPr>
          <w:rFonts w:hint="eastAsia" w:ascii="仿宋" w:hAnsi="Times New Roman" w:eastAsia="仿宋" w:cs="仿宋"/>
          <w:sz w:val="32"/>
          <w:szCs w:val="32"/>
        </w:rPr>
        <w:t>万元</w:t>
      </w:r>
      <w:r>
        <w:rPr>
          <w:rFonts w:hint="eastAsia" w:ascii="仿宋" w:hAnsi="Times New Roman" w:eastAsia="仿宋" w:cs="仿宋"/>
          <w:sz w:val="32"/>
          <w:szCs w:val="32"/>
          <w:lang w:val="zh-CN"/>
        </w:rPr>
        <w:t>。</w:t>
      </w:r>
    </w:p>
    <w:p w14:paraId="33B163B7">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14:paraId="4EB514F9">
      <w:pPr>
        <w:pStyle w:val="4"/>
        <w:ind w:firstLine="640" w:firstLineChars="200"/>
        <w:rPr>
          <w:rFonts w:hint="eastAsia" w:ascii="仿宋" w:eastAsia="仿宋" w:cs="仿宋"/>
          <w:sz w:val="32"/>
          <w:szCs w:val="32"/>
          <w:lang w:val="en-US" w:eastAsia="zh-CN"/>
        </w:rPr>
      </w:pPr>
      <w:r>
        <w:rPr>
          <w:rFonts w:hint="eastAsia" w:ascii="仿宋" w:hAnsi="Times New Roman" w:eastAsia="仿宋" w:cs="仿宋"/>
          <w:kern w:val="2"/>
          <w:sz w:val="32"/>
          <w:szCs w:val="32"/>
          <w:lang w:val="en-US" w:eastAsia="zh-CN" w:bidi="ar-SA"/>
        </w:rPr>
        <w:t>2025年一般公共预算支出项目支出</w:t>
      </w:r>
      <w:r>
        <w:rPr>
          <w:rFonts w:hint="eastAsia" w:ascii="仿宋" w:eastAsia="仿宋" w:cs="仿宋"/>
          <w:sz w:val="32"/>
          <w:szCs w:val="32"/>
          <w:lang w:val="en-US" w:eastAsia="zh-CN"/>
        </w:rPr>
        <w:t>58.3</w:t>
      </w:r>
      <w:r>
        <w:rPr>
          <w:rFonts w:hint="eastAsia" w:ascii="仿宋" w:eastAsia="仿宋" w:cs="仿宋"/>
          <w:sz w:val="32"/>
          <w:szCs w:val="32"/>
        </w:rPr>
        <w:t>万元，其中</w:t>
      </w:r>
      <w:r>
        <w:rPr>
          <w:rFonts w:hint="eastAsia" w:ascii="仿宋" w:eastAsia="仿宋" w:cs="仿宋"/>
          <w:sz w:val="32"/>
          <w:szCs w:val="32"/>
          <w:lang w:val="en-US" w:eastAsia="zh-CN"/>
        </w:rPr>
        <w:t>婚调工作经费19.8万元、妇女事业发展专项经费10万元以及业务工作经费和运行维护经费等项目支出。</w:t>
      </w:r>
    </w:p>
    <w:p w14:paraId="5D6678FF">
      <w:pPr>
        <w:pStyle w:val="4"/>
        <w:ind w:firstLine="640" w:firstLineChars="200"/>
        <w:rPr>
          <w:rFonts w:hint="eastAsia" w:ascii="仿宋" w:hAnsi="Times New Roman" w:eastAsia="仿宋" w:cs="仿宋"/>
          <w:kern w:val="2"/>
          <w:sz w:val="32"/>
          <w:szCs w:val="32"/>
          <w:lang w:val="en-US" w:eastAsia="zh-CN" w:bidi="ar-SA"/>
        </w:rPr>
      </w:pPr>
      <w:r>
        <w:rPr>
          <w:rFonts w:hint="eastAsia" w:ascii="仿宋" w:hAnsi="Times New Roman" w:eastAsia="仿宋" w:cs="仿宋"/>
          <w:kern w:val="2"/>
          <w:sz w:val="32"/>
          <w:szCs w:val="32"/>
          <w:lang w:val="en-US" w:eastAsia="zh-CN" w:bidi="ar-SA"/>
        </w:rPr>
        <w:t>所有项目经费均严格按照批复范围及绩效目标规范使用，其中：婚调工作经费主要用于婚姻家庭纠纷调解工作室日常运行、调解员劳务补贴、法治宣传服务开展等支出，重点保障婚姻家庭矛盾纠纷排查调处、反家暴干预帮扶等工作落地；妇女事业发展专项经费主要用于妇女技能培训、巾帼典型宣传、家庭家教家风建设、困境妇儿关爱帮扶、妇女儿童活动中心公益活动开展等，支撑各项妇女儿童重点业务推进；业务工作经费及运行维护经费主要保障机关日常业务开展、妇女儿童活动中心设施维护、基层妇联工作联动等刚性支出，确保各项工作有序运转。2025年所有项目资金均按年度预算计划执行完毕，资金拨付程序规范，未出现截留、挪用、挤占项目资金情况。</w:t>
      </w:r>
    </w:p>
    <w:p w14:paraId="1D9D04F2">
      <w:pPr>
        <w:pStyle w:val="2"/>
        <w:rPr>
          <w:rFonts w:hint="eastAsia" w:ascii="黑体" w:hAnsi="黑体" w:eastAsia="黑体" w:cs="宋体"/>
          <w:color w:val="000000"/>
          <w:kern w:val="0"/>
          <w:sz w:val="32"/>
          <w:szCs w:val="32"/>
          <w:lang w:val="en-US" w:eastAsia="zh-CN" w:bidi="ar-SA"/>
        </w:rPr>
      </w:pPr>
      <w:r>
        <w:rPr>
          <w:rFonts w:hint="eastAsia" w:ascii="黑体" w:hAnsi="黑体" w:eastAsia="黑体" w:cs="宋体"/>
          <w:color w:val="000000"/>
          <w:kern w:val="0"/>
          <w:sz w:val="32"/>
          <w:szCs w:val="32"/>
          <w:lang w:val="en-US" w:eastAsia="zh-CN" w:bidi="ar-SA"/>
        </w:rPr>
        <w:t>三、政府性基金预算支出情况分析</w:t>
      </w:r>
    </w:p>
    <w:p w14:paraId="18E775B3">
      <w:pPr>
        <w:pStyle w:val="2"/>
        <w:ind w:firstLine="640" w:firstLineChars="200"/>
        <w:rPr>
          <w:rFonts w:hint="default" w:ascii="仿宋" w:hAnsi="Times New Roman" w:eastAsia="仿宋" w:cs="仿宋"/>
          <w:kern w:val="2"/>
          <w:sz w:val="32"/>
          <w:szCs w:val="32"/>
          <w:lang w:val="en-US" w:eastAsia="zh-CN" w:bidi="ar-SA"/>
        </w:rPr>
      </w:pPr>
      <w:r>
        <w:rPr>
          <w:rFonts w:hint="eastAsia" w:ascii="仿宋" w:eastAsia="仿宋" w:cs="仿宋"/>
          <w:kern w:val="2"/>
          <w:sz w:val="32"/>
          <w:szCs w:val="32"/>
          <w:lang w:val="en-US" w:eastAsia="zh-CN" w:bidi="ar-SA"/>
        </w:rPr>
        <w:t>2025</w:t>
      </w:r>
      <w:r>
        <w:rPr>
          <w:rFonts w:hint="eastAsia" w:ascii="仿宋" w:hAnsi="Times New Roman" w:eastAsia="仿宋" w:cs="仿宋"/>
          <w:kern w:val="2"/>
          <w:sz w:val="32"/>
          <w:szCs w:val="32"/>
          <w:lang w:val="en-US" w:eastAsia="zh-CN" w:bidi="ar-SA"/>
        </w:rPr>
        <w:t>年政府性基金预算支出</w:t>
      </w:r>
      <w:r>
        <w:rPr>
          <w:rFonts w:hint="eastAsia" w:ascii="仿宋" w:eastAsia="仿宋" w:cs="仿宋"/>
          <w:kern w:val="2"/>
          <w:sz w:val="32"/>
          <w:szCs w:val="32"/>
          <w:lang w:val="en-US" w:eastAsia="zh-CN" w:bidi="ar-SA"/>
        </w:rPr>
        <w:t>0</w:t>
      </w:r>
      <w:r>
        <w:rPr>
          <w:rFonts w:hint="eastAsia" w:ascii="仿宋" w:hAnsi="Times New Roman" w:eastAsia="仿宋" w:cs="仿宋"/>
          <w:kern w:val="2"/>
          <w:sz w:val="32"/>
          <w:szCs w:val="32"/>
          <w:lang w:val="en-US" w:eastAsia="zh-CN" w:bidi="ar-SA"/>
        </w:rPr>
        <w:t>万元</w:t>
      </w:r>
      <w:r>
        <w:rPr>
          <w:rFonts w:hint="eastAsia" w:ascii="仿宋" w:eastAsia="仿宋" w:cs="仿宋"/>
          <w:kern w:val="2"/>
          <w:sz w:val="32"/>
          <w:szCs w:val="32"/>
          <w:lang w:val="en-US" w:eastAsia="zh-CN" w:bidi="ar-SA"/>
        </w:rPr>
        <w:t>。</w:t>
      </w:r>
    </w:p>
    <w:p w14:paraId="04F01C65">
      <w:pPr>
        <w:keepNext w:val="0"/>
        <w:keepLines w:val="0"/>
        <w:pageBreakBefore w:val="0"/>
        <w:widowControl/>
        <w:kinsoku/>
        <w:wordWrap/>
        <w:overflowPunct/>
        <w:topLinePunct w:val="0"/>
        <w:autoSpaceDE/>
        <w:autoSpaceDN/>
        <w:bidi w:val="0"/>
        <w:adjustRightInd/>
        <w:snapToGrid/>
        <w:spacing w:line="576" w:lineRule="exact"/>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四、国有资本经营预算支出情况</w:t>
      </w:r>
    </w:p>
    <w:p w14:paraId="1632BF36">
      <w:pPr>
        <w:pStyle w:val="2"/>
        <w:ind w:firstLine="640" w:firstLineChars="200"/>
        <w:rPr>
          <w:rFonts w:hint="eastAsia" w:ascii="仿宋" w:hAnsi="Times New Roman" w:eastAsia="仿宋" w:cs="仿宋"/>
          <w:kern w:val="2"/>
          <w:sz w:val="32"/>
          <w:szCs w:val="32"/>
          <w:lang w:val="en-US" w:eastAsia="zh-CN" w:bidi="ar-SA"/>
        </w:rPr>
      </w:pPr>
      <w:r>
        <w:rPr>
          <w:rFonts w:hint="eastAsia" w:ascii="仿宋" w:eastAsia="仿宋" w:cs="仿宋"/>
          <w:kern w:val="2"/>
          <w:sz w:val="32"/>
          <w:szCs w:val="32"/>
          <w:lang w:val="en-US" w:eastAsia="zh-CN" w:bidi="ar-SA"/>
        </w:rPr>
        <w:t>2025</w:t>
      </w:r>
      <w:r>
        <w:rPr>
          <w:rFonts w:hint="eastAsia" w:ascii="仿宋" w:hAnsi="Times New Roman" w:eastAsia="仿宋" w:cs="仿宋"/>
          <w:kern w:val="2"/>
          <w:sz w:val="32"/>
          <w:szCs w:val="32"/>
          <w:lang w:val="en-US" w:eastAsia="zh-CN" w:bidi="ar-SA"/>
        </w:rPr>
        <w:t>年无国有资产经营预算支出。</w:t>
      </w:r>
    </w:p>
    <w:p w14:paraId="467D882A">
      <w:pPr>
        <w:keepNext w:val="0"/>
        <w:keepLines w:val="0"/>
        <w:pageBreakBefore w:val="0"/>
        <w:widowControl/>
        <w:numPr>
          <w:ilvl w:val="0"/>
          <w:numId w:val="1"/>
        </w:numPr>
        <w:kinsoku/>
        <w:wordWrap/>
        <w:overflowPunct/>
        <w:topLinePunct w:val="0"/>
        <w:autoSpaceDE/>
        <w:autoSpaceDN/>
        <w:bidi w:val="0"/>
        <w:adjustRightInd/>
        <w:snapToGrid/>
        <w:spacing w:line="576" w:lineRule="exact"/>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社会保险基金预算支出情况</w:t>
      </w:r>
    </w:p>
    <w:p w14:paraId="3E0A30A5">
      <w:pPr>
        <w:keepNext w:val="0"/>
        <w:keepLines w:val="0"/>
        <w:pageBreakBefore w:val="0"/>
        <w:widowControl/>
        <w:numPr>
          <w:ilvl w:val="0"/>
          <w:numId w:val="0"/>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仿宋" w:eastAsia="仿宋" w:cs="仿宋"/>
          <w:kern w:val="2"/>
          <w:sz w:val="32"/>
          <w:szCs w:val="32"/>
          <w:lang w:val="en-US" w:eastAsia="zh-CN" w:bidi="ar-SA"/>
        </w:rPr>
        <w:t>2025</w:t>
      </w:r>
      <w:r>
        <w:rPr>
          <w:rFonts w:hint="eastAsia" w:ascii="仿宋" w:hAnsi="Times New Roman" w:eastAsia="仿宋" w:cs="仿宋"/>
          <w:kern w:val="2"/>
          <w:sz w:val="32"/>
          <w:szCs w:val="32"/>
          <w:lang w:val="en-US" w:eastAsia="zh-CN" w:bidi="ar-SA"/>
        </w:rPr>
        <w:t>年无社会保险基金预算的支出。</w:t>
      </w:r>
    </w:p>
    <w:p w14:paraId="2B98BBF2">
      <w:pPr>
        <w:keepNext w:val="0"/>
        <w:keepLines w:val="0"/>
        <w:pageBreakBefore w:val="0"/>
        <w:widowControl/>
        <w:kinsoku/>
        <w:wordWrap/>
        <w:overflowPunct/>
        <w:topLinePunct w:val="0"/>
        <w:autoSpaceDE/>
        <w:autoSpaceDN/>
        <w:bidi w:val="0"/>
        <w:adjustRightInd/>
        <w:snapToGrid/>
        <w:spacing w:line="576" w:lineRule="exact"/>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14:paraId="54A27E86">
      <w:pPr>
        <w:rPr>
          <w:rFonts w:hint="eastAsia"/>
          <w:lang w:val="en-US" w:eastAsia="zh-CN"/>
        </w:rPr>
      </w:pPr>
    </w:p>
    <w:p w14:paraId="6F19B42F">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反映部门履职及履职效益情况。主要从部门整体支出的经济性、效率性、有效性和可持续性等方面进行量化、具体分析。其中：经济性分析主要是对成本（预算）控制、节约等情况进行分析；效率性分析主要是对各项工作、专项完成的进度及质量等情况进行分析；有效性分析主要是对反映部门整体支出使用效果的个性指标进行分析；可持续性分析主要是对支出完成后，后续政策、资金、人员机构安排和管理措施等影响项目持续发展的因素进行分析。</w:t>
      </w:r>
    </w:p>
    <w:p w14:paraId="6E627AFB">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经济性分析：在支出执行方面，一是严格按预算执行；二是严格按支出政策标准执行；三是从严控制和降低行政运行经费支出，尤其是“三公”经费支出。</w:t>
      </w:r>
    </w:p>
    <w:p w14:paraId="796CC378">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效率性分析：严格按照财经法规、制度和纪律执行相关支出事项。在各项工作费用支付中，尤其是干职工的津补贴、五险一金等人员经费支出能及时按进度保质保量完成。</w:t>
      </w:r>
    </w:p>
    <w:p w14:paraId="0DBEDBED">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有效性分析：夯实基层力量，提高基层干部工作积极性，全面整合职能和资源，提升干部办事效率，优化服务质量；群众收入增加，幸福感提高。</w:t>
      </w:r>
    </w:p>
    <w:p w14:paraId="329154B1">
      <w:pPr>
        <w:ind w:firstLine="640" w:firstLineChars="200"/>
        <w:rPr>
          <w:rFonts w:hint="eastAsia" w:ascii="仿宋" w:hAnsi="仿宋" w:eastAsia="仿宋" w:cs="仿宋"/>
          <w:color w:val="auto"/>
          <w:kern w:val="0"/>
          <w:sz w:val="32"/>
          <w:szCs w:val="32"/>
          <w:lang w:val="en-US" w:eastAsia="zh-CN" w:bidi="ar-SA"/>
        </w:rPr>
      </w:pPr>
      <w:bookmarkStart w:id="0" w:name="_GoBack"/>
      <w:bookmarkEnd w:id="0"/>
      <w:r>
        <w:rPr>
          <w:rFonts w:hint="eastAsia" w:ascii="仿宋" w:hAnsi="仿宋" w:eastAsia="仿宋" w:cs="仿宋"/>
          <w:color w:val="auto"/>
          <w:kern w:val="0"/>
          <w:sz w:val="32"/>
          <w:szCs w:val="32"/>
          <w:lang w:val="en-US" w:eastAsia="zh-CN" w:bidi="ar-SA"/>
        </w:rPr>
        <w:t>自评结果：</w:t>
      </w:r>
    </w:p>
    <w:p w14:paraId="01BBCADB">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根据资金绩效评价指标体系和绩效检查情况，财政资金整体绩效分值100分，从预算编制和执行情况、节能降耗情况、“三公”经费控制情况，项目支出管理规范和绩效情况等方面总体评价，自评得分99.5分。</w:t>
      </w:r>
    </w:p>
    <w:p w14:paraId="346087DD">
      <w:pPr>
        <w:keepNext w:val="0"/>
        <w:keepLines w:val="0"/>
        <w:pageBreakBefore w:val="0"/>
        <w:widowControl/>
        <w:kinsoku/>
        <w:wordWrap/>
        <w:overflowPunct/>
        <w:topLinePunct w:val="0"/>
        <w:autoSpaceDE/>
        <w:autoSpaceDN/>
        <w:bidi w:val="0"/>
        <w:adjustRightInd/>
        <w:snapToGrid/>
        <w:spacing w:line="576" w:lineRule="exact"/>
        <w:jc w:val="left"/>
        <w:textAlignment w:val="auto"/>
        <w:rPr>
          <w:rFonts w:hint="eastAsia" w:ascii="仿宋" w:hAnsi="仿宋" w:eastAsia="仿宋" w:cs="仿宋"/>
          <w:color w:val="auto"/>
          <w:kern w:val="0"/>
          <w:sz w:val="32"/>
          <w:szCs w:val="32"/>
          <w:lang w:val="en-US" w:eastAsia="zh-CN" w:bidi="ar-SA"/>
        </w:rPr>
      </w:pPr>
      <w:r>
        <w:rPr>
          <w:rFonts w:hint="eastAsia" w:ascii="黑体" w:hAnsi="黑体" w:eastAsia="黑体" w:cs="宋体"/>
          <w:color w:val="000000"/>
          <w:kern w:val="0"/>
          <w:sz w:val="32"/>
          <w:szCs w:val="32"/>
        </w:rPr>
        <w:t>七、存在的问题及原因分析</w:t>
      </w:r>
    </w:p>
    <w:p w14:paraId="27E230A8">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预算绩效观念不深入。我单位在日常财务工作中存在着一定程度的“重分配、轻管理、重支出、轻绩效”的情况，造成该问题的主要原因是自身绩效理念较薄弱，单位绩效目标编制仍有缺失，需要进一步加强对资金绩效管理的重视程度。</w:t>
      </w:r>
    </w:p>
    <w:p w14:paraId="687C529A">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预算绩效规范管理有盲点。在县、市财政逐步加强绩效管理的情况下，我单位财务人员面对当前绩效管理工作既没有现成的经验可供借鉴，又缺乏专业性很强的技能储备，只能是边工作、边学习、边积累，短期内部分工作只能停留在表面，难以做到程序规范、管理科学，难以满足当前绩效管理要求。</w:t>
      </w:r>
    </w:p>
    <w:p w14:paraId="510CAC91">
      <w:pPr>
        <w:keepNext w:val="0"/>
        <w:keepLines w:val="0"/>
        <w:pageBreakBefore w:val="0"/>
        <w:widowControl/>
        <w:kinsoku/>
        <w:wordWrap/>
        <w:overflowPunct/>
        <w:topLinePunct w:val="0"/>
        <w:autoSpaceDE/>
        <w:autoSpaceDN/>
        <w:bidi w:val="0"/>
        <w:adjustRightInd/>
        <w:snapToGrid/>
        <w:spacing w:line="576" w:lineRule="exact"/>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八、下一步改进措施</w:t>
      </w:r>
    </w:p>
    <w:p w14:paraId="370C825B">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1）进一步增强绩效管理理念。在管理和使用预算资金的过程中，我单位将更加突出资金使用绩效，做到“花钱必问效”。加强与财政绩效科的沟通协调，按照绩效评价原则，开展资金安全性、规范性的监督，确保专项资金的使用符合绩效管理要求。</w:t>
      </w:r>
    </w:p>
    <w:p w14:paraId="5524C540">
      <w:pPr>
        <w:ind w:firstLine="640" w:firstLineChars="200"/>
        <w:rPr>
          <w:rFonts w:hint="eastAsia" w:ascii="仿宋" w:hAnsi="仿宋" w:eastAsia="仿宋" w:cs="仿宋"/>
          <w:color w:val="auto"/>
          <w:kern w:val="0"/>
          <w:sz w:val="32"/>
          <w:szCs w:val="32"/>
          <w:lang w:val="en-US" w:eastAsia="zh-CN" w:bidi="ar-SA"/>
        </w:rPr>
      </w:pPr>
      <w:r>
        <w:rPr>
          <w:rFonts w:hint="eastAsia" w:ascii="仿宋" w:hAnsi="仿宋" w:eastAsia="仿宋" w:cs="仿宋"/>
          <w:color w:val="auto"/>
          <w:kern w:val="0"/>
          <w:sz w:val="32"/>
          <w:szCs w:val="32"/>
          <w:lang w:val="en-US" w:eastAsia="zh-CN" w:bidi="ar-SA"/>
        </w:rPr>
        <w:t>（2）进一步加强财务素养和专业技能培训。我单位希望县财政局相关科室，针对预算资金绩效管理和相关法律法规，对全县单位财务人员开展培训，学习预算绩效管理的法律法规、规范要求，让绩效理念深入人心、让绩效管理人员熟知政策、知行合一。</w:t>
      </w:r>
    </w:p>
    <w:p w14:paraId="5AD34CBE">
      <w:pPr>
        <w:ind w:firstLine="640" w:firstLineChars="200"/>
        <w:rPr>
          <w:rFonts w:hint="eastAsia" w:ascii="仿宋" w:hAnsi="仿宋" w:eastAsia="仿宋" w:cs="仿宋"/>
          <w:color w:val="auto"/>
          <w:kern w:val="0"/>
          <w:sz w:val="32"/>
          <w:szCs w:val="3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26DBDE"/>
    <w:multiLevelType w:val="singleLevel"/>
    <w:tmpl w:val="D626DBDE"/>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jNWNkNjRlNDc5NDc2ODY5NGFkZTQyOTE5NmEwNTUifQ=="/>
  </w:docVars>
  <w:rsids>
    <w:rsidRoot w:val="00000000"/>
    <w:rsid w:val="118151C6"/>
    <w:rsid w:val="56053296"/>
    <w:rsid w:val="58C16663"/>
    <w:rsid w:val="6BCD6DDC"/>
    <w:rsid w:val="76C50FAD"/>
    <w:rsid w:val="7B0300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toc 5"/>
    <w:basedOn w:val="1"/>
    <w:next w:val="1"/>
    <w:unhideWhenUsed/>
    <w:qFormat/>
    <w:uiPriority w:val="39"/>
    <w:pPr>
      <w:ind w:left="1680" w:leftChars="800"/>
    </w:pPr>
    <w:rPr>
      <w:rFonts w:ascii="等线" w:hAnsi="等线" w:eastAsia="等线" w:cs="Times New Roman"/>
      <w:szCs w:val="22"/>
    </w:rPr>
  </w:style>
  <w:style w:type="paragraph" w:styleId="4">
    <w:name w:val="toc 1"/>
    <w:basedOn w:val="1"/>
    <w:next w:val="1"/>
    <w:semiHidden/>
    <w:qFormat/>
    <w:uiPriority w:val="99"/>
    <w:rPr>
      <w:rFonts w:ascii="黑体" w:hAnsi="黑体" w:eastAsia="黑体" w:cs="黑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5675</Words>
  <Characters>5893</Characters>
  <Lines>0</Lines>
  <Paragraphs>0</Paragraphs>
  <TotalTime>33</TotalTime>
  <ScaleCrop>false</ScaleCrop>
  <LinksUpToDate>false</LinksUpToDate>
  <CharactersWithSpaces>5920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2024-06-19T09:04:00Z</dcterms:created>
  <dc:creator>Administrator</dc:creator>
  <cp:lastModifiedBy>啦啦啦啦</cp:lastModifiedBy>
  <cp:lastPrinted>2024-06-20T01:35:00Z</cp:lastPrinted>
  <dcterms:modified xsi:type="dcterms:W3CDTF">2026-05-07T13:11:37Z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DA299122B0284A83BE4FDF78D276FDEE_13</vt:lpwstr>
  </property>
  <property fmtid="{D5CDD505-2E9C-101B-9397-08002B2CF9AE}" pid="4" name="KSOTemplateDocerSaveRecord">
    <vt:lpwstr>eyJoZGlkIjoiNzVlOTUwMTUyYWZmYzljZGMxNjNhMmEzMDhjNDUyNjciLCJ1c2VySWQiOiIyMDUwMzE0MDYifQ==</vt:lpwstr>
  </property>
</Properties>
</file>