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2D0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  <w:t>安化县公安局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</w:t>
      </w:r>
    </w:p>
    <w:p w14:paraId="10EFB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绩效自评报告</w:t>
      </w:r>
    </w:p>
    <w:p w14:paraId="28377E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14B082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40D7BC1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（1）防范政治风险，维护政治安全；（2）化解信访积案，确保社会稳定；（3）集中打击涉毒、盗抢、电信诈骗、涉黄涉赌等违法犯罪，常态化开展扫黑除恶斗争；（4）有序推进法治公安建设和基层基础建设。</w:t>
      </w:r>
    </w:p>
    <w:p w14:paraId="494B0C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3D5BFBAC">
      <w:pPr>
        <w:spacing w:line="594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2025</w:t>
      </w:r>
      <w:r>
        <w:rPr>
          <w:rFonts w:hint="eastAsia" w:ascii="仿宋_GB2312" w:eastAsia="仿宋_GB2312"/>
          <w:sz w:val="32"/>
          <w:szCs w:val="32"/>
        </w:rPr>
        <w:t>年部门整体支出规模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17363.56</w:t>
      </w:r>
      <w:r>
        <w:rPr>
          <w:rFonts w:hint="eastAsia" w:ascii="仿宋_GB2312" w:eastAsia="仿宋_GB2312"/>
          <w:sz w:val="32"/>
          <w:szCs w:val="32"/>
        </w:rPr>
        <w:t>万元，主要使用方向是公安业务工作的正常开展，主要内容与涉及范围是公安机关依法履行职能所发生的各项费用，包括基本支出和项目支出，基本支出为保障公安机构运转和完成日常工作任务发生的支出，包括人员支出和公用经费支出，项目支出为包括列入项目支出的办案（业务）经费、业务装备经费、基础设施建设经费等。</w:t>
      </w:r>
    </w:p>
    <w:p w14:paraId="46CE4D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6A5AFB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1CB70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基本支出10797.13万元，是为保障各部门正常运转、完成日常工作任务而发生的各项支出，主要包括工资福利支出9720.98元，商品和服务支出756.5万元，对个人和家庭支出319.59万元。</w:t>
      </w:r>
    </w:p>
    <w:p w14:paraId="0F0FF4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“三公”经费支出情况：2025年，“三公”经费完成213.54万元，比上年减少0.02元，主要原因是：厉行节约严控公用经费</w:t>
      </w:r>
      <w:r>
        <w:rPr>
          <w:rFonts w:hint="eastAsia" w:ascii="仿宋" w:hAnsi="仿宋" w:eastAsia="仿宋"/>
          <w:sz w:val="32"/>
          <w:szCs w:val="24"/>
        </w:rPr>
        <w:t>，</w:t>
      </w:r>
      <w:r>
        <w:rPr>
          <w:rFonts w:hint="eastAsia" w:ascii="仿宋" w:hAnsi="仿宋" w:eastAsia="仿宋"/>
          <w:sz w:val="32"/>
          <w:szCs w:val="24"/>
          <w:lang w:eastAsia="zh-CN"/>
        </w:rPr>
        <w:t>无</w:t>
      </w:r>
      <w:r>
        <w:rPr>
          <w:rFonts w:hint="eastAsia" w:ascii="仿宋" w:hAnsi="仿宋" w:eastAsia="仿宋"/>
          <w:sz w:val="32"/>
          <w:szCs w:val="24"/>
        </w:rPr>
        <w:t>公务接待费，</w:t>
      </w:r>
      <w:r>
        <w:rPr>
          <w:rFonts w:hint="eastAsia" w:ascii="仿宋" w:hAnsi="仿宋" w:eastAsia="仿宋"/>
          <w:sz w:val="32"/>
          <w:szCs w:val="24"/>
          <w:lang w:eastAsia="zh-CN"/>
        </w:rPr>
        <w:t>无公车购置费，</w:t>
      </w:r>
      <w:r>
        <w:rPr>
          <w:rFonts w:hint="eastAsia" w:ascii="仿宋" w:hAnsi="仿宋" w:eastAsia="仿宋"/>
          <w:sz w:val="32"/>
          <w:szCs w:val="24"/>
        </w:rPr>
        <w:t>按照预算指标数列支公务用车运行维护费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。其中，公务接待费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完成0万元，比上年减少5.07万元；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完成213.54元，比上年增加5.06万元，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主要原因是执法执勤车辆老旧，运行维修成本增加。</w:t>
      </w:r>
    </w:p>
    <w:p w14:paraId="12EF0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2CC25B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项目支出6566.43万元，包含：</w:t>
      </w:r>
      <w:r>
        <w:rPr>
          <w:rFonts w:hint="eastAsia" w:ascii="仿宋_GB2312" w:eastAsia="仿宋_GB2312"/>
          <w:sz w:val="32"/>
          <w:szCs w:val="32"/>
        </w:rPr>
        <w:t>上级补助办案经费和上级补助装备经费</w:t>
      </w:r>
      <w:r>
        <w:rPr>
          <w:rFonts w:hint="eastAsia" w:ascii="仿宋_GB2312" w:eastAsia="仿宋_GB2312"/>
          <w:sz w:val="32"/>
          <w:szCs w:val="32"/>
          <w:lang w:eastAsia="zh-CN"/>
        </w:rPr>
        <w:t>等。</w:t>
      </w:r>
    </w:p>
    <w:p w14:paraId="2035ACB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088609C1">
      <w:pPr>
        <w:ind w:firstLine="640" w:firstLineChars="200"/>
        <w:rPr>
          <w:rFonts w:hint="eastAsia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eastAsia="仿宋_GB2312"/>
          <w:color w:val="232323"/>
          <w:sz w:val="32"/>
          <w:szCs w:val="32"/>
          <w:shd w:val="clear" w:color="auto" w:fill="FFFFFF"/>
        </w:rPr>
        <w:t>0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万元，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</w:rPr>
        <w:t>本部门无政府性基金安排的支出。</w:t>
      </w:r>
    </w:p>
    <w:p w14:paraId="054D027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065767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2398A5A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574D741B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785C2A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6C35FA52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40"/>
        </w:rPr>
      </w:pPr>
      <w:r>
        <w:rPr>
          <w:rFonts w:hint="eastAsia" w:ascii="仿宋_GB2312" w:eastAsia="仿宋_GB2312"/>
          <w:sz w:val="32"/>
          <w:szCs w:val="32"/>
        </w:rPr>
        <w:t>根据《部门整体支出绩效评价指标》评分，得分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32"/>
          <w:szCs w:val="32"/>
        </w:rPr>
        <w:t>分，绩效评价等级为“优”。主要绩效如下：</w:t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40"/>
        </w:rPr>
        <w:t>2025年以来，我局共接处警23577起，刑事立案827起，刑事破案572起，刑事拘留516人，取保候审494人，监视居住33人，移送起诉907人，移送起诉率76.44%，行政立素2170起，行政结案1861起，行政处罚1455人，行政案件结案率 82.18%。（一）聚焦“三大主责”，以精准施策守护平安大局。紧扣“择卫政治安全，维护社会稳定，护航高质量发展”三大主责，从实做好防风险，保安全，护稳定各项工作。一是坚决捍卫政治安全。二是全力维护社会稳定。重拳打击突出违法犯罪行为，今年以来共立八类恶性案件19起，撤案1起，破案18起，破案率100%，其中现行命案发案3起、破案3起，确保现行命案、八类恶性案件“发一破一”；常态化推进扫黑除恶斗争，共立涉黑恶十类案件22起，破素16起，破案率72%，立案同比下降52%：强力开展“利剑护蕾”，共立性侵未成年人案18起（现案12起），补立案件6起，破案18起，破案率100%，同比下降45%；严厉打击治理电信诈骗，共立案214起，损失金额1624万余元，破案70起，抓获108人，破案率32.71%。立案同比下降15.42%；损失金额同比下降23.72%，挽损300万余元，基本实现两升两降工作目标。严厉打击黄赌、枪爆、食药等领域违法犯罪，共侦办涉黄赌类案件37起，采取强制猎施94人，移送起诉134人，立假冒仿劣案件10起，移远起诉22人，立涉枪刑事案件13起，刑事拘留5人，移送起诉31人：全年共办理食品类案件6起，采取刑事强制措施6人：药品类3起，采取刑事强制措施3人；环境资源类案件8起，采取刑事强制措施17人，食品类刑事案件立案数下降40%，知识产权类刑事案件立案数下降100%。持续开展禁毒人民战争，共破获刑事案件14起，确立省督目标案件2起，申报部督目标案件1起，抓获50人，缴获各类毒品约27.43克，查处吸毒人员80人；深入开展“打盗抢、护民安”专项行动，今年共立案253起，破现案190起，现案破案率 75.1%，现案追赃挽损率47.4%，入室盗窃立案数135起，破案101 起，破案率74.8%，共抓获201人，受行政案件352起，结案210起，结案率59.7%。三是精准护航高质量发展。不断优化法治化营商环境，建立“一项目一专班”机制，为仙溪抽水蓄能电站、金塘冲水库等重点项目安保护航14次，出动警力1000余人次，接处警380余起，处置涉及项目建设网络负面舆情6总，调解矛盾纠纷200余起，刑事拘留3人，治安处罚8人，教育训诫83余人；深化“放管服”改草，46项高频业务实现网上办理。（二）坚持“三大方法”，以系统防控提升治理效能。将“管住人，防住事，控住面”作为公安机关维稳保安的有力方法，硫吴将矛盾风险控制在源头、处置在萌芽。一是管住重点人。累计处置扬言个人极端事件12起，排查近三年涉精神异常警情人员280人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40"/>
        </w:rPr>
        <w:t>二是防住关键事。全力做实矛盾纠纷排查化解“十个一”工作举措，全年累计排查矛盾纠纷4291起，其中公安机关管辖1489起，化解1446起，化解率97.1%；非公安机关管辖2802起，移交2791起，移交率 99.6%。三是控住社会面。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</w:rPr>
        <w:t>采取“车巡+步巡”“定点值守+动态巡查”相结合的方式，对城区重点区域、人员密集场所开展24小时不间断巡透，累计出动街面巡逻警力2439人次。落实“护学岗”机制，设置149个“护学岗”，上学日机关下沉民警、巡特警、交馨、派出所民警等200余人常态开展护学；组织法制副校长开展反诈、防性侵等讲课106场次，并先后开展校园周边环镜治理6次，筑牢安全防线。</w:t>
      </w:r>
    </w:p>
    <w:p w14:paraId="787721D6">
      <w:pPr>
        <w:pBdr>
          <w:top w:val="single" w:color="FFFFFF" w:sz="4" w:space="1"/>
          <w:left w:val="single" w:color="FFFFFF" w:sz="4" w:space="31"/>
          <w:bottom w:val="single" w:color="FFFFFF" w:sz="4" w:space="31"/>
          <w:right w:val="single" w:color="FFFFFF" w:sz="4" w:space="26"/>
        </w:pBdr>
        <w:shd w:val="solid" w:color="FFFFFF" w:fill="auto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2025</w:t>
      </w:r>
      <w:r>
        <w:rPr>
          <w:rFonts w:hint="eastAsia" w:ascii="仿宋_GB2312" w:eastAsia="仿宋_GB2312"/>
          <w:sz w:val="32"/>
          <w:szCs w:val="32"/>
        </w:rPr>
        <w:t>年，安化县公安局在县委、县政府和上级公安厅坚强领导下，以坚持政治建警全面从严治警为统领，以打击犯罪和队伍建设为着力点，统筹安保维稳、公安改革、基础建设等重点工作，有力维护了全</w:t>
      </w:r>
      <w:r>
        <w:rPr>
          <w:rFonts w:hint="eastAsia" w:ascii="仿宋_GB2312" w:eastAsia="仿宋_GB2312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sz w:val="32"/>
          <w:szCs w:val="32"/>
        </w:rPr>
        <w:t>政治安全、社会安定、人民安宁。同时厉行节约，严格压减一般性支出，实现了资金效益的最大化。</w:t>
      </w:r>
    </w:p>
    <w:p w14:paraId="4E12A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561FA328">
      <w:pPr>
        <w:spacing w:line="594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近年来，我局在科技强警上投入大量资金，对我局科技项目进行采购和更新，几乎所有业务部门都有相应的业务装备和系统需要采购，我局按轻重缓急的原则已采购大量重点设备，新的设备及系统建成使用后要求对民警进行相应培训，实战应用中的技能考核、后续设备的升级及维护，公安部及省公安厅要求尚需建设的其他业务系统等还需大量资金。此外，全县危房派出所仍然存在，基础建设底子薄等问题还较为突出。我局经费主要来自财政拨款，故需财政逐年加大对科技强警项目和基础建设项目的投入，实现新时期公安工作的跨越式发展。</w:t>
      </w:r>
    </w:p>
    <w:p w14:paraId="7A097F11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1290DA1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针对以上存在的问题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，今后的改进方向：一是要建立健全部门预算绩效管理的法律法规体系；二是要完善预算绩效管理体系与指标评估体系；三是要提升绩效管理从业人员的专业素质和思想水平。</w:t>
      </w:r>
    </w:p>
    <w:p w14:paraId="56AF3BA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7A65925B">
      <w:pPr>
        <w:pStyle w:val="3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398A6556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48FAAD1A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kZmVkOGU0OGJlN2IzNTZmM2IwNjJmMDhhZjA2MWMifQ=="/>
  </w:docVars>
  <w:rsids>
    <w:rsidRoot w:val="6D445020"/>
    <w:rsid w:val="0BD57161"/>
    <w:rsid w:val="0EA3386F"/>
    <w:rsid w:val="118F485F"/>
    <w:rsid w:val="2C3C41C8"/>
    <w:rsid w:val="33357B76"/>
    <w:rsid w:val="3C2D4D23"/>
    <w:rsid w:val="437B23A2"/>
    <w:rsid w:val="48537BAC"/>
    <w:rsid w:val="4F7D74A2"/>
    <w:rsid w:val="54821AE5"/>
    <w:rsid w:val="5CF74EA3"/>
    <w:rsid w:val="6D445020"/>
    <w:rsid w:val="6DEC1AE6"/>
    <w:rsid w:val="70B93591"/>
    <w:rsid w:val="718533A5"/>
    <w:rsid w:val="73351655"/>
    <w:rsid w:val="7660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4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5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4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  <w:style w:type="paragraph" w:customStyle="1" w:styleId="11">
    <w:name w:val="p0"/>
    <w:basedOn w:val="1"/>
    <w:qFormat/>
    <w:uiPriority w:val="99"/>
    <w:pPr>
      <w:widowControl/>
    </w:pPr>
    <w:rPr>
      <w:rFonts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2021</Words>
  <Characters>2198</Characters>
  <Lines>0</Lines>
  <Paragraphs>0</Paragraphs>
  <TotalTime>3</TotalTime>
  <ScaleCrop>false</ScaleCrop>
  <LinksUpToDate>false</LinksUpToDate>
  <CharactersWithSpaces>2200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笑</cp:lastModifiedBy>
  <dcterms:modified xsi:type="dcterms:W3CDTF">2026-09-24T04:18:21Z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E421D08B33FE47BE934BED78D105A76A_13</vt:lpwstr>
  </property>
  <property fmtid="{D5CDD505-2E9C-101B-9397-08002B2CF9AE}" pid="4" name="KSOTemplateDocerSaveRecord">
    <vt:lpwstr>eyJoZGlkIjoiNjdkZmVkOGU0OGJlN2IzNTZmM2IwNjJmMDhhZjA2MWMiLCJ1c2VySWQiOiI5NDExODM3MjgifQ==</vt:lpwstr>
  </property>
</Properties>
</file>