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val="en-US" w:eastAsia="zh-CN"/>
        </w:rPr>
        <w:t>2025年度安化县公安局交通警察大队</w:t>
      </w: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5"/>
      </w:pPr>
    </w:p>
    <w:p w14:paraId="311F1E4D">
      <w:pPr>
        <w:widowControl/>
        <w:ind w:firstLine="361" w:firstLineChars="100"/>
        <w:rPr>
          <w:rFonts w:hint="eastAsia" w:ascii="楷体" w:hAnsi="楷体" w:eastAsia="楷体" w:cs="楷体"/>
          <w:b/>
          <w:bCs/>
          <w:kern w:val="0"/>
          <w:sz w:val="36"/>
          <w:szCs w:val="36"/>
        </w:rPr>
      </w:pPr>
    </w:p>
    <w:p w14:paraId="70454183">
      <w:pPr>
        <w:widowControl/>
        <w:jc w:val="center"/>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安化县公安局交通警察大队</w:t>
      </w: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月 </w:t>
      </w:r>
      <w:r>
        <w:rPr>
          <w:rFonts w:hint="eastAsia" w:ascii="黑体" w:hAnsi="黑体" w:eastAsia="黑体" w:cs="黑体"/>
          <w:b w:val="0"/>
          <w:bCs w:val="0"/>
          <w:kern w:val="0"/>
          <w:sz w:val="36"/>
          <w:szCs w:val="36"/>
          <w:lang w:val="en-US" w:eastAsia="zh-CN"/>
        </w:rPr>
        <w:t>9</w:t>
      </w:r>
      <w:r>
        <w:rPr>
          <w:rFonts w:hint="eastAsia" w:ascii="黑体" w:hAnsi="黑体" w:eastAsia="黑体" w:cs="黑体"/>
          <w:b w:val="0"/>
          <w:bCs w:val="0"/>
          <w:kern w:val="0"/>
          <w:sz w:val="36"/>
          <w:szCs w:val="36"/>
        </w:rPr>
        <w:t xml:space="preserve"> 日</w:t>
      </w:r>
    </w:p>
    <w:p w14:paraId="4390FAC6">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75FAA3E9">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5C5F9338">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265F4B49">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534F701D">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0540B06A">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3043F7AC">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445DA218">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eastAsia="zh-CN"/>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安化县公安局交通警察大队</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整体支出绩效自评报告</w:t>
      </w:r>
    </w:p>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6FB38B12">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一、总体工作目标</w:t>
      </w:r>
    </w:p>
    <w:p w14:paraId="35278724">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以 “减量控大、安全有序” 为核心，压降较大及以上事故，减少一般事故，遏制重特大事故发生。</w:t>
      </w:r>
    </w:p>
    <w:p w14:paraId="161F9EA0">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深化交通顽瘴痼疾集中整治，规范通行秩序，提升道路交通安全治理能力。</w:t>
      </w:r>
    </w:p>
    <w:p w14:paraId="11F400AA">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强化科技应用与源头管理，夯实农村交管基础，提升执法规范化与服务水平。</w:t>
      </w:r>
    </w:p>
    <w:p w14:paraId="22E6112F">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二、重点工作任务</w:t>
      </w:r>
    </w:p>
    <w:p w14:paraId="66B0EA22">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（一）事故预防 “减量控大” 攻坚</w:t>
      </w:r>
    </w:p>
    <w:p w14:paraId="3B3ADEC1">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紧盯国省干道、农村公路、城区主干道，重点整治事故多发路段（如国道 536 线马路镇 — 奎溪镇段）隐患。</w:t>
      </w:r>
    </w:p>
    <w:p w14:paraId="0B29380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严查超速、超载、疲劳驾驶、无证驾驶、酒驾醉驾等严重违法行为，落实 “百日攻坚” 等专项行动。</w:t>
      </w:r>
    </w:p>
    <w:p w14:paraId="3F633806">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完善隐患排查治理闭环，重点路段隐患整治率≥95%，新增完善标志标线、防护设施。</w:t>
      </w:r>
    </w:p>
    <w:p w14:paraId="453590DF">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（二）交通顽瘴痼疾专项整治</w:t>
      </w:r>
    </w:p>
    <w:p w14:paraId="7C407031">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摩电整治：严查摩托车、电动车不戴头盔、无证无牌、闯红灯、逆行等违法行为，城乡联动、常态化管控。</w:t>
      </w:r>
    </w:p>
    <w:p w14:paraId="75ACE8CC">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客货运整治：聚焦货车超载、客货混装、非法营运，强化 “两客一危一货” 动态监管。</w:t>
      </w:r>
    </w:p>
    <w:p w14:paraId="63B0FF53">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停车秩序整治：新增县城魏家路为严管路段，规范城区违停管理，保障道路畅通。</w:t>
      </w:r>
    </w:p>
    <w:p w14:paraId="77BE2291">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4、</w:t>
      </w:r>
      <w:r>
        <w:rPr>
          <w:rFonts w:hint="eastAsia" w:ascii="仿宋" w:hAnsi="仿宋" w:eastAsia="仿宋" w:cs="仿宋"/>
          <w:b w:val="0"/>
          <w:bCs w:val="0"/>
          <w:i w:val="0"/>
          <w:iCs w:val="0"/>
          <w:caps w:val="0"/>
          <w:color w:val="3D3D3D"/>
          <w:spacing w:val="0"/>
          <w:sz w:val="32"/>
          <w:szCs w:val="32"/>
          <w:shd w:val="clear" w:color="auto" w:fill="FFFFFF"/>
        </w:rPr>
        <w:t>路口秩序整治：启用经开区、滔溪镇等电子警察抓拍设备，严查闯红灯、不按导向车道行驶、逆向行驶等违法行为。</w:t>
      </w:r>
    </w:p>
    <w:p w14:paraId="57902FBE">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（三）科技赋能与执法规范化</w:t>
      </w:r>
    </w:p>
    <w:p w14:paraId="651D9541">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推进智慧交管建设，新增电子警察、高清卡口、违停抓拍设备，提升非现场执法覆盖率。</w:t>
      </w:r>
    </w:p>
    <w:p w14:paraId="733A98F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规范执法流程，强化执法记录仪全程使用，提升案件办理质量与执法公信力。</w:t>
      </w:r>
    </w:p>
    <w:p w14:paraId="56D21657">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优化交通事故快处快赔机制，提升轻微事故处理效率，减少道路拥堵。</w:t>
      </w:r>
    </w:p>
    <w:p w14:paraId="2BCE0E28">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（四）源头安全监管</w:t>
      </w:r>
    </w:p>
    <w:p w14:paraId="0733F585">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强化“两客一危一货”企业主体责任，定期开展安全检查与警示教育，动态清零安全隐患。</w:t>
      </w:r>
    </w:p>
    <w:p w14:paraId="11A21BFC">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严格机动车检验、驾驶人考试管理，严把重点车辆及驾驶人准入关，从源头防范风险。</w:t>
      </w:r>
    </w:p>
    <w:p w14:paraId="79749DE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深化农村交通安全管理，依托 “两站两员”，加强农村面包车、三轮车、摩托车安全监管。</w:t>
      </w:r>
    </w:p>
    <w:p w14:paraId="3421E0A7">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（五）交通安全宣传教育</w:t>
      </w:r>
    </w:p>
    <w:p w14:paraId="34857E6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开展“文明交通・礼行天下”主题宣传，进企业、进学校、进社区、进农村、进家庭 “五进” 活动。</w:t>
      </w:r>
    </w:p>
    <w:p w14:paraId="0462BCA6">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曝光典型违法与事故案例，强化以案说法，提升群众交通安全意识与守法自觉性。</w:t>
      </w:r>
    </w:p>
    <w:p w14:paraId="1D34118A">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重点加强摩托车电动车驾驶人、农村群众、中小学生等群体宣传，普及安全头盔佩戴、文明出行等知识。</w:t>
      </w:r>
    </w:p>
    <w:p w14:paraId="09B8B3B9">
      <w:pPr>
        <w:keepNext w:val="0"/>
        <w:keepLines w:val="0"/>
        <w:pageBreakBefore w:val="0"/>
        <w:widowControl/>
        <w:kinsoku/>
        <w:wordWrap/>
        <w:overflowPunct/>
        <w:topLinePunct w:val="0"/>
        <w:autoSpaceDE/>
        <w:autoSpaceDN/>
        <w:bidi w:val="0"/>
        <w:adjustRightInd/>
        <w:snapToGrid/>
        <w:spacing w:line="576" w:lineRule="exact"/>
        <w:ind w:firstLine="643" w:firstLineChars="200"/>
        <w:jc w:val="left"/>
        <w:textAlignment w:val="auto"/>
        <w:rPr>
          <w:rFonts w:hint="eastAsia" w:ascii="仿宋" w:hAnsi="仿宋" w:eastAsia="仿宋" w:cs="仿宋"/>
          <w:b/>
          <w:bCs/>
          <w:i w:val="0"/>
          <w:iCs w:val="0"/>
          <w:caps w:val="0"/>
          <w:color w:val="3D3D3D"/>
          <w:spacing w:val="0"/>
          <w:sz w:val="32"/>
          <w:szCs w:val="32"/>
          <w:shd w:val="clear" w:color="auto" w:fill="FFFFFF"/>
        </w:rPr>
      </w:pPr>
      <w:r>
        <w:rPr>
          <w:rFonts w:hint="eastAsia" w:ascii="仿宋" w:hAnsi="仿宋" w:eastAsia="仿宋" w:cs="仿宋"/>
          <w:b/>
          <w:bCs/>
          <w:i w:val="0"/>
          <w:iCs w:val="0"/>
          <w:caps w:val="0"/>
          <w:color w:val="3D3D3D"/>
          <w:spacing w:val="0"/>
          <w:sz w:val="32"/>
          <w:szCs w:val="32"/>
          <w:shd w:val="clear" w:color="auto" w:fill="FFFFFF"/>
        </w:rPr>
        <w:t>（六）队伍建设与基层保障</w:t>
      </w:r>
    </w:p>
    <w:p w14:paraId="7365CF44">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1、</w:t>
      </w:r>
      <w:r>
        <w:rPr>
          <w:rFonts w:hint="eastAsia" w:ascii="仿宋" w:hAnsi="仿宋" w:eastAsia="仿宋" w:cs="仿宋"/>
          <w:b w:val="0"/>
          <w:bCs w:val="0"/>
          <w:i w:val="0"/>
          <w:iCs w:val="0"/>
          <w:caps w:val="0"/>
          <w:color w:val="3D3D3D"/>
          <w:spacing w:val="0"/>
          <w:sz w:val="32"/>
          <w:szCs w:val="32"/>
          <w:shd w:val="clear" w:color="auto" w:fill="FFFFFF"/>
        </w:rPr>
        <w:t>强化政治建警、从严治警，加强党建引领，提升民辅警政治素养与业务能力。</w:t>
      </w:r>
    </w:p>
    <w:p w14:paraId="2D9E5EF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2、</w:t>
      </w:r>
      <w:r>
        <w:rPr>
          <w:rFonts w:hint="eastAsia" w:ascii="仿宋" w:hAnsi="仿宋" w:eastAsia="仿宋" w:cs="仿宋"/>
          <w:b w:val="0"/>
          <w:bCs w:val="0"/>
          <w:i w:val="0"/>
          <w:iCs w:val="0"/>
          <w:caps w:val="0"/>
          <w:color w:val="3D3D3D"/>
          <w:spacing w:val="0"/>
          <w:sz w:val="32"/>
          <w:szCs w:val="32"/>
          <w:shd w:val="clear" w:color="auto" w:fill="FFFFFF"/>
        </w:rPr>
        <w:t>规范内务管理，加强执勤执法安全防护，落实暖警惠警措施，激发队伍活力。</w:t>
      </w:r>
    </w:p>
    <w:p w14:paraId="57192316">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rPr>
      </w:pPr>
      <w:r>
        <w:rPr>
          <w:rFonts w:hint="eastAsia" w:ascii="仿宋" w:hAnsi="仿宋" w:eastAsia="仿宋" w:cs="仿宋"/>
          <w:b w:val="0"/>
          <w:bCs w:val="0"/>
          <w:i w:val="0"/>
          <w:iCs w:val="0"/>
          <w:caps w:val="0"/>
          <w:color w:val="3D3D3D"/>
          <w:spacing w:val="0"/>
          <w:sz w:val="32"/>
          <w:szCs w:val="32"/>
          <w:shd w:val="clear" w:color="auto" w:fill="FFFFFF"/>
          <w:lang w:val="en-US" w:eastAsia="zh-CN"/>
        </w:rPr>
        <w:t>3、</w:t>
      </w:r>
      <w:r>
        <w:rPr>
          <w:rFonts w:hint="eastAsia" w:ascii="仿宋" w:hAnsi="仿宋" w:eastAsia="仿宋" w:cs="仿宋"/>
          <w:b w:val="0"/>
          <w:bCs w:val="0"/>
          <w:i w:val="0"/>
          <w:iCs w:val="0"/>
          <w:caps w:val="0"/>
          <w:color w:val="3D3D3D"/>
          <w:spacing w:val="0"/>
          <w:sz w:val="32"/>
          <w:szCs w:val="32"/>
          <w:shd w:val="clear" w:color="auto" w:fill="FFFFFF"/>
        </w:rPr>
        <w:t>保障执法执勤用车、装备经费，推进基层中队标准化建设，提升基层交管战斗力</w:t>
      </w:r>
    </w:p>
    <w:p w14:paraId="31A23B2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default" w:ascii="楷体_GB2312" w:hAnsi="楷体_GB2312" w:eastAsia="楷体_GB2312" w:cs="楷体_GB2312"/>
          <w:color w:val="000000"/>
          <w:kern w:val="0"/>
          <w:sz w:val="32"/>
          <w:szCs w:val="32"/>
          <w:lang w:val="en-US" w:eastAsia="zh-CN"/>
        </w:rPr>
      </w:pPr>
      <w:r>
        <w:rPr>
          <w:rFonts w:hint="eastAsia" w:ascii="楷体_GB2312" w:hAnsi="楷体_GB2312" w:eastAsia="楷体_GB2312" w:cs="楷体_GB2312"/>
          <w:color w:val="000000"/>
          <w:kern w:val="0"/>
          <w:sz w:val="32"/>
          <w:szCs w:val="32"/>
        </w:rPr>
        <w:t>(</w:t>
      </w:r>
      <w:r>
        <w:rPr>
          <w:rFonts w:hint="eastAsia" w:ascii="楷体_GB2312" w:hAnsi="楷体_GB2312" w:eastAsia="楷体_GB2312" w:cs="楷体_GB2312"/>
          <w:color w:val="000000"/>
          <w:kern w:val="0"/>
          <w:sz w:val="32"/>
          <w:szCs w:val="32"/>
          <w:lang w:val="en-US" w:eastAsia="zh-CN"/>
        </w:rPr>
        <w:t>二</w:t>
      </w:r>
      <w:r>
        <w:rPr>
          <w:rFonts w:hint="eastAsia" w:ascii="楷体_GB2312" w:hAnsi="楷体_GB2312" w:eastAsia="楷体_GB2312" w:cs="楷体_GB2312"/>
          <w:color w:val="000000"/>
          <w:kern w:val="0"/>
          <w:sz w:val="32"/>
          <w:szCs w:val="32"/>
        </w:rPr>
        <w:t>)</w:t>
      </w:r>
      <w:r>
        <w:rPr>
          <w:rFonts w:hint="eastAsia" w:ascii="楷体_GB2312" w:hAnsi="楷体_GB2312" w:eastAsia="楷体_GB2312" w:cs="楷体_GB2312"/>
          <w:color w:val="000000"/>
          <w:kern w:val="0"/>
          <w:sz w:val="32"/>
          <w:szCs w:val="32"/>
          <w:lang w:val="en-US" w:eastAsia="zh-CN"/>
        </w:rPr>
        <w:t>人员情况及机构设置</w:t>
      </w:r>
    </w:p>
    <w:p w14:paraId="3C2B7D7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仿宋" w:hAnsi="仿宋" w:eastAsia="仿宋" w:cs="仿宋"/>
          <w:b w:val="0"/>
          <w:bCs w:val="0"/>
          <w:i w:val="0"/>
          <w:iCs w:val="0"/>
          <w:caps w:val="0"/>
          <w:color w:val="3D3D3D"/>
          <w:spacing w:val="0"/>
          <w:sz w:val="32"/>
          <w:szCs w:val="32"/>
          <w:shd w:val="clear" w:color="auto" w:fill="FFFFFF"/>
        </w:rPr>
        <w:t>2025 年，安化县公安局交警大队为县公安局正科级直属机构，内设 12 个部门；核定政法编制 58 名，实有民警 52 人、辅警 86 人、退休 12 人；设大队长、教导员各 1 名、副大队长 3 名，人员以中青年为主，本科及以上学历占比 75%。</w:t>
      </w:r>
    </w:p>
    <w:p w14:paraId="0AB67CC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184C3F6A">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eastAsia="zh-CN"/>
        </w:rPr>
      </w:pPr>
      <w:r>
        <w:rPr>
          <w:rFonts w:hint="eastAsia" w:ascii="仿宋" w:hAnsi="仿宋" w:eastAsia="仿宋" w:cs="仿宋"/>
          <w:b w:val="0"/>
          <w:bCs w:val="0"/>
          <w:i w:val="0"/>
          <w:iCs w:val="0"/>
          <w:caps w:val="0"/>
          <w:color w:val="3D3D3D"/>
          <w:spacing w:val="0"/>
          <w:sz w:val="32"/>
          <w:szCs w:val="32"/>
          <w:shd w:val="clear" w:color="auto" w:fill="FFFFFF"/>
          <w:lang w:eastAsia="zh-CN"/>
        </w:rPr>
        <w:t>2025</w:t>
      </w:r>
      <w:r>
        <w:rPr>
          <w:rFonts w:hint="eastAsia" w:ascii="仿宋" w:hAnsi="仿宋" w:eastAsia="仿宋" w:cs="仿宋"/>
          <w:b w:val="0"/>
          <w:bCs w:val="0"/>
          <w:i w:val="0"/>
          <w:iCs w:val="0"/>
          <w:caps w:val="0"/>
          <w:color w:val="3D3D3D"/>
          <w:spacing w:val="0"/>
          <w:sz w:val="32"/>
          <w:szCs w:val="32"/>
          <w:shd w:val="clear" w:color="auto" w:fill="FFFFFF"/>
        </w:rPr>
        <w:t>年部门整体支出规模</w:t>
      </w:r>
      <w:r>
        <w:rPr>
          <w:rFonts w:hint="eastAsia" w:ascii="仿宋" w:hAnsi="仿宋" w:eastAsia="仿宋" w:cs="仿宋"/>
          <w:b w:val="0"/>
          <w:bCs w:val="0"/>
          <w:i w:val="0"/>
          <w:iCs w:val="0"/>
          <w:caps w:val="0"/>
          <w:color w:val="3D3D3D"/>
          <w:spacing w:val="0"/>
          <w:sz w:val="32"/>
          <w:szCs w:val="32"/>
          <w:shd w:val="clear" w:color="auto" w:fill="FFFFFF"/>
          <w:lang w:val="en-US" w:eastAsia="zh-CN"/>
        </w:rPr>
        <w:t>3562.56</w:t>
      </w:r>
      <w:r>
        <w:rPr>
          <w:rFonts w:hint="eastAsia" w:ascii="仿宋" w:hAnsi="仿宋" w:eastAsia="仿宋" w:cs="仿宋"/>
          <w:b w:val="0"/>
          <w:bCs w:val="0"/>
          <w:i w:val="0"/>
          <w:iCs w:val="0"/>
          <w:caps w:val="0"/>
          <w:color w:val="3D3D3D"/>
          <w:spacing w:val="0"/>
          <w:sz w:val="32"/>
          <w:szCs w:val="32"/>
          <w:shd w:val="clear" w:color="auto" w:fill="FFFFFF"/>
        </w:rPr>
        <w:t>万元，</w:t>
      </w:r>
      <w:r>
        <w:rPr>
          <w:rFonts w:hint="eastAsia" w:ascii="仿宋" w:hAnsi="仿宋" w:eastAsia="仿宋" w:cs="仿宋"/>
          <w:b w:val="0"/>
          <w:bCs w:val="0"/>
          <w:i w:val="0"/>
          <w:iCs w:val="0"/>
          <w:caps w:val="0"/>
          <w:color w:val="3D3D3D"/>
          <w:spacing w:val="0"/>
          <w:sz w:val="32"/>
          <w:szCs w:val="32"/>
          <w:shd w:val="clear" w:color="auto" w:fill="FFFFFF"/>
          <w:lang w:val="en-US" w:eastAsia="zh-CN"/>
        </w:rPr>
        <w:t>占总收入的100%，</w:t>
      </w:r>
      <w:r>
        <w:rPr>
          <w:rFonts w:hint="eastAsia" w:ascii="仿宋" w:hAnsi="仿宋" w:eastAsia="仿宋" w:cs="仿宋"/>
          <w:b w:val="0"/>
          <w:bCs w:val="0"/>
          <w:i w:val="0"/>
          <w:iCs w:val="0"/>
          <w:caps w:val="0"/>
          <w:color w:val="3D3D3D"/>
          <w:spacing w:val="0"/>
          <w:sz w:val="32"/>
          <w:szCs w:val="32"/>
          <w:shd w:val="clear" w:color="auto" w:fill="FFFFFF"/>
        </w:rPr>
        <w:t>主要使用方向是公安</w:t>
      </w:r>
      <w:r>
        <w:rPr>
          <w:rFonts w:hint="eastAsia" w:ascii="仿宋" w:hAnsi="仿宋" w:eastAsia="仿宋" w:cs="仿宋"/>
          <w:b w:val="0"/>
          <w:bCs w:val="0"/>
          <w:i w:val="0"/>
          <w:iCs w:val="0"/>
          <w:caps w:val="0"/>
          <w:color w:val="3D3D3D"/>
          <w:spacing w:val="0"/>
          <w:sz w:val="32"/>
          <w:szCs w:val="32"/>
          <w:shd w:val="clear" w:color="auto" w:fill="FFFFFF"/>
          <w:lang w:eastAsia="zh-CN"/>
        </w:rPr>
        <w:t>交管</w:t>
      </w:r>
      <w:r>
        <w:rPr>
          <w:rFonts w:hint="eastAsia" w:ascii="仿宋" w:hAnsi="仿宋" w:eastAsia="仿宋" w:cs="仿宋"/>
          <w:b w:val="0"/>
          <w:bCs w:val="0"/>
          <w:i w:val="0"/>
          <w:iCs w:val="0"/>
          <w:caps w:val="0"/>
          <w:color w:val="3D3D3D"/>
          <w:spacing w:val="0"/>
          <w:sz w:val="32"/>
          <w:szCs w:val="32"/>
          <w:shd w:val="clear" w:color="auto" w:fill="FFFFFF"/>
        </w:rPr>
        <w:t>业务工作的正常开展，主要内容与涉及范围是公安机关依法履行职能所发生的各项费用，包括基本支出和项目支出，基本支出为保障公安机构运转和完成日常工作任务发生的支出，包括人员支出和公用经费支出，项目支出为包括列入项目支出的办案（业务）经费、业务装备经费、基础设施建设经费等。</w:t>
      </w:r>
      <w:r>
        <w:rPr>
          <w:rFonts w:hint="eastAsia" w:ascii="仿宋" w:hAnsi="仿宋" w:eastAsia="仿宋" w:cs="仿宋"/>
          <w:b w:val="0"/>
          <w:bCs w:val="0"/>
          <w:i w:val="0"/>
          <w:iCs w:val="0"/>
          <w:caps w:val="0"/>
          <w:color w:val="3D3D3D"/>
          <w:spacing w:val="0"/>
          <w:sz w:val="32"/>
          <w:szCs w:val="32"/>
          <w:shd w:val="clear" w:color="auto" w:fill="FFFFFF"/>
          <w:lang w:eastAsia="zh-CN"/>
        </w:rPr>
        <w:t>其中人员支出主要用于发放大队民警、辅警及退休人员的工资福利、社会保障缴费以及对个人和家庭的补助等，保障队伍人员的基本待遇；公用经费支出主要用于保障大队日常办公、水电物业、车辆运维、会议培训等常规运转开支；项目支出主要用于事故预防整治、交管科技设施建设维护、交通安全宣传、基层执勤装备配备、道路安全隐患治理等专项交管工作，全部围绕县域道路交通安全管理的核心职能开展，资金使用符合部门职能定位和年度工作规划要求。</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33DBFE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1506.66万元，是为保障各部门正常运转、完成日常工作任务而发生的各项支出，主要包括工资福利支出1366.86万元，商品和服务支出120.61万元，对个人和家庭支出19.19万元，具体用于发放民辅警、在职及退休人员的工资、奖金、津贴补贴，缴纳各类社会保险费用、住房公积金，发放对个人和家庭的补助；同时保障单位日常办公耗材采购、办公场地水电物业、公务车辆运维、日常会议培训、执法执勤差旅费等基本运转开支，各项支出严格按照预算标准执行，足额保障了单位人员待遇和日常工作的正常开展。</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“三公”经费支出情况：2025年，“三公”经费完成65.28万元，比上年减少7.61元，主要原因是：厉行节约严控公用经费</w:t>
      </w:r>
      <w:r>
        <w:rPr>
          <w:rFonts w:hint="eastAsia" w:ascii="仿宋" w:hAnsi="仿宋" w:eastAsia="仿宋"/>
          <w:sz w:val="32"/>
          <w:szCs w:val="24"/>
        </w:rPr>
        <w:t>，</w:t>
      </w:r>
      <w:r>
        <w:rPr>
          <w:rFonts w:hint="eastAsia" w:ascii="仿宋" w:hAnsi="仿宋" w:eastAsia="仿宋"/>
          <w:sz w:val="32"/>
          <w:szCs w:val="24"/>
          <w:lang w:val="en-US" w:eastAsia="zh-CN"/>
        </w:rPr>
        <w:t>严格执行</w:t>
      </w:r>
      <w:r>
        <w:rPr>
          <w:rFonts w:hint="eastAsia" w:ascii="仿宋" w:hAnsi="仿宋" w:eastAsia="仿宋"/>
          <w:sz w:val="32"/>
          <w:szCs w:val="24"/>
        </w:rPr>
        <w:t>公务</w:t>
      </w:r>
      <w:r>
        <w:rPr>
          <w:rFonts w:hint="eastAsia" w:ascii="仿宋" w:hAnsi="仿宋" w:eastAsia="仿宋"/>
          <w:sz w:val="32"/>
          <w:szCs w:val="24"/>
          <w:lang w:eastAsia="zh-CN"/>
        </w:rPr>
        <w:t>“</w:t>
      </w:r>
      <w:r>
        <w:rPr>
          <w:rFonts w:hint="eastAsia" w:ascii="仿宋" w:hAnsi="仿宋" w:eastAsia="仿宋"/>
          <w:sz w:val="32"/>
          <w:szCs w:val="24"/>
          <w:lang w:val="en-US" w:eastAsia="zh-CN"/>
        </w:rPr>
        <w:t>零</w:t>
      </w:r>
      <w:r>
        <w:rPr>
          <w:rFonts w:hint="eastAsia" w:ascii="仿宋" w:hAnsi="仿宋" w:eastAsia="仿宋"/>
          <w:sz w:val="32"/>
          <w:szCs w:val="24"/>
          <w:lang w:eastAsia="zh-CN"/>
        </w:rPr>
        <w:t>”</w:t>
      </w:r>
      <w:r>
        <w:rPr>
          <w:rFonts w:hint="eastAsia" w:ascii="仿宋" w:hAnsi="仿宋" w:eastAsia="仿宋"/>
          <w:sz w:val="32"/>
          <w:szCs w:val="24"/>
        </w:rPr>
        <w:t>接待，</w:t>
      </w:r>
      <w:r>
        <w:rPr>
          <w:rFonts w:hint="eastAsia" w:ascii="仿宋" w:hAnsi="仿宋" w:eastAsia="仿宋"/>
          <w:sz w:val="32"/>
          <w:szCs w:val="24"/>
          <w:lang w:eastAsia="zh-CN"/>
        </w:rPr>
        <w:t>无公车购置费，</w:t>
      </w:r>
      <w:r>
        <w:rPr>
          <w:rFonts w:hint="eastAsia" w:ascii="仿宋" w:hAnsi="仿宋" w:eastAsia="仿宋"/>
          <w:sz w:val="32"/>
          <w:szCs w:val="24"/>
        </w:rPr>
        <w:t>按照预算指标数列支公务用车运行维护费</w:t>
      </w:r>
      <w:r>
        <w:rPr>
          <w:rFonts w:hint="eastAsia" w:ascii="仿宋" w:hAnsi="仿宋" w:eastAsia="仿宋" w:cs="Times New Roman"/>
          <w:kern w:val="2"/>
          <w:sz w:val="32"/>
          <w:szCs w:val="24"/>
          <w:u w:val="none"/>
          <w:shd w:val="clear" w:color="auto" w:fill="auto"/>
          <w:lang w:val="zh-CN" w:eastAsia="zh-CN" w:bidi="ar-SA"/>
        </w:rPr>
        <w:t>。其中，公务接待费</w:t>
      </w:r>
      <w:r>
        <w:rPr>
          <w:rFonts w:hint="eastAsia" w:ascii="仿宋" w:hAnsi="仿宋" w:eastAsia="仿宋" w:cs="Times New Roman"/>
          <w:kern w:val="2"/>
          <w:sz w:val="32"/>
          <w:szCs w:val="24"/>
          <w:u w:val="none"/>
          <w:shd w:val="clear" w:color="auto" w:fill="auto"/>
          <w:lang w:val="en-US" w:eastAsia="zh-CN" w:bidi="ar-SA"/>
        </w:rPr>
        <w:t>完成0万元，比上年减少7.55万元；</w:t>
      </w:r>
      <w:r>
        <w:rPr>
          <w:rFonts w:hint="eastAsia" w:ascii="仿宋" w:hAnsi="仿宋" w:eastAsia="仿宋" w:cs="Times New Roman"/>
          <w:kern w:val="2"/>
          <w:sz w:val="32"/>
          <w:szCs w:val="24"/>
          <w:u w:val="none"/>
          <w:shd w:val="clear" w:color="auto" w:fill="auto"/>
          <w:lang w:val="zh-CN" w:eastAsia="zh-CN" w:bidi="ar-SA"/>
        </w:rPr>
        <w:t>公务用车购置及运行维护费</w:t>
      </w:r>
      <w:r>
        <w:rPr>
          <w:rFonts w:hint="eastAsia" w:ascii="仿宋" w:hAnsi="仿宋" w:eastAsia="仿宋" w:cs="Times New Roman"/>
          <w:kern w:val="2"/>
          <w:sz w:val="32"/>
          <w:szCs w:val="24"/>
          <w:u w:val="none"/>
          <w:shd w:val="clear" w:color="auto" w:fill="auto"/>
          <w:lang w:val="en-US" w:eastAsia="zh-CN" w:bidi="ar-SA"/>
        </w:rPr>
        <w:t>完成65.28万元，比上年减少0.05万元，主要原因是进一步强化公务用车油耗管控，推行定点维修、集中保养制度，压缩了车辆运维的不必要开支，本年度无公务用车购置；因公出国（境）费支出为0万元，与上年持平，未发生相关支出。整体“三公”经费严格控制在预算批复范围内，贯彻落实了过紧日子和厉行节约的要求。</w:t>
      </w:r>
      <w:r>
        <w:rPr>
          <w:rFonts w:hint="eastAsia" w:ascii="仿宋" w:hAnsi="仿宋" w:eastAsia="仿宋" w:cs="Times New Roman"/>
          <w:kern w:val="2"/>
          <w:sz w:val="32"/>
          <w:szCs w:val="24"/>
          <w:u w:val="none"/>
          <w:shd w:val="clear" w:color="auto" w:fill="auto"/>
          <w:lang w:val="zh-CN" w:eastAsia="zh-CN" w:bidi="ar-SA"/>
        </w:rPr>
        <w:t>。</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914587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项目支出2055.9万元，包含：</w:t>
      </w:r>
      <w:r>
        <w:rPr>
          <w:rFonts w:hint="eastAsia" w:ascii="仿宋_GB2312" w:eastAsia="仿宋_GB2312"/>
          <w:sz w:val="32"/>
          <w:szCs w:val="32"/>
        </w:rPr>
        <w:t>上级补助</w:t>
      </w:r>
      <w:r>
        <w:rPr>
          <w:rFonts w:hint="eastAsia" w:ascii="仿宋_GB2312" w:eastAsia="仿宋_GB2312"/>
          <w:sz w:val="32"/>
          <w:szCs w:val="32"/>
          <w:lang w:eastAsia="zh-CN"/>
        </w:rPr>
        <w:t>工作</w:t>
      </w:r>
      <w:r>
        <w:rPr>
          <w:rFonts w:hint="eastAsia" w:ascii="仿宋_GB2312" w:eastAsia="仿宋_GB2312"/>
          <w:sz w:val="32"/>
          <w:szCs w:val="32"/>
        </w:rPr>
        <w:t>经费和上级补助装备经费</w:t>
      </w:r>
      <w:r>
        <w:rPr>
          <w:rFonts w:hint="eastAsia" w:ascii="仿宋_GB2312" w:eastAsia="仿宋_GB2312"/>
          <w:sz w:val="32"/>
          <w:szCs w:val="32"/>
          <w:lang w:eastAsia="zh-CN"/>
        </w:rPr>
        <w:t>等，主要用于事故预防“减量控大”攻坚行动、交通顽瘴痼疾专项整治、智慧交管科技设施建设维护、道路安全隐患整治、交通安全宣传教育、基层中队基础建设及执法执勤装备配备等年度重点专项工作。其中，事故预防与顽瘴痼疾整治类支出</w:t>
      </w:r>
      <w:r>
        <w:rPr>
          <w:rFonts w:hint="eastAsia" w:ascii="仿宋_GB2312" w:eastAsia="仿宋_GB2312"/>
          <w:sz w:val="32"/>
          <w:szCs w:val="32"/>
          <w:lang w:val="en-US" w:eastAsia="zh-CN"/>
        </w:rPr>
        <w:t>55.2</w:t>
      </w:r>
      <w:r>
        <w:rPr>
          <w:rFonts w:hint="eastAsia" w:ascii="仿宋_GB2312" w:eastAsia="仿宋_GB2312"/>
          <w:sz w:val="32"/>
          <w:szCs w:val="32"/>
          <w:lang w:eastAsia="zh-CN"/>
        </w:rPr>
        <w:t>万元，主要用于专项行动执勤补贴、隐患路段整治工程、违法查处工作保障；科技设施建设维护类支出</w:t>
      </w:r>
      <w:r>
        <w:rPr>
          <w:rFonts w:hint="eastAsia" w:ascii="仿宋_GB2312" w:eastAsia="仿宋_GB2312"/>
          <w:sz w:val="32"/>
          <w:szCs w:val="32"/>
          <w:lang w:val="en-US" w:eastAsia="zh-CN"/>
        </w:rPr>
        <w:t>5</w:t>
      </w:r>
      <w:r>
        <w:rPr>
          <w:rFonts w:hint="eastAsia" w:ascii="仿宋_GB2312" w:eastAsia="仿宋_GB2312"/>
          <w:sz w:val="32"/>
          <w:szCs w:val="32"/>
          <w:lang w:eastAsia="zh-CN"/>
        </w:rPr>
        <w:t>万元，用于新增电子警察、高清卡口等设备采购安装，以及现有监控抓拍设备的日常运维。所有项目支出均严格按照预算批复的用途使用，执行相关财务管理制度，做到专款专用，未出现截留、挤占、挪用项目资金的情况，保障了各项专项交管工作的顺利推进。。</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eastAsia"/>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0</w:t>
      </w:r>
      <w:bookmarkStart w:id="0" w:name="_GoBack"/>
      <w:bookmarkEnd w:id="0"/>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本部门无政府性基金安排的支出。</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51A9B94C">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根据《部门整体支出绩效评价指标》评分，得分100分，根据预算绩效管理要求，我队紧紧围绕“压事故、保安全、保畅通”工作主线，以整治交通秩序“保畅通”，抓好车辆、驾驶人管理“保安全”，加强宣传教育“压事故”为工作重点，圆满完成了2025年各重点时期的交通安保工作，为全县经济社会发展创造了良好的道路交通环境。</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41D405FE">
      <w:pPr>
        <w:ind w:firstLine="640" w:firstLineChars="200"/>
        <w:rPr>
          <w:rFonts w:hint="default"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经过绩效自评，各项目完成情况良好，但是2025年部门支付进度率较低，主要是因为道路交通社会救助资金撤销了专户管理后，此项专项资金暂放入行政账户进行管理，因该专项资金尚有结余，导致部门支付率未达到百分之百。</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0E7900D5">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1、加强自身业务的技能的提高。我队将加强该方面业务学习，请专业机构上门进行培训，对绩效目标的数量、质量、成本和时效等方面的设置进行讲解，在绩效目标设置中将严格遵循“绩效目标应从数量、质量、成本、和时效等方面进行细化，须用定量表述为主。不能以量化形式表述的，应当采用分级分档的形式定性表述，并具有可测量性”的规定来制定。促进项目绩效申报的科学规范合理化。</w:t>
      </w:r>
    </w:p>
    <w:p w14:paraId="400BD276">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2、加强预算绩效管理。进一步加强本单位的预算资金管理，减少预算资金使用的随意性，对预算的事前、事中、事后进行全过程控制，加大对预算编制与执行的监督管理力度，提高预算资金使用效率。同时提高专项资金责任人员对预算资金使用效益的认识，把预算资金是否发挥使用效益与各岗位是否履职尽责相结合，将预算资金使用的效率和效益作为对各岗位人员工作考核评价。</w:t>
      </w:r>
    </w:p>
    <w:p w14:paraId="0EDD0EC1">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3、加强项目实施监控。本单位财务部门和各项目资金责任人要及时掌握项目实施过程中的的进度情况和异常情况，及时做好每个项目资料收集工作，加强项目实施监控和绩效考评，提高项目实施效率效果以按期实现项目绩效目标。因工作需要需调整的及时报批或备案，对达成政府采购标准的项目支出，严格执行政府采购流程优选供应商。</w:t>
      </w:r>
    </w:p>
    <w:p w14:paraId="24880351">
      <w:pPr>
        <w:ind w:firstLine="640" w:firstLineChars="200"/>
        <w:rPr>
          <w:rFonts w:hint="eastAsia" w:ascii="仿宋_GB2312" w:eastAsia="仿宋_GB2312" w:cs="仿宋_GB2312"/>
          <w:color w:val="232323"/>
          <w:sz w:val="32"/>
          <w:szCs w:val="32"/>
          <w:shd w:val="clear" w:color="auto" w:fill="FFFFFF"/>
          <w:lang w:val="en-US" w:eastAsia="zh-CN"/>
        </w:rPr>
      </w:pPr>
      <w:r>
        <w:rPr>
          <w:rFonts w:hint="eastAsia" w:ascii="仿宋_GB2312" w:eastAsia="仿宋_GB2312" w:cs="仿宋_GB2312"/>
          <w:color w:val="232323"/>
          <w:sz w:val="32"/>
          <w:szCs w:val="32"/>
          <w:shd w:val="clear" w:color="auto" w:fill="FFFFFF"/>
          <w:lang w:val="en-US" w:eastAsia="zh-CN"/>
        </w:rPr>
        <w:t>4、加强财务管理，严格财务审核。加强本单位财务管理，健全单位财务管理制度体系，规范单位财务行为，根据内控制度，在费用报账支付时，按照预算规定的费用项目和用途进行资金使用审核、列报支付、财务核算，杜绝超支现象的发生，对预算外经费严格落实“收支两条线”要求，精细测算支出额度，把需求核准核实，充分发挥财政资金的效益。</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2"/>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E701311"/>
    <w:rsid w:val="257D691C"/>
    <w:rsid w:val="33357B76"/>
    <w:rsid w:val="374C339D"/>
    <w:rsid w:val="45BD2A31"/>
    <w:rsid w:val="4E031C2D"/>
    <w:rsid w:val="655C4CA6"/>
    <w:rsid w:val="6D445020"/>
    <w:rsid w:val="720A5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rFonts w:ascii="Times New Roman" w:hAnsi="Times New Roman"/>
    </w:rPr>
  </w:style>
  <w:style w:type="paragraph" w:styleId="3">
    <w:name w:val="Body Text Indent"/>
    <w:basedOn w:val="1"/>
    <w:qFormat/>
    <w:uiPriority w:val="99"/>
    <w:pPr>
      <w:ind w:firstLine="640" w:firstLineChars="200"/>
    </w:pPr>
    <w:rPr>
      <w:sz w:val="32"/>
      <w:szCs w:val="32"/>
    </w:rPr>
  </w:style>
  <w:style w:type="paragraph" w:styleId="4">
    <w:name w:val="toc 5"/>
    <w:basedOn w:val="1"/>
    <w:next w:val="1"/>
    <w:unhideWhenUsed/>
    <w:qFormat/>
    <w:uiPriority w:val="39"/>
    <w:pPr>
      <w:ind w:left="1680" w:leftChars="800"/>
    </w:pPr>
    <w:rPr>
      <w:rFonts w:ascii="等线" w:hAnsi="等线" w:eastAsia="等线" w:cs="Times New Roman"/>
      <w:szCs w:val="22"/>
    </w:rPr>
  </w:style>
  <w:style w:type="paragraph" w:styleId="5">
    <w:name w:val="toc 1"/>
    <w:basedOn w:val="1"/>
    <w:next w:val="1"/>
    <w:unhideWhenUsed/>
    <w:qFormat/>
    <w:uiPriority w:val="99"/>
    <w:pPr>
      <w:spacing w:beforeLines="0" w:afterLines="0"/>
    </w:pPr>
    <w:rPr>
      <w:rFonts w:hint="default"/>
      <w:sz w:val="21"/>
      <w:szCs w:val="24"/>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3"/>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2712</Words>
  <Characters>2788</Characters>
  <Lines>0</Lines>
  <Paragraphs>0</Paragraphs>
  <TotalTime>14</TotalTime>
  <ScaleCrop>false</ScaleCrop>
  <LinksUpToDate>false</LinksUpToDate>
  <CharactersWithSpaces>2822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啦啦啦啦</cp:lastModifiedBy>
  <dcterms:modified xsi:type="dcterms:W3CDTF">2026-05-09T07:46:12Z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031F3161658F4030B9C1F193D7C11309_13</vt:lpwstr>
  </property>
  <property fmtid="{D5CDD505-2E9C-101B-9397-08002B2CF9AE}" pid="4" name="KSOTemplateDocerSaveRecord">
    <vt:lpwstr>eyJoZGlkIjoiNThkMzM1Njg0YzczYTQ3Y2UxYjU0YzQ4MDYyNGI2MWIiLCJ1c2VySWQiOiIyMDUwMzE0MDYifQ==</vt:lpwstr>
  </property>
</Properties>
</file>