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368472">
      <w:pPr>
        <w:rPr>
          <w:rFonts w:hint="eastAsia" w:ascii="黑体" w:hAnsi="黑体" w:eastAsia="黑体" w:cs="仿宋"/>
          <w:sz w:val="32"/>
          <w:szCs w:val="32"/>
          <w:lang w:val="en-US" w:eastAsia="zh-CN"/>
        </w:rPr>
      </w:pPr>
      <w:r>
        <w:rPr>
          <w:rFonts w:hint="eastAsia" w:ascii="黑体" w:hAnsi="黑体" w:eastAsia="黑体" w:cs="仿宋"/>
          <w:sz w:val="32"/>
          <w:szCs w:val="32"/>
          <w:lang w:eastAsia="zh-CN"/>
        </w:rPr>
        <w:t>附件</w:t>
      </w:r>
      <w:r>
        <w:rPr>
          <w:rFonts w:hint="eastAsia" w:ascii="黑体" w:hAnsi="黑体" w:eastAsia="黑体" w:cs="仿宋"/>
          <w:sz w:val="32"/>
          <w:szCs w:val="32"/>
          <w:lang w:val="en-US" w:eastAsia="zh-CN"/>
        </w:rPr>
        <w:t>4</w:t>
      </w:r>
    </w:p>
    <w:p w14:paraId="1D066B8B">
      <w:pPr>
        <w:rPr>
          <w:rFonts w:hint="eastAsia" w:ascii="黑体" w:hAnsi="黑体" w:eastAsia="黑体" w:cs="仿宋"/>
          <w:sz w:val="32"/>
          <w:szCs w:val="32"/>
          <w:lang w:val="en-US" w:eastAsia="zh-CN"/>
        </w:rPr>
      </w:pPr>
    </w:p>
    <w:p w14:paraId="57BB3764">
      <w:pPr>
        <w:rPr>
          <w:rFonts w:hint="eastAsia" w:ascii="黑体" w:hAnsi="黑体" w:eastAsia="黑体" w:cs="仿宋"/>
          <w:sz w:val="32"/>
          <w:szCs w:val="32"/>
          <w:lang w:val="en-US" w:eastAsia="zh-CN"/>
        </w:rPr>
      </w:pPr>
    </w:p>
    <w:p w14:paraId="1F62AAFF">
      <w:pPr>
        <w:rPr>
          <w:rFonts w:hint="eastAsia" w:ascii="黑体" w:hAnsi="黑体" w:eastAsia="黑体" w:cs="仿宋"/>
          <w:sz w:val="32"/>
          <w:szCs w:val="32"/>
          <w:lang w:val="en-US" w:eastAsia="zh-CN"/>
        </w:rPr>
      </w:pPr>
    </w:p>
    <w:p w14:paraId="0AF1305F">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52"/>
          <w:szCs w:val="52"/>
          <w:lang w:val="en-US" w:eastAsia="zh-CN"/>
        </w:rPr>
      </w:pPr>
      <w:r>
        <w:rPr>
          <w:rFonts w:hint="eastAsia" w:ascii="微软雅黑" w:hAnsi="微软雅黑" w:eastAsia="微软雅黑" w:cs="微软雅黑"/>
          <w:sz w:val="52"/>
          <w:szCs w:val="52"/>
          <w:lang w:val="en-US" w:eastAsia="zh-CN"/>
        </w:rPr>
        <w:t>2025年度安化县科学技术协会</w:t>
      </w:r>
    </w:p>
    <w:p w14:paraId="1BB9B55C">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52"/>
          <w:szCs w:val="52"/>
          <w:lang w:eastAsia="zh-CN"/>
        </w:rPr>
      </w:pPr>
      <w:r>
        <w:rPr>
          <w:rFonts w:hint="eastAsia" w:ascii="微软雅黑" w:hAnsi="微软雅黑" w:eastAsia="微软雅黑" w:cs="微软雅黑"/>
          <w:sz w:val="52"/>
          <w:szCs w:val="52"/>
        </w:rPr>
        <w:t>整体支出</w:t>
      </w:r>
      <w:r>
        <w:rPr>
          <w:rFonts w:hint="eastAsia" w:ascii="微软雅黑" w:hAnsi="微软雅黑" w:eastAsia="微软雅黑" w:cs="微软雅黑"/>
          <w:sz w:val="52"/>
          <w:szCs w:val="52"/>
          <w:lang w:eastAsia="zh-CN"/>
        </w:rPr>
        <w:t>绩效自评报告</w:t>
      </w:r>
    </w:p>
    <w:p w14:paraId="259CC34B">
      <w:pPr>
        <w:widowControl/>
        <w:ind w:firstLine="361" w:firstLineChars="100"/>
        <w:rPr>
          <w:rFonts w:ascii="楷体" w:hAnsi="楷体" w:eastAsia="楷体" w:cs="楷体"/>
          <w:b/>
          <w:bCs/>
          <w:kern w:val="0"/>
          <w:sz w:val="36"/>
          <w:szCs w:val="36"/>
        </w:rPr>
      </w:pPr>
    </w:p>
    <w:p w14:paraId="40A63115"/>
    <w:p w14:paraId="23DC1C5C">
      <w:pPr>
        <w:rPr>
          <w:rFonts w:ascii="楷体" w:hAnsi="楷体" w:eastAsia="楷体" w:cs="楷体"/>
          <w:b/>
          <w:bCs/>
          <w:kern w:val="0"/>
          <w:sz w:val="36"/>
          <w:szCs w:val="36"/>
        </w:rPr>
      </w:pPr>
    </w:p>
    <w:p w14:paraId="1FCF5A19">
      <w:pPr>
        <w:rPr>
          <w:rFonts w:ascii="楷体" w:hAnsi="楷体" w:eastAsia="楷体" w:cs="楷体"/>
          <w:b/>
          <w:bCs/>
          <w:kern w:val="0"/>
          <w:sz w:val="36"/>
          <w:szCs w:val="36"/>
        </w:rPr>
      </w:pPr>
    </w:p>
    <w:p w14:paraId="4BA370F2">
      <w:pPr>
        <w:rPr>
          <w:rFonts w:ascii="楷体" w:hAnsi="楷体" w:eastAsia="楷体" w:cs="楷体"/>
          <w:b/>
          <w:bCs/>
          <w:kern w:val="0"/>
          <w:sz w:val="36"/>
          <w:szCs w:val="36"/>
        </w:rPr>
      </w:pPr>
    </w:p>
    <w:p w14:paraId="23F8E7A8">
      <w:pPr>
        <w:rPr>
          <w:rFonts w:ascii="楷体" w:hAnsi="楷体" w:eastAsia="楷体" w:cs="楷体"/>
          <w:b/>
          <w:bCs/>
          <w:kern w:val="0"/>
          <w:sz w:val="36"/>
          <w:szCs w:val="36"/>
        </w:rPr>
      </w:pPr>
    </w:p>
    <w:p w14:paraId="3427B930">
      <w:pPr>
        <w:pStyle w:val="2"/>
      </w:pPr>
    </w:p>
    <w:p w14:paraId="311F1E4D">
      <w:pPr>
        <w:widowControl/>
        <w:ind w:firstLine="361" w:firstLineChars="100"/>
        <w:rPr>
          <w:rFonts w:hint="eastAsia" w:ascii="楷体" w:hAnsi="楷体" w:eastAsia="楷体" w:cs="楷体"/>
          <w:b/>
          <w:bCs/>
          <w:kern w:val="0"/>
          <w:sz w:val="36"/>
          <w:szCs w:val="36"/>
        </w:rPr>
      </w:pPr>
    </w:p>
    <w:p w14:paraId="7D7DCF73">
      <w:pPr>
        <w:widowControl/>
        <w:ind w:firstLine="360" w:firstLineChars="100"/>
        <w:rPr>
          <w:rFonts w:hint="eastAsia" w:ascii="黑体" w:hAnsi="黑体" w:eastAsia="黑体" w:cs="黑体"/>
          <w:b w:val="0"/>
          <w:bCs w:val="0"/>
          <w:kern w:val="0"/>
          <w:sz w:val="48"/>
          <w:szCs w:val="48"/>
          <w:u w:val="single"/>
        </w:rPr>
      </w:pPr>
      <w:r>
        <w:rPr>
          <w:rFonts w:hint="eastAsia" w:ascii="黑体" w:hAnsi="黑体" w:eastAsia="黑体" w:cs="黑体"/>
          <w:b w:val="0"/>
          <w:bCs w:val="0"/>
          <w:kern w:val="0"/>
          <w:sz w:val="36"/>
          <w:szCs w:val="36"/>
        </w:rPr>
        <w:t>申报单位（盖章）</w:t>
      </w:r>
      <w:r>
        <w:rPr>
          <w:rFonts w:hint="eastAsia" w:ascii="黑体" w:hAnsi="黑体" w:eastAsia="黑体" w:cs="黑体"/>
          <w:b w:val="0"/>
          <w:bCs w:val="0"/>
          <w:kern w:val="0"/>
          <w:sz w:val="48"/>
          <w:szCs w:val="48"/>
        </w:rPr>
        <w:t>：</w:t>
      </w:r>
      <w:r>
        <w:rPr>
          <w:rFonts w:hint="eastAsia" w:ascii="黑体" w:hAnsi="黑体" w:eastAsia="黑体" w:cs="黑体"/>
          <w:b w:val="0"/>
          <w:bCs w:val="0"/>
          <w:kern w:val="0"/>
          <w:sz w:val="48"/>
          <w:szCs w:val="48"/>
          <w:u w:val="single"/>
        </w:rPr>
        <w:t xml:space="preserve">               </w:t>
      </w:r>
    </w:p>
    <w:p w14:paraId="70454183">
      <w:pPr>
        <w:widowControl/>
        <w:rPr>
          <w:rFonts w:hint="eastAsia" w:ascii="黑体" w:hAnsi="黑体" w:eastAsia="黑体" w:cs="黑体"/>
          <w:b w:val="0"/>
          <w:bCs w:val="0"/>
          <w:kern w:val="0"/>
          <w:sz w:val="48"/>
          <w:szCs w:val="48"/>
          <w:u w:val="single"/>
        </w:rPr>
      </w:pPr>
    </w:p>
    <w:p w14:paraId="364D5A88">
      <w:pPr>
        <w:jc w:val="center"/>
        <w:rPr>
          <w:rFonts w:hint="eastAsia" w:ascii="黑体" w:hAnsi="黑体" w:eastAsia="黑体" w:cs="黑体"/>
          <w:b w:val="0"/>
          <w:bCs w:val="0"/>
          <w:kern w:val="0"/>
          <w:sz w:val="36"/>
          <w:szCs w:val="36"/>
        </w:rPr>
      </w:pPr>
      <w:r>
        <w:rPr>
          <w:rFonts w:hint="eastAsia" w:ascii="黑体" w:hAnsi="黑体" w:eastAsia="黑体" w:cs="黑体"/>
          <w:b w:val="0"/>
          <w:bCs w:val="0"/>
          <w:kern w:val="0"/>
          <w:sz w:val="36"/>
          <w:szCs w:val="36"/>
          <w:lang w:val="en-US" w:eastAsia="zh-CN"/>
        </w:rPr>
        <w:t>2026</w:t>
      </w:r>
      <w:r>
        <w:rPr>
          <w:rFonts w:hint="eastAsia" w:ascii="黑体" w:hAnsi="黑体" w:eastAsia="黑体" w:cs="黑体"/>
          <w:b w:val="0"/>
          <w:bCs w:val="0"/>
          <w:kern w:val="0"/>
          <w:sz w:val="36"/>
          <w:szCs w:val="36"/>
        </w:rPr>
        <w:t xml:space="preserve">年 </w:t>
      </w:r>
      <w:r>
        <w:rPr>
          <w:rFonts w:hint="eastAsia" w:ascii="黑体" w:hAnsi="黑体" w:eastAsia="黑体" w:cs="黑体"/>
          <w:b w:val="0"/>
          <w:bCs w:val="0"/>
          <w:kern w:val="0"/>
          <w:sz w:val="36"/>
          <w:szCs w:val="36"/>
          <w:lang w:val="en-US" w:eastAsia="zh-CN"/>
        </w:rPr>
        <w:t>5</w:t>
      </w:r>
      <w:r>
        <w:rPr>
          <w:rFonts w:hint="eastAsia" w:ascii="黑体" w:hAnsi="黑体" w:eastAsia="黑体" w:cs="黑体"/>
          <w:b w:val="0"/>
          <w:bCs w:val="0"/>
          <w:kern w:val="0"/>
          <w:sz w:val="36"/>
          <w:szCs w:val="36"/>
        </w:rPr>
        <w:t xml:space="preserve"> 月 </w:t>
      </w:r>
      <w:r>
        <w:rPr>
          <w:rFonts w:hint="eastAsia" w:ascii="黑体" w:hAnsi="黑体" w:eastAsia="黑体" w:cs="黑体"/>
          <w:b w:val="0"/>
          <w:bCs w:val="0"/>
          <w:kern w:val="0"/>
          <w:sz w:val="36"/>
          <w:szCs w:val="36"/>
          <w:lang w:val="en-US" w:eastAsia="zh-CN"/>
        </w:rPr>
        <w:t>9</w:t>
      </w:r>
      <w:r>
        <w:rPr>
          <w:rFonts w:hint="eastAsia" w:ascii="黑体" w:hAnsi="黑体" w:eastAsia="黑体" w:cs="黑体"/>
          <w:b w:val="0"/>
          <w:bCs w:val="0"/>
          <w:kern w:val="0"/>
          <w:sz w:val="36"/>
          <w:szCs w:val="36"/>
        </w:rPr>
        <w:t xml:space="preserve"> 日</w:t>
      </w:r>
    </w:p>
    <w:p w14:paraId="7186672E">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r>
        <w:rPr>
          <w:rFonts w:hint="eastAsia" w:ascii="黑体" w:hAnsi="黑体" w:eastAsia="黑体" w:cs="仿宋"/>
          <w:kern w:val="0"/>
          <w:sz w:val="32"/>
          <w:szCs w:val="32"/>
        </w:rPr>
        <w:br w:type="page"/>
      </w:r>
    </w:p>
    <w:p w14:paraId="5EB82106">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eastAsia="zh-CN"/>
        </w:rPr>
      </w:pPr>
      <w:bookmarkStart w:id="0" w:name="_GoBack"/>
      <w:r>
        <w:rPr>
          <w:rFonts w:hint="eastAsia" w:ascii="微软雅黑" w:hAnsi="仿宋" w:eastAsia="微软雅黑" w:cs="宋体"/>
          <w:b w:val="0"/>
          <w:bCs/>
          <w:kern w:val="0"/>
          <w:sz w:val="44"/>
          <w:szCs w:val="44"/>
          <w:lang w:val="en-US" w:eastAsia="zh-CN"/>
        </w:rPr>
        <w:t>2025</w:t>
      </w:r>
      <w:r>
        <w:rPr>
          <w:rFonts w:hint="eastAsia" w:ascii="微软雅黑" w:hAnsi="仿宋" w:eastAsia="微软雅黑" w:cs="宋体"/>
          <w:b w:val="0"/>
          <w:bCs/>
          <w:kern w:val="0"/>
          <w:sz w:val="44"/>
          <w:szCs w:val="44"/>
        </w:rPr>
        <w:t>年度安化县</w:t>
      </w:r>
      <w:r>
        <w:rPr>
          <w:rFonts w:hint="eastAsia" w:ascii="微软雅黑" w:hAnsi="仿宋" w:eastAsia="微软雅黑" w:cs="宋体"/>
          <w:b w:val="0"/>
          <w:bCs/>
          <w:kern w:val="0"/>
          <w:sz w:val="44"/>
          <w:szCs w:val="44"/>
          <w:lang w:eastAsia="zh-CN"/>
        </w:rPr>
        <w:t>科学技术协会</w:t>
      </w:r>
    </w:p>
    <w:p w14:paraId="25A9E63E">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rPr>
      </w:pPr>
      <w:r>
        <w:rPr>
          <w:rFonts w:hint="eastAsia" w:ascii="微软雅黑" w:hAnsi="仿宋" w:eastAsia="微软雅黑" w:cs="宋体"/>
          <w:b w:val="0"/>
          <w:bCs/>
          <w:kern w:val="0"/>
          <w:sz w:val="44"/>
          <w:szCs w:val="44"/>
        </w:rPr>
        <w:t>整体支出绩效自评报告</w:t>
      </w:r>
    </w:p>
    <w:bookmarkEnd w:id="0"/>
    <w:p w14:paraId="206A688E">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一、部门(单位)基本情况</w:t>
      </w:r>
    </w:p>
    <w:p w14:paraId="20C11F4E">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w:t>
      </w:r>
      <w:r>
        <w:rPr>
          <w:rFonts w:hint="eastAsia" w:ascii="楷体_GB2312" w:hAnsi="楷体_GB2312" w:eastAsia="楷体_GB2312" w:cs="楷体_GB2312"/>
          <w:color w:val="000000"/>
          <w:kern w:val="0"/>
          <w:sz w:val="32"/>
          <w:szCs w:val="32"/>
          <w:lang w:eastAsia="zh-CN"/>
        </w:rPr>
        <w:t>2025</w:t>
      </w:r>
      <w:r>
        <w:rPr>
          <w:rFonts w:hint="eastAsia" w:ascii="楷体_GB2312" w:hAnsi="楷体_GB2312" w:eastAsia="楷体_GB2312" w:cs="楷体_GB2312"/>
          <w:color w:val="000000"/>
          <w:kern w:val="0"/>
          <w:sz w:val="32"/>
          <w:szCs w:val="32"/>
        </w:rPr>
        <w:t>年度重点工作</w:t>
      </w:r>
    </w:p>
    <w:p w14:paraId="720A5875">
      <w:pPr>
        <w:keepNext w:val="0"/>
        <w:keepLines w:val="0"/>
        <w:pageBreakBefore w:val="0"/>
        <w:numPr>
          <w:ilvl w:val="0"/>
          <w:numId w:val="0"/>
        </w:numPr>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(一)开展学术交流，普及科学知识，推广先进技术，捍卫科学尊严，提高全民族科学文化素质。</w:t>
      </w:r>
    </w:p>
    <w:p w14:paraId="2DA17E08">
      <w:pPr>
        <w:keepNext w:val="0"/>
        <w:keepLines w:val="0"/>
        <w:pageBreakBefore w:val="0"/>
        <w:numPr>
          <w:ilvl w:val="0"/>
          <w:numId w:val="0"/>
        </w:numPr>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(二)开展科学论证和咨询服务，提出政策建议，组织科技工 作者参加技术竞赛，促进科技成果的转化。</w:t>
      </w:r>
    </w:p>
    <w:p w14:paraId="79F81F27">
      <w:pPr>
        <w:keepNext w:val="0"/>
        <w:keepLines w:val="0"/>
        <w:pageBreakBefore w:val="0"/>
        <w:numPr>
          <w:ilvl w:val="0"/>
          <w:numId w:val="0"/>
        </w:numPr>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(三)会同有关部门开展科技工作者的继续教育和青少年科技教育、培训。</w:t>
      </w:r>
    </w:p>
    <w:p w14:paraId="1C75E3AF">
      <w:pPr>
        <w:keepNext w:val="0"/>
        <w:keepLines w:val="0"/>
        <w:pageBreakBefore w:val="0"/>
        <w:numPr>
          <w:ilvl w:val="0"/>
          <w:numId w:val="0"/>
        </w:numPr>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(四)组织科学技术工作者为地方党委和政府制订科学技术政策、法规提供咨询，参与地方事务的政治协商、科学决策、民主监督有关工作。</w:t>
      </w:r>
    </w:p>
    <w:p w14:paraId="426D849F">
      <w:pPr>
        <w:keepNext w:val="0"/>
        <w:keepLines w:val="0"/>
        <w:pageBreakBefore w:val="0"/>
        <w:numPr>
          <w:ilvl w:val="0"/>
          <w:numId w:val="0"/>
        </w:numPr>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(五)组织开展农村科普示范创建工作，负责科普示范基地、 示范户、农技协会的归口管理和业务指导。</w:t>
      </w:r>
    </w:p>
    <w:p w14:paraId="70E84F6C">
      <w:pPr>
        <w:keepNext w:val="0"/>
        <w:keepLines w:val="0"/>
        <w:pageBreakBefore w:val="0"/>
        <w:numPr>
          <w:ilvl w:val="0"/>
          <w:numId w:val="0"/>
        </w:numPr>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(六)协调县级自然科学专门学会之间，学会与科协之间的关系，加强与社会科学的学科联系，编辑出版科普和学术刊物， 举办为科技工作者和科技活动服务的公益事业。</w:t>
      </w:r>
    </w:p>
    <w:p w14:paraId="7B5C0CCE">
      <w:pPr>
        <w:keepNext w:val="0"/>
        <w:keepLines w:val="0"/>
        <w:pageBreakBefore w:val="0"/>
        <w:numPr>
          <w:ilvl w:val="0"/>
          <w:numId w:val="0"/>
        </w:numPr>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(七)归口管理企业科协、厂矿科协，组织厂会协作、厂校协作活动。</w:t>
      </w:r>
    </w:p>
    <w:p w14:paraId="0860980D">
      <w:pPr>
        <w:keepNext w:val="0"/>
        <w:keepLines w:val="0"/>
        <w:pageBreakBefore w:val="0"/>
        <w:numPr>
          <w:ilvl w:val="0"/>
          <w:numId w:val="0"/>
        </w:numPr>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(八)沟通科技工作者与党政领导的联系，反映科技工作者的建议与要求，维护科技工作者的合法权益，宣传表彰优秀科技工作者，向有关部门推荐人才。</w:t>
      </w:r>
    </w:p>
    <w:p w14:paraId="6B1EEE39">
      <w:pPr>
        <w:keepNext w:val="0"/>
        <w:keepLines w:val="0"/>
        <w:pageBreakBefore w:val="0"/>
        <w:numPr>
          <w:ilvl w:val="0"/>
          <w:numId w:val="0"/>
        </w:numPr>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（九）完成县委、县政府交办的其他任务。</w:t>
      </w:r>
    </w:p>
    <w:p w14:paraId="0AB67CC8">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(二)部门整体支出规模、使用方向、主要内容和涉及范围</w:t>
      </w:r>
    </w:p>
    <w:p w14:paraId="03817F08">
      <w:pPr>
        <w:pStyle w:val="6"/>
        <w:shd w:val="clear" w:color="auto" w:fill="FFFFFF"/>
        <w:spacing w:before="0" w:beforeAutospacing="0" w:after="0" w:afterAutospacing="0" w:line="594" w:lineRule="exact"/>
        <w:ind w:firstLine="640" w:firstLineChars="200"/>
        <w:jc w:val="both"/>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2025年度整体支出总额240.25万元，其中财政拨款收入240.25万元，占总收入的100%。主要内容和涉及范围：人员经费包括基本工资、津贴补贴、奖金、其他社会保障缴费、退休费生活补助、住房公积金等；日常公用经费包括办公费、差旅费、培训费、公务接待费、劳务费、工会经费、福利费、公务用车运行维护费、其他交通费用、其他商品和服务支出等；项目支出主要包括其他对个人和家庭的补助支出、办公费、印刷费、邮电费、差旅费、维修（护）费、会议费、培训费、公务接待费、劳务费、委托业务费、公务用车运行维护费、其他交通费、其他商品和服务支出、办公设备购置。涉及人员经费、保障基本运转、开展各项专项业务工作、精准扶贫、党建所发生的全部支出。</w:t>
      </w:r>
    </w:p>
    <w:p w14:paraId="680679A2">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二、一般公共预算支出情况</w:t>
      </w:r>
    </w:p>
    <w:p w14:paraId="75D3A8CD">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(一)基本支出情况</w:t>
      </w:r>
    </w:p>
    <w:p w14:paraId="33DBFE12">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ascii="仿宋" w:hAnsi="仿宋" w:eastAsia="仿宋" w:cs="Times New Roman"/>
          <w:kern w:val="2"/>
          <w:sz w:val="32"/>
          <w:szCs w:val="24"/>
          <w:u w:val="none"/>
          <w:shd w:val="clear" w:color="auto" w:fill="auto"/>
          <w:lang w:val="en-US" w:eastAsia="zh-CN" w:bidi="ar-SA"/>
        </w:rPr>
      </w:pPr>
      <w:r>
        <w:rPr>
          <w:rFonts w:hint="eastAsia" w:ascii="仿宋" w:hAnsi="仿宋" w:eastAsia="仿宋" w:cs="Times New Roman"/>
          <w:kern w:val="2"/>
          <w:sz w:val="32"/>
          <w:szCs w:val="24"/>
          <w:u w:val="none"/>
          <w:shd w:val="clear" w:color="auto" w:fill="auto"/>
          <w:lang w:val="en-US" w:eastAsia="zh-CN" w:bidi="ar-SA"/>
        </w:rPr>
        <w:t>基本支出125.75万元，是为保障各部门正常运转、完成日常工作任务而发生的各项支出，主要包括工资福利支出117.99万元，商品和服务支出7.12万元，对个人和家庭支出0.64万元。</w:t>
      </w:r>
    </w:p>
    <w:p w14:paraId="7685E5DD">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rPr>
      </w:pPr>
      <w:r>
        <w:rPr>
          <w:rFonts w:hint="eastAsia" w:ascii="仿宋" w:hAnsi="仿宋" w:eastAsia="仿宋" w:cs="Times New Roman"/>
          <w:kern w:val="2"/>
          <w:sz w:val="32"/>
          <w:szCs w:val="24"/>
          <w:u w:val="none"/>
          <w:shd w:val="clear" w:color="auto" w:fill="auto"/>
          <w:lang w:val="en-US" w:eastAsia="zh-CN" w:bidi="ar-SA"/>
        </w:rPr>
        <w:t>“三公”经费支出情况：2025年，“三公”经费完成0万元，比上年减少2.05元，主要原因是：厉行节约严控公用经费</w:t>
      </w:r>
      <w:r>
        <w:rPr>
          <w:rFonts w:hint="eastAsia" w:ascii="仿宋" w:hAnsi="仿宋" w:eastAsia="仿宋"/>
          <w:sz w:val="32"/>
          <w:szCs w:val="24"/>
        </w:rPr>
        <w:t>，</w:t>
      </w:r>
      <w:r>
        <w:rPr>
          <w:rFonts w:hint="eastAsia" w:ascii="仿宋" w:hAnsi="仿宋" w:eastAsia="仿宋"/>
          <w:sz w:val="32"/>
          <w:szCs w:val="24"/>
          <w:lang w:val="en-US" w:eastAsia="zh-CN"/>
        </w:rPr>
        <w:t>严格执行</w:t>
      </w:r>
      <w:r>
        <w:rPr>
          <w:rFonts w:hint="eastAsia" w:ascii="仿宋" w:hAnsi="仿宋" w:eastAsia="仿宋"/>
          <w:sz w:val="32"/>
          <w:szCs w:val="24"/>
        </w:rPr>
        <w:t>公务</w:t>
      </w:r>
      <w:r>
        <w:rPr>
          <w:rFonts w:hint="eastAsia" w:ascii="仿宋" w:hAnsi="仿宋" w:eastAsia="仿宋"/>
          <w:sz w:val="32"/>
          <w:szCs w:val="24"/>
          <w:lang w:eastAsia="zh-CN"/>
        </w:rPr>
        <w:t>“</w:t>
      </w:r>
      <w:r>
        <w:rPr>
          <w:rFonts w:hint="eastAsia" w:ascii="仿宋" w:hAnsi="仿宋" w:eastAsia="仿宋"/>
          <w:sz w:val="32"/>
          <w:szCs w:val="24"/>
          <w:lang w:val="en-US" w:eastAsia="zh-CN"/>
        </w:rPr>
        <w:t>零</w:t>
      </w:r>
      <w:r>
        <w:rPr>
          <w:rFonts w:hint="eastAsia" w:ascii="仿宋" w:hAnsi="仿宋" w:eastAsia="仿宋"/>
          <w:sz w:val="32"/>
          <w:szCs w:val="24"/>
          <w:lang w:eastAsia="zh-CN"/>
        </w:rPr>
        <w:t>”</w:t>
      </w:r>
      <w:r>
        <w:rPr>
          <w:rFonts w:hint="eastAsia" w:ascii="仿宋" w:hAnsi="仿宋" w:eastAsia="仿宋"/>
          <w:sz w:val="32"/>
          <w:szCs w:val="24"/>
        </w:rPr>
        <w:t>接待，</w:t>
      </w:r>
      <w:r>
        <w:rPr>
          <w:rFonts w:hint="eastAsia" w:ascii="仿宋" w:hAnsi="仿宋" w:eastAsia="仿宋"/>
          <w:sz w:val="32"/>
          <w:szCs w:val="24"/>
          <w:lang w:eastAsia="zh-CN"/>
        </w:rPr>
        <w:t>无公车购置费，</w:t>
      </w:r>
      <w:r>
        <w:rPr>
          <w:rFonts w:hint="eastAsia" w:ascii="仿宋" w:hAnsi="仿宋" w:eastAsia="仿宋"/>
          <w:sz w:val="32"/>
          <w:szCs w:val="24"/>
        </w:rPr>
        <w:t>按照预算指标数列支公务用车运行维护费</w:t>
      </w:r>
      <w:r>
        <w:rPr>
          <w:rFonts w:hint="eastAsia" w:ascii="仿宋" w:hAnsi="仿宋" w:eastAsia="仿宋" w:cs="Times New Roman"/>
          <w:kern w:val="2"/>
          <w:sz w:val="32"/>
          <w:szCs w:val="24"/>
          <w:u w:val="none"/>
          <w:shd w:val="clear" w:color="auto" w:fill="auto"/>
          <w:lang w:val="zh-CN" w:eastAsia="zh-CN" w:bidi="ar-SA"/>
        </w:rPr>
        <w:t>。其中，公务接待费</w:t>
      </w:r>
      <w:r>
        <w:rPr>
          <w:rFonts w:hint="eastAsia" w:ascii="仿宋" w:hAnsi="仿宋" w:eastAsia="仿宋" w:cs="Times New Roman"/>
          <w:kern w:val="2"/>
          <w:sz w:val="32"/>
          <w:szCs w:val="24"/>
          <w:u w:val="none"/>
          <w:shd w:val="clear" w:color="auto" w:fill="auto"/>
          <w:lang w:val="en-US" w:eastAsia="zh-CN" w:bidi="ar-SA"/>
        </w:rPr>
        <w:t>完成0万元，比上年减少2.05万元；</w:t>
      </w:r>
      <w:r>
        <w:rPr>
          <w:rFonts w:hint="eastAsia" w:ascii="仿宋" w:hAnsi="仿宋" w:eastAsia="仿宋" w:cs="Times New Roman"/>
          <w:kern w:val="2"/>
          <w:sz w:val="32"/>
          <w:szCs w:val="24"/>
          <w:u w:val="none"/>
          <w:shd w:val="clear" w:color="auto" w:fill="auto"/>
          <w:lang w:val="zh-CN" w:eastAsia="zh-CN" w:bidi="ar-SA"/>
        </w:rPr>
        <w:t>公务用车购置及运行维护费</w:t>
      </w:r>
      <w:r>
        <w:rPr>
          <w:rFonts w:hint="eastAsia" w:ascii="仿宋" w:hAnsi="仿宋" w:eastAsia="仿宋" w:cs="Times New Roman"/>
          <w:kern w:val="2"/>
          <w:sz w:val="32"/>
          <w:szCs w:val="24"/>
          <w:u w:val="none"/>
          <w:shd w:val="clear" w:color="auto" w:fill="auto"/>
          <w:lang w:val="en-US" w:eastAsia="zh-CN" w:bidi="ar-SA"/>
        </w:rPr>
        <w:t>完成0万元，比上年减少0万元</w:t>
      </w:r>
      <w:r>
        <w:rPr>
          <w:rFonts w:hint="eastAsia" w:ascii="仿宋" w:hAnsi="仿宋" w:eastAsia="仿宋" w:cs="Times New Roman"/>
          <w:kern w:val="2"/>
          <w:sz w:val="32"/>
          <w:szCs w:val="24"/>
          <w:u w:val="none"/>
          <w:shd w:val="clear" w:color="auto" w:fill="auto"/>
          <w:lang w:val="zh-CN" w:eastAsia="zh-CN" w:bidi="ar-SA"/>
        </w:rPr>
        <w:t>。</w:t>
      </w:r>
    </w:p>
    <w:p w14:paraId="2D3F4ACB">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(二)项目支出情况</w:t>
      </w:r>
    </w:p>
    <w:p w14:paraId="49145870">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rPr>
      </w:pPr>
      <w:r>
        <w:rPr>
          <w:rFonts w:hint="eastAsia" w:ascii="仿宋" w:hAnsi="仿宋" w:eastAsia="仿宋" w:cs="Times New Roman"/>
          <w:kern w:val="2"/>
          <w:sz w:val="32"/>
          <w:szCs w:val="24"/>
          <w:u w:val="none"/>
          <w:shd w:val="clear" w:color="auto" w:fill="auto"/>
          <w:lang w:val="en-US" w:eastAsia="zh-CN" w:bidi="ar-SA"/>
        </w:rPr>
        <w:t>项目支出114,5万元，包含：2025年度安化县科学技术协会项目均为年初预算批复安排的科普专项工作项目，主要涵盖基层科普能力建设、科普宣传活动开展、青少年科技教育、学术交流服务几大类，具体使用方向及预算执行情况如下：基层科普行动计划补助项目，主要用于农村科普示范基地、科普示范户的建设培育与业务指导，开展农村实用技术推广培训；科普活动专项，主要用于“全国科普日”“科技活动周”等大型主题科普宣传活动的组织开展，科普资料印刷、宣传物料制作以及科普讲座开展相关支出；青少年科技教育专项，主要用于组织青少年科技创新大赛、青少年机器人竞赛等赛事活动，开展青少年科技教育培训工作；学会学术交流及科技工作者服务项目，主要用于开展学术交流活动，维护科技工作者合法权益，宣传表彰优秀科技工作者相关支出。所有项目支出均严格按照预算批复的用途使用，执行相关财务管理制度，未出现截留、挤占、挪用项目资金的情况，资金拨付审批程序合规，预算执行进度符合年度工作推进安排。以及</w:t>
      </w:r>
      <w:r>
        <w:rPr>
          <w:rFonts w:hint="eastAsia" w:ascii="仿宋_GB2312" w:eastAsia="仿宋_GB2312"/>
          <w:sz w:val="32"/>
          <w:szCs w:val="32"/>
          <w:lang w:eastAsia="zh-CN"/>
        </w:rPr>
        <w:t>业务工作</w:t>
      </w:r>
      <w:r>
        <w:rPr>
          <w:rFonts w:hint="eastAsia" w:ascii="仿宋_GB2312" w:eastAsia="仿宋_GB2312"/>
          <w:sz w:val="32"/>
          <w:szCs w:val="32"/>
        </w:rPr>
        <w:t>经费</w:t>
      </w:r>
      <w:r>
        <w:rPr>
          <w:rFonts w:hint="eastAsia" w:ascii="仿宋_GB2312" w:eastAsia="仿宋_GB2312"/>
          <w:sz w:val="32"/>
          <w:szCs w:val="32"/>
          <w:lang w:eastAsia="zh-CN"/>
        </w:rPr>
        <w:t>以及运行维护经费。</w:t>
      </w:r>
    </w:p>
    <w:p w14:paraId="75EC8028">
      <w:pPr>
        <w:keepNext w:val="0"/>
        <w:keepLines w:val="0"/>
        <w:pageBreakBefore w:val="0"/>
        <w:widowControl/>
        <w:numPr>
          <w:ilvl w:val="0"/>
          <w:numId w:val="1"/>
        </w:numPr>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政府性基金预算支出情况</w:t>
      </w:r>
    </w:p>
    <w:p w14:paraId="70D39C70">
      <w:pPr>
        <w:ind w:firstLine="640" w:firstLineChars="200"/>
        <w:rPr>
          <w:rFonts w:hint="default" w:eastAsia="仿宋_GB2312"/>
          <w:lang w:val="en-US" w:eastAsia="zh-CN"/>
        </w:rPr>
      </w:pPr>
      <w:r>
        <w:rPr>
          <w:rFonts w:hint="eastAsia" w:eastAsia="仿宋_GB2312"/>
          <w:color w:val="232323"/>
          <w:sz w:val="32"/>
          <w:szCs w:val="32"/>
          <w:shd w:val="clear" w:color="auto" w:fill="FFFFFF"/>
          <w:lang w:eastAsia="zh-CN"/>
        </w:rPr>
        <w:t>2025</w:t>
      </w:r>
      <w:r>
        <w:rPr>
          <w:rFonts w:hint="eastAsia" w:ascii="仿宋_GB2312" w:eastAsia="仿宋_GB2312" w:cs="仿宋_GB2312"/>
          <w:color w:val="232323"/>
          <w:sz w:val="32"/>
          <w:szCs w:val="32"/>
          <w:shd w:val="clear" w:color="auto" w:fill="FFFFFF"/>
        </w:rPr>
        <w:t>年本部门政府性基金支出预算</w:t>
      </w:r>
      <w:r>
        <w:rPr>
          <w:rFonts w:hint="eastAsia" w:eastAsia="仿宋_GB2312"/>
          <w:color w:val="232323"/>
          <w:sz w:val="32"/>
          <w:szCs w:val="32"/>
          <w:shd w:val="clear" w:color="auto" w:fill="FFFFFF"/>
          <w:lang w:val="en-US" w:eastAsia="zh-CN"/>
        </w:rPr>
        <w:t>0</w:t>
      </w:r>
      <w:r>
        <w:rPr>
          <w:rFonts w:hint="eastAsia" w:ascii="仿宋_GB2312" w:eastAsia="仿宋_GB2312" w:cs="仿宋_GB2312"/>
          <w:color w:val="232323"/>
          <w:sz w:val="32"/>
          <w:szCs w:val="32"/>
          <w:shd w:val="clear" w:color="auto" w:fill="FFFFFF"/>
        </w:rPr>
        <w:t>万元</w:t>
      </w:r>
      <w:r>
        <w:rPr>
          <w:rFonts w:hint="eastAsia" w:ascii="仿宋_GB2312" w:hAnsi="宋体" w:eastAsia="仿宋_GB2312" w:cs="仿宋_GB2312"/>
          <w:color w:val="232323"/>
          <w:sz w:val="32"/>
          <w:szCs w:val="32"/>
          <w:shd w:val="clear" w:color="auto" w:fill="FFFFFF"/>
        </w:rPr>
        <w:t>。</w:t>
      </w:r>
    </w:p>
    <w:p w14:paraId="4146400D">
      <w:pPr>
        <w:keepNext w:val="0"/>
        <w:keepLines w:val="0"/>
        <w:pageBreakBefore w:val="0"/>
        <w:widowControl/>
        <w:numPr>
          <w:ilvl w:val="0"/>
          <w:numId w:val="1"/>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国有资本经营预算支出情况</w:t>
      </w:r>
    </w:p>
    <w:p w14:paraId="2231DFB3">
      <w:pPr>
        <w:pStyle w:val="7"/>
        <w:ind w:left="420" w:leftChars="200" w:firstLine="0" w:firstLineChars="0"/>
        <w:rPr>
          <w:rFonts w:hint="eastAsia" w:ascii="黑体" w:hAnsi="黑体" w:eastAsia="黑体" w:cs="宋体"/>
          <w:color w:val="000000"/>
          <w:kern w:val="0"/>
          <w:sz w:val="32"/>
          <w:szCs w:val="32"/>
        </w:rPr>
      </w:pPr>
      <w:r>
        <w:rPr>
          <w:rFonts w:hint="eastAsia" w:eastAsia="仿宋_GB2312"/>
          <w:color w:val="232323"/>
          <w:shd w:val="clear" w:color="auto" w:fill="FFFFFF"/>
          <w:lang w:eastAsia="zh-CN"/>
        </w:rPr>
        <w:t>2025</w:t>
      </w:r>
      <w:r>
        <w:rPr>
          <w:rFonts w:hint="eastAsia" w:ascii="仿宋_GB2312" w:eastAsia="仿宋_GB2312" w:cs="仿宋_GB2312"/>
          <w:color w:val="232323"/>
          <w:shd w:val="clear" w:color="auto" w:fill="FFFFFF"/>
        </w:rPr>
        <w:t>年</w:t>
      </w:r>
      <w:r>
        <w:rPr>
          <w:rFonts w:hint="eastAsia" w:ascii="仿宋_GB2312" w:hAnsi="宋体" w:eastAsia="仿宋_GB2312" w:cs="仿宋_GB2312"/>
          <w:color w:val="232323"/>
          <w:shd w:val="clear" w:color="auto" w:fill="FFFFFF"/>
        </w:rPr>
        <w:t>本部门无国有资本经营预算的支出。</w:t>
      </w:r>
    </w:p>
    <w:p w14:paraId="4675B08A">
      <w:pPr>
        <w:keepNext w:val="0"/>
        <w:keepLines w:val="0"/>
        <w:pageBreakBefore w:val="0"/>
        <w:widowControl/>
        <w:numPr>
          <w:ilvl w:val="0"/>
          <w:numId w:val="1"/>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社会保险基金预算支出情况</w:t>
      </w:r>
    </w:p>
    <w:p w14:paraId="4D3BC260">
      <w:pPr>
        <w:pStyle w:val="7"/>
        <w:ind w:left="420" w:leftChars="200" w:firstLine="0" w:firstLineChars="0"/>
        <w:rPr>
          <w:rFonts w:hint="eastAsia" w:ascii="黑体" w:hAnsi="黑体" w:eastAsia="黑体" w:cs="宋体"/>
          <w:color w:val="000000"/>
          <w:kern w:val="0"/>
          <w:sz w:val="32"/>
          <w:szCs w:val="32"/>
        </w:rPr>
      </w:pPr>
      <w:r>
        <w:rPr>
          <w:rFonts w:hint="eastAsia" w:eastAsia="仿宋_GB2312"/>
          <w:color w:val="232323"/>
          <w:shd w:val="clear" w:color="auto" w:fill="FFFFFF"/>
          <w:lang w:eastAsia="zh-CN"/>
        </w:rPr>
        <w:t>2025</w:t>
      </w:r>
      <w:r>
        <w:rPr>
          <w:rFonts w:hint="eastAsia" w:ascii="仿宋_GB2312" w:eastAsia="仿宋_GB2312" w:cs="仿宋_GB2312"/>
          <w:color w:val="232323"/>
          <w:shd w:val="clear" w:color="auto" w:fill="FFFFFF"/>
        </w:rPr>
        <w:t>年</w:t>
      </w:r>
      <w:r>
        <w:rPr>
          <w:rFonts w:hint="eastAsia" w:ascii="仿宋_GB2312" w:hAnsi="宋体" w:eastAsia="仿宋_GB2312" w:cs="仿宋_GB2312"/>
          <w:color w:val="232323"/>
          <w:shd w:val="clear" w:color="auto" w:fill="FFFFFF"/>
        </w:rPr>
        <w:t>本部门无社会保险基金预算的支出。</w:t>
      </w:r>
    </w:p>
    <w:p w14:paraId="3CE7EEA8">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六、部门整体支出绩效情况</w:t>
      </w:r>
    </w:p>
    <w:p w14:paraId="38786B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jc w:val="left"/>
        <w:textAlignment w:val="center"/>
        <w:rPr>
          <w:rFonts w:hint="eastAsia" w:ascii="Times New Roman" w:hAnsi="Times New Roman" w:eastAsia="仿宋_GB2312" w:cs="Times New Roman"/>
          <w:bCs/>
          <w:color w:val="auto"/>
          <w:kern w:val="2"/>
          <w:sz w:val="32"/>
          <w:szCs w:val="32"/>
          <w:highlight w:val="none"/>
          <w:lang w:val="en-US" w:eastAsia="zh-CN" w:bidi="ar-SA"/>
        </w:rPr>
      </w:pPr>
      <w:r>
        <w:rPr>
          <w:rFonts w:hint="eastAsia" w:ascii="Times New Roman" w:hAnsi="Times New Roman" w:eastAsia="仿宋_GB2312" w:cs="Times New Roman"/>
          <w:bCs/>
          <w:color w:val="auto"/>
          <w:kern w:val="2"/>
          <w:sz w:val="32"/>
          <w:szCs w:val="32"/>
          <w:highlight w:val="none"/>
          <w:lang w:val="en-US" w:eastAsia="zh-CN" w:bidi="ar-SA"/>
        </w:rPr>
        <w:t>2025年度支出总额</w:t>
      </w:r>
      <w:r>
        <w:rPr>
          <w:rFonts w:hint="eastAsia" w:ascii="仿宋" w:hAnsi="仿宋" w:eastAsia="仿宋" w:cs="仿宋"/>
          <w:b w:val="0"/>
          <w:bCs w:val="0"/>
          <w:i w:val="0"/>
          <w:iCs w:val="0"/>
          <w:caps w:val="0"/>
          <w:color w:val="3D3D3D"/>
          <w:spacing w:val="0"/>
          <w:sz w:val="32"/>
          <w:szCs w:val="32"/>
          <w:shd w:val="clear" w:color="auto" w:fill="FFFFFF"/>
          <w:lang w:val="en-US" w:eastAsia="zh-CN"/>
        </w:rPr>
        <w:t>240.25</w:t>
      </w:r>
      <w:r>
        <w:rPr>
          <w:rFonts w:hint="eastAsia" w:ascii="Times New Roman" w:hAnsi="Times New Roman" w:eastAsia="仿宋_GB2312" w:cs="Times New Roman"/>
          <w:bCs/>
          <w:color w:val="auto"/>
          <w:kern w:val="2"/>
          <w:sz w:val="32"/>
          <w:szCs w:val="32"/>
          <w:highlight w:val="none"/>
          <w:lang w:val="en-US" w:eastAsia="zh-CN" w:bidi="ar-SA"/>
        </w:rPr>
        <w:t>万元，其中基本支出</w:t>
      </w:r>
      <w:r>
        <w:rPr>
          <w:rFonts w:hint="eastAsia" w:ascii="仿宋" w:hAnsi="仿宋" w:eastAsia="仿宋" w:cs="Times New Roman"/>
          <w:kern w:val="2"/>
          <w:sz w:val="32"/>
          <w:szCs w:val="24"/>
          <w:u w:val="none"/>
          <w:shd w:val="clear" w:color="auto" w:fill="auto"/>
          <w:lang w:val="en-US" w:eastAsia="zh-CN" w:bidi="ar-SA"/>
        </w:rPr>
        <w:t>125.75</w:t>
      </w:r>
      <w:r>
        <w:rPr>
          <w:rFonts w:hint="eastAsia" w:ascii="Times New Roman" w:hAnsi="Times New Roman" w:eastAsia="仿宋_GB2312" w:cs="Times New Roman"/>
          <w:bCs/>
          <w:color w:val="auto"/>
          <w:kern w:val="2"/>
          <w:sz w:val="32"/>
          <w:szCs w:val="32"/>
          <w:highlight w:val="none"/>
          <w:lang w:val="en-US" w:eastAsia="zh-CN" w:bidi="ar-SA"/>
        </w:rPr>
        <w:t>万元，基本支出保障了单位正常运转的日常支出，包括基本工资、津贴补贴等人员经费以及办公费、水电费、差旅费等日常公用经费；项目支出金额</w:t>
      </w:r>
      <w:r>
        <w:rPr>
          <w:rFonts w:hint="eastAsia" w:ascii="仿宋" w:hAnsi="仿宋" w:eastAsia="仿宋" w:cs="Times New Roman"/>
          <w:kern w:val="2"/>
          <w:sz w:val="32"/>
          <w:szCs w:val="24"/>
          <w:u w:val="none"/>
          <w:shd w:val="clear" w:color="auto" w:fill="auto"/>
          <w:lang w:val="en-US" w:eastAsia="zh-CN" w:bidi="ar-SA"/>
        </w:rPr>
        <w:t>114,5</w:t>
      </w:r>
      <w:r>
        <w:rPr>
          <w:rFonts w:hint="eastAsia" w:ascii="Times New Roman" w:hAnsi="Times New Roman" w:eastAsia="仿宋_GB2312" w:cs="Times New Roman"/>
          <w:bCs/>
          <w:color w:val="auto"/>
          <w:kern w:val="2"/>
          <w:sz w:val="32"/>
          <w:szCs w:val="32"/>
          <w:highlight w:val="none"/>
          <w:lang w:val="en-US" w:eastAsia="zh-CN" w:bidi="ar-SA"/>
        </w:rPr>
        <w:t>万元，项目支出主要用于科学技术支出等支出，包括办公费、印刷费、邮电费、差旅费、租赁费、会议费、劳务费及其他对企业补助等。</w:t>
      </w:r>
    </w:p>
    <w:p w14:paraId="562B9CC9">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七、存在的问题及原因分析</w:t>
      </w:r>
    </w:p>
    <w:p w14:paraId="62E653A6">
      <w:pPr>
        <w:keepNext w:val="0"/>
        <w:keepLines w:val="0"/>
        <w:widowControl/>
        <w:suppressLineNumbers w:val="0"/>
        <w:ind w:firstLine="640" w:firstLineChars="200"/>
        <w:jc w:val="left"/>
        <w:rPr>
          <w:kern w:val="0"/>
          <w:szCs w:val="32"/>
        </w:rPr>
      </w:pPr>
      <w:r>
        <w:rPr>
          <w:rFonts w:hint="default" w:ascii="仿宋_GB2312" w:hAnsi="仿宋" w:eastAsia="仿宋_GB2312" w:cs="Times New Roman"/>
          <w:sz w:val="32"/>
          <w:szCs w:val="32"/>
          <w:lang w:val="en-US" w:eastAsia="zh-CN"/>
        </w:rPr>
        <w:t>部门预算的人员经费和公用经费不足。单位日常运转的刚性支出大，现</w:t>
      </w:r>
      <w:r>
        <w:rPr>
          <w:rFonts w:hint="eastAsia" w:ascii="仿宋_GB2312" w:hAnsi="仿宋" w:eastAsia="仿宋_GB2312" w:cs="Times New Roman"/>
          <w:sz w:val="32"/>
          <w:szCs w:val="32"/>
          <w:lang w:val="en-US" w:eastAsia="zh-CN"/>
        </w:rPr>
        <w:t>有的部门预算资金不能满足日益增长的工作需要。</w:t>
      </w:r>
    </w:p>
    <w:p w14:paraId="217F7C80">
      <w:pPr>
        <w:keepNext w:val="0"/>
        <w:keepLines w:val="0"/>
        <w:pageBreakBefore w:val="0"/>
        <w:widowControl/>
        <w:numPr>
          <w:ilvl w:val="0"/>
          <w:numId w:val="2"/>
        </w:numPr>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下一步改进措施</w:t>
      </w:r>
    </w:p>
    <w:p w14:paraId="33625343">
      <w:pPr>
        <w:keepNext w:val="0"/>
        <w:keepLines w:val="0"/>
        <w:widowControl/>
        <w:suppressLineNumbers w:val="0"/>
        <w:ind w:firstLine="640" w:firstLineChars="200"/>
        <w:jc w:val="left"/>
        <w:rPr>
          <w:rFonts w:hint="default" w:ascii="仿宋_GB2312" w:hAnsi="仿宋" w:eastAsia="仿宋_GB2312" w:cs="Times New Roman"/>
          <w:sz w:val="32"/>
          <w:szCs w:val="32"/>
          <w:lang w:val="en-US" w:eastAsia="zh-CN"/>
        </w:rPr>
      </w:pPr>
      <w:r>
        <w:rPr>
          <w:rFonts w:hint="default" w:ascii="仿宋_GB2312" w:hAnsi="仿宋" w:eastAsia="仿宋_GB2312" w:cs="Times New Roman"/>
          <w:sz w:val="32"/>
          <w:szCs w:val="32"/>
          <w:lang w:val="en-US" w:eastAsia="zh-CN"/>
        </w:rPr>
        <w:t>对存在的问题提出切实可行的改进措施和有关建议等。</w:t>
      </w:r>
    </w:p>
    <w:p w14:paraId="696474B6">
      <w:pPr>
        <w:keepNext w:val="0"/>
        <w:keepLines w:val="0"/>
        <w:widowControl/>
        <w:suppressLineNumbers w:val="0"/>
        <w:ind w:firstLine="640" w:firstLineChars="200"/>
        <w:jc w:val="left"/>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1、加强财务管理，严格财务审核。</w:t>
      </w:r>
    </w:p>
    <w:p w14:paraId="047BDF44">
      <w:pPr>
        <w:keepNext w:val="0"/>
        <w:keepLines w:val="0"/>
        <w:widowControl/>
        <w:suppressLineNumbers w:val="0"/>
        <w:ind w:firstLine="640" w:firstLineChars="200"/>
        <w:jc w:val="left"/>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2、对相关人员加强培训，切实提高</w:t>
      </w:r>
      <w:r>
        <w:rPr>
          <w:rFonts w:hint="eastAsia" w:ascii="仿宋_GB2312" w:hAnsi="仿宋" w:cs="Times New Roman"/>
          <w:sz w:val="32"/>
          <w:szCs w:val="32"/>
          <w:lang w:val="en-US" w:eastAsia="zh-CN"/>
        </w:rPr>
        <w:t>财务</w:t>
      </w:r>
      <w:r>
        <w:rPr>
          <w:rFonts w:hint="eastAsia" w:ascii="仿宋_GB2312" w:hAnsi="仿宋" w:eastAsia="仿宋_GB2312" w:cs="Times New Roman"/>
          <w:sz w:val="32"/>
          <w:szCs w:val="32"/>
          <w:lang w:val="en-US" w:eastAsia="zh-CN"/>
        </w:rPr>
        <w:t>人员业务水平。</w:t>
      </w:r>
    </w:p>
    <w:p w14:paraId="1D8E193E">
      <w:pPr>
        <w:keepNext w:val="0"/>
        <w:keepLines w:val="0"/>
        <w:pageBreakBefore w:val="0"/>
        <w:widowControl/>
        <w:numPr>
          <w:ilvl w:val="0"/>
          <w:numId w:val="2"/>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绩效自评结果拟应用和公开情况</w:t>
      </w:r>
    </w:p>
    <w:p w14:paraId="3E0F4A5D">
      <w:pPr>
        <w:pStyle w:val="3"/>
        <w:numPr>
          <w:ilvl w:val="0"/>
          <w:numId w:val="0"/>
        </w:numPr>
        <w:ind w:leftChars="200"/>
        <w:rPr>
          <w:rFonts w:hint="eastAsia" w:eastAsia="宋体"/>
          <w:lang w:eastAsia="zh-CN"/>
        </w:rPr>
      </w:pPr>
      <w:r>
        <w:rPr>
          <w:rFonts w:hint="eastAsia" w:eastAsia="仿宋_GB2312" w:cs="Times New Roman"/>
          <w:kern w:val="0"/>
          <w:sz w:val="32"/>
          <w:szCs w:val="32"/>
          <w:lang w:val="en-US" w:eastAsia="zh-CN" w:bidi="ar-SA"/>
        </w:rPr>
        <w:t>暂未公开。</w:t>
      </w:r>
    </w:p>
    <w:p w14:paraId="5AFD5637">
      <w:pPr>
        <w:numPr>
          <w:ilvl w:val="0"/>
          <w:numId w:val="2"/>
        </w:numPr>
        <w:ind w:left="0" w:leftChars="0" w:firstLine="640" w:firstLineChars="200"/>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其他需要说明的情况</w:t>
      </w:r>
    </w:p>
    <w:p w14:paraId="618679C7">
      <w:pPr>
        <w:numPr>
          <w:ilvl w:val="0"/>
          <w:numId w:val="0"/>
        </w:numPr>
        <w:ind w:leftChars="200"/>
      </w:pPr>
      <w:r>
        <w:rPr>
          <w:rFonts w:hint="eastAsia" w:eastAsia="仿宋_GB2312" w:cs="Times New Roman"/>
          <w:kern w:val="0"/>
          <w:sz w:val="32"/>
          <w:szCs w:val="32"/>
          <w:lang w:val="en-US" w:eastAsia="zh-CN" w:bidi="ar-SA"/>
        </w:rPr>
        <w:t>无。</w:t>
      </w:r>
      <w:r>
        <w:rPr>
          <w:rFonts w:eastAsia="Times New Roman"/>
          <w:kern w:val="0"/>
          <w:sz w:val="22"/>
        </w:rPr>
        <w:br w:type="page"/>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F4109C"/>
    <w:multiLevelType w:val="singleLevel"/>
    <w:tmpl w:val="0DF4109C"/>
    <w:lvl w:ilvl="0" w:tentative="0">
      <w:start w:val="8"/>
      <w:numFmt w:val="chineseCounting"/>
      <w:suff w:val="nothing"/>
      <w:lvlText w:val="%1、"/>
      <w:lvlJc w:val="left"/>
      <w:rPr>
        <w:rFonts w:hint="eastAsia"/>
      </w:rPr>
    </w:lvl>
  </w:abstractNum>
  <w:abstractNum w:abstractNumId="1">
    <w:nsid w:val="7F4048D7"/>
    <w:multiLevelType w:val="singleLevel"/>
    <w:tmpl w:val="7F4048D7"/>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4YmQ5Y2MzMGVhMDY4NDkwNTBhM2FiMTI1OTFmZTEifQ=="/>
  </w:docVars>
  <w:rsids>
    <w:rsidRoot w:val="6D445020"/>
    <w:rsid w:val="074B01AA"/>
    <w:rsid w:val="10F01466"/>
    <w:rsid w:val="14FF1319"/>
    <w:rsid w:val="257D691C"/>
    <w:rsid w:val="33357B76"/>
    <w:rsid w:val="39E023E5"/>
    <w:rsid w:val="53246BC3"/>
    <w:rsid w:val="64B56C4A"/>
    <w:rsid w:val="6D445020"/>
    <w:rsid w:val="720A57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oc 1"/>
    <w:basedOn w:val="1"/>
    <w:next w:val="1"/>
    <w:unhideWhenUsed/>
    <w:qFormat/>
    <w:uiPriority w:val="99"/>
    <w:pPr>
      <w:spacing w:beforeLines="0" w:afterLines="0"/>
    </w:pPr>
    <w:rPr>
      <w:rFonts w:hint="default"/>
      <w:sz w:val="21"/>
      <w:szCs w:val="24"/>
    </w:rPr>
  </w:style>
  <w:style w:type="paragraph" w:styleId="3">
    <w:name w:val="Body Text"/>
    <w:basedOn w:val="1"/>
    <w:unhideWhenUsed/>
    <w:qFormat/>
    <w:uiPriority w:val="99"/>
    <w:rPr>
      <w:rFonts w:ascii="Times New Roman" w:hAnsi="Times New Roman"/>
    </w:rPr>
  </w:style>
  <w:style w:type="paragraph" w:styleId="4">
    <w:name w:val="Body Text Indent"/>
    <w:basedOn w:val="1"/>
    <w:qFormat/>
    <w:uiPriority w:val="99"/>
    <w:pPr>
      <w:ind w:firstLine="640" w:firstLineChars="200"/>
    </w:pPr>
    <w:rPr>
      <w:sz w:val="32"/>
      <w:szCs w:val="32"/>
    </w:rPr>
  </w:style>
  <w:style w:type="paragraph" w:styleId="5">
    <w:name w:val="toc 5"/>
    <w:basedOn w:val="1"/>
    <w:next w:val="1"/>
    <w:unhideWhenUsed/>
    <w:qFormat/>
    <w:uiPriority w:val="39"/>
    <w:pPr>
      <w:ind w:left="1680" w:leftChars="800"/>
    </w:pPr>
    <w:rPr>
      <w:rFonts w:ascii="等线" w:hAnsi="等线" w:eastAsia="等线" w:cs="Times New Roman"/>
      <w:szCs w:val="22"/>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7">
    <w:name w:val="Body Text First Indent 2"/>
    <w:basedOn w:val="4"/>
    <w:qFormat/>
    <w:uiPriority w:val="99"/>
    <w:pPr>
      <w:ind w:firstLine="420"/>
    </w:pPr>
  </w:style>
  <w:style w:type="character" w:styleId="10">
    <w:name w:val="Strong"/>
    <w:basedOn w:val="9"/>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1507</Words>
  <Characters>1599</Characters>
  <Lines>0</Lines>
  <Paragraphs>0</Paragraphs>
  <TotalTime>4</TotalTime>
  <ScaleCrop>false</ScaleCrop>
  <LinksUpToDate>false</LinksUpToDate>
  <CharactersWithSpaces>1621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2024-06-17T10:01:00Z</dcterms:created>
  <dc:creator>啊斌</dc:creator>
  <cp:lastModifiedBy>啦啦啦啦</cp:lastModifiedBy>
  <dcterms:modified xsi:type="dcterms:W3CDTF">2026-05-12T09:10:40Z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85FC6616E7BC4BC4A20341A2C78A9D48_13</vt:lpwstr>
  </property>
  <property fmtid="{D5CDD505-2E9C-101B-9397-08002B2CF9AE}" pid="4" name="KSOTemplateDocerSaveRecord">
    <vt:lpwstr>eyJoZGlkIjoiNThkMzM1Njg0YzczYTQ3Y2UxYjU0YzQ4MDYyNGI2MWIiLCJ1c2VySWQiOiIyMDUwMzE0MDYifQ==</vt:lpwstr>
  </property>
</Properties>
</file>