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C978F">
      <w:pPr>
        <w:rPr>
          <w:rFonts w:hint="default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 xml:space="preserve"> </w:t>
      </w:r>
    </w:p>
    <w:p w14:paraId="42AC44F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34905656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4CA52B5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465702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黑体" w:hAnsi="黑体" w:eastAsia="黑体" w:cs="黑体"/>
          <w:bCs/>
          <w:kern w:val="0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2025年度中共安化县委党校</w:t>
      </w:r>
      <w:r>
        <w:rPr>
          <w:rFonts w:hint="eastAsia" w:ascii="黑体" w:hAnsi="黑体" w:eastAsia="黑体" w:cs="黑体"/>
          <w:sz w:val="52"/>
          <w:szCs w:val="52"/>
        </w:rPr>
        <w:t>整体支出</w:t>
      </w:r>
    </w:p>
    <w:p w14:paraId="58CD62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黑体" w:hAnsi="黑体" w:eastAsia="黑体" w:cs="黑体"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sz w:val="52"/>
          <w:szCs w:val="52"/>
          <w:lang w:eastAsia="zh-CN"/>
        </w:rPr>
        <w:t>绩效自评报告</w:t>
      </w:r>
    </w:p>
    <w:p w14:paraId="6D967B89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248ED51"/>
    <w:p w14:paraId="7B4BE8F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B4CF6D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0980E555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79A15750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4324EE8">
      <w:pPr>
        <w:pStyle w:val="7"/>
      </w:pPr>
    </w:p>
    <w:p w14:paraId="00E2A3B9">
      <w:pPr>
        <w:widowControl/>
        <w:ind w:firstLine="1080" w:firstLineChars="300"/>
        <w:jc w:val="left"/>
        <w:rPr>
          <w:rFonts w:hint="default" w:ascii="黑体" w:hAnsi="黑体" w:eastAsia="黑体" w:cs="黑体"/>
          <w:b w:val="0"/>
          <w:bCs w:val="0"/>
          <w:kern w:val="0"/>
          <w:sz w:val="40"/>
          <w:szCs w:val="40"/>
          <w:u w:val="single"/>
          <w:lang w:val="en-US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申报单位（盖章）：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u w:val="single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u w:val="single"/>
          <w:lang w:eastAsia="zh-CN"/>
        </w:rPr>
        <w:t>中共安化县委党校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u w:val="single"/>
          <w:lang w:val="en-US" w:eastAsia="zh-CN"/>
        </w:rPr>
        <w:t xml:space="preserve"> </w:t>
      </w:r>
    </w:p>
    <w:p w14:paraId="5338EE4A">
      <w:pPr>
        <w:widowControl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</w:p>
    <w:p w14:paraId="483D41E3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年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月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16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日</w:t>
      </w:r>
    </w:p>
    <w:p w14:paraId="3C1243F2">
      <w:pPr>
        <w:jc w:val="center"/>
        <w:rPr>
          <w:rFonts w:hint="eastAsia" w:ascii="黑体" w:hAnsi="黑体" w:eastAsia="黑体" w:cs="宋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315E08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中共安化县委党校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整体支出</w:t>
      </w:r>
    </w:p>
    <w:p w14:paraId="6D1AE7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绩效自评报告</w:t>
      </w:r>
    </w:p>
    <w:p w14:paraId="3A7E80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</w:p>
    <w:p w14:paraId="1C6C77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单位基本情况</w:t>
      </w:r>
    </w:p>
    <w:p w14:paraId="13494C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" w:cs="宋体"/>
          <w:sz w:val="32"/>
          <w:szCs w:val="32"/>
          <w:lang w:val="en-US" w:eastAsia="zh-CN"/>
        </w:rPr>
        <w:t>(一)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简要介绍2025年度重点工作;</w:t>
      </w:r>
    </w:p>
    <w:p w14:paraId="37696176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77" w:lineRule="exact"/>
        <w:ind w:left="0" w:right="0" w:firstLine="64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1.聚焦“为党育才”主责主业，全面提升培训质效。全年承办培训班19期，覆盖党员干部2834人次，其中基本培训班11期1986人次，圆满完成年度基本培训任务。一是牢牢把准办学方向。将习近平新时代中国特色社会主义思想作为教学核心，主体班次党的理论教育和党性教育课程占比达76%。完善领导干部授课制度，县委书记、县长带头，县级领导15人次走上党校讲台，授课占主体班次总课时比例超20%。二是优化课程体系建设。构建以习近平新时代中国特色社会主义思想为中心，夯实理论教育、党性教育、履职能力基础的课程体系。全年开发新专题课13门，与县人大常委会机关联合打造的《发展全过程人民民主》专题党课广受好评。三是创新教学培训模式。采用“校内+校外”“线上+线下”“专题讲座+案例教学+沉浸式体验”等方式，完善教师集体备课机制，开展拓展训练、政务模拟、辩论赛等特色活动。深化开放办学，加强与中南大学、湖南大学等高校及上级党校的合作交流，组织学员赴浙江大学等院校开展异地教学。</w:t>
      </w:r>
    </w:p>
    <w:p w14:paraId="20AE8396">
      <w:pPr>
        <w:pStyle w:val="28"/>
        <w:keepNext w:val="0"/>
        <w:keepLines w:val="0"/>
        <w:widowControl w:val="0"/>
        <w:shd w:val="clear" w:color="auto" w:fill="auto"/>
        <w:tabs>
          <w:tab w:val="left" w:pos="6370"/>
        </w:tabs>
        <w:bidi w:val="0"/>
        <w:spacing w:before="0" w:after="0" w:line="579" w:lineRule="exact"/>
        <w:ind w:left="0" w:right="0" w:firstLine="64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2.坚守“为党献策”初心使命，聚力发挥智库作用。一是精准开展课题研究。校委会班子成员牵头组建多个课题组，围绕地方经济社会发展重大问题开展调研，并转化为决策咨询报告，其中《新式茶饮赋能安化黑茶高质量发展新路径研究》获市委主要领导批示，市社科联立项课题3个。二是推动论文创作提质。《廖如愿同志统战工作探析》获省科学社会主义学会年会论文二等奖，《陶澍经世致用思想的当代启示》入选省社科界学术年会优秀论文，我校11名教师参与市委党校理论征文，全员获奖，其中一等奖1个、二等奖2个。三是促进成果转化应用。深挖本土红色资源与特色产业优势，将廖如愿、熊绍安等红色人物研究及安化黑茶等特色资源调研成果，转化为《茶廉文化》《红军长征在安化》等特色课程。《用好“马渡调查”旧址 赋能党性教育基地》入选湖南省第二批党史学习教育创新案例“三十佳”（全省党校系统唯一获奖单位），分别为国、省爱国主义教育基地东坪镇唐家观村和烟溪镇双烟村量身打造《廖如愿革命人生及启示》《从红军火种到兵工脊梁》2堂特色党课，助力红色旅游与乡村振兴。</w:t>
      </w:r>
    </w:p>
    <w:p w14:paraId="04CE1672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79" w:lineRule="exact"/>
        <w:ind w:left="0" w:right="0" w:firstLine="64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3.践行“从严治校”基本方针，持续夯实自身建设。一是顺利完成校园搬迁。4月底迁入新校区，占地面积21.5亩，总建筑面积1.1万平方米，配备教学楼、综合楼、田径场等设施，功能齐全，可同时满足600人上课、300人研讨、260人就餐、160人住宿等需求，办学条件得到质的提升。校园信息化建设全面加强，“湘江大讲堂”专通网投入使用，实现与省委党校“三库两网两平台”的有效对接。二是扎实加强队伍建设。完善干部选拔任用和考核体系，推荐提拔干部1人，晋升职称职级4人，招录选调3人，现有专职教师10名（其中研究生4人），队伍结构持续优化。加强年轻教师培养，大力实施“名师培育”与“青蓝工程”，选派20余人次教师赴上级党校和高校进修，通过开展教学比武、学术研讨等加速成长。三是全面落实从严治校。以接受县委巡察为契机进一步整章建制、规范管理，优化学员考核评价细则，强化学员监督管理。以严的主基调贯穿党校管理各方面、培训全过程，狠抓师德师风与学风建设，坚持敢抓敢管、严抓严管、真管真严，从严规范教学科研、学员管理、校园运营等各环节工作。</w:t>
      </w:r>
    </w:p>
    <w:p w14:paraId="29DDAD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(二)部门整体支出规模、使用方向、主要内容和涉及范围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。</w:t>
      </w:r>
    </w:p>
    <w:p w14:paraId="01B8CA54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2025年党校收入合计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454.44万元，年初预算277.89万元，预算追加47.02万元，其他收入129.53万元。年初预算中包括基本支出247.69万元，项目支出30.2万元。2025年实际支出合计454.44万元，其中基本支出401.49万元，项目支出52.95万元；按经济分类包括工资福利支出258.37万元，商品和服务支出189.84万元，对个人和家庭的补助5.99万元，资本性支出0.24万元。</w:t>
      </w:r>
    </w:p>
    <w:p w14:paraId="034862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07D6E3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楷体" w:cs="宋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宋体"/>
          <w:sz w:val="32"/>
          <w:szCs w:val="32"/>
          <w:lang w:val="en-US" w:eastAsia="zh-CN"/>
        </w:rPr>
        <w:t>(一)基本支出情况</w:t>
      </w:r>
    </w:p>
    <w:p w14:paraId="36BDD2F3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en-US" w:bidi="ar-SA"/>
        </w:rPr>
        <w:t>1.202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5年度财政拨款基本支出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en-US" w:bidi="ar-SA"/>
        </w:rPr>
        <w:t>401.49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万元，其中：人员经费260.52万元，占基本支出的64.89%；公用经费支出140.97万元，占基本支出的35.11%。</w:t>
      </w:r>
    </w:p>
    <w:p w14:paraId="5A84C89A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en-US" w:bidi="ar-SA"/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“三公”经费使用情况</w:t>
      </w:r>
    </w:p>
    <w:p w14:paraId="6BBCE2A7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lightGray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2025年三公经费预算为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en-US" w:bidi="ar-SA"/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03万元，其中：因公出国（境）费预算0万元，公务用车购置费0万元，公务用车运行维护费0万元，公务接待费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en-US" w:bidi="ar-SA"/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03万元。本年度我校根据文件要求实施“零接待”，实际支出0万元，比预算节约2.03万元，较上年同期减少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en-US" w:bidi="ar-SA"/>
        </w:rPr>
        <w:t>0.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4万元。</w:t>
      </w:r>
    </w:p>
    <w:p w14:paraId="24D4E0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楷体" w:cs="宋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宋体"/>
          <w:sz w:val="32"/>
          <w:szCs w:val="32"/>
          <w:lang w:val="en-US" w:eastAsia="zh-CN"/>
        </w:rPr>
        <w:t>(二)项目支出情况</w:t>
      </w:r>
    </w:p>
    <w:p w14:paraId="06235A53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1.项目资金（包括财政资金、自筹资金等）安排落实、总投入等情况分析。</w:t>
      </w:r>
    </w:p>
    <w:p w14:paraId="6CCF0666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2025年度项目支出52.95万元，主要是教员进修费、校园维护费、图书资料费，教学科研与“互联网＋党校培训”体系建设，校园网络运行、租赁、维护经费，驻村帮扶工作队员经费，党校工作经费，租金返还。</w:t>
      </w:r>
    </w:p>
    <w:p w14:paraId="12EAB598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2.项目资金（主要指财政资金）实际使用情况分析。</w:t>
      </w:r>
    </w:p>
    <w:p w14:paraId="7E41C259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2025年度项目支出52.95万元，财政拨款项目支出主要包括：教员进修费、校园维护费、图书资料费18.55万元（其中包括由公用经费调整的3.55万元）、教学科研与“互联网＋党校培训”体系建设6.2万元、校园网络运行、租赁、维护经费9万元、2025年驻村帮扶工作队员经费5.2万元、党校工作经费8万元、租金返还6万元。</w:t>
      </w:r>
    </w:p>
    <w:p w14:paraId="3BA05D92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3.项目资金管理情况分析，主要包括管理制度、办法的制订及运行情况。</w:t>
      </w:r>
    </w:p>
    <w:p w14:paraId="3C455B6E">
      <w:pPr>
        <w:pStyle w:val="28"/>
        <w:keepNext w:val="0"/>
        <w:keepLines w:val="0"/>
        <w:widowControl w:val="0"/>
        <w:shd w:val="clear" w:color="auto" w:fill="auto"/>
        <w:bidi w:val="0"/>
        <w:spacing w:before="0" w:after="0" w:line="582" w:lineRule="exact"/>
        <w:ind w:left="0" w:right="0" w:firstLine="6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项目支出严格按照国家财经法规、预算资金管理办法、财务管理制度的规定执行，把项目资金的审批分配、监督检查与绩效评价结合起来。项目支出中用于采购货物、服务类资金支出由国库集中支付，其他支出遵循先预算、再审批、后支出的原则，确保了财政资金分配和财政审批程序合法、保证了项目资金的合理使用。</w:t>
      </w:r>
    </w:p>
    <w:p w14:paraId="2935E5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三、政府性基金预算支出情况</w:t>
      </w:r>
    </w:p>
    <w:p w14:paraId="5978F9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无</w:t>
      </w:r>
    </w:p>
    <w:p w14:paraId="2882A9C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3CF213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无</w:t>
      </w:r>
    </w:p>
    <w:p w14:paraId="1A7BB70F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561B60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CN" w:eastAsia="zh-CN" w:bidi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CN" w:eastAsia="zh-CN" w:bidi="zh-CN"/>
        </w:rPr>
        <w:t>无</w:t>
      </w:r>
    </w:p>
    <w:p w14:paraId="12515D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40724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1.经济性分析</w:t>
      </w:r>
    </w:p>
    <w:p w14:paraId="213DB3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我校202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年“三公经费”开支比预算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zh-CN" w:eastAsia="zh-CN" w:bidi="ar-SA"/>
        </w:rPr>
        <w:t>节约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2.03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zh-CN" w:eastAsia="zh-CN" w:bidi="ar-SA"/>
        </w:rPr>
        <w:t>万元，主要是按照文件要求，实行零接待。同时，财政供养人员控制在预算编制以内，从源头严格控制和降低了行政成本。</w:t>
      </w:r>
    </w:p>
    <w:p w14:paraId="7958CA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效率性分析</w:t>
      </w:r>
    </w:p>
    <w:p w14:paraId="7A4BCC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我校各项工作进展顺利，在本年度内按时完成了本单位预算决算工作；严格控制了“三公经费”开支；进一步完善了单位内部控制制度；举办了多期培训班，圆满完成了本年度培训计划；宣讲任务和课题调研也顺利完成。</w:t>
      </w:r>
    </w:p>
    <w:p w14:paraId="1EB3EC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有效性分析</w:t>
      </w:r>
    </w:p>
    <w:p w14:paraId="4D6AE4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我单位本年经费开支，保障了单位日常运转，完成了当年度教学、科研任务，充分发挥了政策宣传主阵地、干部培训主渠道、党性锻炼大熔炉作用。对于各项开支遵守规章制度，人员经费安排得当，业务工作与项目经费、人员经费安排配比率良好。</w:t>
      </w:r>
    </w:p>
    <w:p w14:paraId="188FC5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highlight w:val="none"/>
        </w:rPr>
        <w:t>七、存在的问题及原因分析</w:t>
      </w:r>
    </w:p>
    <w:p w14:paraId="5FB5B5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1.项目立项与前期管理不足。前期调研不充分，需求摸排不够全面，项目实施方案编制简单，进度计划、分工责任、风险预判不完善。</w:t>
      </w:r>
    </w:p>
    <w:p w14:paraId="502BA9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资金管理与预算执行不足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。预算编制精细化程度不够，部分经费测算依据不足，预算结构不合理。如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zh-CN" w:eastAsia="zh-CN" w:bidi="ar-SA"/>
        </w:rPr>
        <w:t>因搬迁新校区后校园维护类支出需求迅速增长，教员进修费、校园维护费、图书资料费项目金额紧缺，导致对教员进修和图书资料购买的资金支持比例较小。</w:t>
      </w:r>
    </w:p>
    <w:p w14:paraId="087E4E6D">
      <w:pPr>
        <w:keepNext w:val="0"/>
        <w:keepLines w:val="0"/>
        <w:pageBreakBefore w:val="0"/>
        <w:widowControl/>
        <w:tabs>
          <w:tab w:val="center" w:pos="4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3.项目实施与过程管理不足。资金执行进度不均衡，存在前期支出缓慢、集中年末支付的情况，预算执行率有待提升。</w:t>
      </w:r>
    </w:p>
    <w:p w14:paraId="6B082E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highlight w:val="none"/>
          <w:lang w:val="zh-CN" w:eastAsia="zh-CN"/>
        </w:rPr>
        <w:t>八、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highlight w:val="none"/>
        </w:rPr>
        <w:t>下一步改进措施</w:t>
      </w:r>
    </w:p>
    <w:p w14:paraId="098F19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1.优化项目立项与目标管理。精准设定绩效目标，细化产出指标、效益指标、满意度指标，全部量化、可考核、可对标。规范实施方案编制，明确时间节点、责任分工、实施流程、风险防控措施。</w:t>
      </w:r>
    </w:p>
    <w:p w14:paraId="378B3F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2.规范资金预算与财务管理。提高预算编制科学性，结合往年执行数据、实际需求精准测算，优化预算结构。</w:t>
      </w:r>
    </w:p>
    <w:p w14:paraId="1D0E54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3.强化项目全过程实施管控。倒排资金支付计划，常态化跟踪执行进度，均衡有序列支，提升预算执行效率。</w:t>
      </w:r>
    </w:p>
    <w:p w14:paraId="703D2B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 w:bidi="ar-SA"/>
        </w:rPr>
        <w:t>九、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673535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此次绩效自评结果主要以《202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年度部门整体支出绩效自评表》、《202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年度部门整体支出绩效评价基础数据表》和《202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zh-CN" w:eastAsia="zh-CN" w:bidi="ar-SA"/>
        </w:rPr>
        <w:t>年度项目支出绩效自评表》的形式体现，自评表及自评报告内容完整、权重合理、数据真实、结果客观。我校将绩效自评结果作为完善政策和改进管理的重要依据，同时加强评价结果的应用，对有效支出安排预算，切实提高部门预算绩效管理水平。自评结果将报送县财政局，并依法予以公开。</w:t>
      </w:r>
    </w:p>
    <w:sectPr>
      <w:headerReference r:id="rId3" w:type="default"/>
      <w:footerReference r:id="rId4" w:type="default"/>
      <w:pgSz w:w="11905" w:h="16837"/>
      <w:pgMar w:top="2098" w:right="1474" w:bottom="1984" w:left="1474" w:header="850" w:footer="1417" w:gutter="0"/>
      <w:pgNumType w:fmt="numberInDash" w:start="1"/>
      <w:cols w:space="0" w:num="1"/>
      <w:rtlGutter w:val="0"/>
      <w:docGrid w:type="lines" w:linePitch="6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7A5A93-75D7-4683-916D-940091A1445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9FD1AB0-B3FC-49AE-90EF-3752A597DC5A}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549E848-6697-48D1-B248-0707167927D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BE8B6E3-11DD-436C-853D-FFED450941E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CA63E81E-2E6C-4417-8FE8-9D1E7CE067B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F5EA2A8C-8F9F-4413-864E-80677D416C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394FB"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8D73DF7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- 25 -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aYJL0wAA&#10;AAUBAAAPAAAAAAAAAAEAIAAAACIAAABkcnMvZG93bnJldi54bWxQSwECFAAUAAAACACHTuJAmrEc&#10;4+oBAADLAwAADgAAAAAAAAABACAAAAAiAQAAZHJzL2Uyb0RvYy54bWxQSwUGAAAAAAYABgBZAQAA&#10;f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8D73DF7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- 25 -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F2964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3561A0"/>
    <w:multiLevelType w:val="singleLevel"/>
    <w:tmpl w:val="003561A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2NWQ0N2RlYTlhNzdkODNhN2NlOGZkOTk5ODgwZDEifQ=="/>
    <w:docVar w:name="KSO_WPS_MARK_KEY" w:val="efdb9831-49e2-41f3-897e-affe4bfc1ef8"/>
  </w:docVars>
  <w:rsids>
    <w:rsidRoot w:val="5EF91413"/>
    <w:rsid w:val="001F27BC"/>
    <w:rsid w:val="002D4B0D"/>
    <w:rsid w:val="003062EE"/>
    <w:rsid w:val="00355E6F"/>
    <w:rsid w:val="003E2793"/>
    <w:rsid w:val="003F11DD"/>
    <w:rsid w:val="004E640B"/>
    <w:rsid w:val="00592274"/>
    <w:rsid w:val="00630B10"/>
    <w:rsid w:val="00651AD0"/>
    <w:rsid w:val="00712ECA"/>
    <w:rsid w:val="007C7F1B"/>
    <w:rsid w:val="007F2C1A"/>
    <w:rsid w:val="00826A68"/>
    <w:rsid w:val="00926C8E"/>
    <w:rsid w:val="00970A76"/>
    <w:rsid w:val="00A3179B"/>
    <w:rsid w:val="00A40CEF"/>
    <w:rsid w:val="00A84895"/>
    <w:rsid w:val="00AD157A"/>
    <w:rsid w:val="00AE5FCA"/>
    <w:rsid w:val="00B83482"/>
    <w:rsid w:val="00CF00E5"/>
    <w:rsid w:val="00D30D45"/>
    <w:rsid w:val="00DF2F64"/>
    <w:rsid w:val="00E47EB9"/>
    <w:rsid w:val="00EF286B"/>
    <w:rsid w:val="00EF7465"/>
    <w:rsid w:val="00F5064A"/>
    <w:rsid w:val="00FB5247"/>
    <w:rsid w:val="011C0A03"/>
    <w:rsid w:val="01390BCC"/>
    <w:rsid w:val="01881C21"/>
    <w:rsid w:val="01AB173E"/>
    <w:rsid w:val="01AF452C"/>
    <w:rsid w:val="02050E58"/>
    <w:rsid w:val="024B4144"/>
    <w:rsid w:val="02E230B9"/>
    <w:rsid w:val="03313194"/>
    <w:rsid w:val="03526DC6"/>
    <w:rsid w:val="03640DA7"/>
    <w:rsid w:val="03852204"/>
    <w:rsid w:val="03B83858"/>
    <w:rsid w:val="04956A61"/>
    <w:rsid w:val="053D79EA"/>
    <w:rsid w:val="06783F44"/>
    <w:rsid w:val="081035F5"/>
    <w:rsid w:val="08404F36"/>
    <w:rsid w:val="0885784C"/>
    <w:rsid w:val="08A13917"/>
    <w:rsid w:val="095202B3"/>
    <w:rsid w:val="0A371C48"/>
    <w:rsid w:val="0A461E15"/>
    <w:rsid w:val="0BAC268E"/>
    <w:rsid w:val="0D1F294F"/>
    <w:rsid w:val="0EA46E2D"/>
    <w:rsid w:val="0EE7339E"/>
    <w:rsid w:val="0F1D38DB"/>
    <w:rsid w:val="0F8A3E81"/>
    <w:rsid w:val="10321608"/>
    <w:rsid w:val="104D01F0"/>
    <w:rsid w:val="126F02E7"/>
    <w:rsid w:val="127960C2"/>
    <w:rsid w:val="128706BB"/>
    <w:rsid w:val="128C289E"/>
    <w:rsid w:val="12D76496"/>
    <w:rsid w:val="13F1430E"/>
    <w:rsid w:val="14C23CB6"/>
    <w:rsid w:val="15DF5CFC"/>
    <w:rsid w:val="15E118C5"/>
    <w:rsid w:val="162F731B"/>
    <w:rsid w:val="164E4CC1"/>
    <w:rsid w:val="16AA1FDF"/>
    <w:rsid w:val="18C44B05"/>
    <w:rsid w:val="1921258C"/>
    <w:rsid w:val="19E711C9"/>
    <w:rsid w:val="1A86539E"/>
    <w:rsid w:val="1AC612CA"/>
    <w:rsid w:val="1D514A07"/>
    <w:rsid w:val="1D736768"/>
    <w:rsid w:val="1E02384E"/>
    <w:rsid w:val="1E2D7B42"/>
    <w:rsid w:val="1E621950"/>
    <w:rsid w:val="1F66315F"/>
    <w:rsid w:val="202355A8"/>
    <w:rsid w:val="20C369EC"/>
    <w:rsid w:val="216A31A0"/>
    <w:rsid w:val="217D38DC"/>
    <w:rsid w:val="21887F99"/>
    <w:rsid w:val="21F32188"/>
    <w:rsid w:val="227317B0"/>
    <w:rsid w:val="229365CD"/>
    <w:rsid w:val="22E7596F"/>
    <w:rsid w:val="236F11F3"/>
    <w:rsid w:val="2404388E"/>
    <w:rsid w:val="24C820E3"/>
    <w:rsid w:val="24D93264"/>
    <w:rsid w:val="2605582B"/>
    <w:rsid w:val="26686870"/>
    <w:rsid w:val="27666297"/>
    <w:rsid w:val="27B30E28"/>
    <w:rsid w:val="28264A04"/>
    <w:rsid w:val="282B2D61"/>
    <w:rsid w:val="28F214DC"/>
    <w:rsid w:val="28FC235B"/>
    <w:rsid w:val="297525F8"/>
    <w:rsid w:val="2A064AA7"/>
    <w:rsid w:val="2B8F395A"/>
    <w:rsid w:val="2BA60251"/>
    <w:rsid w:val="2CA21E0A"/>
    <w:rsid w:val="2CD96D87"/>
    <w:rsid w:val="2D7A6A97"/>
    <w:rsid w:val="2DF15952"/>
    <w:rsid w:val="2DFD37C0"/>
    <w:rsid w:val="2E6C7FCB"/>
    <w:rsid w:val="2E88044F"/>
    <w:rsid w:val="2FD60861"/>
    <w:rsid w:val="30D2349F"/>
    <w:rsid w:val="30EE10CA"/>
    <w:rsid w:val="31127C5E"/>
    <w:rsid w:val="3284589B"/>
    <w:rsid w:val="337B1781"/>
    <w:rsid w:val="341734AD"/>
    <w:rsid w:val="34335357"/>
    <w:rsid w:val="36435A6D"/>
    <w:rsid w:val="36F9338A"/>
    <w:rsid w:val="37779E60"/>
    <w:rsid w:val="3929066E"/>
    <w:rsid w:val="39E9356E"/>
    <w:rsid w:val="39F525A2"/>
    <w:rsid w:val="3B8D6CB0"/>
    <w:rsid w:val="3C7B06AE"/>
    <w:rsid w:val="3D6A1B31"/>
    <w:rsid w:val="4015034D"/>
    <w:rsid w:val="423A4637"/>
    <w:rsid w:val="426351F5"/>
    <w:rsid w:val="43596284"/>
    <w:rsid w:val="44224F14"/>
    <w:rsid w:val="44BA060E"/>
    <w:rsid w:val="44BB3C98"/>
    <w:rsid w:val="454063A9"/>
    <w:rsid w:val="45670CB6"/>
    <w:rsid w:val="46705198"/>
    <w:rsid w:val="470041B9"/>
    <w:rsid w:val="47A66F47"/>
    <w:rsid w:val="48190D72"/>
    <w:rsid w:val="487D7439"/>
    <w:rsid w:val="48B00D40"/>
    <w:rsid w:val="49567193"/>
    <w:rsid w:val="49B50C04"/>
    <w:rsid w:val="49F422BC"/>
    <w:rsid w:val="4A4C5543"/>
    <w:rsid w:val="4A856EB6"/>
    <w:rsid w:val="4B2F0121"/>
    <w:rsid w:val="4B6C5A20"/>
    <w:rsid w:val="4BB72B70"/>
    <w:rsid w:val="4BBB1991"/>
    <w:rsid w:val="4BBB220E"/>
    <w:rsid w:val="4BCA227C"/>
    <w:rsid w:val="4D6A77A1"/>
    <w:rsid w:val="4D6D7599"/>
    <w:rsid w:val="4D765FE4"/>
    <w:rsid w:val="4D7F362E"/>
    <w:rsid w:val="4E0A33A3"/>
    <w:rsid w:val="4E1B3885"/>
    <w:rsid w:val="4E8E6EBD"/>
    <w:rsid w:val="4EFF3268"/>
    <w:rsid w:val="4F670C47"/>
    <w:rsid w:val="504247F9"/>
    <w:rsid w:val="509C514E"/>
    <w:rsid w:val="5316523A"/>
    <w:rsid w:val="53664BDE"/>
    <w:rsid w:val="53F35F85"/>
    <w:rsid w:val="553254BE"/>
    <w:rsid w:val="553B4087"/>
    <w:rsid w:val="55E276DA"/>
    <w:rsid w:val="56A6609C"/>
    <w:rsid w:val="57B15DE1"/>
    <w:rsid w:val="583020DD"/>
    <w:rsid w:val="586D792B"/>
    <w:rsid w:val="592547BC"/>
    <w:rsid w:val="59544026"/>
    <w:rsid w:val="5AB9755B"/>
    <w:rsid w:val="5AE1053E"/>
    <w:rsid w:val="5AF474F0"/>
    <w:rsid w:val="5B742D21"/>
    <w:rsid w:val="5BB151FE"/>
    <w:rsid w:val="5C0351D3"/>
    <w:rsid w:val="5CBA1D36"/>
    <w:rsid w:val="5D973665"/>
    <w:rsid w:val="5E761F1B"/>
    <w:rsid w:val="5EF91413"/>
    <w:rsid w:val="5F567206"/>
    <w:rsid w:val="5F875025"/>
    <w:rsid w:val="5FA409D9"/>
    <w:rsid w:val="60D6222F"/>
    <w:rsid w:val="617B4C7F"/>
    <w:rsid w:val="620D6DAC"/>
    <w:rsid w:val="6217071C"/>
    <w:rsid w:val="62CE02E9"/>
    <w:rsid w:val="62E23B8B"/>
    <w:rsid w:val="632C6B3E"/>
    <w:rsid w:val="633F0072"/>
    <w:rsid w:val="63615951"/>
    <w:rsid w:val="636447A9"/>
    <w:rsid w:val="64E07CE5"/>
    <w:rsid w:val="666920D7"/>
    <w:rsid w:val="66F756A1"/>
    <w:rsid w:val="67A447BA"/>
    <w:rsid w:val="68AA1941"/>
    <w:rsid w:val="68C1250B"/>
    <w:rsid w:val="69380B1B"/>
    <w:rsid w:val="696D0DF3"/>
    <w:rsid w:val="699955E0"/>
    <w:rsid w:val="6A3A2708"/>
    <w:rsid w:val="6AD6500B"/>
    <w:rsid w:val="6AE504BB"/>
    <w:rsid w:val="6C1733E6"/>
    <w:rsid w:val="6CF536F6"/>
    <w:rsid w:val="6D6B4530"/>
    <w:rsid w:val="6E3A48D9"/>
    <w:rsid w:val="6EB956F5"/>
    <w:rsid w:val="6EE90259"/>
    <w:rsid w:val="6F8673D6"/>
    <w:rsid w:val="6FCF75EC"/>
    <w:rsid w:val="70446EA1"/>
    <w:rsid w:val="707537A6"/>
    <w:rsid w:val="71591FCE"/>
    <w:rsid w:val="71617018"/>
    <w:rsid w:val="71F256AB"/>
    <w:rsid w:val="73133AF6"/>
    <w:rsid w:val="736D4488"/>
    <w:rsid w:val="741152AF"/>
    <w:rsid w:val="74F471D8"/>
    <w:rsid w:val="75232E01"/>
    <w:rsid w:val="753A5550"/>
    <w:rsid w:val="75B4584A"/>
    <w:rsid w:val="785766AD"/>
    <w:rsid w:val="78FDF452"/>
    <w:rsid w:val="7A885D79"/>
    <w:rsid w:val="7CE64029"/>
    <w:rsid w:val="7CEF2B13"/>
    <w:rsid w:val="7D2C3E42"/>
    <w:rsid w:val="7D9B06DF"/>
    <w:rsid w:val="7DAF813A"/>
    <w:rsid w:val="7E041F7D"/>
    <w:rsid w:val="7E1B1436"/>
    <w:rsid w:val="BEF5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312" w:lineRule="auto"/>
      <w:jc w:val="center"/>
      <w:outlineLvl w:val="1"/>
    </w:pPr>
    <w:rPr>
      <w:rFonts w:ascii="Cambria" w:hAnsi="Cambria" w:cs="宋体"/>
      <w:b/>
      <w:bCs/>
      <w:sz w:val="36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semiHidden/>
    <w:qFormat/>
    <w:uiPriority w:val="99"/>
    <w:rPr>
      <w:rFonts w:ascii="黑体" w:hAnsi="黑体" w:eastAsia="黑体" w:cs="黑体"/>
    </w:rPr>
  </w:style>
  <w:style w:type="paragraph" w:styleId="8">
    <w:name w:val="Subtitle"/>
    <w:basedOn w:val="1"/>
    <w:next w:val="1"/>
    <w:qFormat/>
    <w:uiPriority w:val="0"/>
    <w:pPr>
      <w:ind w:firstLine="200" w:firstLineChars="200"/>
      <w:jc w:val="left"/>
      <w:outlineLvl w:val="2"/>
    </w:pPr>
    <w:rPr>
      <w:rFonts w:ascii="Cambria" w:hAnsi="Cambria" w:eastAsia="黑体"/>
      <w:bCs/>
      <w:kern w:val="28"/>
      <w:sz w:val="28"/>
      <w:szCs w:val="32"/>
    </w:rPr>
  </w:style>
  <w:style w:type="paragraph" w:styleId="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styleId="10">
    <w:name w:val="Body Text First Indent"/>
    <w:basedOn w:val="4"/>
    <w:qFormat/>
    <w:uiPriority w:val="0"/>
    <w:pPr>
      <w:ind w:firstLine="664"/>
    </w:pPr>
  </w:style>
  <w:style w:type="character" w:styleId="13">
    <w:name w:val="page number"/>
    <w:basedOn w:val="12"/>
    <w:qFormat/>
    <w:uiPriority w:val="0"/>
  </w:style>
  <w:style w:type="paragraph" w:customStyle="1" w:styleId="14">
    <w:name w:val="BodyText1I2"/>
    <w:basedOn w:val="15"/>
    <w:qFormat/>
    <w:uiPriority w:val="0"/>
    <w:pPr>
      <w:ind w:firstLine="420"/>
    </w:pPr>
  </w:style>
  <w:style w:type="paragraph" w:customStyle="1" w:styleId="15">
    <w:name w:val="BodyTextIndent"/>
    <w:basedOn w:val="1"/>
    <w:qFormat/>
    <w:uiPriority w:val="0"/>
    <w:pPr>
      <w:spacing w:after="120"/>
      <w:ind w:left="420" w:leftChars="200" w:firstLine="200" w:firstLineChars="200"/>
      <w:textAlignment w:val="baseline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7">
    <w:name w:val="无间隔1"/>
    <w:qFormat/>
    <w:uiPriority w:val="0"/>
    <w:pPr>
      <w:widowControl w:val="0"/>
      <w:spacing w:beforeLines="50"/>
      <w:jc w:val="center"/>
    </w:pPr>
    <w:rPr>
      <w:rFonts w:ascii="Times New Roman" w:hAnsi="Times New Roman" w:eastAsia="仿宋_GB2312" w:cs="Times New Roman"/>
      <w:kern w:val="2"/>
      <w:sz w:val="24"/>
      <w:szCs w:val="22"/>
      <w:lang w:val="en-US" w:eastAsia="zh-CN" w:bidi="ar-SA"/>
    </w:rPr>
  </w:style>
  <w:style w:type="paragraph" w:customStyle="1" w:styleId="18">
    <w:name w:val="无缩进"/>
    <w:basedOn w:val="1"/>
    <w:qFormat/>
    <w:uiPriority w:val="0"/>
    <w:pPr>
      <w:spacing w:line="312" w:lineRule="auto"/>
    </w:pPr>
    <w:rPr>
      <w:sz w:val="24"/>
      <w:szCs w:val="22"/>
    </w:rPr>
  </w:style>
  <w:style w:type="paragraph" w:customStyle="1" w:styleId="19">
    <w:name w:val="列出段落1"/>
    <w:basedOn w:val="1"/>
    <w:qFormat/>
    <w:uiPriority w:val="0"/>
    <w:pPr>
      <w:ind w:firstLine="420" w:firstLineChars="200"/>
    </w:pPr>
  </w:style>
  <w:style w:type="paragraph" w:customStyle="1" w:styleId="20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21">
    <w:name w:val="font61"/>
    <w:basedOn w:val="12"/>
    <w:qFormat/>
    <w:uiPriority w:val="0"/>
    <w:rPr>
      <w:rFonts w:ascii="Times New Roman" w:hAnsi="Times New Roman" w:cs="Times New Roman"/>
      <w:b/>
      <w:color w:val="000000"/>
      <w:sz w:val="28"/>
      <w:szCs w:val="28"/>
      <w:u w:val="none"/>
    </w:rPr>
  </w:style>
  <w:style w:type="character" w:customStyle="1" w:styleId="22">
    <w:name w:val="font121"/>
    <w:basedOn w:val="12"/>
    <w:qFormat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23">
    <w:name w:val="font11"/>
    <w:basedOn w:val="12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31"/>
    <w:basedOn w:val="12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141"/>
    <w:basedOn w:val="12"/>
    <w:qFormat/>
    <w:uiPriority w:val="0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26">
    <w:name w:val="font101"/>
    <w:basedOn w:val="12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paragraph" w:customStyle="1" w:styleId="27">
    <w:name w:val="Other|1"/>
    <w:basedOn w:val="1"/>
    <w:qFormat/>
    <w:uiPriority w:val="0"/>
    <w:pPr>
      <w:widowControl w:val="0"/>
      <w:shd w:val="clear" w:color="auto" w:fill="auto"/>
      <w:spacing w:line="238" w:lineRule="exact"/>
    </w:pPr>
    <w:rPr>
      <w:rFonts w:ascii="宋体" w:hAnsi="宋体" w:eastAsia="宋体" w:cs="宋体"/>
      <w:color w:val="1D1433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28">
    <w:name w:val="正文文本1"/>
    <w:basedOn w:val="1"/>
    <w:qFormat/>
    <w:uiPriority w:val="0"/>
    <w:pPr>
      <w:widowControl w:val="0"/>
      <w:shd w:val="clear" w:color="auto" w:fill="FFFFFF"/>
      <w:spacing w:line="389" w:lineRule="auto"/>
      <w:ind w:firstLine="400"/>
    </w:pPr>
    <w:rPr>
      <w:rFonts w:ascii="MingLiU" w:hAnsi="MingLiU" w:eastAsia="MingLiU" w:cs="MingLiU"/>
      <w:sz w:val="30"/>
      <w:szCs w:val="30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3185</Words>
  <Characters>3394</Characters>
  <Lines>102</Lines>
  <Paragraphs>28</Paragraphs>
  <TotalTime>11</TotalTime>
  <ScaleCrop>false</ScaleCrop>
  <LinksUpToDate>false</LinksUpToDate>
  <CharactersWithSpaces>3398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2022-01-06T16:40:00Z</dcterms:created>
  <dc:creator>greatwall</dc:creator>
  <cp:lastModifiedBy>九</cp:lastModifiedBy>
  <cp:lastPrinted>2025-04-27T05:43:00Z</cp:lastPrinted>
  <dcterms:modified xsi:type="dcterms:W3CDTF">2026-04-16T06:54:26Z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B8615F5A2370456BBD36A37927DB52D6_13</vt:lpwstr>
  </property>
  <property fmtid="{D5CDD505-2E9C-101B-9397-08002B2CF9AE}" pid="4" name="commondata">
    <vt:lpwstr>eyJoZGlkIjoiYTYyNDdjODg3NGNlNDkxMWExODY4YWEyMTRmNzM4NmQifQ==</vt:lpwstr>
  </property>
  <property fmtid="{D5CDD505-2E9C-101B-9397-08002B2CF9AE}" pid="5" name="KSOTemplateDocerSaveRecord">
    <vt:lpwstr>eyJoZGlkIjoiZWMxN2ExMjVkMTg4YWIyY2Y1OTUwYTY5MmQ1YmI4OWMiLCJ1c2VySWQiOiIyOTE3NzAxMjIifQ==</vt:lpwstr>
  </property>
</Properties>
</file>