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3F7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</w:p>
    <w:p w14:paraId="6A85E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</w:p>
    <w:p w14:paraId="51077A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2025年度安化县文学艺术界联合会</w:t>
      </w: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1D06EA0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63E2F97"/>
    <w:p w14:paraId="718C69E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1F43D0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5785A3A3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C48343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53AA12E0">
      <w:pPr>
        <w:pStyle w:val="3"/>
      </w:pPr>
    </w:p>
    <w:p w14:paraId="7E12DDD1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</w:p>
    <w:p w14:paraId="569543F9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申报单位（盖章）：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安化县文学艺术界联合会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              </w:t>
      </w:r>
    </w:p>
    <w:p w14:paraId="3CEDE7BB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2B563D9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月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21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日</w:t>
      </w:r>
    </w:p>
    <w:p w14:paraId="2422DA30">
      <w:pPr>
        <w:jc w:val="center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  <w:bookmarkStart w:id="0" w:name="_GoBack"/>
      <w:bookmarkEnd w:id="0"/>
    </w:p>
    <w:p w14:paraId="5C7A14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安化县文学艺术界联合会</w:t>
      </w:r>
    </w:p>
    <w:p w14:paraId="464A5C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54CC52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03126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 xml:space="preserve">1. 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在职人员情况</w:t>
      </w:r>
    </w:p>
    <w:p w14:paraId="6545AF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根据编委核定，我单位编制5人，文联主席1人，副主席1人，工作人员3人。实际在职人员5人。</w:t>
      </w:r>
    </w:p>
    <w:p w14:paraId="398164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机构设置</w:t>
      </w:r>
    </w:p>
    <w:p w14:paraId="38EA57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根据编委核定，我单位内设股室2个，分别是办公室、组联部。 </w:t>
      </w:r>
    </w:p>
    <w:p w14:paraId="7D0866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主要职能及重点工作计划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 xml:space="preserve"> </w:t>
      </w:r>
    </w:p>
    <w:p w14:paraId="1980A3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spacing w:val="6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202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安化县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文联在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省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市文联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的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有力指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导、在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县委县政府和县委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宣传部的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正确领导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下，深入学习贯彻习近平文化思想，紧扣“文化振兴引领乡村振兴”核心主线，在组织保障、惠民服务、精品创作等方面多点发力、纵深推进，为县域发展注入强劲文化动能。</w:t>
      </w:r>
    </w:p>
    <w:p w14:paraId="2B83BA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持续深化习近平新时代中国特色社会主义思想学习，将习近平文化思想纳入文艺工作者学习核心内容，组织集中学习传达习近平文化思想4次，专题研讨12次。推动成立2个文艺家协会联合党支部，搭建党建引领文艺人才培养平台。强化财会监督与规范管理，对各文艺家协会开展财务专项检查，重点核查经费收支合规性，筑牢廉洁自律防线，保障文艺事业经费使用规范高效。</w:t>
      </w:r>
    </w:p>
    <w:p w14:paraId="1A46EE3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部门整体支出规模、使用方向、主要内容和涉及范围。</w:t>
      </w:r>
    </w:p>
    <w:p w14:paraId="473D00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20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年没有政府性基金预算拨款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没有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国有资本经营预算收入和纳入专户管理的非税收入拨款收入，也没有使用政府性基金预算拨款、国有资本经营预算收入和纳入专户管理的非税收入拨款安排的支出。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2025年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收入包括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县级财政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经费拨款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252.41万元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不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包括行政事业性收费收入和国有资源有偿使用收入；支出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252.41万元，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包括保障基本运行的经费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其中基本支出71.36万元（工资福利支出65.05万元，商品和服务支出6.31万元），项目支出181.05万元（文化振兴引领乡村振兴支出130万元，15个文艺家协会活动经费7万元，文艺工作者走基层专项13万元，优秀文艺作品扶持奖励10万元，追加文联工作经费10万元，追加文学艺术中心修缮经费10万元，驻村队员工作经费1.05万元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。</w:t>
      </w:r>
    </w:p>
    <w:p w14:paraId="0B2DAB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074E3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52623F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202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年度财政拨款基本支出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71.36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万元，其中：</w:t>
      </w:r>
    </w:p>
    <w:p w14:paraId="2A8FDF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人员经费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65.05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万元，占基本支出的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91.16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%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主要包括基本工资、津贴补贴、奖金、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养老保险、医疗保险、工伤保险、住房公积金等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。</w:t>
      </w:r>
    </w:p>
    <w:p w14:paraId="3F0FD3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公用经费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6.31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万元，占基本支出的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8.84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%，主要包括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交通补贴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、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工会经费等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。</w:t>
      </w:r>
    </w:p>
    <w:p w14:paraId="5B40994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项目支出情况</w:t>
      </w:r>
    </w:p>
    <w:p w14:paraId="1096C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202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年度财政拨款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项目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支出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181.05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万元，其中：</w:t>
      </w:r>
    </w:p>
    <w:p w14:paraId="2B72E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文化振兴引领乡村振兴支出130万元，占项目支出的71.8%；15个文艺家协会活动经费7万元，占项目支出的3.87%；文艺工作者走基层专项13万元，占项目支出的7.2%；优秀文艺作品扶持奖励10万元，占项目支出的5.52%；追加文联工作经费10万元，占项目支出的5.52%；追加文学艺术中心修缮经费10万元，占项目支出的5.52%，驻村队员工作经费1.05万元，占项目支出的0.58%。</w:t>
      </w:r>
    </w:p>
    <w:p w14:paraId="75D1B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紧扣“百姓大舞台”“黑茶小剧场”核心品牌，构建“周周有演出、月月有主题、季季有亮点”的文化供给体系。依托滨江广场、黑茶交易中心，每周五、周六固定开展惠民演出42场，《补锅》《安化黑茶新韵赞》等经典剧目与原创作品轮番上演，兼顾各年龄段需求，场场座无虚席。</w:t>
      </w:r>
    </w:p>
    <w:p w14:paraId="045B6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以村级文化广场为载体，建立“实践搭台、培训赋能”机制，组建戏曲、舞蹈等“流动师资团”，采用“手把手教学、碎片化授课”模式，利用农闲开展文艺培训班300余期，培训近10000人次，培育农村文艺骨干700余人。全年举办“村晚”、民俗展演等36场，送戏下乡152场，马路镇、小淹镇肖家村特色活动成为乡村文旅名片，让村民从“台下观众”变身“台上主角”。</w:t>
      </w:r>
    </w:p>
    <w:p w14:paraId="0B77AB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精心策划系列纪念活动，召开县文联成立四十周年暨文艺工作座谈会，邀请省、市、县领导及知名文艺家、老中青代表共70余人参会，探讨高质量发展路径。同步制作宣传片、举办优秀文艺作品展，集中展示100余件精品，并在《安化文艺》专栏推送赏析内容，全方位展现发展成果。</w:t>
      </w:r>
    </w:p>
    <w:p w14:paraId="543FE7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紧扣乡村振兴、梅山文化等核心主题，推出一批精品力作。肖希《芥子园中的早春图》入选中国当代美术作品展并赴意大利展出；杨文辉报告文学《正是人间好时节》入选省作协重点扶持项目，汪永飞组诗获省作协主题创作三等奖，向亮晶剪纸作品获评省级优秀民间工艺美术作品，电影《动听的生命》获省级奖励50万元，原创歌曲《幸福就在乡村里》斩获省级征集活动二等奖。</w:t>
      </w:r>
    </w:p>
    <w:p w14:paraId="41A599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安化县文联以文艺助力乡村振兴的经验在全市作典型发言，《茶乡搭台百姓唱，文艺惠民振兴乡村》获《湖南日报》长篇专版报道。成功推动梅城镇获评“中华诗词之乡”，小淹镇获评“湖南诗词之乡”，平口镇兴果村、烟溪镇双烟村被设立为“湖南省楹联家协会研学中心”，田小华、向亮晶等文艺工作者影响力提升，杨文辉当选省作协委员。</w:t>
      </w:r>
    </w:p>
    <w:p w14:paraId="50369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为鼓励文艺工作者“深入生活、扎根人民”，组织开展了2次文艺工作者走基层活动。完善优秀文艺作品扶持奖励机制，完成安化县2023-2024年度优秀文艺作品扶持奖励申报工作，对71件优秀文艺作品进行扶持奖励。《冰碛岩上的仙草》征文活动结集出版，106件乡村振兴主题美术作品集中展出，充分展现了安化自然之美、发展之变。</w:t>
      </w:r>
    </w:p>
    <w:p w14:paraId="679F05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三、政府性基金预算支出情况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无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）</w:t>
      </w:r>
    </w:p>
    <w:p w14:paraId="022FD9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四、国有资本经营预算支出情况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无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）</w:t>
      </w:r>
    </w:p>
    <w:p w14:paraId="7310B9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五、社会保险基金预算支出情况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无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  <w:t>）</w:t>
      </w:r>
    </w:p>
    <w:p w14:paraId="5FF3B0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4853EB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文联机关工作人员5人，在人手少，经费紧的情况下，既完成了共性任务，也完成了个性任务。共性任务有：党建工作、组织工作、人才工作、创建工作、法制工作、财务工作、工会工作、妇女工作、优化工作、禁毒工作、纪检监察工作、机构编制工作、预算编制工作、决算编制工作、预算公开工作、决算公开工作、能耗月报年报工作、公务员平时考核工作、党统工作、公统工作、绩效考核工作、绩效评估工作、养老医保工伤公积金按月汇缴工作、个人所得税代扣代缴工作、公文收发、档案工作、通讯报道等等。</w:t>
      </w:r>
    </w:p>
    <w:p w14:paraId="5EB54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个性任务完成情况：</w:t>
      </w:r>
    </w:p>
    <w:p w14:paraId="45BBE9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（一）政治引领明方向，高位谋划强保障</w:t>
      </w:r>
    </w:p>
    <w:p w14:paraId="13AD2C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1.党建领航赋能文艺。持续深化习近平新时代中国特色社会主义思想学习，将习近平文化思想纳入文艺工作者学习核心内容，组织集中学习传达习近平文化思想4次，专题研讨12次。推动成立2个文艺家协会联合党支部，搭建党建引领文艺人才培养平台。强化财会监督与规范管理，对各文艺家协会开展财务专项检查，重点核查经费收支合规性，筑牢廉洁自律防线，保障文艺事业经费使用规范高效。</w:t>
      </w:r>
    </w:p>
    <w:p w14:paraId="12C7EE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.保障提质夯实根基。县委县政府高度重视文艺事业，县委书记石录明专题调研文联工作，明确县财政每年安排150万元专项经费。市文联党组书记、主席刘益希，县委书记潘文剑出席县文联成立四十周年暨文艺工作座谈会并讲话，为文艺事业发展指明方向、凝聚共识。</w:t>
      </w:r>
    </w:p>
    <w:p w14:paraId="68D300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3.阵地升级实现飞跃。5月28日，安化县文学艺术中心正式投入使用，设专业艺术展厅、协会办公区及创作室，实现“集中办公、资源共享”。启用首月便接待文艺工作者5000余人次，大幅提升了文联组织的凝聚力与向心力。</w:t>
      </w:r>
    </w:p>
    <w:p w14:paraId="274F14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（二）品牌赋能惠民生，文化扎根暖人心</w:t>
      </w:r>
    </w:p>
    <w:p w14:paraId="1F95A8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1.常态化演出点亮生活。紧扣“百姓大舞台”“黑茶小剧场”核心品牌，构建“周周有演出、月月有主题、季季有亮点”的文化供给体系。依托滨江广场、黑茶交易中心，每周五、周六固定开展惠民演出42场，《补锅》《安化黑茶新韵赞》等经典剧目与原创作品轮番上演，兼顾各年龄段需求，场场座无虚席。</w:t>
      </w:r>
    </w:p>
    <w:p w14:paraId="03CA2F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.全域延伸推动“种文化”。以村级文化广场为载体，建立“实践搭台、培训赋能”机制，组建戏曲、舞蹈等“流动师资团”，采用“手把手教学、碎片化授课”模式，利用农闲开展文艺培训班300余期，培训近10000人次，培育农村文艺骨干700余人。全年举办“村晚”、民俗展演等36场，送戏下乡152场，马路镇、小淹镇肖家村特色活动成为乡村文旅名片，让村民从“台下观众”变身“台上主角”。</w:t>
      </w:r>
    </w:p>
    <w:p w14:paraId="33EEC8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3.四十周年活动唱响惠民乐章。精心策划系列纪念活动，召开县文联成立四十周年暨文艺工作座谈会，邀请省、市、县领导及知名文艺家、老中青代表共70余人参会，探讨高质量发展路径。同步制作宣传片、举办优秀文艺作品展，集中展示100余件精品，并在《安化文艺》专栏推送赏析内容，全方位展现发展成果。</w:t>
      </w:r>
    </w:p>
    <w:p w14:paraId="0E3F4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（三）精品创作结硕果，文化IP亮名片</w:t>
      </w:r>
    </w:p>
    <w:p w14:paraId="72615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1.主题创作彰显时代风貌。紧扣乡村振兴、梅山文化等核心主题，推出一批精品力作。肖希《芥子园中的早春图》入选中国当代美术作品展并赴意大利展出；杨文辉报告文学《正是人间好时节》入选省作协重点扶持项目，汪永飞组诗获省作协主题创作三等奖，向亮晶剪纸作品获评省级优秀民间工艺美术作品，电影《动听的生命》获省级奖励50万元，原创歌曲《幸福就在乡村里》斩获省级征集活动二等奖。</w:t>
      </w:r>
    </w:p>
    <w:p w14:paraId="30285B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.佳绩纷呈涵养文化底气。安化县文联以文艺助力乡村振兴的经验在全市作典型发言，《茶乡搭台百姓唱，文艺惠民振兴乡村》获《湖南日报》长篇专版报道。成功推动梅城镇获评“中华诗词之乡”，小淹镇获评“湖南诗词之乡”，平口镇兴果村、烟溪镇双烟村被设立为“湖南省楹联家协会研学中心”，田小华、向亮晶等文艺工作者影响力提升，杨文辉当选省作协委员。</w:t>
      </w:r>
    </w:p>
    <w:p w14:paraId="4E9E24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3.扎根人民厚植创作沃土。为鼓励文艺工作者“深入生活、扎根人民”，组织开展了2次文艺工作者走基层活动。完善优秀文艺作品扶持奖励机制，完成安化县2023-2024年度优秀文艺作品扶持奖励申报工作，对71件优秀文艺作品进行扶持奖励。《冰碛岩上的仙草》征文活动结集出版，106件乡村振兴主题美术作品集中展出，充分展现了安化自然之美、发展之变。</w:t>
      </w:r>
    </w:p>
    <w:p w14:paraId="0FEBE9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3CAF2B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2025年，县文联工作虽取得一定成效，但仍存在一定不足：一是文艺精品的全国影响力有待进一步提升，部分作品打磨不够精细；二是文艺与产业融合的深度和广度不足，文化IP转化成效不够显著；三是意识形态工作的创新举措不多，对新兴文艺形态的引导力度有待加强；四是党建工作缺乏创新思维，活动形式相对单一，内容不够丰富，对党员的吸引力不足。</w:t>
      </w:r>
    </w:p>
    <w:p w14:paraId="6C95BCB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6F6624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坚持作品为王，全力冲刺精品创作。深化惠民服务，丰富群众文化生活。办好重点活动，打造特色文化品牌。强化队伍建设，凝聚文艺发展合力。</w:t>
      </w:r>
    </w:p>
    <w:p w14:paraId="1795455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143A2B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 w:firstLine="320" w:firstLineChars="1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自评分100分。</w:t>
      </w:r>
    </w:p>
    <w:p w14:paraId="698703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 w:firstLine="320" w:firstLineChars="100"/>
        <w:jc w:val="left"/>
        <w:textAlignment w:val="auto"/>
        <w:rPr>
          <w:rFonts w:hint="default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已公开。</w:t>
      </w:r>
    </w:p>
    <w:p w14:paraId="72175E4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3481AB55">
      <w:pPr>
        <w:ind w:firstLine="640" w:firstLineChars="200"/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039768"/>
    <w:multiLevelType w:val="singleLevel"/>
    <w:tmpl w:val="BC039768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D593B2D1"/>
    <w:multiLevelType w:val="singleLevel"/>
    <w:tmpl w:val="D593B2D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5OTdkMDE5OGFlZWRkNWU2NWVhNTAwM2FjYmFkNjgifQ=="/>
  </w:docVars>
  <w:rsids>
    <w:rsidRoot w:val="054D119E"/>
    <w:rsid w:val="01601AE1"/>
    <w:rsid w:val="03977E2B"/>
    <w:rsid w:val="049D53E8"/>
    <w:rsid w:val="054D119E"/>
    <w:rsid w:val="070C28DE"/>
    <w:rsid w:val="07303647"/>
    <w:rsid w:val="07834179"/>
    <w:rsid w:val="08351AAF"/>
    <w:rsid w:val="0B0961AE"/>
    <w:rsid w:val="0C937EB6"/>
    <w:rsid w:val="0D3B4C80"/>
    <w:rsid w:val="0D8A3CFA"/>
    <w:rsid w:val="0E2D1AB8"/>
    <w:rsid w:val="100D394F"/>
    <w:rsid w:val="101271B8"/>
    <w:rsid w:val="1620726D"/>
    <w:rsid w:val="1B777AC9"/>
    <w:rsid w:val="1DCE2604"/>
    <w:rsid w:val="1F6D6ADF"/>
    <w:rsid w:val="21684F5B"/>
    <w:rsid w:val="25D46867"/>
    <w:rsid w:val="25F00653"/>
    <w:rsid w:val="26DC196E"/>
    <w:rsid w:val="36A07989"/>
    <w:rsid w:val="37AC5C04"/>
    <w:rsid w:val="37BD3BCC"/>
    <w:rsid w:val="387C2E04"/>
    <w:rsid w:val="3B8C756F"/>
    <w:rsid w:val="3D990D6A"/>
    <w:rsid w:val="416A4C2B"/>
    <w:rsid w:val="41C55588"/>
    <w:rsid w:val="432D2509"/>
    <w:rsid w:val="433B7F85"/>
    <w:rsid w:val="484E277B"/>
    <w:rsid w:val="50CF3D2E"/>
    <w:rsid w:val="534530AA"/>
    <w:rsid w:val="58D803A9"/>
    <w:rsid w:val="59771658"/>
    <w:rsid w:val="5C003935"/>
    <w:rsid w:val="625E7607"/>
    <w:rsid w:val="643C5613"/>
    <w:rsid w:val="6C504AE1"/>
    <w:rsid w:val="70C64CF5"/>
    <w:rsid w:val="741116A9"/>
    <w:rsid w:val="75EB48B6"/>
    <w:rsid w:val="762A368F"/>
    <w:rsid w:val="77683D89"/>
    <w:rsid w:val="79C11EE8"/>
    <w:rsid w:val="7DE50241"/>
    <w:rsid w:val="7F7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semiHidden/>
    <w:qFormat/>
    <w:uiPriority w:val="99"/>
    <w:rPr>
      <w:rFonts w:ascii="黑体" w:hAnsi="黑体" w:eastAsia="黑体" w:cs="黑体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5468</Words>
  <Characters>5707</Characters>
  <Lines>0</Lines>
  <Paragraphs>0</Paragraphs>
  <TotalTime>0</TotalTime>
  <ScaleCrop>false</ScaleCrop>
  <LinksUpToDate>false</LinksUpToDate>
  <CharactersWithSpaces>5728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2024-06-27T00:27:00Z</dcterms:created>
  <dc:creator>宝宝妈</dc:creator>
  <cp:lastModifiedBy>宝宝妈</cp:lastModifiedBy>
  <dcterms:modified xsi:type="dcterms:W3CDTF">2026-04-21T03:37:36Z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BE6F1777738A4552927AE2B2EA0D31A9_13</vt:lpwstr>
  </property>
  <property fmtid="{D5CDD505-2E9C-101B-9397-08002B2CF9AE}" pid="4" name="KSOTemplateDocerSaveRecord">
    <vt:lpwstr>eyJoZGlkIjoiMDFkMWIxZWIxNDM3MmJhMzk2NTk4Nzc4NTY3YTMwZmEiLCJ1c2VySWQiOiI3MTQxNDIyODEifQ==</vt:lpwstr>
  </property>
</Properties>
</file>