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6EF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31"/>
          <w:szCs w:val="31"/>
        </w:rPr>
        <w:t>附件4</w:t>
      </w:r>
    </w:p>
    <w:p w14:paraId="7DCE44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1E0B44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004F97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4F551C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3A07FCF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40E056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68AE36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4654E8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黑体" w:hAnsi="黑体" w:eastAsia="黑体" w:cs="黑体"/>
          <w:b/>
          <w:bCs/>
          <w:spacing w:val="24"/>
          <w:sz w:val="51"/>
          <w:szCs w:val="51"/>
          <w:lang w:eastAsia="zh-CN"/>
        </w:rPr>
      </w:pPr>
      <w:r>
        <w:rPr>
          <w:rFonts w:hint="eastAsia" w:ascii="黑体" w:hAnsi="黑体" w:eastAsia="黑体" w:cs="黑体"/>
          <w:b/>
          <w:bCs/>
          <w:spacing w:val="24"/>
          <w:sz w:val="51"/>
          <w:szCs w:val="51"/>
        </w:rPr>
        <w:t>202</w:t>
      </w:r>
      <w:r>
        <w:rPr>
          <w:rFonts w:hint="eastAsia" w:ascii="黑体" w:hAnsi="黑体" w:eastAsia="黑体" w:cs="黑体"/>
          <w:b/>
          <w:bCs/>
          <w:spacing w:val="24"/>
          <w:sz w:val="51"/>
          <w:szCs w:val="51"/>
          <w:lang w:val="en-US" w:eastAsia="zh-CN"/>
        </w:rPr>
        <w:t>5</w:t>
      </w:r>
      <w:r>
        <w:rPr>
          <w:rFonts w:hint="eastAsia" w:ascii="黑体" w:hAnsi="黑体" w:eastAsia="黑体" w:cs="黑体"/>
          <w:b/>
          <w:bCs/>
          <w:spacing w:val="24"/>
          <w:sz w:val="51"/>
          <w:szCs w:val="51"/>
        </w:rPr>
        <w:t>年度安化县</w:t>
      </w:r>
      <w:r>
        <w:rPr>
          <w:rFonts w:hint="eastAsia" w:ascii="黑体" w:hAnsi="黑体" w:eastAsia="黑体" w:cs="黑体"/>
          <w:b/>
          <w:bCs/>
          <w:spacing w:val="24"/>
          <w:sz w:val="51"/>
          <w:szCs w:val="51"/>
          <w:lang w:eastAsia="zh-CN"/>
        </w:rPr>
        <w:t>教育局（部门）</w:t>
      </w:r>
    </w:p>
    <w:p w14:paraId="53E5AF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51"/>
          <w:szCs w:val="51"/>
        </w:rPr>
        <w:t>整体支出绩效自评报告</w:t>
      </w:r>
    </w:p>
    <w:p w14:paraId="7DD60A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3C609F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459B3F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4D0689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0E6A2F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bookmarkStart w:id="0" w:name="_GoBack"/>
      <w:bookmarkEnd w:id="0"/>
    </w:p>
    <w:p w14:paraId="235830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1B2EF4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4230D5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6BB78A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312F28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22C5E5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7"/>
          <w:szCs w:val="37"/>
          <w:u w:val="single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24"/>
          <w:sz w:val="37"/>
          <w:szCs w:val="37"/>
        </w:rPr>
        <w:t>申报单位(盖章):</w:t>
      </w:r>
      <w:r>
        <w:rPr>
          <w:rFonts w:hint="eastAsia" w:ascii="黑体" w:hAnsi="黑体" w:eastAsia="黑体" w:cs="黑体"/>
          <w:b/>
          <w:bCs/>
          <w:spacing w:val="24"/>
          <w:sz w:val="37"/>
          <w:szCs w:val="37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spacing w:val="24"/>
          <w:sz w:val="37"/>
          <w:szCs w:val="37"/>
          <w:u w:val="single"/>
        </w:rPr>
        <w:t>安化县</w:t>
      </w:r>
      <w:r>
        <w:rPr>
          <w:rFonts w:hint="eastAsia" w:ascii="黑体" w:hAnsi="黑体" w:eastAsia="黑体" w:cs="黑体"/>
          <w:b/>
          <w:bCs/>
          <w:spacing w:val="24"/>
          <w:sz w:val="37"/>
          <w:szCs w:val="37"/>
          <w:u w:val="single"/>
          <w:lang w:eastAsia="zh-CN"/>
        </w:rPr>
        <w:t>教育局</w:t>
      </w:r>
      <w:r>
        <w:rPr>
          <w:rFonts w:hint="eastAsia" w:ascii="黑体" w:hAnsi="黑体" w:eastAsia="黑体" w:cs="黑体"/>
          <w:b/>
          <w:bCs/>
          <w:spacing w:val="24"/>
          <w:sz w:val="37"/>
          <w:szCs w:val="37"/>
          <w:u w:val="single"/>
          <w:lang w:val="en-US" w:eastAsia="zh-CN"/>
        </w:rPr>
        <w:t xml:space="preserve">  </w:t>
      </w:r>
    </w:p>
    <w:p w14:paraId="36572A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14732E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676D5F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黑体" w:hAnsi="黑体" w:eastAsia="黑体" w:cs="黑体"/>
          <w:b w:val="0"/>
          <w:bCs w:val="0"/>
          <w:spacing w:val="24"/>
          <w:sz w:val="31"/>
          <w:szCs w:val="31"/>
        </w:rPr>
      </w:pPr>
      <w:r>
        <w:rPr>
          <w:rFonts w:hint="eastAsia" w:ascii="黑体" w:hAnsi="黑体" w:eastAsia="黑体" w:cs="黑体"/>
          <w:b w:val="0"/>
          <w:bCs w:val="0"/>
          <w:spacing w:val="24"/>
          <w:sz w:val="31"/>
          <w:szCs w:val="31"/>
        </w:rPr>
        <w:t>202</w:t>
      </w:r>
      <w:r>
        <w:rPr>
          <w:rFonts w:hint="eastAsia" w:ascii="黑体" w:hAnsi="黑体" w:eastAsia="黑体" w:cs="黑体"/>
          <w:b w:val="0"/>
          <w:bCs w:val="0"/>
          <w:spacing w:val="24"/>
          <w:sz w:val="31"/>
          <w:szCs w:val="31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spacing w:val="24"/>
          <w:sz w:val="31"/>
          <w:szCs w:val="31"/>
        </w:rPr>
        <w:t>年</w:t>
      </w:r>
      <w:r>
        <w:rPr>
          <w:rFonts w:hint="eastAsia" w:ascii="黑体" w:hAnsi="黑体" w:eastAsia="黑体" w:cs="黑体"/>
          <w:b w:val="0"/>
          <w:bCs w:val="0"/>
          <w:spacing w:val="24"/>
          <w:sz w:val="31"/>
          <w:szCs w:val="31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  <w:spacing w:val="24"/>
          <w:sz w:val="31"/>
          <w:szCs w:val="31"/>
        </w:rPr>
        <w:t>月08日</w:t>
      </w:r>
    </w:p>
    <w:p w14:paraId="06E336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480826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52207D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3D2224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54E350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7C4B39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2DF942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19CAA5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574006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2E6C64B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黑体" w:hAnsi="黑体" w:eastAsia="黑体" w:cs="黑体"/>
          <w:b/>
          <w:bCs/>
          <w:spacing w:val="24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24"/>
          <w:sz w:val="44"/>
          <w:szCs w:val="44"/>
        </w:rPr>
        <w:t>202</w:t>
      </w:r>
      <w:r>
        <w:rPr>
          <w:rFonts w:hint="eastAsia" w:ascii="黑体" w:hAnsi="黑体" w:eastAsia="黑体" w:cs="黑体"/>
          <w:b/>
          <w:bCs/>
          <w:spacing w:val="24"/>
          <w:sz w:val="44"/>
          <w:szCs w:val="44"/>
          <w:lang w:val="en-US" w:eastAsia="zh-CN"/>
        </w:rPr>
        <w:t>5</w:t>
      </w:r>
      <w:r>
        <w:rPr>
          <w:rFonts w:hint="eastAsia" w:ascii="黑体" w:hAnsi="黑体" w:eastAsia="黑体" w:cs="黑体"/>
          <w:b/>
          <w:bCs/>
          <w:spacing w:val="24"/>
          <w:sz w:val="44"/>
          <w:szCs w:val="44"/>
        </w:rPr>
        <w:t>年度安化县</w:t>
      </w:r>
      <w:r>
        <w:rPr>
          <w:rFonts w:hint="eastAsia" w:ascii="黑体" w:hAnsi="黑体" w:eastAsia="黑体" w:cs="黑体"/>
          <w:b/>
          <w:bCs/>
          <w:spacing w:val="24"/>
          <w:sz w:val="44"/>
          <w:szCs w:val="44"/>
          <w:lang w:eastAsia="zh-CN"/>
        </w:rPr>
        <w:t>教育局</w:t>
      </w:r>
      <w:r>
        <w:rPr>
          <w:rFonts w:hint="eastAsia" w:ascii="黑体" w:hAnsi="黑体" w:eastAsia="黑体" w:cs="黑体"/>
          <w:b/>
          <w:bCs/>
          <w:spacing w:val="24"/>
          <w:sz w:val="44"/>
          <w:szCs w:val="44"/>
        </w:rPr>
        <w:t>整体支出绩效</w:t>
      </w:r>
    </w:p>
    <w:p w14:paraId="47FC17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44"/>
          <w:szCs w:val="44"/>
        </w:rPr>
        <w:t>自评报告</w:t>
      </w:r>
    </w:p>
    <w:p w14:paraId="2F65E1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</w:p>
    <w:p w14:paraId="2BE2AE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31"/>
          <w:szCs w:val="31"/>
        </w:rPr>
        <w:t>一、部门基本情况</w:t>
      </w:r>
    </w:p>
    <w:p w14:paraId="64CA60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楷体_GB2312" w:hAnsi="楷体_GB2312" w:eastAsia="楷体_GB2312" w:cs="楷体_GB2312"/>
          <w:b/>
          <w:bCs/>
          <w:spacing w:val="24"/>
          <w:sz w:val="31"/>
          <w:szCs w:val="31"/>
        </w:rPr>
      </w:pPr>
      <w:r>
        <w:rPr>
          <w:rFonts w:hint="eastAsia" w:ascii="楷体_GB2312" w:hAnsi="楷体_GB2312" w:eastAsia="楷体_GB2312" w:cs="楷体_GB2312"/>
          <w:b/>
          <w:bCs/>
          <w:spacing w:val="24"/>
          <w:sz w:val="31"/>
          <w:szCs w:val="31"/>
        </w:rPr>
        <w:t>(一)202</w:t>
      </w:r>
      <w:r>
        <w:rPr>
          <w:rFonts w:hint="eastAsia" w:ascii="楷体_GB2312" w:hAnsi="楷体_GB2312" w:eastAsia="楷体_GB2312" w:cs="楷体_GB2312"/>
          <w:b/>
          <w:bCs/>
          <w:spacing w:val="24"/>
          <w:sz w:val="31"/>
          <w:szCs w:val="31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b/>
          <w:bCs/>
          <w:spacing w:val="24"/>
          <w:sz w:val="31"/>
          <w:szCs w:val="31"/>
        </w:rPr>
        <w:t>年度重点工作</w:t>
      </w:r>
    </w:p>
    <w:p w14:paraId="260FE687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1.贯彻执行国家和省、市有关教育工作的法律、法规、</w:t>
      </w:r>
    </w:p>
    <w:p w14:paraId="55E2DC65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和政策、制度。研究提出并指导、协调和监督实施全县教育改革和教育事业发展计划。</w:t>
      </w:r>
    </w:p>
    <w:p w14:paraId="0A0E53DC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2.负责全县各级各类教育事业统筹规划、协调管理，会同有关部门制定全县各级各类学校的设置标准，指导全县学校布局调整；指导全县各级各类学校的教育教学改革，负责教育基本信息的统计、分析与发布。</w:t>
      </w:r>
    </w:p>
    <w:p w14:paraId="68C411C1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3.负责管理和指导全县基础教育、职业技术教育、成人教育、幼儿教育、特殊教育、社会力量办学等工作。推动素质教育全面实施。负责推进义务教育均衡发展和促进教育公平。</w:t>
      </w:r>
    </w:p>
    <w:p w14:paraId="26140BC0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.统筹管理各类学历教育的招生考试和学籍工作，贯彻落实各类招生考试计划，负责教育人才的管理与服务工作。</w:t>
      </w:r>
    </w:p>
    <w:p w14:paraId="2DFD39CB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.指导全县各类学校的思想政治工作、德育工作、体育与艺术教育及国防教育工作，统筹指导和协调教育系统的安全与稳定工作。</w:t>
      </w:r>
    </w:p>
    <w:p w14:paraId="07950D2E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.依法管理全县教师队伍，统筹规划全县教师队伍建设，负责教师队伍的培训，主管教师职称评聘工作；负责全县教职工绩效考核工作。</w:t>
      </w:r>
    </w:p>
    <w:p w14:paraId="6DC57574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.配合有关部门拟定教育系统劳动、工资、人事教育管理工作的具体办法和规章制度。指导全县各级教育行政干部队伍建设。</w:t>
      </w:r>
    </w:p>
    <w:p w14:paraId="587FECA2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.参与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拟订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县教育经费筹措，教育拨款，教育基建投资政策和规划、事业经费、人员编制和统配物资设备的管理制度。依法依规管理和使用教育经费。负责统计和监测全县教育经费的投入和使用情况，指导管理全县资助经济困难学生工作，指导、组织实施教育系统内部审计工作。</w:t>
      </w:r>
    </w:p>
    <w:p w14:paraId="584BA669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.统筹管理全县语言文字工作，指导推广普通话和规范学校普通话师资培训工作；负责全县教育、教学研究工作，负责全县各类教育的质量评估工作。</w:t>
      </w:r>
    </w:p>
    <w:p w14:paraId="52D3C390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.完成县委、县人民政府交办的其他任务。</w:t>
      </w:r>
    </w:p>
    <w:p w14:paraId="64DB9B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楷体_GB2312" w:hAnsi="楷体_GB2312" w:eastAsia="楷体_GB2312" w:cs="楷体_GB2312"/>
          <w:b/>
          <w:bCs/>
          <w:spacing w:val="24"/>
          <w:sz w:val="31"/>
          <w:szCs w:val="31"/>
        </w:rPr>
      </w:pPr>
      <w:r>
        <w:rPr>
          <w:rFonts w:hint="eastAsia" w:ascii="楷体_GB2312" w:hAnsi="楷体_GB2312" w:eastAsia="楷体_GB2312" w:cs="楷体_GB2312"/>
          <w:b/>
          <w:bCs/>
          <w:spacing w:val="24"/>
          <w:sz w:val="31"/>
          <w:szCs w:val="31"/>
        </w:rPr>
        <w:t>(二)部门整体支出规模、使用方向、主要内容和涉及范围</w:t>
      </w:r>
    </w:p>
    <w:p w14:paraId="166460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年度整体支出总额166268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52万元，其中财政拨款收入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149116.42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万元，占总收入的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89.7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%。主要内容和涉及范围：人员经费包括基本工资、津贴补贴、奖金、其他社会保障缴费、退休费生活补助、住房公积金等；日常公用经费包括办公费、差旅费、培训费、公务接待费、劳务费、工会经费、福利费、公务用车运行维护费、其他交通费用、其他商品和服务支出等；涉及人员经费、保障基本运转、开展各项专项业务工作、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eastAsia="zh-CN"/>
        </w:rPr>
        <w:t>乡村振兴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、党建所发生的全部支出。</w:t>
      </w:r>
    </w:p>
    <w:p w14:paraId="113722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31"/>
          <w:szCs w:val="31"/>
        </w:rPr>
        <w:t>二、一般公共预算支出情况</w:t>
      </w:r>
    </w:p>
    <w:p w14:paraId="61F852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楷体_GB2312" w:hAnsi="楷体_GB2312" w:eastAsia="楷体_GB2312" w:cs="楷体_GB2312"/>
          <w:b/>
          <w:bCs/>
          <w:spacing w:val="24"/>
          <w:sz w:val="31"/>
          <w:szCs w:val="31"/>
        </w:rPr>
      </w:pPr>
      <w:r>
        <w:rPr>
          <w:rFonts w:hint="eastAsia" w:ascii="楷体_GB2312" w:hAnsi="楷体_GB2312" w:eastAsia="楷体_GB2312" w:cs="楷体_GB2312"/>
          <w:b/>
          <w:bCs/>
          <w:spacing w:val="24"/>
          <w:sz w:val="31"/>
          <w:szCs w:val="31"/>
        </w:rPr>
        <w:t>(一)基本支出情况</w:t>
      </w:r>
    </w:p>
    <w:p w14:paraId="36F2D4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基本支出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111869.77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万元，是为保障各部门正常运转、完成日常工作任务而发生的各项支出，主要包括工资福利支出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91552.14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万元，商品和服务支出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16169.72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万元，对个人和家庭支出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2359.82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万元，资本性支出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1788.09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万元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“三公”经费支出情况：202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年“三公”经费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eastAsia="zh-CN"/>
        </w:rPr>
        <w:t>支出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0万元，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上年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eastAsia="zh-CN"/>
        </w:rPr>
        <w:t>相比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减少30.27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eastAsia="zh-CN"/>
        </w:rPr>
        <w:t>万元，降低100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%，减少的主要原因为严格落实厉行节约要求，严控公务接待规模与标准，压缩接待开支，实现公务接待费下降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。</w:t>
      </w:r>
    </w:p>
    <w:p w14:paraId="29F2D9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楷体_GB2312" w:hAnsi="楷体_GB2312" w:eastAsia="楷体_GB2312" w:cs="楷体_GB2312"/>
          <w:b/>
          <w:bCs/>
          <w:spacing w:val="24"/>
          <w:sz w:val="31"/>
          <w:szCs w:val="31"/>
        </w:rPr>
      </w:pPr>
      <w:r>
        <w:rPr>
          <w:rFonts w:hint="eastAsia" w:ascii="楷体_GB2312" w:hAnsi="楷体_GB2312" w:eastAsia="楷体_GB2312" w:cs="楷体_GB2312"/>
          <w:b/>
          <w:bCs/>
          <w:spacing w:val="24"/>
          <w:sz w:val="31"/>
          <w:szCs w:val="31"/>
        </w:rPr>
        <w:t>(二)项目支出情况</w:t>
      </w:r>
    </w:p>
    <w:p w14:paraId="38C6FB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项目支出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32308.63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万元，包含：业务工作经费以及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eastAsia="zh-CN"/>
        </w:rPr>
        <w:t>项目建设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经费等。</w:t>
      </w:r>
    </w:p>
    <w:p w14:paraId="3DB489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31"/>
          <w:szCs w:val="31"/>
        </w:rPr>
        <w:t>三、政府性基金预算支出情况</w:t>
      </w:r>
    </w:p>
    <w:p w14:paraId="35D533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年本部门政府性基金支出预算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4938.02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万元。</w:t>
      </w:r>
    </w:p>
    <w:p w14:paraId="15D13D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31"/>
          <w:szCs w:val="31"/>
        </w:rPr>
        <w:t>四、国有资本经营预算支出情况</w:t>
      </w:r>
    </w:p>
    <w:p w14:paraId="669D61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年本部门无国有资本经营预算的支出。</w:t>
      </w:r>
    </w:p>
    <w:p w14:paraId="7C50E0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31"/>
          <w:szCs w:val="31"/>
        </w:rPr>
        <w:t>五、社会保险基金预算支出情况</w:t>
      </w:r>
    </w:p>
    <w:p w14:paraId="31E592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年本部门无社会保险基金预算的支出。</w:t>
      </w:r>
    </w:p>
    <w:p w14:paraId="40524B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31"/>
          <w:szCs w:val="31"/>
        </w:rPr>
        <w:t>六、部门整体支出绩效情况</w:t>
      </w:r>
    </w:p>
    <w:p w14:paraId="413764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足额且及时保障了干职工薪资待遇，</w:t>
      </w:r>
    </w:p>
    <w:p w14:paraId="24A3E9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、严格执行部门预算批复的公用经费，</w:t>
      </w:r>
    </w:p>
    <w:p w14:paraId="48F8DF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、严格执行部门预算批复的项目支出，</w:t>
      </w:r>
    </w:p>
    <w:p w14:paraId="363D40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、保障单位工作正常运转，提升了教育管理质量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eastAsia="zh-CN"/>
        </w:rPr>
        <w:t>。</w:t>
      </w:r>
    </w:p>
    <w:p w14:paraId="05038D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31"/>
          <w:szCs w:val="31"/>
        </w:rPr>
        <w:t>七、存在的问题及原因分析</w:t>
      </w:r>
    </w:p>
    <w:p w14:paraId="20E1F9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存在绩效目标编制不够精细、预算执行不均衡、过程监控薄弱、绩效评价结果运用不充分等问题，主要是绩效管理意识不强、业务财务协同不足、业务培训不到位、绩效约束机制不完善所致。</w:t>
      </w:r>
    </w:p>
    <w:p w14:paraId="12B894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31"/>
          <w:szCs w:val="31"/>
        </w:rPr>
        <w:t>八、下一步改进措施</w:t>
      </w:r>
    </w:p>
    <w:p w14:paraId="15BC1F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严格规范绩效目标编制，强化预算执行与绩效监控，做实绩效评价并强化结果运用，加强业务培训，全面提升预算绩效管理水平。</w:t>
      </w:r>
    </w:p>
    <w:p w14:paraId="68DC34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31"/>
          <w:szCs w:val="31"/>
        </w:rPr>
        <w:t>九、绩效自评结果拟应用和公开情况</w:t>
      </w:r>
    </w:p>
    <w:p w14:paraId="6E4D1A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1. 用于预算安排：将绩效评价结果作为下一年度项目预算编制、资金增减、项目保留或取消的重要依据，压减低效无效资金。</w:t>
      </w:r>
    </w:p>
    <w:p w14:paraId="0C03E3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2. 用于项目整改：针对评价发现问题，建立问题清单、限期整改，督促业务股室完善项目实施流程，提升项目管理水平。</w:t>
      </w:r>
    </w:p>
    <w:p w14:paraId="1FE550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3. 用于管理优化：运用评价成果完善绩效目标设定、运行监控等环节，优化项目储备，提升资金使用效益</w:t>
      </w: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  <w:lang w:eastAsia="zh-CN"/>
        </w:rPr>
        <w:t>。</w:t>
      </w:r>
    </w:p>
    <w:p w14:paraId="298F9B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8" w:firstLineChars="200"/>
        <w:textAlignment w:val="baseline"/>
        <w:rPr>
          <w:rFonts w:hint="eastAsia" w:ascii="黑体" w:hAnsi="黑体" w:eastAsia="黑体" w:cs="黑体"/>
          <w:b/>
          <w:bCs/>
          <w:spacing w:val="24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24"/>
          <w:sz w:val="31"/>
          <w:szCs w:val="31"/>
        </w:rPr>
        <w:t>十</w:t>
      </w:r>
      <w:r>
        <w:rPr>
          <w:rFonts w:hint="eastAsia" w:ascii="黑体" w:hAnsi="黑体" w:eastAsia="黑体" w:cs="黑体"/>
          <w:b/>
          <w:bCs/>
          <w:spacing w:val="24"/>
          <w:sz w:val="31"/>
          <w:szCs w:val="31"/>
          <w:lang w:eastAsia="zh-CN"/>
        </w:rPr>
        <w:t>、</w:t>
      </w:r>
      <w:r>
        <w:rPr>
          <w:rFonts w:hint="eastAsia" w:ascii="黑体" w:hAnsi="黑体" w:eastAsia="黑体" w:cs="黑体"/>
          <w:b/>
          <w:bCs/>
          <w:spacing w:val="24"/>
          <w:sz w:val="31"/>
          <w:szCs w:val="31"/>
        </w:rPr>
        <w:t>其他需要说明的情况</w:t>
      </w:r>
    </w:p>
    <w:p w14:paraId="09AE31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16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4"/>
          <w:sz w:val="31"/>
          <w:szCs w:val="31"/>
        </w:rPr>
        <w:t>无。</w:t>
      </w:r>
    </w:p>
    <w:sectPr>
      <w:pgSz w:w="12080" w:h="16920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D3C3C64"/>
    <w:rsid w:val="0D7673CB"/>
    <w:rsid w:val="20A759A6"/>
    <w:rsid w:val="3708698B"/>
    <w:rsid w:val="3D506593"/>
    <w:rsid w:val="47CC2DD4"/>
    <w:rsid w:val="483719BA"/>
    <w:rsid w:val="4B786A47"/>
    <w:rsid w:val="65C210C6"/>
    <w:rsid w:val="75FB6E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1504</Words>
  <Characters>1611</Characters>
  <TotalTime>23</TotalTime>
  <ScaleCrop>false</ScaleCrop>
  <LinksUpToDate>false</LinksUpToDate>
  <CharactersWithSpaces>1619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2025-04-08T09:49:00Z</dcterms:created>
  <dc:creator>Administrator</dc:creator>
  <cp:lastModifiedBy>ㄚ s у  .</cp:lastModifiedBy>
  <cp:lastPrinted>2025-04-23T02:59:00Z</cp:lastPrinted>
  <dcterms:modified xsi:type="dcterms:W3CDTF">2026-09-27T12:50:28Z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2025-04-08T09:49:28Z</vt:filetime>
  </property>
  <property fmtid="{D5CDD505-2E9C-101B-9397-08002B2CF9AE}" pid="4" name="UsrData">
    <vt:lpwstr>67f480a5df67f300202e1d26wl</vt:lpwstr>
  </property>
  <property fmtid="{D5CDD505-2E9C-101B-9397-08002B2CF9AE}" pid="5" name="KSOTemplateDocerSaveRecord">
    <vt:lpwstr>eyJoZGlkIjoiNDczOTQ1M2RkZWVkZThlMzNjOTc3NzI4NzVmNWUzMDMiLCJ1c2VySWQiOiI0MDc4MzQwODYifQ==</vt:lpwstr>
  </property>
  <property fmtid="{D5CDD505-2E9C-101B-9397-08002B2CF9AE}" pid="6" name="KSOProductBuildVer">
    <vt:lpwstr>2052-12.1.0.28505</vt:lpwstr>
  </property>
  <property fmtid="{D5CDD505-2E9C-101B-9397-08002B2CF9AE}" pid="7" name="ICV">
    <vt:lpwstr>54CD358431444D95AA9AB63E957F6B4E</vt:lpwstr>
  </property>
</Properties>
</file>