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68472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4</w:t>
      </w:r>
    </w:p>
    <w:p w14:paraId="1D066B8B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57BB3764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1F62AAFF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7347A9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微软雅黑" w:hAnsi="微软雅黑" w:eastAsia="微软雅黑" w:cs="微软雅黑"/>
          <w:sz w:val="52"/>
          <w:szCs w:val="52"/>
          <w:lang w:val="en-US" w:eastAsia="zh-CN"/>
        </w:rPr>
      </w:pPr>
      <w:r>
        <w:rPr>
          <w:rFonts w:hint="eastAsia" w:ascii="微软雅黑" w:hAnsi="微软雅黑" w:eastAsia="微软雅黑" w:cs="微软雅黑"/>
          <w:sz w:val="52"/>
          <w:szCs w:val="52"/>
          <w:lang w:val="en-US" w:eastAsia="zh-CN"/>
        </w:rPr>
        <w:t>2025年度安化县水利局</w:t>
      </w:r>
    </w:p>
    <w:p w14:paraId="1BB9B5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微软雅黑" w:hAnsi="微软雅黑" w:eastAsia="微软雅黑" w:cs="微软雅黑"/>
          <w:sz w:val="52"/>
          <w:szCs w:val="52"/>
          <w:lang w:eastAsia="zh-CN"/>
        </w:rPr>
      </w:pPr>
      <w:r>
        <w:rPr>
          <w:rFonts w:hint="eastAsia" w:ascii="微软雅黑" w:hAnsi="微软雅黑" w:eastAsia="微软雅黑" w:cs="微软雅黑"/>
          <w:sz w:val="52"/>
          <w:szCs w:val="52"/>
        </w:rPr>
        <w:t>整体支出</w:t>
      </w:r>
      <w:r>
        <w:rPr>
          <w:rFonts w:hint="eastAsia" w:ascii="微软雅黑" w:hAnsi="微软雅黑" w:eastAsia="微软雅黑" w:cs="微软雅黑"/>
          <w:sz w:val="52"/>
          <w:szCs w:val="52"/>
          <w:lang w:eastAsia="zh-CN"/>
        </w:rPr>
        <w:t>绩效自评报告</w:t>
      </w:r>
    </w:p>
    <w:p w14:paraId="259CC34B">
      <w:pPr>
        <w:widowControl/>
        <w:ind w:firstLine="361" w:firstLineChars="100"/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40A63115"/>
    <w:p w14:paraId="23DC1C5C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1FCF5A19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4BA370F2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23F8E7A8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3427B930">
      <w:pPr>
        <w:pStyle w:val="2"/>
      </w:pPr>
    </w:p>
    <w:p w14:paraId="311F1E4D">
      <w:pPr>
        <w:widowControl/>
        <w:ind w:firstLine="361" w:firstLineChars="100"/>
        <w:rPr>
          <w:rFonts w:hint="eastAsia" w:ascii="楷体" w:hAnsi="楷体" w:eastAsia="楷体" w:cs="楷体"/>
          <w:b/>
          <w:bCs/>
          <w:kern w:val="0"/>
          <w:sz w:val="36"/>
          <w:szCs w:val="36"/>
        </w:rPr>
      </w:pPr>
    </w:p>
    <w:p w14:paraId="7D7DCF73">
      <w:pPr>
        <w:widowControl/>
        <w:ind w:firstLine="360" w:firstLineChars="100"/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  <w:u w:val="single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申报单位（盖章）</w:t>
      </w:r>
      <w:r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</w:rPr>
        <w:t>：</w:t>
      </w:r>
      <w:r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  <w:u w:val="single"/>
        </w:rPr>
        <w:t xml:space="preserve">               </w:t>
      </w:r>
    </w:p>
    <w:p w14:paraId="70454183">
      <w:pPr>
        <w:widowControl/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  <w:u w:val="single"/>
        </w:rPr>
      </w:pPr>
    </w:p>
    <w:p w14:paraId="364D5A88">
      <w:pPr>
        <w:jc w:val="center"/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2026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 xml:space="preserve">年 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5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 xml:space="preserve"> 月 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11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 xml:space="preserve"> 日</w:t>
      </w:r>
    </w:p>
    <w:p w14:paraId="718667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br w:type="page"/>
      </w:r>
    </w:p>
    <w:p w14:paraId="6646E3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eastAsia="zh-CN"/>
        </w:rPr>
      </w:pP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val="en-US" w:eastAsia="zh-CN"/>
        </w:rPr>
        <w:t>2025</w:t>
      </w: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  <w:t>年度安化县</w:t>
      </w: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eastAsia="zh-CN"/>
        </w:rPr>
        <w:t>水利局</w:t>
      </w:r>
    </w:p>
    <w:p w14:paraId="25A9E6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</w:pP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  <w:t>整体支出绩效自评报告</w:t>
      </w:r>
    </w:p>
    <w:p w14:paraId="206A68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一、部门(单位)基本情况</w:t>
      </w:r>
    </w:p>
    <w:p w14:paraId="20C11F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(一)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eastAsia="zh-CN"/>
        </w:rPr>
        <w:t>2025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年度重点工作</w:t>
      </w:r>
    </w:p>
    <w:p w14:paraId="3B4F0EA0">
      <w:pPr>
        <w:ind w:firstLine="640" w:firstLineChars="200"/>
        <w:jc w:val="both"/>
        <w:rPr>
          <w:rFonts w:hint="eastAsia" w:ascii="Calibri" w:hAnsi="Calibri" w:eastAsia="宋体" w:cs="Times New Roman"/>
          <w:sz w:val="21"/>
          <w:szCs w:val="24"/>
          <w:lang w:eastAsia="zh-CN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zh-CN"/>
        </w:rPr>
        <w:t>1、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zh-CN" w:eastAsia="zh-CN" w:bidi="zh-CN"/>
        </w:rPr>
        <w:t>负责贯彻实施国家、省市有关水利发展、水资源开发利用的法律法规和方针政策；负责保障水资源的合理开发利用，拟订水利发展规划、水资源开发利用规划和有关政策，组织制定全县江河流域综合规划和有关专业规划，并监督实施。受委托起草有关水行政管理的地方性法规、政府规章草案。按规定制定水利工程建设与管理的有关制度并组织实施。负责提出水利固定资产投资规模方向，县级财政性资金的初步意见，提出县级水利建设投资安排建议并组织实施。</w:t>
      </w:r>
    </w:p>
    <w:p w14:paraId="314E0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auto"/>
          <w:kern w:val="2"/>
          <w:sz w:val="32"/>
          <w:szCs w:val="32"/>
          <w:lang w:val="zh-CN" w:eastAsia="zh-CN" w:bidi="zh-CN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zh-CN"/>
        </w:rPr>
        <w:t>2、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zh-CN" w:eastAsia="zh-CN" w:bidi="zh-CN"/>
        </w:rPr>
        <w:t>统一管理水资源（含空中水、地表水、地下水）。组织开展水资源调查评价工作，全县的水中长期供求规划。水量分配方案并监督实施。负责重要流域、区域以及重大调水工程的水资源调度，组织实施取水许可、水资源有偿使用制度。组织有关重大建设项目的水资源论证和防洪论证工作，指导水利行业供水和乡镇供水（包括县城城区供水）。</w:t>
      </w:r>
    </w:p>
    <w:p w14:paraId="7EEB32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auto"/>
          <w:kern w:val="2"/>
          <w:sz w:val="32"/>
          <w:szCs w:val="32"/>
          <w:lang w:val="zh-CN" w:eastAsia="zh-CN" w:bidi="zh-CN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zh-CN"/>
        </w:rPr>
        <w:t>3、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zh-CN" w:eastAsia="zh-CN" w:bidi="zh-CN"/>
        </w:rPr>
        <w:t>负责水资源保护工作，组织编制水资源保护规划，拟订水功能区划并监督实施，指导饮用水水源保护工作，指导地下水开发利用和城市规划区地下水资源管理保护工作。核定水域纳污能力，提出限制排污总量意见，负责县管入河排污口设置审批工作。</w:t>
      </w:r>
    </w:p>
    <w:p w14:paraId="19762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auto"/>
          <w:kern w:val="2"/>
          <w:sz w:val="32"/>
          <w:szCs w:val="32"/>
          <w:lang w:val="zh-CN" w:eastAsia="zh-CN" w:bidi="zh-CN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zh-CN"/>
        </w:rPr>
        <w:t>4、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zh-CN" w:eastAsia="zh-CN" w:bidi="zh-CN"/>
        </w:rPr>
        <w:t>负责水旱灾害防治工作、组织、协调、监督、指导全县防汛抗旱工作，组织编制县防汛抗旱应急预案并组织实施，对全县水库、山塘、主要河流及重要水利工程实施防汛抗旱调度和应急水量调度，指导水利突发公共事件的应急管理工作，承担县防汛抗旱指挥部日常工作。</w:t>
      </w:r>
    </w:p>
    <w:p w14:paraId="6FB72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auto"/>
          <w:kern w:val="2"/>
          <w:sz w:val="32"/>
          <w:szCs w:val="32"/>
          <w:lang w:val="zh-CN" w:eastAsia="zh-CN" w:bidi="zh-CN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zh-CN"/>
        </w:rPr>
        <w:t>5、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zh-CN" w:eastAsia="zh-CN" w:bidi="zh-CN"/>
        </w:rPr>
        <w:t>负责全县水能资源开发利用的统一监督管理工作。</w:t>
      </w:r>
    </w:p>
    <w:p w14:paraId="05CE65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auto"/>
          <w:kern w:val="2"/>
          <w:sz w:val="32"/>
          <w:szCs w:val="32"/>
          <w:lang w:val="zh-CN" w:eastAsia="zh-CN" w:bidi="zh-CN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zh-CN"/>
        </w:rPr>
        <w:t>6、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zh-CN" w:eastAsia="zh-CN" w:bidi="zh-CN"/>
        </w:rPr>
        <w:t>组织、指导水政监察和水行政执法，负责重大涉水违法事件的查处，协调、指导水事纠纷的处理，协调、仲裁跨乡镇水事纠纷。</w:t>
      </w:r>
    </w:p>
    <w:p w14:paraId="42215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auto"/>
          <w:kern w:val="2"/>
          <w:sz w:val="32"/>
          <w:szCs w:val="32"/>
          <w:lang w:val="zh-CN" w:eastAsia="zh-CN" w:bidi="zh-CN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zh-CN"/>
        </w:rPr>
        <w:t>7、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zh-CN" w:eastAsia="zh-CN" w:bidi="zh-CN"/>
        </w:rPr>
        <w:t>组织指导水利设施、水域及其岸线的管理和保护，组织指导江河、水库及河口、滩涂的治理和开发，负责全县河道管理工作。</w:t>
      </w:r>
    </w:p>
    <w:p w14:paraId="25E186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auto"/>
          <w:kern w:val="2"/>
          <w:sz w:val="32"/>
          <w:szCs w:val="32"/>
          <w:lang w:val="zh-CN" w:eastAsia="zh-CN" w:bidi="zh-CN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zh-CN"/>
        </w:rPr>
        <w:t>8、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zh-CN" w:eastAsia="zh-CN" w:bidi="zh-CN"/>
        </w:rPr>
        <w:t>负责全县水土保持工作，拟订水土保持规划并监督实施。组织实施水土流失的综合防治、监测、预报并定期公告。负责有关建设项目水土保持方案的审批，监督实施及水土保持设施的验收工作，指导县重点水土保持建设项目的实施，负责征收水土保持补偿费。</w:t>
      </w:r>
    </w:p>
    <w:p w14:paraId="49DA08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auto"/>
          <w:kern w:val="2"/>
          <w:sz w:val="32"/>
          <w:szCs w:val="32"/>
          <w:lang w:val="zh-CN" w:eastAsia="zh-CN" w:bidi="zh-CN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zh-CN"/>
        </w:rPr>
        <w:t>9、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zh-CN" w:eastAsia="zh-CN" w:bidi="zh-CN"/>
        </w:rPr>
        <w:t>负责节约用水工作。拟订节约用水政策，编制全县节约用水规划，发布节约用水情况通报，组织、监督全县节约用水工作，指导和推动节水型社会建设工作。</w:t>
      </w:r>
    </w:p>
    <w:p w14:paraId="21AE12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zh-CN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zh-CN"/>
        </w:rPr>
        <w:t>10、指导农村水利工程。组织协调农田水利基本建设，指导农村节水灌溉、机电排灌等工程建设与管理工作。负责全县城镇与农村饮水安全工作。</w:t>
      </w:r>
    </w:p>
    <w:p w14:paraId="19407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zh-CN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zh-CN"/>
        </w:rPr>
        <w:t>11、指导全县水利行业的国有资产监管工作，负责对水利资金的使用和局属系统国有资产的监管工作；指导水利经济和水利风景区建设与管理工作。</w:t>
      </w:r>
    </w:p>
    <w:p w14:paraId="7E9F16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zh-CN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zh-CN"/>
        </w:rPr>
        <w:t>12、开展水利科技工作。指导和监督水利行业的技术标准、规程规范，组织开展水利行业质量监督工作。负责水利行业安全生产和工程安全监管。承担水利统计工作，指导全县水利队伍建设，指导全县水利信息化工作。</w:t>
      </w:r>
    </w:p>
    <w:p w14:paraId="505022AF">
      <w:pPr>
        <w:pStyle w:val="6"/>
        <w:shd w:val="clear" w:color="auto" w:fill="FFFFFF"/>
        <w:spacing w:before="0" w:beforeAutospacing="0" w:after="0" w:afterAutospacing="0" w:line="594" w:lineRule="exact"/>
        <w:ind w:firstLine="640" w:firstLineChars="200"/>
        <w:jc w:val="both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zh-CN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zh-CN"/>
        </w:rPr>
        <w:t>13、承办县人民政府交办的其他事项。</w:t>
      </w:r>
    </w:p>
    <w:p w14:paraId="0AB67CC8">
      <w:pPr>
        <w:pStyle w:val="6"/>
        <w:shd w:val="clear" w:color="auto" w:fill="FFFFFF"/>
        <w:spacing w:before="0" w:beforeAutospacing="0" w:after="0" w:afterAutospacing="0" w:line="594" w:lineRule="exact"/>
        <w:ind w:firstLine="640" w:firstLineChars="200"/>
        <w:jc w:val="both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(二)部门整体支出规模、使用方向、主要内容和涉及范围</w:t>
      </w:r>
    </w:p>
    <w:p w14:paraId="03817F08">
      <w:pPr>
        <w:pStyle w:val="6"/>
        <w:shd w:val="clear" w:color="auto" w:fill="FFFFFF"/>
        <w:spacing w:before="0" w:beforeAutospacing="0" w:after="0" w:afterAutospacing="0" w:line="594" w:lineRule="exact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2025年度整体支出总额14964.74万元，其中财政拨款收入14307.14万元，占总收入的95.61%，政府性基金预算财政拨款657.6万元，占总收入的4.39%。主要内容和涉及范围：一是保障机关及下属事业单位正常运转，包括人员工资福利、日常办公经费、公用车辆运行维护等基本支出，覆盖全局在职人员、离退休人员的待遇保障与日常政务运行；二是支撑各项水利业务工作开展，涵盖水资源管理、水旱灾害防御、水土保持、农村水利建设、河道管理、水政执法、饮水安全保障等我县水利重点职能工作，资金主要用于水利工程建设、设施管护、专项业务开展等相关支出，保障各项水利工作任务顺利推进。人员经费包括基本工资、津贴补贴、奖金、其他社会保障缴费、退休费生活补助、住房公积金等；日常公用经费包括办公费、差旅费、培训费、公务接待费、劳务费、工会经费、福利费、公务用车运行维护费、其他交通费用、其他商品和服务支出等；项目支出主要包括其他对个人和家庭的补助支出、办公费、印刷费、邮电费、差旅费、维修（护）费、会议费、培训费、公务接待费、劳务费、委托业务费、公务用车运行维护费、其他交通费、其他商品和服务支出、办公设备购置。涉及人员经费、保障基本运转、开展各项专项业务工作、精准扶贫、党建所发生的全部支出。</w:t>
      </w:r>
    </w:p>
    <w:p w14:paraId="680679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二、一般公共预算支出情况</w:t>
      </w:r>
    </w:p>
    <w:p w14:paraId="75D3A8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(一)基本支出情况</w:t>
      </w:r>
    </w:p>
    <w:p w14:paraId="33DBFE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基本支出2251.92万元，是为保障各部门正常运转、完成日常工作任务而发生的各项支出，主要包括工资福利支出2061.49万元，商品和服务支出103.29万元，对个人和家庭支出86.37万元,资本性支出0.78万元。</w:t>
      </w:r>
    </w:p>
    <w:p w14:paraId="7685E5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/>
        </w:rPr>
      </w:pP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“三公”经费支出情况：2025年，“三公”经费完成0万元，比上年减少13.71元。主要原因是严控三公经费，严格执行公务“零”接待，未产生因公出国（境）费用，未新增购置公务用车，公务用车运行维护费也通过严格车辆调度管理、降低出行频次进一步压缩开支，全年“三公”经费实际支出控制在预算批复范围内，符合经费管理要求。。</w:t>
      </w:r>
    </w:p>
    <w:p w14:paraId="2D3F4A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(二)项目支出情况</w:t>
      </w:r>
    </w:p>
    <w:p w14:paraId="491458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/>
        </w:rPr>
      </w:pP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项目支出12712.82万元，包含：一般公共预算项目，主要用于农村饮水安全巩固提升、小型水库除险加固、河道治理、水土保持治理、水旱灾害防御物资储备、水利工程管护、水资源节约保护、水政执法巡查、水利安全生产监管等各类水利专项工作及重点工程建设支出，资金严格按照项目实施方案和审批流程拨付使用，全程跟踪项目进度开展监管，确保资金全部用于对应项目实施，保障各水利专项任务按计划落地。</w:t>
      </w:r>
      <w:r>
        <w:rPr>
          <w:rFonts w:hint="eastAsia" w:ascii="仿宋_GB2312" w:eastAsia="仿宋_GB2312"/>
          <w:sz w:val="32"/>
          <w:szCs w:val="32"/>
          <w:lang w:eastAsia="zh-CN"/>
        </w:rPr>
        <w:t>业务工作</w:t>
      </w:r>
      <w:r>
        <w:rPr>
          <w:rFonts w:hint="eastAsia" w:ascii="仿宋_GB2312" w:eastAsia="仿宋_GB2312"/>
          <w:sz w:val="32"/>
          <w:szCs w:val="32"/>
        </w:rPr>
        <w:t>经费</w:t>
      </w:r>
      <w:r>
        <w:rPr>
          <w:rFonts w:hint="eastAsia" w:ascii="仿宋_GB2312" w:eastAsia="仿宋_GB2312"/>
          <w:sz w:val="32"/>
          <w:szCs w:val="32"/>
          <w:lang w:eastAsia="zh-CN"/>
        </w:rPr>
        <w:t>以及运行维护经费、水利支出等。</w:t>
      </w:r>
    </w:p>
    <w:p w14:paraId="75EC802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政府性基金预算支出情况</w:t>
      </w:r>
    </w:p>
    <w:p w14:paraId="70D39C70">
      <w:pPr>
        <w:ind w:firstLine="640" w:firstLineChars="200"/>
        <w:rPr>
          <w:rFonts w:hint="default" w:eastAsia="仿宋_GB2312"/>
          <w:lang w:val="en-US" w:eastAsia="zh-CN"/>
        </w:rPr>
      </w:pPr>
      <w:r>
        <w:rPr>
          <w:rFonts w:hint="eastAsia" w:eastAsia="仿宋_GB2312"/>
          <w:color w:val="232323"/>
          <w:sz w:val="32"/>
          <w:szCs w:val="32"/>
          <w:shd w:val="clear" w:color="auto" w:fill="FFFFFF"/>
          <w:lang w:eastAsia="zh-CN"/>
        </w:rPr>
        <w:t>2025</w:t>
      </w:r>
      <w:r>
        <w:rPr>
          <w:rFonts w:hint="eastAsia" w:ascii="仿宋_GB2312" w:eastAsia="仿宋_GB2312" w:cs="仿宋_GB2312"/>
          <w:color w:val="232323"/>
          <w:sz w:val="32"/>
          <w:szCs w:val="32"/>
          <w:shd w:val="clear" w:color="auto" w:fill="FFFFFF"/>
        </w:rPr>
        <w:t>年本部门政府性基金支出预算</w:t>
      </w:r>
      <w:r>
        <w:rPr>
          <w:rFonts w:hint="eastAsia" w:eastAsia="仿宋_GB2312"/>
          <w:color w:val="232323"/>
          <w:sz w:val="32"/>
          <w:szCs w:val="32"/>
          <w:shd w:val="clear" w:color="auto" w:fill="FFFFFF"/>
          <w:lang w:val="en-US" w:eastAsia="zh-CN"/>
        </w:rPr>
        <w:t>657.6</w:t>
      </w:r>
      <w:r>
        <w:rPr>
          <w:rFonts w:hint="eastAsia" w:ascii="仿宋_GB2312" w:eastAsia="仿宋_GB2312" w:cs="仿宋_GB2312"/>
          <w:color w:val="232323"/>
          <w:sz w:val="32"/>
          <w:szCs w:val="32"/>
          <w:shd w:val="clear" w:color="auto" w:fill="FFFFFF"/>
        </w:rPr>
        <w:t>万元</w:t>
      </w:r>
      <w:r>
        <w:rPr>
          <w:rFonts w:hint="eastAsia" w:ascii="仿宋_GB2312" w:hAnsi="宋体" w:eastAsia="仿宋_GB2312" w:cs="仿宋_GB2312"/>
          <w:color w:val="232323"/>
          <w:sz w:val="32"/>
          <w:szCs w:val="32"/>
          <w:shd w:val="clear" w:color="auto" w:fill="FFFFFF"/>
        </w:rPr>
        <w:t>。</w:t>
      </w:r>
    </w:p>
    <w:p w14:paraId="4146400D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国有资本经营预算支出情况</w:t>
      </w:r>
    </w:p>
    <w:p w14:paraId="2231DFB3">
      <w:pPr>
        <w:pStyle w:val="7"/>
        <w:ind w:left="420" w:leftChars="200" w:firstLine="0" w:firstLineChars="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232323"/>
          <w:shd w:val="clear" w:color="auto" w:fill="FFFFFF"/>
          <w:lang w:eastAsia="zh-CN"/>
        </w:rPr>
        <w:t>2025</w:t>
      </w:r>
      <w:r>
        <w:rPr>
          <w:rFonts w:hint="eastAsia" w:ascii="仿宋_GB2312" w:eastAsia="仿宋_GB2312" w:cs="仿宋_GB2312"/>
          <w:color w:val="232323"/>
          <w:shd w:val="clear" w:color="auto" w:fill="FFFFFF"/>
        </w:rPr>
        <w:t>年</w:t>
      </w:r>
      <w:r>
        <w:rPr>
          <w:rFonts w:hint="eastAsia" w:ascii="仿宋_GB2312" w:hAnsi="宋体" w:eastAsia="仿宋_GB2312" w:cs="仿宋_GB2312"/>
          <w:color w:val="232323"/>
          <w:shd w:val="clear" w:color="auto" w:fill="FFFFFF"/>
        </w:rPr>
        <w:t>本部门无国有资本经营预算的支出。</w:t>
      </w:r>
    </w:p>
    <w:p w14:paraId="4675B08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社会保险基金预算支出情况</w:t>
      </w:r>
    </w:p>
    <w:p w14:paraId="4D3BC260">
      <w:pPr>
        <w:pStyle w:val="7"/>
        <w:ind w:left="420" w:leftChars="200" w:firstLine="0" w:firstLineChars="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232323"/>
          <w:shd w:val="clear" w:color="auto" w:fill="FFFFFF"/>
          <w:lang w:eastAsia="zh-CN"/>
        </w:rPr>
        <w:t>2025</w:t>
      </w:r>
      <w:r>
        <w:rPr>
          <w:rFonts w:hint="eastAsia" w:ascii="仿宋_GB2312" w:eastAsia="仿宋_GB2312" w:cs="仿宋_GB2312"/>
          <w:color w:val="232323"/>
          <w:shd w:val="clear" w:color="auto" w:fill="FFFFFF"/>
        </w:rPr>
        <w:t>年</w:t>
      </w:r>
      <w:r>
        <w:rPr>
          <w:rFonts w:hint="eastAsia" w:ascii="仿宋_GB2312" w:hAnsi="宋体" w:eastAsia="仿宋_GB2312" w:cs="仿宋_GB2312"/>
          <w:color w:val="232323"/>
          <w:shd w:val="clear" w:color="auto" w:fill="FFFFFF"/>
        </w:rPr>
        <w:t>本部门无社会保险基金预算的支出。</w:t>
      </w:r>
    </w:p>
    <w:p w14:paraId="3CE7EE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六、部门整体支出绩效情况</w:t>
      </w:r>
    </w:p>
    <w:p w14:paraId="38786B0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 w:firstLine="640" w:firstLineChars="200"/>
        <w:jc w:val="left"/>
        <w:textAlignment w:val="center"/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2025年度支出总额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14964.74</w:t>
      </w: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万元，其中基本支出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2251.92</w:t>
      </w: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万元，项目支出12712.82万元，所有资金均按预算管理要求规范分配使用，整体实现了预期绩效目标。从履职成效来看，本年度各项重点水利工作均按计划推进落地：水资源管理方面，完成了全县水资源调查评价与水量分配工作，严格落实取水许可与水资源有偿使用制度，水功能区水质达标率达标，饮用水水源保护工作有序开展；水旱灾害防御方面，完成防汛抗旱应急预案修订，开展了汛前隐患排查和应急演练，配齐储备防汛抗旱物资，对全县水库、主要河流完成精准调度，成功应对本年度水旱灾害，保障了群众生命财产安全；农村水利建设方面，推进农村饮水安全巩固提升工程，改善了全县农村人口饮水保障条件，完成小型水库除险加固、农田灌溉设施改造建设任务，提升了农田水利保障能力；水土保持工作方面，完成年度水土流失综合治理任务，规范开展水土保持方案审批与设施验收，足额征收水土保持补偿费，水土流失监测预报工作按要求完成；水政执法与监管方面，持续开展河道巡查、水行政执法，查处涉水违法事件，协调化解跨乡镇水事纠纷，河湖“清四乱”工作取得实效，河道管理秩序持续规范；节约水资源工作有序推进，完成年度节水目标任务，推动节水型社会建设取得新进展；机关运转方面，足额保障了人员待遇落实，维持了日常政务工作正常开展，严格落实中央八项规定精神，“三公”经费控制在预算范围内，行政运行成本得到有效管控。整体来看，本年度部门资金使用规范、配置合理，有效支撑了水利部门各项职能履行，完成了年度既定工作任务，整体绩效等级为优。基本支出保障了单位正常运转的日常支出，包括基本工资、津贴补贴等人员经费以及办公费、水电费、差旅费等日常公用经费。</w:t>
      </w:r>
    </w:p>
    <w:p w14:paraId="562B9C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七、存在的问题及原因分析</w:t>
      </w:r>
    </w:p>
    <w:p w14:paraId="62E653A6">
      <w:pPr>
        <w:keepNext w:val="0"/>
        <w:keepLines w:val="0"/>
        <w:widowControl/>
        <w:suppressLineNumbers w:val="0"/>
        <w:ind w:firstLine="640" w:firstLineChars="200"/>
        <w:jc w:val="left"/>
        <w:rPr>
          <w:kern w:val="0"/>
          <w:szCs w:val="32"/>
        </w:rPr>
      </w:pPr>
      <w:r>
        <w:rPr>
          <w:rFonts w:hint="default" w:ascii="仿宋_GB2312" w:hAnsi="仿宋" w:eastAsia="仿宋_GB2312" w:cs="Times New Roman"/>
          <w:sz w:val="32"/>
          <w:szCs w:val="32"/>
          <w:lang w:val="en-US" w:eastAsia="zh-CN"/>
        </w:rPr>
        <w:t>部门预算的人员经费和公用经费不足。单位日常运转的刚性支出大，现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有的部门预算资金不能满足日益增长的工作需要，部分水利专项工作开展受经费限制，只能优先保障核心任务，部分精细化管护、业务培训、信息化升级等延伸工作难以充分推进。分析原因，一方面是安化县作为山区水利大县，水利工程点多、线长、面广，管护和业务开展的刚性成本逐年上涨，另一方面县级财政较为紧张，预算安排的基本支出增量有限，难以完全匹配实际工作需求。此外，部分项目资金拨付进度与项目实施节奏衔接不够顺畅，少数跨年度水利工程存在资金拨付滞后于工程进度的情况，一定程度影响了项目推进效率，主要原因是部分项目需要上级资金分批下达，且部分项目前期审批流程较长，导致资金拨付节奏放缓。。</w:t>
      </w:r>
    </w:p>
    <w:p w14:paraId="217F7C80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下一步改进措施</w:t>
      </w:r>
    </w:p>
    <w:p w14:paraId="33625343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_GB2312" w:hAnsi="仿宋" w:eastAsia="仿宋_GB2312" w:cs="Times New Roman"/>
          <w:sz w:val="32"/>
          <w:szCs w:val="32"/>
          <w:lang w:val="en-US" w:eastAsia="zh-CN"/>
        </w:rPr>
      </w:pPr>
      <w:r>
        <w:rPr>
          <w:rFonts w:hint="default" w:ascii="仿宋_GB2312" w:hAnsi="仿宋" w:eastAsia="仿宋_GB2312" w:cs="Times New Roman"/>
          <w:sz w:val="32"/>
          <w:szCs w:val="32"/>
          <w:lang w:val="en-US" w:eastAsia="zh-CN"/>
        </w:rPr>
        <w:t>对存在的问题提出切实可行的改进措施和有关建议等。</w:t>
      </w:r>
    </w:p>
    <w:p w14:paraId="696474B6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1、加强财务管理，严格财务审核。</w:t>
      </w:r>
    </w:p>
    <w:p w14:paraId="047BDF44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2、对相关人员加强培训，切实提高</w:t>
      </w:r>
      <w:r>
        <w:rPr>
          <w:rFonts w:hint="eastAsia" w:ascii="仿宋_GB2312" w:hAnsi="仿宋" w:cs="Times New Roman"/>
          <w:sz w:val="32"/>
          <w:szCs w:val="32"/>
          <w:lang w:val="en-US" w:eastAsia="zh-CN"/>
        </w:rPr>
        <w:t>财务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人员业务水平。</w:t>
      </w:r>
    </w:p>
    <w:p w14:paraId="1D8E193E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绩效自评结果拟应用和公开情况</w:t>
      </w:r>
    </w:p>
    <w:p w14:paraId="3E0F4A5D">
      <w:pPr>
        <w:pStyle w:val="3"/>
        <w:numPr>
          <w:ilvl w:val="0"/>
          <w:numId w:val="0"/>
        </w:numPr>
        <w:ind w:leftChars="200"/>
        <w:rPr>
          <w:rFonts w:hint="eastAsia" w:eastAsia="宋体"/>
          <w:lang w:eastAsia="zh-CN"/>
        </w:rPr>
      </w:pPr>
      <w:r>
        <w:rPr>
          <w:rFonts w:hint="eastAsia" w:eastAsia="仿宋_GB2312" w:cs="Times New Roman"/>
          <w:kern w:val="0"/>
          <w:sz w:val="32"/>
          <w:szCs w:val="32"/>
          <w:lang w:val="en-US" w:eastAsia="zh-CN" w:bidi="ar-SA"/>
        </w:rPr>
        <w:t>暂未公开。</w:t>
      </w:r>
    </w:p>
    <w:p w14:paraId="5AFD5637">
      <w:pPr>
        <w:numPr>
          <w:ilvl w:val="0"/>
          <w:numId w:val="2"/>
        </w:numPr>
        <w:ind w:left="0" w:leftChars="0" w:firstLine="640" w:firstLineChars="20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其他需要说明的情况</w:t>
      </w:r>
    </w:p>
    <w:p w14:paraId="618679C7">
      <w:pPr>
        <w:numPr>
          <w:ilvl w:val="0"/>
          <w:numId w:val="0"/>
        </w:numPr>
        <w:ind w:leftChars="200"/>
      </w:pPr>
      <w:r>
        <w:rPr>
          <w:rFonts w:hint="eastAsia" w:eastAsia="仿宋_GB2312" w:cs="Times New Roman"/>
          <w:kern w:val="0"/>
          <w:sz w:val="32"/>
          <w:szCs w:val="32"/>
          <w:lang w:val="en-US" w:eastAsia="zh-CN" w:bidi="ar-SA"/>
        </w:rPr>
        <w:t>无。</w:t>
      </w:r>
      <w:r>
        <w:rPr>
          <w:rFonts w:eastAsia="Times New Roman"/>
          <w:kern w:val="0"/>
          <w:sz w:val="22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F4109C"/>
    <w:multiLevelType w:val="singleLevel"/>
    <w:tmpl w:val="0DF4109C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F4048D7"/>
    <w:multiLevelType w:val="singleLevel"/>
    <w:tmpl w:val="7F4048D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4YmQ5Y2MzMGVhMDY4NDkwNTBhM2FiMTI1OTFmZTEifQ=="/>
  </w:docVars>
  <w:rsids>
    <w:rsidRoot w:val="6D445020"/>
    <w:rsid w:val="029228E1"/>
    <w:rsid w:val="074B01AA"/>
    <w:rsid w:val="14FF1319"/>
    <w:rsid w:val="257D691C"/>
    <w:rsid w:val="33357B76"/>
    <w:rsid w:val="4C0229ED"/>
    <w:rsid w:val="53246BC3"/>
    <w:rsid w:val="58057740"/>
    <w:rsid w:val="5C214413"/>
    <w:rsid w:val="64B56C4A"/>
    <w:rsid w:val="6D445020"/>
    <w:rsid w:val="720A579D"/>
    <w:rsid w:val="7927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nhideWhenUsed/>
    <w:qFormat/>
    <w:uiPriority w:val="99"/>
    <w:pPr>
      <w:spacing w:beforeLines="0" w:afterLines="0"/>
    </w:pPr>
    <w:rPr>
      <w:rFonts w:hint="default"/>
      <w:sz w:val="21"/>
      <w:szCs w:val="24"/>
    </w:rPr>
  </w:style>
  <w:style w:type="paragraph" w:styleId="3">
    <w:name w:val="Body Text"/>
    <w:basedOn w:val="1"/>
    <w:unhideWhenUsed/>
    <w:qFormat/>
    <w:uiPriority w:val="99"/>
    <w:rPr>
      <w:rFonts w:ascii="Times New Roman" w:hAnsi="Times New Roman"/>
    </w:rPr>
  </w:style>
  <w:style w:type="paragraph" w:styleId="4">
    <w:name w:val="Body Text Indent"/>
    <w:basedOn w:val="1"/>
    <w:qFormat/>
    <w:uiPriority w:val="99"/>
    <w:pPr>
      <w:ind w:firstLine="640" w:firstLineChars="200"/>
    </w:pPr>
    <w:rPr>
      <w:sz w:val="32"/>
      <w:szCs w:val="32"/>
    </w:rPr>
  </w:style>
  <w:style w:type="paragraph" w:styleId="5">
    <w:name w:val="toc 5"/>
    <w:basedOn w:val="1"/>
    <w:next w:val="1"/>
    <w:unhideWhenUsed/>
    <w:qFormat/>
    <w:uiPriority w:val="39"/>
    <w:pPr>
      <w:ind w:left="1680" w:leftChars="800"/>
    </w:pPr>
    <w:rPr>
      <w:rFonts w:ascii="等线" w:hAnsi="等线" w:eastAsia="等线" w:cs="Times New Roman"/>
      <w:szCs w:val="22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Body Text First Indent 2"/>
    <w:basedOn w:val="4"/>
    <w:qFormat/>
    <w:uiPriority w:val="99"/>
    <w:pPr>
      <w:ind w:firstLine="420"/>
    </w:pPr>
  </w:style>
  <w:style w:type="character" w:styleId="10">
    <w:name w:val="Strong"/>
    <w:basedOn w:val="9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2108</Words>
  <Characters>2219</Characters>
  <Lines>0</Lines>
  <Paragraphs>0</Paragraphs>
  <TotalTime>32</TotalTime>
  <ScaleCrop>false</ScaleCrop>
  <LinksUpToDate>false</LinksUpToDate>
  <CharactersWithSpaces>2238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2024-06-17T10:01:00Z</dcterms:created>
  <dc:creator>啊斌</dc:creator>
  <cp:lastModifiedBy>啦啦啦啦</cp:lastModifiedBy>
  <dcterms:modified xsi:type="dcterms:W3CDTF">2026-05-13T03:32:58Z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E05A2FB2CDF94D05B90873BDD7479EC6_13</vt:lpwstr>
  </property>
  <property fmtid="{D5CDD505-2E9C-101B-9397-08002B2CF9AE}" pid="4" name="KSOTemplateDocerSaveRecord">
    <vt:lpwstr>eyJoZGlkIjoiNThkMzM1Njg0YzczYTQ3Y2UxYjU0YzQ4MDYyNGI2MWIiLCJ1c2VySWQiOiIyMDUwMzE0MDYifQ==</vt:lpwstr>
  </property>
</Properties>
</file>