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576C31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044A1374">
      <w:pPr>
        <w:pStyle w:val="7"/>
        <w:rPr>
          <w:rFonts w:hint="eastAsia"/>
          <w:lang w:val="en-US" w:eastAsia="zh-CN"/>
        </w:rPr>
      </w:pPr>
    </w:p>
    <w:p w14:paraId="29E5C51C">
      <w:pPr>
        <w:rPr>
          <w:rFonts w:hint="eastAsia"/>
          <w:lang w:val="en-US" w:eastAsia="zh-CN"/>
        </w:rPr>
      </w:pPr>
    </w:p>
    <w:p w14:paraId="11B4B904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5EA91F32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5A76BC53">
      <w:pPr>
        <w:pStyle w:val="7"/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0E98CE88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5BEDF699">
      <w:pPr>
        <w:pStyle w:val="7"/>
        <w:rPr>
          <w:rFonts w:hint="eastAsia"/>
          <w:lang w:val="en-US" w:eastAsia="zh-CN"/>
        </w:rPr>
      </w:pPr>
    </w:p>
    <w:p w14:paraId="57360A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微软雅黑" w:hAnsi="微软雅黑" w:eastAsia="微软雅黑" w:cs="微软雅黑"/>
          <w:sz w:val="52"/>
          <w:szCs w:val="52"/>
          <w:lang w:eastAsia="zh-CN"/>
        </w:rPr>
      </w:pPr>
      <w:r>
        <w:rPr>
          <w:rFonts w:hint="eastAsia" w:ascii="微软雅黑" w:hAnsi="微软雅黑" w:eastAsia="微软雅黑" w:cs="微软雅黑"/>
          <w:sz w:val="52"/>
          <w:szCs w:val="52"/>
          <w:lang w:val="en-US" w:eastAsia="zh-CN"/>
        </w:rPr>
        <w:t>2025年度县茶产业发展服务中心部门</w:t>
      </w:r>
      <w:r>
        <w:rPr>
          <w:rFonts w:hint="eastAsia" w:ascii="微软雅黑" w:hAnsi="微软雅黑" w:eastAsia="微软雅黑" w:cs="微软雅黑"/>
          <w:sz w:val="52"/>
          <w:szCs w:val="52"/>
        </w:rPr>
        <w:t>整体支出</w:t>
      </w:r>
      <w:r>
        <w:rPr>
          <w:rFonts w:hint="eastAsia" w:ascii="微软雅黑" w:hAnsi="微软雅黑" w:eastAsia="微软雅黑" w:cs="微软雅黑"/>
          <w:sz w:val="52"/>
          <w:szCs w:val="52"/>
          <w:lang w:eastAsia="zh-CN"/>
        </w:rPr>
        <w:t>绩效自评报告</w:t>
      </w:r>
    </w:p>
    <w:p w14:paraId="44D9D1E3">
      <w:pPr>
        <w:widowControl/>
        <w:ind w:firstLine="361" w:firstLineChars="100"/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0FB6EAEF"/>
    <w:p w14:paraId="206468E6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1EAA8AD0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7F7E9903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37479A8F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5A755AA8">
      <w:pPr>
        <w:pStyle w:val="3"/>
      </w:pPr>
    </w:p>
    <w:p w14:paraId="42A3C7B3">
      <w:pPr>
        <w:widowControl/>
        <w:ind w:firstLine="361" w:firstLineChars="100"/>
        <w:rPr>
          <w:rFonts w:hint="eastAsia" w:ascii="楷体" w:hAnsi="楷体" w:eastAsia="楷体" w:cs="楷体"/>
          <w:b/>
          <w:bCs/>
          <w:kern w:val="0"/>
          <w:sz w:val="36"/>
          <w:szCs w:val="36"/>
        </w:rPr>
      </w:pPr>
    </w:p>
    <w:p w14:paraId="43F2D6A1">
      <w:pPr>
        <w:widowControl/>
        <w:ind w:firstLine="360" w:firstLineChars="100"/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>申报单位（盖章）</w:t>
      </w:r>
      <w:r>
        <w:rPr>
          <w:rFonts w:hint="eastAsia" w:ascii="黑体" w:hAnsi="黑体" w:eastAsia="黑体" w:cs="黑体"/>
          <w:b w:val="0"/>
          <w:bCs w:val="0"/>
          <w:kern w:val="0"/>
          <w:sz w:val="48"/>
          <w:szCs w:val="48"/>
        </w:rPr>
        <w:t>：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u w:val="single"/>
          <w:lang w:val="en-US" w:eastAsia="zh-CN"/>
        </w:rPr>
        <w:t>安化县茶产业发展服务中心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 xml:space="preserve">  </w:t>
      </w:r>
    </w:p>
    <w:p w14:paraId="633FD89E">
      <w:pPr>
        <w:widowControl/>
        <w:rPr>
          <w:rFonts w:hint="eastAsia" w:ascii="黑体" w:hAnsi="黑体" w:eastAsia="黑体" w:cs="黑体"/>
          <w:b w:val="0"/>
          <w:bCs w:val="0"/>
          <w:kern w:val="0"/>
          <w:sz w:val="48"/>
          <w:szCs w:val="48"/>
          <w:u w:val="single"/>
        </w:rPr>
      </w:pPr>
    </w:p>
    <w:p w14:paraId="4C84F81E">
      <w:pPr>
        <w:jc w:val="center"/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2025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>年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04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>月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20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>日</w:t>
      </w:r>
    </w:p>
    <w:p w14:paraId="0CA2275E">
      <w:pPr>
        <w:jc w:val="center"/>
        <w:rPr>
          <w:rFonts w:hint="eastAsia" w:ascii="黑体" w:hAnsi="黑体" w:eastAsia="黑体" w:cs="宋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br w:type="page"/>
      </w:r>
    </w:p>
    <w:p w14:paraId="655CDE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576" w:lineRule="exact"/>
        <w:jc w:val="center"/>
        <w:textAlignment w:val="auto"/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</w:rPr>
      </w:pP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  <w:lang w:val="en-US" w:eastAsia="zh-CN"/>
        </w:rPr>
        <w:t>2025</w:t>
      </w: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</w:rPr>
        <w:t>年度</w:t>
      </w: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  <w:lang w:val="en-US" w:eastAsia="zh-CN"/>
        </w:rPr>
        <w:t>县茶产业发展服务中心部门</w:t>
      </w: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</w:rPr>
        <w:t>整体支出绩效自评报告</w:t>
      </w:r>
    </w:p>
    <w:p w14:paraId="77840A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</w:p>
    <w:p w14:paraId="63A121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一、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val="en-US" w:eastAsia="zh-CN"/>
        </w:rPr>
        <w:t>部门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基本情况</w:t>
      </w:r>
    </w:p>
    <w:p w14:paraId="365931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(一)202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年度重点工作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eastAsia="zh-CN"/>
        </w:rPr>
        <w:t>。</w:t>
      </w:r>
    </w:p>
    <w:p w14:paraId="6F5D8A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1.产业规模持续壮大。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全年茶叶产量稳定在8万吨以上，综合产值284亿元，税收达到3.1亿元，核心发展指标实现稳步增长。全县拥有SC认证茶企131家，规模以上茶企56家，其中国家级龙头企业1家、省级7家、市级36家，带动近40万从业人员持续增收。</w:t>
      </w:r>
    </w:p>
    <w:p w14:paraId="165446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2.发展根基更加坚实。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一是组织引领持续夯实。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我县作为全省唯一入选茶叶产业链建设联席会议成员单位的县区，《安化茶产业高质量发展三年行动方案（2025—2027年）》《支持安化茶产业发展十条措施》等政策文件落地见效，政策支撑体系不断完善；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二是平台支撑日益增强。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安化黑茶集团标杆引领作用持续凸显，智慧仓储、交易中心建设有序推进，“仓乐通”等金融创新服务为产业发展注入强劲动能；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三是标准化体系全面构建。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质量、品牌、价格、品鉴四大体系基本建成，以此为支撑的“五化产品”已成为引领企业破局突围、提质增效的新引擎。</w:t>
      </w:r>
    </w:p>
    <w:p w14:paraId="4C9070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u w:val="none"/>
          <w:shd w:val="clear" w:color="auto" w:fill="FFFFFF"/>
          <w:lang w:val="en-US" w:eastAsia="zh-CN" w:bidi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3.品牌影响显著提升。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品牌联动，提升价值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u w:val="none"/>
          <w:shd w:val="clear" w:color="auto" w:fill="FFFFFF"/>
          <w:lang w:val="en-US" w:eastAsia="zh-CN" w:bidi="zh-CN"/>
        </w:rPr>
        <w:t>安化黑茶国家地理标志产品保护示范区顺利通过验收，品牌公信力与认可度持续增强。连续十七年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稳居全国茶业百强县前十，品牌价值达到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58.09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亿元。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二是拓展渠道，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多元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并进。</w:t>
      </w:r>
      <w:r>
        <w:rPr>
          <w:rFonts w:hint="eastAsia" w:ascii="仿宋_GB2312" w:hAnsi="仿宋_GB2312" w:eastAsia="仿宋_GB2312" w:cs="仿宋_GB2312"/>
          <w:sz w:val="32"/>
          <w:szCs w:val="32"/>
        </w:rPr>
        <w:t>线下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建成</w:t>
      </w:r>
      <w:r>
        <w:rPr>
          <w:rFonts w:hint="eastAsia" w:ascii="仿宋_GB2312" w:hAnsi="仿宋_GB2312" w:eastAsia="仿宋_GB2312" w:cs="仿宋_GB2312"/>
          <w:sz w:val="32"/>
          <w:szCs w:val="32"/>
        </w:rPr>
        <w:t>安化黑茶集团东莞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、长沙、益阳</w:t>
      </w:r>
      <w:r>
        <w:rPr>
          <w:rFonts w:hint="eastAsia" w:ascii="仿宋_GB2312" w:hAnsi="仿宋_GB2312" w:eastAsia="仿宋_GB2312" w:cs="仿宋_GB2312"/>
          <w:sz w:val="32"/>
          <w:szCs w:val="32"/>
        </w:rPr>
        <w:t>运营中心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线上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强化</w:t>
      </w:r>
      <w:r>
        <w:rPr>
          <w:rFonts w:hint="eastAsia" w:ascii="仿宋_GB2312" w:hAnsi="仿宋_GB2312" w:eastAsia="仿宋_GB2312" w:cs="仿宋_GB2312"/>
          <w:sz w:val="32"/>
          <w:szCs w:val="32"/>
        </w:rPr>
        <w:t>数字化营销，与头部主播合作，孵化本地网红，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2025年以来</w:t>
      </w:r>
      <w:r>
        <w:rPr>
          <w:rFonts w:hint="eastAsia" w:ascii="仿宋_GB2312" w:hAnsi="仿宋_GB2312" w:eastAsia="仿宋_GB2312" w:cs="仿宋_GB2312"/>
          <w:sz w:val="32"/>
          <w:szCs w:val="32"/>
        </w:rPr>
        <w:t>线上销售超亿元。积极组织企业参与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世</w:t>
      </w:r>
      <w:r>
        <w:rPr>
          <w:rFonts w:hint="eastAsia" w:ascii="仿宋_GB2312" w:hAnsi="仿宋_GB2312" w:eastAsia="仿宋_GB2312" w:cs="仿宋_GB2312"/>
          <w:sz w:val="32"/>
          <w:szCs w:val="32"/>
        </w:rPr>
        <w:t>博会、中非经贸博览会等国际展会，拓展海外市场，2025年茶叶出口近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00万元。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u w:val="none"/>
          <w:shd w:val="clear" w:color="auto" w:fill="FFFFFF"/>
          <w:lang w:val="en-US" w:eastAsia="zh-CN" w:bidi="zh-CN"/>
        </w:rPr>
        <w:t>三是强化宣传，提升形象。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u w:val="none"/>
          <w:shd w:val="clear" w:color="auto" w:fill="FFFFFF"/>
          <w:lang w:val="en-US" w:eastAsia="zh-CN" w:bidi="zh-CN"/>
        </w:rPr>
        <w:t>连续登陆央视“品牌强国”栏目，主流媒体广泛聚焦，“天下黑茶 神韵安化”形象深入人心。</w:t>
      </w:r>
    </w:p>
    <w:p w14:paraId="36C0A5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4.融合创新走向纵深。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一是科技驱动持续强化。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聚焦“高端化、时尚化、功能化、便利化、标准化”方向开展产品差异化研究，成功举办阶段性成果交流会，科技创新赋能产业发展成效显著；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二是产品形态持续优化。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通过大力推广“五化”新品、优化包装设计、积极引进新式茶饮企业，不断拓展多元消费场景，产品市场吸引力持续提升；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三是产业链条日趋完善。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强化生产全过程指导与质量安全管控，深入推进“茶旅文体康”深度融合，着力构建协同共生、良性循环的产业生态。</w:t>
      </w:r>
    </w:p>
    <w:p w14:paraId="5242B8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(二)部门整体支出规模、使用方向、主要内容和涉及范围。</w:t>
      </w:r>
    </w:p>
    <w:p w14:paraId="2695F7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2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我单位支出2562.12万元，基本支出366.44万元，其中人员经费273.32万元，用于人员工资发放及社会保障缴纳等；一般商品服务支出92.07万元，主要用于日常办公开支；对个人和家庭的补助1.05万元。项目支出2195.68万元，主要用于茶产业项目，比如：省级农业产业集群项目、茶产业发展项目、茶产业专项资金、院士工作站工作经费、第六届黑茶文化节经费、茶马古道景区补偿款等。</w:t>
      </w:r>
    </w:p>
    <w:p w14:paraId="3B71BC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二、一般公共预算支出情况</w:t>
      </w:r>
    </w:p>
    <w:p w14:paraId="753178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(一)基本支出情况</w:t>
      </w:r>
    </w:p>
    <w:p w14:paraId="4F89CF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基本支出366.44万元主要用于工资福利支出和商品服务支出。其中工资福利支出273.32万元，占74.59%，用于人员工资级社会保障缴纳等；商品服务支出92.07万元，占25.13%，主要用于日常办公开支，其中包含公务接待费用0.3149万元。本着厉行节约的原则，严格控制了开支，比上年减少94.57%。</w:t>
      </w:r>
    </w:p>
    <w:p w14:paraId="7AA04E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(二)项目支出情况</w:t>
      </w:r>
    </w:p>
    <w:p w14:paraId="1A7CC0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单位项目开支2195.68万元，主要用于茶产业项目。</w:t>
      </w:r>
    </w:p>
    <w:p w14:paraId="13BCE6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其中业务工作经费2195.68万元，包括2025年度省级农业产业集群项目173万元、茶产业发展项目资金1000万元、茶产业发展及基础设施补短板项目资金100万元、茶产业专项资金340.19万元、院士工作站工作经费61.9万元、第六届黑茶文化节经费152.37万元、茶马古道景区补偿款336.28万元；单位预算项目开支31.94万元。</w:t>
      </w:r>
    </w:p>
    <w:p w14:paraId="0EA8424E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政府性基金预算支出情况</w:t>
      </w:r>
    </w:p>
    <w:p w14:paraId="1167A28B">
      <w:pPr>
        <w:pStyle w:val="2"/>
        <w:widowControl w:val="0"/>
        <w:numPr>
          <w:ilvl w:val="0"/>
          <w:numId w:val="0"/>
        </w:numPr>
        <w:spacing w:before="120"/>
        <w:ind w:firstLine="640" w:firstLineChars="200"/>
        <w:jc w:val="both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无</w:t>
      </w:r>
    </w:p>
    <w:p w14:paraId="2290343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国有资本经营预算支出情况</w:t>
      </w:r>
    </w:p>
    <w:p w14:paraId="7B0102E3">
      <w:pPr>
        <w:pStyle w:val="2"/>
        <w:widowControl w:val="0"/>
        <w:numPr>
          <w:ilvl w:val="0"/>
          <w:numId w:val="0"/>
        </w:numPr>
        <w:spacing w:before="120"/>
        <w:ind w:firstLine="640" w:firstLineChars="200"/>
        <w:jc w:val="both"/>
        <w:rPr>
          <w:rFonts w:hint="eastAsi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无</w:t>
      </w:r>
    </w:p>
    <w:p w14:paraId="74B6B4E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社会保险基金预算支出情况</w:t>
      </w:r>
    </w:p>
    <w:p w14:paraId="6668D55D">
      <w:pPr>
        <w:pStyle w:val="2"/>
        <w:widowControl w:val="0"/>
        <w:numPr>
          <w:ilvl w:val="0"/>
          <w:numId w:val="0"/>
        </w:numPr>
        <w:spacing w:before="120"/>
        <w:ind w:firstLine="640" w:firstLineChars="200"/>
        <w:jc w:val="both"/>
        <w:rPr>
          <w:rFonts w:hint="eastAsi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无</w:t>
      </w:r>
    </w:p>
    <w:p w14:paraId="1DA1D4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六、部门整体支出绩效情况</w:t>
      </w:r>
    </w:p>
    <w:p w14:paraId="67CB17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  <w:t>（一）绩效评价目的。</w:t>
      </w:r>
    </w:p>
    <w:p w14:paraId="4CD362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  <w:t>此次绩效评价的目的是：严格落实《预算法》及省、市、县绩效管理工作的有关规定，进一步规范财政资金的管理，强化财政支出绩效理念，提升部门责任意识，提高资金使用效益，促进茶旅产业工作的发展。</w:t>
      </w:r>
    </w:p>
    <w:p w14:paraId="38F9EF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  <w:t>（二）绩效评价工作过程，主要包括前期准备、组织实施和分析评价以及自评结果等内容。</w:t>
      </w:r>
    </w:p>
    <w:p w14:paraId="5B5F3E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  <w:t>根据绩效评价的要求，我单位成立了绩效评价工作领导小组，明确了工作职责和分工，制定了切实可行的评价方案，党组成员及各科室全程参与，根据各业务股室的情况汇报和提交的工作计划、工作总结等资料，评价小组现场进行询查和核实，根据确定的评价指标、评价标准和评价方法统一打分，形成自评结论。在自评过程中发现问题，查找原因，及时纠正偏差，为下一步工作夯实基础。</w:t>
      </w:r>
    </w:p>
    <w:p w14:paraId="0566AD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  <w:t>2025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  <w:t>年部门整体支出绩效自评结果显示，我单位绩效管理情况较为理想，达到了年初设定的各项绩效目标。所有资金使用严格按审批程序办理、操作规范，会计核算结果真实、准确，各项支出严格按照各项制度执行。</w:t>
      </w:r>
    </w:p>
    <w:p w14:paraId="3EC445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  <w:t>（三）主要工作成效</w:t>
      </w:r>
    </w:p>
    <w:p w14:paraId="2B5E74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/>
          <w:color w:val="FF0000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入选全省唯一茶叶产业链建设联席会议成员单位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  <w:t>；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u w:val="none"/>
          <w:shd w:val="clear" w:color="auto" w:fill="FFFFFF"/>
          <w:lang w:val="en-US" w:eastAsia="zh-CN" w:bidi="zh-CN"/>
        </w:rPr>
        <w:t>安化黑茶国家地理标志产品保护示范区顺利通过验收，品牌公信力与认可度持续增强，连续十七年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稳居全国茶业百强县前十，品牌价值达到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58.09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亿元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32"/>
          <w:szCs w:val="32"/>
          <w:lang w:val="en-US" w:eastAsia="zh-CN" w:bidi="ar-SA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线下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安化黑茶集团东莞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、长沙、益阳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运营中心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32"/>
          <w:szCs w:val="32"/>
          <w:lang w:val="en-US" w:eastAsia="zh-CN" w:bidi="ar-SA"/>
        </w:rPr>
        <w:t>；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u w:val="none"/>
          <w:shd w:val="clear" w:color="auto" w:fill="FFFFFF"/>
          <w:lang w:val="en-US" w:eastAsia="zh-CN" w:bidi="zh-CN"/>
        </w:rPr>
        <w:t>连续登陆央视“品牌强国”栏目，主流媒体广泛聚焦，“天下黑茶 神韵安化”形象深入人心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32"/>
          <w:szCs w:val="32"/>
          <w:lang w:val="en-US" w:eastAsia="zh-CN" w:bidi="ar-SA"/>
        </w:rPr>
        <w:t>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聚焦“高端化、时尚化、功能化、便利化、标准化”方向开展产品差异化研究，成功举办阶段性成果交流会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32"/>
          <w:szCs w:val="32"/>
          <w:lang w:val="en-US" w:eastAsia="zh-CN" w:bidi="ar-SA"/>
        </w:rPr>
        <w:t>。</w:t>
      </w:r>
    </w:p>
    <w:p w14:paraId="393C7F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七、存在的问题及原因分析</w:t>
      </w:r>
    </w:p>
    <w:p w14:paraId="2F1916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整体绩效目标编制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需进一步完善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，绩效目标设置目标不够明确和细化，部分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预算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的绩效目标设定过于笼统，缺乏具体的量化指标，导致评价时难以准确衡量绩效达成情况。</w:t>
      </w:r>
    </w:p>
    <w:p w14:paraId="57DFC1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（二）预算编制与执行存在差异，部分项目预算没有执行完，导致绩效自评难以准确反映预算执行情况。项目资金管理需进一步加强，提高专项资金的使用效益。</w:t>
      </w:r>
    </w:p>
    <w:p w14:paraId="26446D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八、下一步改进措施</w:t>
      </w:r>
    </w:p>
    <w:p w14:paraId="3592D5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（一）明确绩效目标。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制定明确、具体、可衡量的绩效目标，确保绩效自评能够准确反映实际绩效。</w:t>
      </w:r>
    </w:p>
    <w:p w14:paraId="3C79CB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（二）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加强绩效管理制度建设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。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完善绩效管理制度，确保制度得到有效执行，提高绩效评价的准确性和有效性。</w:t>
      </w:r>
    </w:p>
    <w:p w14:paraId="4670C0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（三）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加强自评结果的应用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。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充分利用自评结果，针对问题提出有效的改进措施，并将自评结果作为资金分配和预算调整的重要依据。同时建立激励与约束机制，提高部门对绩效自评的重视程度。</w:t>
      </w:r>
    </w:p>
    <w:p w14:paraId="5780E1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九、绩效自评结果拟应用和公开情况</w:t>
      </w:r>
    </w:p>
    <w:p w14:paraId="1F377AF0">
      <w:pPr>
        <w:pStyle w:val="7"/>
        <w:ind w:left="0" w:leftChars="0"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绩效结果应用，既是开展绩效评价工作的基本前提，又是加强财政支出管理、增强资金绩效理念合理配置公共资源、优化财政支出结构、强化资金管理水平、提高资金使用效益的重要手段。为使绩效评价结果得到合理应用，将此次绩效评价结果作为以后年度建设资金分配的重要依据，评价结果可公开。</w:t>
      </w:r>
    </w:p>
    <w:p w14:paraId="25D2426C">
      <w:pPr>
        <w:ind w:firstLine="640" w:firstLineChars="200"/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十、其他需要说明的情况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F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0AAA9C"/>
    <w:multiLevelType w:val="singleLevel"/>
    <w:tmpl w:val="6B0AAA9C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ViODg2OTZhZDdhZDM4NTg4NzI5OGU5Zjg3MGE0ZTIifQ=="/>
  </w:docVars>
  <w:rsids>
    <w:rsidRoot w:val="14023F7F"/>
    <w:rsid w:val="14023F7F"/>
    <w:rsid w:val="253841B1"/>
    <w:rsid w:val="28552771"/>
    <w:rsid w:val="3B7E4A28"/>
    <w:rsid w:val="54105F79"/>
    <w:rsid w:val="5F5DEFD5"/>
    <w:rsid w:val="69EF2941"/>
    <w:rsid w:val="6BBFEE42"/>
    <w:rsid w:val="767E572A"/>
    <w:rsid w:val="77FFF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99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="Cambria" w:hAnsi="Cambria" w:cs="Times New Roman"/>
      <w:sz w:val="24"/>
      <w:szCs w:val="24"/>
    </w:rPr>
  </w:style>
  <w:style w:type="paragraph" w:styleId="3">
    <w:name w:val="toc 1"/>
    <w:basedOn w:val="1"/>
    <w:next w:val="1"/>
    <w:semiHidden/>
    <w:qFormat/>
    <w:uiPriority w:val="99"/>
    <w:rPr>
      <w:rFonts w:ascii="黑体" w:hAnsi="黑体" w:eastAsia="黑体" w:cs="黑体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BodyText1I2"/>
    <w:basedOn w:val="8"/>
    <w:next w:val="1"/>
    <w:qFormat/>
    <w:uiPriority w:val="0"/>
    <w:pPr>
      <w:ind w:firstLine="420"/>
    </w:pPr>
  </w:style>
  <w:style w:type="paragraph" w:customStyle="1" w:styleId="8">
    <w:name w:val="BodyTextIndent"/>
    <w:basedOn w:val="1"/>
    <w:qFormat/>
    <w:uiPriority w:val="0"/>
    <w:pPr>
      <w:spacing w:after="120" w:afterLines="0"/>
      <w:ind w:left="200" w:left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3146</Words>
  <Characters>3337</Characters>
  <Lines>0</Lines>
  <Paragraphs>0</Paragraphs>
  <TotalTime>32</TotalTime>
  <ScaleCrop>false</ScaleCrop>
  <LinksUpToDate>false</LinksUpToDate>
  <CharactersWithSpaces>3366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2024-06-17T23:12:00Z</dcterms:created>
  <dc:creator>超人。</dc:creator>
  <cp:lastModifiedBy>lenovo</cp:lastModifiedBy>
  <dcterms:modified xsi:type="dcterms:W3CDTF">2026-09-22T17:37:28Z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98B4C5D1190A34D62039E7695B6556C2_43</vt:lpwstr>
  </property>
</Properties>
</file>